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E20" w:rsidRPr="007C3A45" w:rsidRDefault="00637E20" w:rsidP="0003742E">
      <w:pPr>
        <w:widowControl w:val="0"/>
        <w:spacing w:line="240" w:lineRule="auto"/>
        <w:jc w:val="center"/>
        <w:outlineLvl w:val="0"/>
        <w:rPr>
          <w:b/>
          <w:szCs w:val="22"/>
          <w:lang w:val="de-DE"/>
        </w:rPr>
      </w:pPr>
      <w:bookmarkStart w:id="0" w:name="_GoBack"/>
      <w:bookmarkEnd w:id="0"/>
    </w:p>
    <w:p w:rsidR="00FC72A2" w:rsidRPr="007C3A45" w:rsidRDefault="00FC72A2" w:rsidP="0003742E">
      <w:pPr>
        <w:widowControl w:val="0"/>
        <w:spacing w:line="240" w:lineRule="auto"/>
        <w:jc w:val="center"/>
        <w:outlineLvl w:val="0"/>
        <w:rPr>
          <w:b/>
          <w:szCs w:val="22"/>
          <w:lang w:val="de-DE"/>
        </w:rPr>
      </w:pPr>
    </w:p>
    <w:p w:rsidR="00637E20" w:rsidRPr="007C3A45" w:rsidRDefault="00637E20" w:rsidP="0003742E">
      <w:pPr>
        <w:widowControl w:val="0"/>
        <w:spacing w:line="240" w:lineRule="auto"/>
        <w:jc w:val="center"/>
        <w:outlineLvl w:val="0"/>
        <w:rPr>
          <w:b/>
          <w:szCs w:val="22"/>
          <w:lang w:val="de-DE"/>
        </w:rPr>
      </w:pPr>
    </w:p>
    <w:p w:rsidR="00637E20" w:rsidRPr="007C3A45" w:rsidRDefault="00637E20" w:rsidP="0003742E">
      <w:pPr>
        <w:widowControl w:val="0"/>
        <w:spacing w:line="240" w:lineRule="auto"/>
        <w:jc w:val="center"/>
        <w:outlineLvl w:val="0"/>
        <w:rPr>
          <w:b/>
          <w:szCs w:val="22"/>
          <w:lang w:val="de-DE"/>
        </w:rPr>
      </w:pPr>
    </w:p>
    <w:p w:rsidR="00637E20" w:rsidRPr="007C3A45" w:rsidRDefault="00637E20" w:rsidP="0003742E">
      <w:pPr>
        <w:widowControl w:val="0"/>
        <w:spacing w:line="240" w:lineRule="auto"/>
        <w:jc w:val="center"/>
        <w:outlineLvl w:val="0"/>
        <w:rPr>
          <w:b/>
          <w:szCs w:val="22"/>
          <w:lang w:val="de-DE"/>
        </w:rPr>
      </w:pPr>
    </w:p>
    <w:p w:rsidR="00637E20" w:rsidRPr="007C3A45" w:rsidRDefault="00637E20" w:rsidP="0003742E">
      <w:pPr>
        <w:widowControl w:val="0"/>
        <w:tabs>
          <w:tab w:val="left" w:pos="-1440"/>
          <w:tab w:val="left" w:pos="-720"/>
        </w:tabs>
        <w:spacing w:line="240" w:lineRule="auto"/>
        <w:jc w:val="center"/>
        <w:rPr>
          <w:b/>
          <w:szCs w:val="22"/>
          <w:lang w:val="de-DE"/>
        </w:rPr>
      </w:pPr>
    </w:p>
    <w:p w:rsidR="00637E20" w:rsidRPr="007C3A45" w:rsidRDefault="00637E20" w:rsidP="0003742E">
      <w:pPr>
        <w:widowControl w:val="0"/>
        <w:tabs>
          <w:tab w:val="left" w:pos="-1440"/>
          <w:tab w:val="left" w:pos="-720"/>
        </w:tabs>
        <w:spacing w:line="240" w:lineRule="auto"/>
        <w:jc w:val="center"/>
        <w:rPr>
          <w:b/>
          <w:szCs w:val="22"/>
          <w:lang w:val="de-DE"/>
        </w:rPr>
      </w:pPr>
    </w:p>
    <w:p w:rsidR="00637E20" w:rsidRPr="007C3A45" w:rsidRDefault="00637E20" w:rsidP="0003742E">
      <w:pPr>
        <w:widowControl w:val="0"/>
        <w:tabs>
          <w:tab w:val="left" w:pos="-1440"/>
          <w:tab w:val="left" w:pos="-720"/>
        </w:tabs>
        <w:spacing w:line="240" w:lineRule="auto"/>
        <w:jc w:val="center"/>
        <w:rPr>
          <w:b/>
          <w:szCs w:val="22"/>
          <w:lang w:val="de-DE"/>
        </w:rPr>
      </w:pPr>
    </w:p>
    <w:p w:rsidR="00637E20" w:rsidRPr="007C3A45" w:rsidRDefault="00637E20" w:rsidP="0003742E">
      <w:pPr>
        <w:widowControl w:val="0"/>
        <w:tabs>
          <w:tab w:val="left" w:pos="-1440"/>
          <w:tab w:val="left" w:pos="-720"/>
        </w:tabs>
        <w:spacing w:line="240" w:lineRule="auto"/>
        <w:jc w:val="center"/>
        <w:rPr>
          <w:b/>
          <w:szCs w:val="22"/>
          <w:lang w:val="de-DE"/>
        </w:rPr>
      </w:pPr>
    </w:p>
    <w:p w:rsidR="00637E20" w:rsidRPr="007C3A45" w:rsidRDefault="00637E20" w:rsidP="0003742E">
      <w:pPr>
        <w:widowControl w:val="0"/>
        <w:tabs>
          <w:tab w:val="left" w:pos="-1440"/>
          <w:tab w:val="left" w:pos="-720"/>
        </w:tabs>
        <w:spacing w:line="240" w:lineRule="auto"/>
        <w:jc w:val="center"/>
        <w:rPr>
          <w:b/>
          <w:szCs w:val="22"/>
          <w:lang w:val="de-DE"/>
        </w:rPr>
      </w:pPr>
    </w:p>
    <w:p w:rsidR="00637E20" w:rsidRPr="007C3A45" w:rsidRDefault="00637E20" w:rsidP="0003742E">
      <w:pPr>
        <w:widowControl w:val="0"/>
        <w:tabs>
          <w:tab w:val="left" w:pos="-1440"/>
          <w:tab w:val="left" w:pos="-720"/>
        </w:tabs>
        <w:spacing w:line="240" w:lineRule="auto"/>
        <w:jc w:val="center"/>
        <w:rPr>
          <w:b/>
          <w:szCs w:val="22"/>
          <w:lang w:val="de-DE"/>
        </w:rPr>
      </w:pPr>
    </w:p>
    <w:p w:rsidR="00637E20" w:rsidRPr="007C3A45" w:rsidRDefault="00637E20" w:rsidP="0003742E">
      <w:pPr>
        <w:widowControl w:val="0"/>
        <w:tabs>
          <w:tab w:val="left" w:pos="-1440"/>
          <w:tab w:val="left" w:pos="-720"/>
        </w:tabs>
        <w:spacing w:line="240" w:lineRule="auto"/>
        <w:jc w:val="center"/>
        <w:rPr>
          <w:b/>
          <w:szCs w:val="22"/>
          <w:lang w:val="de-DE"/>
        </w:rPr>
      </w:pPr>
    </w:p>
    <w:p w:rsidR="00637E20" w:rsidRPr="007C3A45" w:rsidRDefault="00637E20" w:rsidP="0003742E">
      <w:pPr>
        <w:widowControl w:val="0"/>
        <w:tabs>
          <w:tab w:val="left" w:pos="-1440"/>
          <w:tab w:val="left" w:pos="-720"/>
        </w:tabs>
        <w:spacing w:line="240" w:lineRule="auto"/>
        <w:jc w:val="center"/>
        <w:rPr>
          <w:b/>
          <w:szCs w:val="22"/>
          <w:lang w:val="de-DE"/>
        </w:rPr>
      </w:pPr>
    </w:p>
    <w:p w:rsidR="00637E20" w:rsidRPr="007C3A45" w:rsidRDefault="00637E20" w:rsidP="0003742E">
      <w:pPr>
        <w:widowControl w:val="0"/>
        <w:tabs>
          <w:tab w:val="left" w:pos="-1440"/>
          <w:tab w:val="left" w:pos="-720"/>
        </w:tabs>
        <w:spacing w:line="240" w:lineRule="auto"/>
        <w:jc w:val="center"/>
        <w:rPr>
          <w:b/>
          <w:szCs w:val="22"/>
          <w:lang w:val="de-DE"/>
        </w:rPr>
      </w:pPr>
    </w:p>
    <w:p w:rsidR="00637E20" w:rsidRPr="007C3A45" w:rsidRDefault="00637E20" w:rsidP="0003742E">
      <w:pPr>
        <w:widowControl w:val="0"/>
        <w:tabs>
          <w:tab w:val="left" w:pos="-1440"/>
          <w:tab w:val="left" w:pos="-720"/>
        </w:tabs>
        <w:spacing w:line="240" w:lineRule="auto"/>
        <w:jc w:val="center"/>
        <w:rPr>
          <w:b/>
          <w:szCs w:val="22"/>
          <w:lang w:val="de-DE"/>
        </w:rPr>
      </w:pPr>
    </w:p>
    <w:p w:rsidR="00637E20" w:rsidRPr="007C3A45" w:rsidRDefault="00637E20" w:rsidP="0003742E">
      <w:pPr>
        <w:widowControl w:val="0"/>
        <w:tabs>
          <w:tab w:val="left" w:pos="-1440"/>
          <w:tab w:val="left" w:pos="-720"/>
        </w:tabs>
        <w:spacing w:line="240" w:lineRule="auto"/>
        <w:jc w:val="center"/>
        <w:rPr>
          <w:b/>
          <w:szCs w:val="22"/>
          <w:lang w:val="de-DE"/>
        </w:rPr>
      </w:pPr>
    </w:p>
    <w:p w:rsidR="00637E20" w:rsidRPr="007C3A45" w:rsidRDefault="00637E20" w:rsidP="0003742E">
      <w:pPr>
        <w:widowControl w:val="0"/>
        <w:tabs>
          <w:tab w:val="left" w:pos="-1440"/>
          <w:tab w:val="left" w:pos="-720"/>
        </w:tabs>
        <w:spacing w:line="240" w:lineRule="auto"/>
        <w:jc w:val="center"/>
        <w:rPr>
          <w:b/>
          <w:szCs w:val="22"/>
          <w:lang w:val="de-DE"/>
        </w:rPr>
      </w:pPr>
    </w:p>
    <w:p w:rsidR="00637E20" w:rsidRPr="007C3A45" w:rsidRDefault="00637E20" w:rsidP="0003742E">
      <w:pPr>
        <w:widowControl w:val="0"/>
        <w:tabs>
          <w:tab w:val="left" w:pos="-1440"/>
          <w:tab w:val="left" w:pos="-720"/>
        </w:tabs>
        <w:spacing w:line="240" w:lineRule="auto"/>
        <w:jc w:val="center"/>
        <w:rPr>
          <w:b/>
          <w:szCs w:val="22"/>
          <w:lang w:val="de-DE"/>
        </w:rPr>
      </w:pPr>
    </w:p>
    <w:p w:rsidR="00637E20" w:rsidRPr="007C3A45" w:rsidRDefault="00637E20" w:rsidP="0003742E">
      <w:pPr>
        <w:widowControl w:val="0"/>
        <w:tabs>
          <w:tab w:val="left" w:pos="-1440"/>
          <w:tab w:val="left" w:pos="-720"/>
        </w:tabs>
        <w:spacing w:line="240" w:lineRule="auto"/>
        <w:jc w:val="center"/>
        <w:rPr>
          <w:b/>
          <w:szCs w:val="22"/>
          <w:lang w:val="de-DE"/>
        </w:rPr>
      </w:pPr>
    </w:p>
    <w:p w:rsidR="00637E20" w:rsidRPr="007C3A45" w:rsidRDefault="00637E20" w:rsidP="0003742E">
      <w:pPr>
        <w:widowControl w:val="0"/>
        <w:tabs>
          <w:tab w:val="left" w:pos="-1440"/>
          <w:tab w:val="left" w:pos="-720"/>
        </w:tabs>
        <w:spacing w:line="240" w:lineRule="auto"/>
        <w:jc w:val="center"/>
        <w:rPr>
          <w:b/>
          <w:szCs w:val="22"/>
          <w:lang w:val="de-DE"/>
        </w:rPr>
      </w:pPr>
    </w:p>
    <w:p w:rsidR="00637E20" w:rsidRPr="007C3A45" w:rsidRDefault="00637E20" w:rsidP="0003742E">
      <w:pPr>
        <w:widowControl w:val="0"/>
        <w:tabs>
          <w:tab w:val="left" w:pos="-1440"/>
          <w:tab w:val="left" w:pos="-720"/>
        </w:tabs>
        <w:spacing w:line="240" w:lineRule="auto"/>
        <w:jc w:val="center"/>
        <w:rPr>
          <w:b/>
          <w:szCs w:val="22"/>
          <w:lang w:val="de-DE"/>
        </w:rPr>
      </w:pPr>
    </w:p>
    <w:p w:rsidR="00637E20" w:rsidRPr="007C3A45" w:rsidRDefault="00637E20" w:rsidP="0003742E">
      <w:pPr>
        <w:widowControl w:val="0"/>
        <w:tabs>
          <w:tab w:val="left" w:pos="-1440"/>
          <w:tab w:val="left" w:pos="-720"/>
        </w:tabs>
        <w:spacing w:line="240" w:lineRule="auto"/>
        <w:jc w:val="center"/>
        <w:rPr>
          <w:b/>
          <w:szCs w:val="22"/>
          <w:lang w:val="de-DE"/>
        </w:rPr>
      </w:pPr>
    </w:p>
    <w:p w:rsidR="00637E20" w:rsidRPr="007C3A45" w:rsidRDefault="00637E20" w:rsidP="0003742E">
      <w:pPr>
        <w:widowControl w:val="0"/>
        <w:tabs>
          <w:tab w:val="left" w:pos="-1440"/>
          <w:tab w:val="left" w:pos="-720"/>
        </w:tabs>
        <w:spacing w:line="240" w:lineRule="auto"/>
        <w:jc w:val="center"/>
        <w:rPr>
          <w:b/>
          <w:szCs w:val="22"/>
          <w:lang w:val="de-DE"/>
        </w:rPr>
      </w:pPr>
    </w:p>
    <w:p w:rsidR="00637E20" w:rsidRPr="007C3A45" w:rsidRDefault="00637E20" w:rsidP="0003742E">
      <w:pPr>
        <w:widowControl w:val="0"/>
        <w:tabs>
          <w:tab w:val="left" w:pos="-1440"/>
          <w:tab w:val="left" w:pos="-720"/>
        </w:tabs>
        <w:spacing w:line="240" w:lineRule="auto"/>
        <w:jc w:val="center"/>
        <w:rPr>
          <w:szCs w:val="22"/>
          <w:lang w:val="de-DE"/>
        </w:rPr>
      </w:pPr>
      <w:r w:rsidRPr="007C3A45">
        <w:rPr>
          <w:b/>
          <w:noProof/>
          <w:szCs w:val="22"/>
          <w:lang w:val="de-DE"/>
        </w:rPr>
        <w:t>ANHANG I</w:t>
      </w:r>
    </w:p>
    <w:p w:rsidR="00637E20" w:rsidRPr="007C3A45" w:rsidRDefault="00637E20" w:rsidP="0003742E">
      <w:pPr>
        <w:widowControl w:val="0"/>
        <w:tabs>
          <w:tab w:val="left" w:pos="-1440"/>
          <w:tab w:val="left" w:pos="-720"/>
        </w:tabs>
        <w:spacing w:line="240" w:lineRule="auto"/>
        <w:jc w:val="center"/>
        <w:rPr>
          <w:szCs w:val="22"/>
          <w:lang w:val="de-DE"/>
        </w:rPr>
      </w:pPr>
    </w:p>
    <w:p w:rsidR="00637E20" w:rsidRPr="007C3A45" w:rsidRDefault="00637E20" w:rsidP="0003742E">
      <w:pPr>
        <w:pStyle w:val="TitleA"/>
      </w:pPr>
      <w:r w:rsidRPr="007C3A45">
        <w:t>ZUSAMMENFASSUNG DER MERKMALE DES ARZNEIMITTELS</w:t>
      </w:r>
    </w:p>
    <w:p w:rsidR="00637E20" w:rsidRPr="007C3A45" w:rsidRDefault="00637E20" w:rsidP="0003742E">
      <w:pPr>
        <w:widowControl w:val="0"/>
        <w:spacing w:line="240" w:lineRule="auto"/>
        <w:ind w:left="567" w:hanging="567"/>
        <w:rPr>
          <w:szCs w:val="22"/>
          <w:lang w:val="de-DE"/>
        </w:rPr>
      </w:pPr>
      <w:r w:rsidRPr="007C3A45">
        <w:rPr>
          <w:szCs w:val="22"/>
          <w:lang w:val="de-DE"/>
        </w:rPr>
        <w:br w:type="page"/>
      </w:r>
      <w:r w:rsidRPr="007C3A45">
        <w:rPr>
          <w:b/>
          <w:szCs w:val="22"/>
          <w:lang w:val="de-DE"/>
        </w:rPr>
        <w:lastRenderedPageBreak/>
        <w:t>1.</w:t>
      </w:r>
      <w:r w:rsidRPr="007C3A45">
        <w:rPr>
          <w:b/>
          <w:szCs w:val="22"/>
          <w:lang w:val="de-DE"/>
        </w:rPr>
        <w:tab/>
      </w:r>
      <w:r w:rsidRPr="007C3A45">
        <w:rPr>
          <w:b/>
          <w:noProof/>
          <w:szCs w:val="22"/>
          <w:lang w:val="de-DE"/>
        </w:rPr>
        <w:t>BEZEICHNUNG DES ARZNEIMITTELS</w:t>
      </w:r>
    </w:p>
    <w:p w:rsidR="00637E20" w:rsidRPr="007C3A45" w:rsidRDefault="00637E20" w:rsidP="0003742E">
      <w:pPr>
        <w:widowControl w:val="0"/>
        <w:spacing w:line="240" w:lineRule="auto"/>
        <w:rPr>
          <w:i/>
          <w:szCs w:val="22"/>
          <w:lang w:val="de-DE"/>
        </w:rPr>
      </w:pPr>
    </w:p>
    <w:p w:rsidR="00447DA1" w:rsidRPr="007C3A45" w:rsidRDefault="00447DA1" w:rsidP="0003742E">
      <w:pPr>
        <w:widowControl w:val="0"/>
        <w:spacing w:line="240" w:lineRule="auto"/>
        <w:rPr>
          <w:noProof/>
          <w:szCs w:val="22"/>
          <w:lang w:val="de-DE"/>
        </w:rPr>
      </w:pPr>
      <w:r w:rsidRPr="007C3A45">
        <w:rPr>
          <w:noProof/>
          <w:szCs w:val="22"/>
          <w:lang w:val="de-DE"/>
        </w:rPr>
        <w:t>Tolucombi 40</w:t>
      </w:r>
      <w:r w:rsidR="00023E2B" w:rsidRPr="007C3A45">
        <w:rPr>
          <w:noProof/>
          <w:szCs w:val="22"/>
          <w:lang w:val="de-DE"/>
        </w:rPr>
        <w:t> mg</w:t>
      </w:r>
      <w:r w:rsidRPr="007C3A45">
        <w:rPr>
          <w:noProof/>
          <w:szCs w:val="22"/>
          <w:lang w:val="de-DE"/>
        </w:rPr>
        <w:t>/12,5</w:t>
      </w:r>
      <w:r w:rsidR="00023E2B" w:rsidRPr="007C3A45">
        <w:rPr>
          <w:noProof/>
          <w:szCs w:val="22"/>
          <w:lang w:val="de-DE"/>
        </w:rPr>
        <w:t> mg</w:t>
      </w:r>
      <w:r w:rsidRPr="007C3A45">
        <w:rPr>
          <w:noProof/>
          <w:szCs w:val="22"/>
          <w:lang w:val="de-DE"/>
        </w:rPr>
        <w:t xml:space="preserve"> Tabletten</w:t>
      </w:r>
    </w:p>
    <w:p w:rsidR="00A0350B" w:rsidRPr="007C3A45" w:rsidRDefault="00A0350B" w:rsidP="00A0350B">
      <w:pPr>
        <w:widowControl w:val="0"/>
        <w:spacing w:line="240" w:lineRule="auto"/>
        <w:rPr>
          <w:noProof/>
          <w:szCs w:val="22"/>
          <w:lang w:val="de-DE"/>
        </w:rPr>
      </w:pPr>
      <w:r w:rsidRPr="007C3A45">
        <w:rPr>
          <w:noProof/>
          <w:szCs w:val="22"/>
          <w:lang w:val="de-DE"/>
        </w:rPr>
        <w:t xml:space="preserve">Tolucombi </w:t>
      </w:r>
      <w:r>
        <w:rPr>
          <w:noProof/>
          <w:szCs w:val="22"/>
          <w:lang w:val="de-DE"/>
        </w:rPr>
        <w:t>80</w:t>
      </w:r>
      <w:r w:rsidRPr="007C3A45">
        <w:rPr>
          <w:noProof/>
          <w:szCs w:val="22"/>
          <w:lang w:val="de-DE"/>
        </w:rPr>
        <w:t> mg/12,5 mg Tabletten</w:t>
      </w:r>
    </w:p>
    <w:p w:rsidR="00637E20" w:rsidRPr="007C3A45" w:rsidRDefault="00637E20" w:rsidP="0003742E">
      <w:pPr>
        <w:widowControl w:val="0"/>
        <w:spacing w:line="240" w:lineRule="auto"/>
        <w:rPr>
          <w:i/>
          <w:szCs w:val="22"/>
          <w:lang w:val="de-DE"/>
        </w:rPr>
      </w:pPr>
    </w:p>
    <w:p w:rsidR="00637E20" w:rsidRPr="007C3A45" w:rsidRDefault="00637E20" w:rsidP="0003742E">
      <w:pPr>
        <w:pStyle w:val="EMEAEnBodyText"/>
        <w:widowControl w:val="0"/>
        <w:autoSpaceDE w:val="0"/>
        <w:autoSpaceDN w:val="0"/>
        <w:adjustRightInd w:val="0"/>
        <w:spacing w:before="0" w:after="0"/>
        <w:rPr>
          <w:i/>
          <w:szCs w:val="22"/>
          <w:lang w:val="de-DE"/>
        </w:rPr>
      </w:pPr>
    </w:p>
    <w:p w:rsidR="00637E20" w:rsidRPr="007C3A45" w:rsidRDefault="00637E20" w:rsidP="0003742E">
      <w:pPr>
        <w:widowControl w:val="0"/>
        <w:spacing w:line="240" w:lineRule="auto"/>
        <w:rPr>
          <w:szCs w:val="22"/>
          <w:lang w:val="de-DE"/>
        </w:rPr>
      </w:pPr>
      <w:r w:rsidRPr="007C3A45">
        <w:rPr>
          <w:b/>
          <w:szCs w:val="22"/>
          <w:lang w:val="de-DE"/>
        </w:rPr>
        <w:t>2.</w:t>
      </w:r>
      <w:r w:rsidRPr="007C3A45">
        <w:rPr>
          <w:b/>
          <w:szCs w:val="22"/>
          <w:lang w:val="de-DE"/>
        </w:rPr>
        <w:tab/>
      </w:r>
      <w:r w:rsidRPr="007C3A45">
        <w:rPr>
          <w:b/>
          <w:noProof/>
          <w:szCs w:val="22"/>
          <w:lang w:val="de-DE"/>
        </w:rPr>
        <w:t>QUALITATIVE UND QUANTITATIVE ZUSAMMENSETZUNG</w:t>
      </w:r>
    </w:p>
    <w:p w:rsidR="00637E20" w:rsidRPr="007C3A45" w:rsidRDefault="00637E20" w:rsidP="0003742E">
      <w:pPr>
        <w:widowControl w:val="0"/>
        <w:spacing w:line="240" w:lineRule="auto"/>
        <w:rPr>
          <w:szCs w:val="22"/>
          <w:lang w:val="de-DE"/>
        </w:rPr>
      </w:pPr>
    </w:p>
    <w:p w:rsidR="00A0350B" w:rsidRPr="00854C15" w:rsidRDefault="00A0350B" w:rsidP="00A0350B">
      <w:pPr>
        <w:widowControl w:val="0"/>
        <w:spacing w:line="240" w:lineRule="auto"/>
        <w:rPr>
          <w:noProof/>
          <w:szCs w:val="22"/>
          <w:u w:val="single"/>
          <w:lang w:val="de-DE"/>
        </w:rPr>
      </w:pPr>
      <w:r w:rsidRPr="00854C15">
        <w:rPr>
          <w:noProof/>
          <w:szCs w:val="22"/>
          <w:u w:val="single"/>
          <w:lang w:val="de-DE"/>
        </w:rPr>
        <w:t>Tolucombi 40 mg/12,5 mg Tabletten</w:t>
      </w:r>
    </w:p>
    <w:p w:rsidR="00207546" w:rsidRPr="007C3A45" w:rsidRDefault="00207546" w:rsidP="0003742E">
      <w:pPr>
        <w:pStyle w:val="EMEAEnBodyText"/>
        <w:widowControl w:val="0"/>
        <w:autoSpaceDE w:val="0"/>
        <w:autoSpaceDN w:val="0"/>
        <w:adjustRightInd w:val="0"/>
        <w:spacing w:before="0" w:after="0"/>
        <w:rPr>
          <w:szCs w:val="22"/>
          <w:lang w:val="de-DE"/>
        </w:rPr>
      </w:pPr>
      <w:r w:rsidRPr="007C3A45">
        <w:rPr>
          <w:szCs w:val="22"/>
          <w:lang w:val="de-DE"/>
        </w:rPr>
        <w:t>Jede Tablette enthält 40</w:t>
      </w:r>
      <w:r w:rsidR="00023E2B" w:rsidRPr="007C3A45">
        <w:rPr>
          <w:szCs w:val="22"/>
          <w:lang w:val="de-DE"/>
        </w:rPr>
        <w:t> mg</w:t>
      </w:r>
      <w:r w:rsidRPr="007C3A45">
        <w:rPr>
          <w:szCs w:val="22"/>
          <w:lang w:val="de-DE"/>
        </w:rPr>
        <w:t xml:space="preserve"> Telmisartan und 12,5</w:t>
      </w:r>
      <w:r w:rsidR="00023E2B" w:rsidRPr="007C3A45">
        <w:rPr>
          <w:szCs w:val="22"/>
          <w:lang w:val="de-DE"/>
        </w:rPr>
        <w:t> mg</w:t>
      </w:r>
      <w:r w:rsidRPr="007C3A45">
        <w:rPr>
          <w:szCs w:val="22"/>
          <w:lang w:val="de-DE"/>
        </w:rPr>
        <w:t xml:space="preserve"> Hydrochlorothiazid.</w:t>
      </w:r>
    </w:p>
    <w:p w:rsidR="00A0350B" w:rsidRDefault="00A0350B" w:rsidP="00A0350B">
      <w:pPr>
        <w:widowControl w:val="0"/>
        <w:spacing w:line="240" w:lineRule="auto"/>
        <w:rPr>
          <w:noProof/>
          <w:szCs w:val="22"/>
          <w:u w:val="single"/>
          <w:lang w:val="de-DE"/>
        </w:rPr>
      </w:pPr>
    </w:p>
    <w:p w:rsidR="00A0350B" w:rsidRPr="00033AE0" w:rsidRDefault="00A0350B" w:rsidP="00A0350B">
      <w:pPr>
        <w:widowControl w:val="0"/>
        <w:spacing w:line="240" w:lineRule="auto"/>
        <w:rPr>
          <w:noProof/>
          <w:szCs w:val="22"/>
          <w:u w:val="single"/>
          <w:lang w:val="de-DE"/>
        </w:rPr>
      </w:pPr>
      <w:r>
        <w:rPr>
          <w:noProof/>
          <w:szCs w:val="22"/>
          <w:u w:val="single"/>
          <w:lang w:val="de-DE"/>
        </w:rPr>
        <w:t>Tolucombi 8</w:t>
      </w:r>
      <w:r w:rsidRPr="00033AE0">
        <w:rPr>
          <w:noProof/>
          <w:szCs w:val="22"/>
          <w:u w:val="single"/>
          <w:lang w:val="de-DE"/>
        </w:rPr>
        <w:t>0 mg/12,5 mg Tabletten</w:t>
      </w:r>
    </w:p>
    <w:p w:rsidR="00A0350B" w:rsidRPr="007C3A45" w:rsidRDefault="00A0350B" w:rsidP="00A0350B">
      <w:pPr>
        <w:pStyle w:val="EMEAEnBodyText"/>
        <w:widowControl w:val="0"/>
        <w:autoSpaceDE w:val="0"/>
        <w:autoSpaceDN w:val="0"/>
        <w:adjustRightInd w:val="0"/>
        <w:spacing w:before="0" w:after="0"/>
        <w:rPr>
          <w:szCs w:val="22"/>
          <w:lang w:val="de-DE"/>
        </w:rPr>
      </w:pPr>
      <w:r>
        <w:rPr>
          <w:szCs w:val="22"/>
          <w:lang w:val="de-DE"/>
        </w:rPr>
        <w:t>Jede Tablette enthält 8</w:t>
      </w:r>
      <w:r w:rsidRPr="007C3A45">
        <w:rPr>
          <w:szCs w:val="22"/>
          <w:lang w:val="de-DE"/>
        </w:rPr>
        <w:t>0 mg Telmisartan und 12,5 mg Hydrochlorothiazid.</w:t>
      </w:r>
    </w:p>
    <w:p w:rsidR="00637E20" w:rsidRPr="007C3A45" w:rsidRDefault="00637E20" w:rsidP="0003742E">
      <w:pPr>
        <w:widowControl w:val="0"/>
        <w:spacing w:line="240" w:lineRule="auto"/>
        <w:rPr>
          <w:b/>
          <w:szCs w:val="22"/>
          <w:lang w:val="de-DE"/>
        </w:rPr>
      </w:pPr>
    </w:p>
    <w:p w:rsidR="00637E20" w:rsidRPr="007C3A45" w:rsidRDefault="00207546" w:rsidP="0003742E">
      <w:pPr>
        <w:pStyle w:val="EMEAEnBodyText"/>
        <w:widowControl w:val="0"/>
        <w:autoSpaceDE w:val="0"/>
        <w:autoSpaceDN w:val="0"/>
        <w:adjustRightInd w:val="0"/>
        <w:spacing w:before="0" w:after="0"/>
        <w:rPr>
          <w:noProof/>
          <w:szCs w:val="22"/>
          <w:u w:val="single"/>
          <w:lang w:val="de-DE"/>
        </w:rPr>
      </w:pPr>
      <w:r w:rsidRPr="007C3A45">
        <w:rPr>
          <w:noProof/>
          <w:szCs w:val="22"/>
          <w:u w:val="single"/>
          <w:lang w:val="de-DE"/>
        </w:rPr>
        <w:t>Sonstige Bestandteil</w:t>
      </w:r>
      <w:r w:rsidR="00CB09E8" w:rsidRPr="007C3A45">
        <w:rPr>
          <w:noProof/>
          <w:szCs w:val="22"/>
          <w:u w:val="single"/>
          <w:lang w:val="de-DE"/>
        </w:rPr>
        <w:t>e</w:t>
      </w:r>
      <w:r w:rsidRPr="007C3A45">
        <w:rPr>
          <w:noProof/>
          <w:szCs w:val="22"/>
          <w:u w:val="single"/>
          <w:lang w:val="de-DE"/>
        </w:rPr>
        <w:t xml:space="preserve"> mit bekannter Wirkung</w:t>
      </w:r>
    </w:p>
    <w:p w:rsidR="00447DA1" w:rsidRPr="00824605" w:rsidRDefault="00447DA1" w:rsidP="00E250E5">
      <w:pPr>
        <w:pStyle w:val="EMEAEnBodyText"/>
        <w:widowControl w:val="0"/>
        <w:autoSpaceDE w:val="0"/>
        <w:autoSpaceDN w:val="0"/>
        <w:adjustRightInd w:val="0"/>
        <w:spacing w:before="0" w:after="0"/>
        <w:jc w:val="left"/>
        <w:rPr>
          <w:bCs/>
          <w:noProof/>
          <w:szCs w:val="22"/>
          <w:lang w:val="de-DE"/>
        </w:rPr>
      </w:pPr>
      <w:r w:rsidRPr="00383F97">
        <w:rPr>
          <w:bCs/>
          <w:noProof/>
          <w:szCs w:val="22"/>
          <w:lang w:val="de-DE"/>
        </w:rPr>
        <w:t xml:space="preserve">Jede </w:t>
      </w:r>
      <w:r w:rsidR="00A0350B" w:rsidRPr="00854C15">
        <w:rPr>
          <w:noProof/>
          <w:szCs w:val="22"/>
          <w:lang w:val="de-DE"/>
        </w:rPr>
        <w:t xml:space="preserve">40 mg/12,5 mg </w:t>
      </w:r>
      <w:r w:rsidRPr="00383F97">
        <w:rPr>
          <w:bCs/>
          <w:noProof/>
          <w:szCs w:val="22"/>
          <w:lang w:val="de-DE"/>
        </w:rPr>
        <w:t>Tablette enthält 57</w:t>
      </w:r>
      <w:r w:rsidR="00023E2B" w:rsidRPr="00383F97">
        <w:rPr>
          <w:bCs/>
          <w:noProof/>
          <w:szCs w:val="22"/>
          <w:lang w:val="de-DE"/>
        </w:rPr>
        <w:t> mg</w:t>
      </w:r>
      <w:r w:rsidRPr="00383F97">
        <w:rPr>
          <w:bCs/>
          <w:noProof/>
          <w:szCs w:val="22"/>
          <w:lang w:val="de-DE"/>
        </w:rPr>
        <w:t xml:space="preserve"> Lactose (als Monohydrat) und 147</w:t>
      </w:r>
      <w:r w:rsidR="00F85E4A" w:rsidRPr="00383F97">
        <w:rPr>
          <w:bCs/>
          <w:noProof/>
          <w:szCs w:val="22"/>
          <w:lang w:val="de-DE"/>
        </w:rPr>
        <w:t>,</w:t>
      </w:r>
      <w:r w:rsidRPr="00824605">
        <w:rPr>
          <w:bCs/>
          <w:noProof/>
          <w:szCs w:val="22"/>
          <w:lang w:val="de-DE"/>
        </w:rPr>
        <w:t>04</w:t>
      </w:r>
      <w:r w:rsidR="00023E2B" w:rsidRPr="00824605">
        <w:rPr>
          <w:bCs/>
          <w:noProof/>
          <w:szCs w:val="22"/>
          <w:lang w:val="de-DE"/>
        </w:rPr>
        <w:t> mg</w:t>
      </w:r>
      <w:r w:rsidR="00F85E4A" w:rsidRPr="00824605">
        <w:rPr>
          <w:bCs/>
          <w:noProof/>
          <w:szCs w:val="22"/>
          <w:lang w:val="de-DE"/>
        </w:rPr>
        <w:t xml:space="preserve"> S</w:t>
      </w:r>
      <w:r w:rsidRPr="00824605">
        <w:rPr>
          <w:bCs/>
          <w:noProof/>
          <w:szCs w:val="22"/>
          <w:lang w:val="de-DE"/>
        </w:rPr>
        <w:t>orbitol (E420).</w:t>
      </w:r>
    </w:p>
    <w:p w:rsidR="007A08A3" w:rsidRDefault="007A08A3" w:rsidP="00E250E5">
      <w:pPr>
        <w:pStyle w:val="EMEAEnBodyText"/>
        <w:widowControl w:val="0"/>
        <w:autoSpaceDE w:val="0"/>
        <w:autoSpaceDN w:val="0"/>
        <w:adjustRightInd w:val="0"/>
        <w:spacing w:before="0" w:after="0"/>
        <w:jc w:val="left"/>
        <w:rPr>
          <w:bCs/>
          <w:noProof/>
          <w:szCs w:val="22"/>
          <w:lang w:val="de-DE"/>
        </w:rPr>
      </w:pPr>
    </w:p>
    <w:p w:rsidR="00A0350B" w:rsidRPr="007C3A45" w:rsidRDefault="00A0350B" w:rsidP="00E250E5">
      <w:pPr>
        <w:pStyle w:val="EMEAEnBodyText"/>
        <w:widowControl w:val="0"/>
        <w:autoSpaceDE w:val="0"/>
        <w:autoSpaceDN w:val="0"/>
        <w:adjustRightInd w:val="0"/>
        <w:spacing w:before="0" w:after="0"/>
        <w:jc w:val="left"/>
        <w:rPr>
          <w:bCs/>
          <w:noProof/>
          <w:szCs w:val="22"/>
          <w:lang w:val="de-DE"/>
        </w:rPr>
      </w:pPr>
      <w:r w:rsidRPr="00383F97">
        <w:rPr>
          <w:bCs/>
          <w:noProof/>
          <w:szCs w:val="22"/>
          <w:lang w:val="de-DE"/>
        </w:rPr>
        <w:t xml:space="preserve">Jede </w:t>
      </w:r>
      <w:r w:rsidRPr="00854C15">
        <w:rPr>
          <w:noProof/>
          <w:szCs w:val="22"/>
          <w:lang w:val="de-DE"/>
        </w:rPr>
        <w:t xml:space="preserve">80 mg/12,5 mg </w:t>
      </w:r>
      <w:r w:rsidRPr="00383F97">
        <w:rPr>
          <w:bCs/>
          <w:noProof/>
          <w:szCs w:val="22"/>
          <w:lang w:val="de-DE"/>
        </w:rPr>
        <w:t>Tablette enthält 114 mg Lactose</w:t>
      </w:r>
      <w:r w:rsidR="00F7195A">
        <w:rPr>
          <w:bCs/>
          <w:noProof/>
          <w:szCs w:val="22"/>
          <w:lang w:val="de-DE"/>
        </w:rPr>
        <w:t xml:space="preserve"> (als </w:t>
      </w:r>
      <w:r w:rsidRPr="00383F97">
        <w:rPr>
          <w:bCs/>
          <w:noProof/>
          <w:szCs w:val="22"/>
          <w:lang w:val="de-DE"/>
        </w:rPr>
        <w:t>Monohydrat) und 294,08 mg Sorbitol</w:t>
      </w:r>
      <w:r w:rsidRPr="007C3A45">
        <w:rPr>
          <w:bCs/>
          <w:noProof/>
          <w:szCs w:val="22"/>
          <w:lang w:val="de-DE"/>
        </w:rPr>
        <w:t xml:space="preserve"> (E420).</w:t>
      </w:r>
    </w:p>
    <w:p w:rsidR="00A0350B" w:rsidRPr="007C3A45" w:rsidRDefault="00A0350B" w:rsidP="0003742E">
      <w:pPr>
        <w:pStyle w:val="EMEAEnBodyText"/>
        <w:widowControl w:val="0"/>
        <w:autoSpaceDE w:val="0"/>
        <w:autoSpaceDN w:val="0"/>
        <w:adjustRightInd w:val="0"/>
        <w:spacing w:before="0" w:after="0"/>
        <w:rPr>
          <w:szCs w:val="22"/>
          <w:lang w:val="de-DE"/>
        </w:rPr>
      </w:pPr>
    </w:p>
    <w:p w:rsidR="00637E20" w:rsidRPr="007C3A45" w:rsidRDefault="00637E20" w:rsidP="0003742E">
      <w:pPr>
        <w:widowControl w:val="0"/>
        <w:spacing w:line="240" w:lineRule="auto"/>
        <w:outlineLvl w:val="0"/>
        <w:rPr>
          <w:szCs w:val="22"/>
          <w:lang w:val="de-DE"/>
        </w:rPr>
      </w:pPr>
      <w:r w:rsidRPr="007C3A45">
        <w:rPr>
          <w:noProof/>
          <w:szCs w:val="22"/>
          <w:lang w:val="de-DE"/>
        </w:rPr>
        <w:t>Vollständige Auflistung der sonstigen Bestandteile, siehe Abschnitt 6.1.</w:t>
      </w:r>
    </w:p>
    <w:p w:rsidR="00637E20" w:rsidRPr="007C3A45" w:rsidRDefault="00637E20" w:rsidP="0003742E">
      <w:pPr>
        <w:widowControl w:val="0"/>
        <w:spacing w:line="240" w:lineRule="auto"/>
        <w:rPr>
          <w:szCs w:val="22"/>
          <w:lang w:val="de-DE"/>
        </w:rPr>
      </w:pPr>
    </w:p>
    <w:p w:rsidR="00637E20" w:rsidRPr="007C3A45" w:rsidRDefault="00637E20" w:rsidP="0003742E">
      <w:pPr>
        <w:widowControl w:val="0"/>
        <w:spacing w:line="240" w:lineRule="auto"/>
        <w:rPr>
          <w:szCs w:val="22"/>
          <w:lang w:val="de-DE"/>
        </w:rPr>
      </w:pPr>
    </w:p>
    <w:p w:rsidR="00637E20" w:rsidRPr="007C3A45" w:rsidRDefault="00637E20" w:rsidP="0003742E">
      <w:pPr>
        <w:widowControl w:val="0"/>
        <w:spacing w:line="240" w:lineRule="auto"/>
        <w:ind w:left="567" w:hanging="567"/>
        <w:rPr>
          <w:caps/>
          <w:szCs w:val="22"/>
          <w:lang w:val="de-DE"/>
        </w:rPr>
      </w:pPr>
      <w:r w:rsidRPr="007C3A45">
        <w:rPr>
          <w:b/>
          <w:szCs w:val="22"/>
          <w:lang w:val="de-DE"/>
        </w:rPr>
        <w:t>3.</w:t>
      </w:r>
      <w:r w:rsidRPr="007C3A45">
        <w:rPr>
          <w:b/>
          <w:szCs w:val="22"/>
          <w:lang w:val="de-DE"/>
        </w:rPr>
        <w:tab/>
      </w:r>
      <w:r w:rsidRPr="007C3A45">
        <w:rPr>
          <w:b/>
          <w:noProof/>
          <w:szCs w:val="22"/>
          <w:lang w:val="de-DE"/>
        </w:rPr>
        <w:t>DARREICHUNGSFORM</w:t>
      </w:r>
    </w:p>
    <w:p w:rsidR="00637E20" w:rsidRPr="007C3A45" w:rsidRDefault="00637E20" w:rsidP="0003742E">
      <w:pPr>
        <w:widowControl w:val="0"/>
        <w:autoSpaceDE w:val="0"/>
        <w:autoSpaceDN w:val="0"/>
        <w:adjustRightInd w:val="0"/>
        <w:spacing w:line="240" w:lineRule="auto"/>
        <w:jc w:val="both"/>
        <w:rPr>
          <w:szCs w:val="22"/>
          <w:lang w:val="de-DE"/>
        </w:rPr>
      </w:pPr>
    </w:p>
    <w:p w:rsidR="00F85E4A" w:rsidRPr="007C3A45" w:rsidRDefault="00F85E4A"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Tablette</w:t>
      </w:r>
      <w:r w:rsidR="00A0350B">
        <w:rPr>
          <w:snapToGrid/>
          <w:szCs w:val="22"/>
          <w:lang w:val="de-DE" w:eastAsia="de-DE"/>
        </w:rPr>
        <w:t>.</w:t>
      </w:r>
    </w:p>
    <w:p w:rsidR="00F85E4A" w:rsidRPr="007C3A45" w:rsidRDefault="00F85E4A" w:rsidP="0003742E">
      <w:pPr>
        <w:widowControl w:val="0"/>
        <w:tabs>
          <w:tab w:val="clear" w:pos="567"/>
        </w:tabs>
        <w:autoSpaceDE w:val="0"/>
        <w:autoSpaceDN w:val="0"/>
        <w:adjustRightInd w:val="0"/>
        <w:spacing w:line="240" w:lineRule="auto"/>
        <w:rPr>
          <w:snapToGrid/>
          <w:szCs w:val="22"/>
          <w:lang w:val="de-DE" w:eastAsia="de-DE"/>
        </w:rPr>
      </w:pPr>
    </w:p>
    <w:p w:rsidR="00A0350B" w:rsidRPr="00033AE0" w:rsidRDefault="00A0350B" w:rsidP="00A0350B">
      <w:pPr>
        <w:widowControl w:val="0"/>
        <w:spacing w:line="240" w:lineRule="auto"/>
        <w:rPr>
          <w:noProof/>
          <w:szCs w:val="22"/>
          <w:u w:val="single"/>
          <w:lang w:val="de-DE"/>
        </w:rPr>
      </w:pPr>
      <w:r w:rsidRPr="00033AE0">
        <w:rPr>
          <w:noProof/>
          <w:szCs w:val="22"/>
          <w:u w:val="single"/>
          <w:lang w:val="de-DE"/>
        </w:rPr>
        <w:t>Tolucombi 40 mg/12,5 mg Tabletten</w:t>
      </w:r>
      <w:r>
        <w:rPr>
          <w:noProof/>
          <w:szCs w:val="22"/>
          <w:u w:val="single"/>
          <w:lang w:val="de-DE"/>
        </w:rPr>
        <w:t>:</w:t>
      </w:r>
    </w:p>
    <w:p w:rsidR="00823EF5" w:rsidRPr="007C3A45" w:rsidRDefault="00207546" w:rsidP="0003742E">
      <w:pPr>
        <w:widowControl w:val="0"/>
        <w:tabs>
          <w:tab w:val="clear" w:pos="567"/>
        </w:tabs>
        <w:autoSpaceDE w:val="0"/>
        <w:autoSpaceDN w:val="0"/>
        <w:adjustRightInd w:val="0"/>
        <w:spacing w:line="240" w:lineRule="auto"/>
        <w:rPr>
          <w:szCs w:val="22"/>
          <w:lang w:val="de-DE"/>
        </w:rPr>
      </w:pPr>
      <w:r w:rsidRPr="007C3A45">
        <w:rPr>
          <w:snapToGrid/>
          <w:szCs w:val="22"/>
          <w:lang w:val="de-DE" w:eastAsia="de-DE"/>
        </w:rPr>
        <w:t>Auf einer Seite weiße bis fast weiße oder rosa-weiße und auf der anderen Seite rosa marmorierte ovale, aus zwei Schichten bestehende bikonvexe Tablette; die Größe der Tablette ist 15 mm x 7 mm</w:t>
      </w:r>
      <w:r w:rsidR="00823EF5" w:rsidRPr="007C3A45">
        <w:rPr>
          <w:snapToGrid/>
          <w:szCs w:val="22"/>
          <w:lang w:val="de-DE" w:eastAsia="de-DE"/>
        </w:rPr>
        <w:t>.</w:t>
      </w:r>
    </w:p>
    <w:p w:rsidR="00637E20" w:rsidRDefault="00637E20" w:rsidP="0003742E">
      <w:pPr>
        <w:widowControl w:val="0"/>
        <w:autoSpaceDE w:val="0"/>
        <w:autoSpaceDN w:val="0"/>
        <w:adjustRightInd w:val="0"/>
        <w:spacing w:line="240" w:lineRule="auto"/>
        <w:jc w:val="both"/>
        <w:rPr>
          <w:szCs w:val="22"/>
          <w:lang w:val="de-DE"/>
        </w:rPr>
      </w:pPr>
    </w:p>
    <w:p w:rsidR="00A0350B" w:rsidRPr="00033AE0" w:rsidRDefault="00A0350B" w:rsidP="00A0350B">
      <w:pPr>
        <w:widowControl w:val="0"/>
        <w:spacing w:line="240" w:lineRule="auto"/>
        <w:rPr>
          <w:noProof/>
          <w:szCs w:val="22"/>
          <w:u w:val="single"/>
          <w:lang w:val="de-DE"/>
        </w:rPr>
      </w:pPr>
      <w:r>
        <w:rPr>
          <w:noProof/>
          <w:szCs w:val="22"/>
          <w:u w:val="single"/>
          <w:lang w:val="de-DE"/>
        </w:rPr>
        <w:t>Tolucombi 8</w:t>
      </w:r>
      <w:r w:rsidRPr="00033AE0">
        <w:rPr>
          <w:noProof/>
          <w:szCs w:val="22"/>
          <w:u w:val="single"/>
          <w:lang w:val="de-DE"/>
        </w:rPr>
        <w:t>0 mg/12,5 mg Tabletten</w:t>
      </w:r>
      <w:r>
        <w:rPr>
          <w:noProof/>
          <w:szCs w:val="22"/>
          <w:u w:val="single"/>
          <w:lang w:val="de-DE"/>
        </w:rPr>
        <w:t>:</w:t>
      </w:r>
    </w:p>
    <w:p w:rsidR="00A0350B" w:rsidRPr="007C3A45" w:rsidRDefault="00A0350B" w:rsidP="00A0350B">
      <w:pPr>
        <w:widowControl w:val="0"/>
        <w:tabs>
          <w:tab w:val="clear" w:pos="567"/>
        </w:tabs>
        <w:autoSpaceDE w:val="0"/>
        <w:autoSpaceDN w:val="0"/>
        <w:adjustRightInd w:val="0"/>
        <w:spacing w:line="240" w:lineRule="auto"/>
        <w:rPr>
          <w:szCs w:val="22"/>
          <w:lang w:val="de-DE"/>
        </w:rPr>
      </w:pPr>
      <w:r w:rsidRPr="007C3A45">
        <w:rPr>
          <w:snapToGrid/>
          <w:szCs w:val="22"/>
          <w:lang w:val="de-DE" w:eastAsia="de-DE"/>
        </w:rPr>
        <w:t>Auf einer Seite weiße bis fast weiße oder rosa-weiße und auf der anderen Seite rosa marmorierte ovale, aus zwei Schichten bestehende bikonvexe Tablette; die Größe der Tablette ist 1</w:t>
      </w:r>
      <w:r>
        <w:rPr>
          <w:snapToGrid/>
          <w:szCs w:val="22"/>
          <w:lang w:val="de-DE" w:eastAsia="de-DE"/>
        </w:rPr>
        <w:t>8</w:t>
      </w:r>
      <w:r w:rsidRPr="007C3A45">
        <w:rPr>
          <w:snapToGrid/>
          <w:szCs w:val="22"/>
          <w:lang w:val="de-DE" w:eastAsia="de-DE"/>
        </w:rPr>
        <w:t xml:space="preserve"> mm x </w:t>
      </w:r>
      <w:r>
        <w:rPr>
          <w:snapToGrid/>
          <w:szCs w:val="22"/>
          <w:lang w:val="de-DE" w:eastAsia="de-DE"/>
        </w:rPr>
        <w:t>9</w:t>
      </w:r>
      <w:r w:rsidRPr="007C3A45">
        <w:rPr>
          <w:snapToGrid/>
          <w:szCs w:val="22"/>
          <w:lang w:val="de-DE" w:eastAsia="de-DE"/>
        </w:rPr>
        <w:t> mm.</w:t>
      </w:r>
    </w:p>
    <w:p w:rsidR="00A0350B" w:rsidRPr="007C3A45" w:rsidRDefault="00A0350B" w:rsidP="0003742E">
      <w:pPr>
        <w:widowControl w:val="0"/>
        <w:autoSpaceDE w:val="0"/>
        <w:autoSpaceDN w:val="0"/>
        <w:adjustRightInd w:val="0"/>
        <w:spacing w:line="240" w:lineRule="auto"/>
        <w:jc w:val="both"/>
        <w:rPr>
          <w:szCs w:val="22"/>
          <w:lang w:val="de-DE"/>
        </w:rPr>
      </w:pPr>
    </w:p>
    <w:p w:rsidR="00637E20" w:rsidRPr="007C3A45" w:rsidRDefault="00637E20" w:rsidP="0003742E">
      <w:pPr>
        <w:widowControl w:val="0"/>
        <w:spacing w:line="240" w:lineRule="auto"/>
        <w:rPr>
          <w:szCs w:val="22"/>
          <w:lang w:val="de-DE"/>
        </w:rPr>
      </w:pPr>
    </w:p>
    <w:p w:rsidR="00637E20" w:rsidRPr="007C3A45" w:rsidRDefault="00637E20" w:rsidP="0003742E">
      <w:pPr>
        <w:widowControl w:val="0"/>
        <w:spacing w:line="240" w:lineRule="auto"/>
        <w:ind w:left="567" w:hanging="567"/>
        <w:rPr>
          <w:caps/>
          <w:szCs w:val="22"/>
          <w:lang w:val="de-DE"/>
        </w:rPr>
      </w:pPr>
      <w:r w:rsidRPr="007C3A45">
        <w:rPr>
          <w:b/>
          <w:caps/>
          <w:szCs w:val="22"/>
          <w:lang w:val="de-DE"/>
        </w:rPr>
        <w:t>4.</w:t>
      </w:r>
      <w:r w:rsidRPr="007C3A45">
        <w:rPr>
          <w:b/>
          <w:caps/>
          <w:szCs w:val="22"/>
          <w:lang w:val="de-DE"/>
        </w:rPr>
        <w:tab/>
      </w:r>
      <w:r w:rsidRPr="007C3A45">
        <w:rPr>
          <w:b/>
          <w:caps/>
          <w:noProof/>
          <w:szCs w:val="22"/>
          <w:lang w:val="de-DE"/>
        </w:rPr>
        <w:t>KLINISCHE ANGABEN</w:t>
      </w:r>
    </w:p>
    <w:p w:rsidR="00637E20" w:rsidRPr="007C3A45" w:rsidRDefault="00637E20" w:rsidP="0003742E">
      <w:pPr>
        <w:widowControl w:val="0"/>
        <w:spacing w:line="240" w:lineRule="auto"/>
        <w:rPr>
          <w:szCs w:val="22"/>
          <w:lang w:val="de-DE"/>
        </w:rPr>
      </w:pPr>
    </w:p>
    <w:p w:rsidR="00637E20" w:rsidRPr="007C3A45" w:rsidRDefault="00637E20" w:rsidP="0003742E">
      <w:pPr>
        <w:widowControl w:val="0"/>
        <w:spacing w:line="240" w:lineRule="auto"/>
        <w:ind w:left="567" w:hanging="567"/>
        <w:outlineLvl w:val="0"/>
        <w:rPr>
          <w:szCs w:val="22"/>
          <w:lang w:val="de-DE"/>
        </w:rPr>
      </w:pPr>
      <w:r w:rsidRPr="007C3A45">
        <w:rPr>
          <w:b/>
          <w:szCs w:val="22"/>
          <w:lang w:val="de-DE"/>
        </w:rPr>
        <w:t>4.1</w:t>
      </w:r>
      <w:r w:rsidRPr="007C3A45">
        <w:rPr>
          <w:b/>
          <w:szCs w:val="22"/>
          <w:lang w:val="de-DE"/>
        </w:rPr>
        <w:tab/>
      </w:r>
      <w:r w:rsidRPr="007C3A45">
        <w:rPr>
          <w:b/>
          <w:noProof/>
          <w:szCs w:val="22"/>
          <w:lang w:val="de-DE"/>
        </w:rPr>
        <w:t>Anwendungsgebiete</w:t>
      </w:r>
    </w:p>
    <w:p w:rsidR="00637E20" w:rsidRPr="007C3A45" w:rsidRDefault="00637E20" w:rsidP="0003742E">
      <w:pPr>
        <w:widowControl w:val="0"/>
        <w:spacing w:line="240" w:lineRule="auto"/>
        <w:rPr>
          <w:szCs w:val="22"/>
          <w:lang w:val="de-DE"/>
        </w:rPr>
      </w:pPr>
    </w:p>
    <w:p w:rsidR="00823EF5" w:rsidRPr="007C3A45" w:rsidRDefault="00823EF5"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Behandlung der essentiellen Hypertonie.</w:t>
      </w:r>
    </w:p>
    <w:p w:rsidR="00823EF5" w:rsidRPr="007C3A45" w:rsidRDefault="00823EF5" w:rsidP="0003742E">
      <w:pPr>
        <w:widowControl w:val="0"/>
        <w:tabs>
          <w:tab w:val="clear" w:pos="567"/>
        </w:tabs>
        <w:autoSpaceDE w:val="0"/>
        <w:autoSpaceDN w:val="0"/>
        <w:adjustRightInd w:val="0"/>
        <w:spacing w:line="240" w:lineRule="auto"/>
        <w:rPr>
          <w:snapToGrid/>
          <w:szCs w:val="22"/>
          <w:lang w:val="de-DE" w:eastAsia="de-DE"/>
        </w:rPr>
      </w:pPr>
    </w:p>
    <w:p w:rsidR="00207546" w:rsidRPr="007C3A45" w:rsidRDefault="00207546"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 xml:space="preserve">Die fixe Dosiskombination </w:t>
      </w:r>
      <w:proofErr w:type="spellStart"/>
      <w:r w:rsidRPr="007C3A45">
        <w:rPr>
          <w:snapToGrid/>
          <w:szCs w:val="22"/>
          <w:lang w:val="de-DE" w:eastAsia="de-DE"/>
        </w:rPr>
        <w:t>Tolucombi</w:t>
      </w:r>
      <w:proofErr w:type="spellEnd"/>
      <w:r w:rsidRPr="007C3A45">
        <w:rPr>
          <w:snapToGrid/>
          <w:szCs w:val="22"/>
          <w:lang w:val="de-DE" w:eastAsia="de-DE"/>
        </w:rPr>
        <w:t xml:space="preserve"> (40</w:t>
      </w:r>
      <w:r w:rsidR="00023E2B" w:rsidRPr="007C3A45">
        <w:rPr>
          <w:snapToGrid/>
          <w:szCs w:val="22"/>
          <w:lang w:val="de-DE" w:eastAsia="de-DE"/>
        </w:rPr>
        <w:t> mg</w:t>
      </w:r>
      <w:r w:rsidRPr="007C3A45">
        <w:rPr>
          <w:snapToGrid/>
          <w:szCs w:val="22"/>
          <w:lang w:val="de-DE" w:eastAsia="de-DE"/>
        </w:rPr>
        <w:t xml:space="preserve"> Telmisartan/12,5</w:t>
      </w:r>
      <w:r w:rsidR="00023E2B" w:rsidRPr="007C3A45">
        <w:rPr>
          <w:snapToGrid/>
          <w:szCs w:val="22"/>
          <w:lang w:val="de-DE" w:eastAsia="de-DE"/>
        </w:rPr>
        <w:t> mg</w:t>
      </w:r>
      <w:r w:rsidRPr="007C3A45">
        <w:rPr>
          <w:snapToGrid/>
          <w:szCs w:val="22"/>
          <w:lang w:val="de-DE" w:eastAsia="de-DE"/>
        </w:rPr>
        <w:t xml:space="preserve"> Hydrochlorothiazid</w:t>
      </w:r>
      <w:r w:rsidR="00A0350B">
        <w:rPr>
          <w:snapToGrid/>
          <w:szCs w:val="22"/>
          <w:lang w:val="de-DE" w:eastAsia="de-DE"/>
        </w:rPr>
        <w:t xml:space="preserve"> und 8</w:t>
      </w:r>
      <w:r w:rsidR="00A0350B" w:rsidRPr="007C3A45">
        <w:rPr>
          <w:snapToGrid/>
          <w:szCs w:val="22"/>
          <w:lang w:val="de-DE" w:eastAsia="de-DE"/>
        </w:rPr>
        <w:t>0 mg Telmisartan/12,5 mg Hydrochlorothiazid</w:t>
      </w:r>
      <w:r w:rsidRPr="007C3A45">
        <w:rPr>
          <w:snapToGrid/>
          <w:szCs w:val="22"/>
          <w:lang w:val="de-DE" w:eastAsia="de-DE"/>
        </w:rPr>
        <w:t>) ist bei Erwachsenen indiziert, deren Blutdruck mit Telmisartan allein nicht ausreichend kontrolliert ist.</w:t>
      </w:r>
    </w:p>
    <w:p w:rsidR="00823EF5" w:rsidRPr="007C3A45" w:rsidRDefault="00823EF5" w:rsidP="0003742E">
      <w:pPr>
        <w:widowControl w:val="0"/>
        <w:spacing w:line="240" w:lineRule="auto"/>
        <w:rPr>
          <w:szCs w:val="22"/>
          <w:lang w:val="de-DE"/>
        </w:rPr>
      </w:pPr>
    </w:p>
    <w:p w:rsidR="00637E20" w:rsidRPr="007C3A45" w:rsidRDefault="00637E20" w:rsidP="0003742E">
      <w:pPr>
        <w:widowControl w:val="0"/>
        <w:numPr>
          <w:ilvl w:val="1"/>
          <w:numId w:val="1"/>
        </w:numPr>
        <w:snapToGrid w:val="0"/>
        <w:spacing w:line="240" w:lineRule="auto"/>
        <w:outlineLvl w:val="0"/>
        <w:rPr>
          <w:b/>
          <w:szCs w:val="22"/>
          <w:lang w:val="de-DE"/>
        </w:rPr>
      </w:pPr>
      <w:r w:rsidRPr="007C3A45">
        <w:rPr>
          <w:b/>
          <w:noProof/>
          <w:szCs w:val="22"/>
          <w:lang w:val="de-DE"/>
        </w:rPr>
        <w:t>Dosierung und Art der Anwendung</w:t>
      </w:r>
    </w:p>
    <w:p w:rsidR="00637E20" w:rsidRPr="007C3A45" w:rsidRDefault="00637E20" w:rsidP="0003742E">
      <w:pPr>
        <w:widowControl w:val="0"/>
        <w:spacing w:line="240" w:lineRule="auto"/>
        <w:rPr>
          <w:b/>
          <w:i/>
          <w:szCs w:val="22"/>
          <w:lang w:val="de-DE"/>
        </w:rPr>
      </w:pPr>
    </w:p>
    <w:p w:rsidR="00637E20" w:rsidRPr="007C3A45" w:rsidRDefault="00637E20" w:rsidP="0003742E">
      <w:pPr>
        <w:widowControl w:val="0"/>
        <w:spacing w:line="240" w:lineRule="auto"/>
        <w:rPr>
          <w:szCs w:val="22"/>
          <w:u w:val="single"/>
          <w:lang w:val="de-DE"/>
        </w:rPr>
      </w:pPr>
      <w:r w:rsidRPr="007C3A45">
        <w:rPr>
          <w:noProof/>
          <w:szCs w:val="22"/>
          <w:u w:val="single"/>
          <w:lang w:val="de-DE"/>
        </w:rPr>
        <w:t>Dosierung</w:t>
      </w:r>
    </w:p>
    <w:p w:rsidR="00637E20" w:rsidRPr="007C3A45" w:rsidRDefault="00637E20" w:rsidP="0003742E">
      <w:pPr>
        <w:widowControl w:val="0"/>
        <w:autoSpaceDE w:val="0"/>
        <w:autoSpaceDN w:val="0"/>
        <w:adjustRightInd w:val="0"/>
        <w:spacing w:line="240" w:lineRule="auto"/>
        <w:jc w:val="both"/>
        <w:rPr>
          <w:szCs w:val="22"/>
          <w:lang w:val="de-DE"/>
        </w:rPr>
      </w:pPr>
    </w:p>
    <w:p w:rsidR="00823EF5" w:rsidRPr="007C3A45" w:rsidRDefault="00823EF5" w:rsidP="0003742E">
      <w:pPr>
        <w:widowControl w:val="0"/>
        <w:tabs>
          <w:tab w:val="clear" w:pos="567"/>
        </w:tabs>
        <w:autoSpaceDE w:val="0"/>
        <w:autoSpaceDN w:val="0"/>
        <w:adjustRightInd w:val="0"/>
        <w:spacing w:line="240" w:lineRule="auto"/>
        <w:rPr>
          <w:snapToGrid/>
          <w:szCs w:val="22"/>
          <w:lang w:val="de-DE" w:eastAsia="de-DE"/>
        </w:rPr>
      </w:pPr>
      <w:proofErr w:type="spellStart"/>
      <w:r w:rsidRPr="007C3A45">
        <w:rPr>
          <w:snapToGrid/>
          <w:szCs w:val="22"/>
          <w:lang w:val="de-DE" w:eastAsia="de-DE"/>
        </w:rPr>
        <w:t>Tolucombi</w:t>
      </w:r>
      <w:proofErr w:type="spellEnd"/>
      <w:r w:rsidRPr="007C3A45">
        <w:rPr>
          <w:snapToGrid/>
          <w:szCs w:val="22"/>
          <w:lang w:val="de-DE" w:eastAsia="de-DE"/>
        </w:rPr>
        <w:t xml:space="preserve"> sollte von Patienten eingenommen werden, deren Blutdruck mit Telmisartan allein nicht ausreichend kontrolliert ist. Eine individuelle Dosistitration mit jeder Einzelkomponente wird vor der Umstellung auf die fixe Dosiskombination empfohlen. Falls klinisch angemessen, kann ein direkter Wechsel von der Monotherapie zur fixen Kombination in Betracht gezogen werden.</w:t>
      </w:r>
    </w:p>
    <w:p w:rsidR="00823EF5" w:rsidRPr="007C3A45" w:rsidRDefault="00823EF5" w:rsidP="0003742E">
      <w:pPr>
        <w:widowControl w:val="0"/>
        <w:tabs>
          <w:tab w:val="clear" w:pos="567"/>
        </w:tabs>
        <w:autoSpaceDE w:val="0"/>
        <w:autoSpaceDN w:val="0"/>
        <w:adjustRightInd w:val="0"/>
        <w:spacing w:line="240" w:lineRule="auto"/>
        <w:rPr>
          <w:snapToGrid/>
          <w:szCs w:val="22"/>
          <w:lang w:val="de-DE" w:eastAsia="de-DE"/>
        </w:rPr>
      </w:pPr>
    </w:p>
    <w:p w:rsidR="00823EF5" w:rsidRPr="007C3A45" w:rsidRDefault="00823EF5" w:rsidP="0003742E">
      <w:pPr>
        <w:widowControl w:val="0"/>
        <w:numPr>
          <w:ilvl w:val="0"/>
          <w:numId w:val="6"/>
        </w:numPr>
        <w:tabs>
          <w:tab w:val="clear" w:pos="567"/>
        </w:tabs>
        <w:autoSpaceDE w:val="0"/>
        <w:autoSpaceDN w:val="0"/>
        <w:adjustRightInd w:val="0"/>
        <w:spacing w:line="240" w:lineRule="auto"/>
        <w:ind w:left="567" w:hanging="567"/>
        <w:rPr>
          <w:snapToGrid/>
          <w:szCs w:val="22"/>
          <w:lang w:val="de-DE" w:eastAsia="de-DE"/>
        </w:rPr>
      </w:pPr>
      <w:proofErr w:type="spellStart"/>
      <w:r w:rsidRPr="007C3A45">
        <w:rPr>
          <w:snapToGrid/>
          <w:szCs w:val="22"/>
          <w:lang w:val="de-DE" w:eastAsia="de-DE"/>
        </w:rPr>
        <w:t>Tolucombi</w:t>
      </w:r>
      <w:proofErr w:type="spellEnd"/>
      <w:r w:rsidRPr="007C3A45">
        <w:rPr>
          <w:snapToGrid/>
          <w:szCs w:val="22"/>
          <w:lang w:val="de-DE" w:eastAsia="de-DE"/>
        </w:rPr>
        <w:t xml:space="preserve"> 40</w:t>
      </w:r>
      <w:r w:rsidR="00023E2B" w:rsidRPr="007C3A45">
        <w:rPr>
          <w:snapToGrid/>
          <w:szCs w:val="22"/>
          <w:lang w:val="de-DE" w:eastAsia="de-DE"/>
        </w:rPr>
        <w:t> mg</w:t>
      </w:r>
      <w:r w:rsidRPr="007C3A45">
        <w:rPr>
          <w:snapToGrid/>
          <w:szCs w:val="22"/>
          <w:lang w:val="de-DE" w:eastAsia="de-DE"/>
        </w:rPr>
        <w:t>/12,5</w:t>
      </w:r>
      <w:r w:rsidR="00023E2B" w:rsidRPr="007C3A45">
        <w:rPr>
          <w:snapToGrid/>
          <w:szCs w:val="22"/>
          <w:lang w:val="de-DE" w:eastAsia="de-DE"/>
        </w:rPr>
        <w:t> mg</w:t>
      </w:r>
      <w:r w:rsidRPr="007C3A45">
        <w:rPr>
          <w:snapToGrid/>
          <w:szCs w:val="22"/>
          <w:lang w:val="de-DE" w:eastAsia="de-DE"/>
        </w:rPr>
        <w:t xml:space="preserve"> kann 1 x täglich bei Patienten gegeben werden, deren Blutdruck mit</w:t>
      </w:r>
      <w:r w:rsidR="005D7345" w:rsidRPr="007C3A45">
        <w:rPr>
          <w:snapToGrid/>
          <w:szCs w:val="22"/>
          <w:lang w:val="de-DE" w:eastAsia="de-DE"/>
        </w:rPr>
        <w:t xml:space="preserve"> </w:t>
      </w:r>
      <w:r w:rsidRPr="007C3A45">
        <w:rPr>
          <w:snapToGrid/>
          <w:szCs w:val="22"/>
          <w:lang w:val="de-DE" w:eastAsia="de-DE"/>
        </w:rPr>
        <w:t>Telmisartan 40</w:t>
      </w:r>
      <w:r w:rsidR="00023E2B" w:rsidRPr="007C3A45">
        <w:rPr>
          <w:snapToGrid/>
          <w:szCs w:val="22"/>
          <w:lang w:val="de-DE" w:eastAsia="de-DE"/>
        </w:rPr>
        <w:t> mg</w:t>
      </w:r>
      <w:r w:rsidRPr="007C3A45">
        <w:rPr>
          <w:snapToGrid/>
          <w:szCs w:val="22"/>
          <w:lang w:val="de-DE" w:eastAsia="de-DE"/>
        </w:rPr>
        <w:t xml:space="preserve"> allein nicht ausreichend kontrolliert ist.</w:t>
      </w:r>
    </w:p>
    <w:p w:rsidR="00823EF5" w:rsidRPr="007C3A45" w:rsidRDefault="00823EF5" w:rsidP="0003742E">
      <w:pPr>
        <w:widowControl w:val="0"/>
        <w:numPr>
          <w:ilvl w:val="0"/>
          <w:numId w:val="6"/>
        </w:numPr>
        <w:tabs>
          <w:tab w:val="clear" w:pos="567"/>
        </w:tabs>
        <w:autoSpaceDE w:val="0"/>
        <w:autoSpaceDN w:val="0"/>
        <w:adjustRightInd w:val="0"/>
        <w:spacing w:line="240" w:lineRule="auto"/>
        <w:ind w:left="567" w:hanging="567"/>
        <w:rPr>
          <w:snapToGrid/>
          <w:szCs w:val="22"/>
          <w:lang w:val="de-DE" w:eastAsia="de-DE"/>
        </w:rPr>
      </w:pPr>
      <w:proofErr w:type="spellStart"/>
      <w:r w:rsidRPr="007C3A45">
        <w:rPr>
          <w:snapToGrid/>
          <w:szCs w:val="22"/>
          <w:lang w:val="de-DE" w:eastAsia="de-DE"/>
        </w:rPr>
        <w:lastRenderedPageBreak/>
        <w:t>Tolucombi</w:t>
      </w:r>
      <w:proofErr w:type="spellEnd"/>
      <w:r w:rsidRPr="007C3A45">
        <w:rPr>
          <w:snapToGrid/>
          <w:szCs w:val="22"/>
          <w:lang w:val="de-DE" w:eastAsia="de-DE"/>
        </w:rPr>
        <w:t xml:space="preserve"> 80</w:t>
      </w:r>
      <w:r w:rsidR="00023E2B" w:rsidRPr="007C3A45">
        <w:rPr>
          <w:snapToGrid/>
          <w:szCs w:val="22"/>
          <w:lang w:val="de-DE" w:eastAsia="de-DE"/>
        </w:rPr>
        <w:t> mg</w:t>
      </w:r>
      <w:r w:rsidRPr="007C3A45">
        <w:rPr>
          <w:snapToGrid/>
          <w:szCs w:val="22"/>
          <w:lang w:val="de-DE" w:eastAsia="de-DE"/>
        </w:rPr>
        <w:t>/12,5</w:t>
      </w:r>
      <w:r w:rsidR="00023E2B" w:rsidRPr="007C3A45">
        <w:rPr>
          <w:snapToGrid/>
          <w:szCs w:val="22"/>
          <w:lang w:val="de-DE" w:eastAsia="de-DE"/>
        </w:rPr>
        <w:t> mg</w:t>
      </w:r>
      <w:r w:rsidRPr="007C3A45">
        <w:rPr>
          <w:snapToGrid/>
          <w:szCs w:val="22"/>
          <w:lang w:val="de-DE" w:eastAsia="de-DE"/>
        </w:rPr>
        <w:t xml:space="preserve"> kann 1 x täglich bei Patienten gegeben werden, deren Blutdruck</w:t>
      </w:r>
      <w:r w:rsidR="005D7345" w:rsidRPr="007C3A45">
        <w:rPr>
          <w:snapToGrid/>
          <w:szCs w:val="22"/>
          <w:lang w:val="de-DE" w:eastAsia="de-DE"/>
        </w:rPr>
        <w:t xml:space="preserve"> </w:t>
      </w:r>
      <w:r w:rsidRPr="007C3A45">
        <w:rPr>
          <w:snapToGrid/>
          <w:szCs w:val="22"/>
          <w:lang w:val="de-DE" w:eastAsia="de-DE"/>
        </w:rPr>
        <w:t>mit Telmisartan 80</w:t>
      </w:r>
      <w:r w:rsidR="00023E2B" w:rsidRPr="007C3A45">
        <w:rPr>
          <w:snapToGrid/>
          <w:szCs w:val="22"/>
          <w:lang w:val="de-DE" w:eastAsia="de-DE"/>
        </w:rPr>
        <w:t> mg</w:t>
      </w:r>
      <w:r w:rsidRPr="007C3A45">
        <w:rPr>
          <w:snapToGrid/>
          <w:szCs w:val="22"/>
          <w:lang w:val="de-DE" w:eastAsia="de-DE"/>
        </w:rPr>
        <w:t xml:space="preserve"> allein nicht ausreichend kontrolliert ist.</w:t>
      </w:r>
    </w:p>
    <w:p w:rsidR="00823EF5" w:rsidRPr="007C3A45" w:rsidRDefault="00823EF5" w:rsidP="0003742E">
      <w:pPr>
        <w:widowControl w:val="0"/>
        <w:tabs>
          <w:tab w:val="clear" w:pos="567"/>
        </w:tabs>
        <w:autoSpaceDE w:val="0"/>
        <w:autoSpaceDN w:val="0"/>
        <w:adjustRightInd w:val="0"/>
        <w:spacing w:line="240" w:lineRule="auto"/>
        <w:rPr>
          <w:i/>
          <w:iCs/>
          <w:snapToGrid/>
          <w:szCs w:val="22"/>
          <w:lang w:val="de-DE" w:eastAsia="de-DE"/>
        </w:rPr>
      </w:pPr>
    </w:p>
    <w:p w:rsidR="00823EF5" w:rsidRPr="00854C15" w:rsidRDefault="00A0350B" w:rsidP="0003742E">
      <w:pPr>
        <w:widowControl w:val="0"/>
        <w:tabs>
          <w:tab w:val="clear" w:pos="567"/>
        </w:tabs>
        <w:autoSpaceDE w:val="0"/>
        <w:autoSpaceDN w:val="0"/>
        <w:adjustRightInd w:val="0"/>
        <w:spacing w:line="240" w:lineRule="auto"/>
        <w:rPr>
          <w:snapToGrid/>
          <w:szCs w:val="22"/>
          <w:lang w:val="de-DE" w:eastAsia="de-DE"/>
        </w:rPr>
      </w:pPr>
      <w:r w:rsidRPr="00854C15">
        <w:rPr>
          <w:snapToGrid/>
          <w:szCs w:val="22"/>
          <w:lang w:val="de-DE" w:eastAsia="de-DE"/>
        </w:rPr>
        <w:t>E</w:t>
      </w:r>
      <w:r w:rsidR="00823EF5" w:rsidRPr="00854C15">
        <w:rPr>
          <w:snapToGrid/>
          <w:szCs w:val="22"/>
          <w:lang w:val="de-DE" w:eastAsia="de-DE"/>
        </w:rPr>
        <w:t>ingeschränkte Nierenfunktion</w:t>
      </w:r>
    </w:p>
    <w:p w:rsidR="00823EF5" w:rsidRPr="007C3A45" w:rsidRDefault="00823EF5"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Eine regelmäßige Überprüfung der Nierenfunktion wird empfohlen (siehe Abschnitt 4.4).</w:t>
      </w:r>
    </w:p>
    <w:p w:rsidR="00E44CFF" w:rsidRPr="007C3A45" w:rsidRDefault="00E44CFF" w:rsidP="0003742E">
      <w:pPr>
        <w:widowControl w:val="0"/>
        <w:tabs>
          <w:tab w:val="clear" w:pos="567"/>
        </w:tabs>
        <w:autoSpaceDE w:val="0"/>
        <w:autoSpaceDN w:val="0"/>
        <w:adjustRightInd w:val="0"/>
        <w:spacing w:line="240" w:lineRule="auto"/>
        <w:rPr>
          <w:snapToGrid/>
          <w:szCs w:val="22"/>
          <w:lang w:val="de-DE" w:eastAsia="de-DE"/>
        </w:rPr>
      </w:pPr>
    </w:p>
    <w:p w:rsidR="00823EF5" w:rsidRPr="00854C15" w:rsidRDefault="001E24C2" w:rsidP="0003742E">
      <w:pPr>
        <w:widowControl w:val="0"/>
        <w:tabs>
          <w:tab w:val="clear" w:pos="567"/>
        </w:tabs>
        <w:autoSpaceDE w:val="0"/>
        <w:autoSpaceDN w:val="0"/>
        <w:adjustRightInd w:val="0"/>
        <w:spacing w:line="240" w:lineRule="auto"/>
        <w:rPr>
          <w:snapToGrid/>
          <w:szCs w:val="22"/>
          <w:lang w:val="de-DE" w:eastAsia="de-DE"/>
        </w:rPr>
      </w:pPr>
      <w:r w:rsidRPr="00854C15">
        <w:rPr>
          <w:snapToGrid/>
          <w:szCs w:val="22"/>
          <w:lang w:val="de-DE" w:eastAsia="de-DE"/>
        </w:rPr>
        <w:t>E</w:t>
      </w:r>
      <w:r w:rsidR="00823EF5" w:rsidRPr="00854C15">
        <w:rPr>
          <w:snapToGrid/>
          <w:szCs w:val="22"/>
          <w:lang w:val="de-DE" w:eastAsia="de-DE"/>
        </w:rPr>
        <w:t>ingeschränkte Leberfunktion</w:t>
      </w:r>
    </w:p>
    <w:p w:rsidR="00823EF5" w:rsidRPr="007C3A45" w:rsidRDefault="00823EF5"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Bei Patienten mit leicht bis mäßig eingeschränkter Leberfunktion sollte die Dosierung die 1 x tägliche</w:t>
      </w:r>
      <w:r w:rsidR="005D7345" w:rsidRPr="007C3A45">
        <w:rPr>
          <w:snapToGrid/>
          <w:szCs w:val="22"/>
          <w:lang w:val="de-DE" w:eastAsia="de-DE"/>
        </w:rPr>
        <w:t xml:space="preserve"> </w:t>
      </w:r>
      <w:r w:rsidRPr="007C3A45">
        <w:rPr>
          <w:snapToGrid/>
          <w:szCs w:val="22"/>
          <w:lang w:val="de-DE" w:eastAsia="de-DE"/>
        </w:rPr>
        <w:t xml:space="preserve">Gabe von </w:t>
      </w:r>
      <w:proofErr w:type="spellStart"/>
      <w:r w:rsidRPr="007C3A45">
        <w:rPr>
          <w:snapToGrid/>
          <w:szCs w:val="22"/>
          <w:lang w:val="de-DE" w:eastAsia="de-DE"/>
        </w:rPr>
        <w:t>Tolucombi</w:t>
      </w:r>
      <w:proofErr w:type="spellEnd"/>
      <w:r w:rsidRPr="007C3A45">
        <w:rPr>
          <w:snapToGrid/>
          <w:szCs w:val="22"/>
          <w:lang w:val="de-DE" w:eastAsia="de-DE"/>
        </w:rPr>
        <w:t xml:space="preserve"> 40</w:t>
      </w:r>
      <w:r w:rsidR="00023E2B" w:rsidRPr="007C3A45">
        <w:rPr>
          <w:snapToGrid/>
          <w:szCs w:val="22"/>
          <w:lang w:val="de-DE" w:eastAsia="de-DE"/>
        </w:rPr>
        <w:t> mg</w:t>
      </w:r>
      <w:r w:rsidRPr="007C3A45">
        <w:rPr>
          <w:snapToGrid/>
          <w:szCs w:val="22"/>
          <w:lang w:val="de-DE" w:eastAsia="de-DE"/>
        </w:rPr>
        <w:t>/12,5</w:t>
      </w:r>
      <w:r w:rsidR="00023E2B" w:rsidRPr="007C3A45">
        <w:rPr>
          <w:snapToGrid/>
          <w:szCs w:val="22"/>
          <w:lang w:val="de-DE" w:eastAsia="de-DE"/>
        </w:rPr>
        <w:t> mg</w:t>
      </w:r>
      <w:r w:rsidRPr="007C3A45">
        <w:rPr>
          <w:snapToGrid/>
          <w:szCs w:val="22"/>
          <w:lang w:val="de-DE" w:eastAsia="de-DE"/>
        </w:rPr>
        <w:t xml:space="preserve"> nicht überschreiten. </w:t>
      </w:r>
      <w:proofErr w:type="spellStart"/>
      <w:r w:rsidRPr="007C3A45">
        <w:rPr>
          <w:snapToGrid/>
          <w:szCs w:val="22"/>
          <w:lang w:val="de-DE" w:eastAsia="de-DE"/>
        </w:rPr>
        <w:t>Tolucombi</w:t>
      </w:r>
      <w:proofErr w:type="spellEnd"/>
      <w:r w:rsidRPr="007C3A45">
        <w:rPr>
          <w:snapToGrid/>
          <w:szCs w:val="22"/>
          <w:lang w:val="de-DE" w:eastAsia="de-DE"/>
        </w:rPr>
        <w:t xml:space="preserve"> ist bei Patienten mit</w:t>
      </w:r>
      <w:r w:rsidR="005D7345" w:rsidRPr="007C3A45">
        <w:rPr>
          <w:snapToGrid/>
          <w:szCs w:val="22"/>
          <w:lang w:val="de-DE" w:eastAsia="de-DE"/>
        </w:rPr>
        <w:t xml:space="preserve"> </w:t>
      </w:r>
      <w:r w:rsidRPr="007C3A45">
        <w:rPr>
          <w:snapToGrid/>
          <w:szCs w:val="22"/>
          <w:lang w:val="de-DE" w:eastAsia="de-DE"/>
        </w:rPr>
        <w:t>schweren Leberschäden nicht angezeigt. Thiazide sollten bei Patienten mit Leberfunktionsstörungen</w:t>
      </w:r>
      <w:r w:rsidR="005D7345" w:rsidRPr="007C3A45">
        <w:rPr>
          <w:snapToGrid/>
          <w:szCs w:val="22"/>
          <w:lang w:val="de-DE" w:eastAsia="de-DE"/>
        </w:rPr>
        <w:t xml:space="preserve"> </w:t>
      </w:r>
      <w:r w:rsidRPr="007C3A45">
        <w:rPr>
          <w:snapToGrid/>
          <w:szCs w:val="22"/>
          <w:lang w:val="de-DE" w:eastAsia="de-DE"/>
        </w:rPr>
        <w:t>mit Vorsicht angewendet werden (siehe Abschnitt 4.4).</w:t>
      </w:r>
    </w:p>
    <w:p w:rsidR="00823EF5" w:rsidRPr="007C3A45" w:rsidRDefault="00823EF5" w:rsidP="0003742E">
      <w:pPr>
        <w:widowControl w:val="0"/>
        <w:tabs>
          <w:tab w:val="clear" w:pos="567"/>
        </w:tabs>
        <w:autoSpaceDE w:val="0"/>
        <w:autoSpaceDN w:val="0"/>
        <w:adjustRightInd w:val="0"/>
        <w:spacing w:line="240" w:lineRule="auto"/>
        <w:rPr>
          <w:snapToGrid/>
          <w:szCs w:val="22"/>
          <w:lang w:val="de-DE" w:eastAsia="de-DE"/>
        </w:rPr>
      </w:pPr>
    </w:p>
    <w:p w:rsidR="00823EF5" w:rsidRPr="00854C15" w:rsidRDefault="00823EF5" w:rsidP="0003742E">
      <w:pPr>
        <w:widowControl w:val="0"/>
        <w:tabs>
          <w:tab w:val="clear" w:pos="567"/>
        </w:tabs>
        <w:autoSpaceDE w:val="0"/>
        <w:autoSpaceDN w:val="0"/>
        <w:adjustRightInd w:val="0"/>
        <w:spacing w:line="240" w:lineRule="auto"/>
        <w:rPr>
          <w:snapToGrid/>
          <w:szCs w:val="22"/>
          <w:lang w:val="de-DE" w:eastAsia="de-DE"/>
        </w:rPr>
      </w:pPr>
      <w:r w:rsidRPr="00854C15">
        <w:rPr>
          <w:snapToGrid/>
          <w:szCs w:val="22"/>
          <w:lang w:val="de-DE" w:eastAsia="de-DE"/>
        </w:rPr>
        <w:t>Ältere Patienten</w:t>
      </w:r>
    </w:p>
    <w:p w:rsidR="00823EF5" w:rsidRPr="007C3A45" w:rsidRDefault="00823EF5"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Eine Anpassung der Dosis ist nicht notwendig.</w:t>
      </w:r>
    </w:p>
    <w:p w:rsidR="00823EF5" w:rsidRPr="007C3A45" w:rsidRDefault="00823EF5" w:rsidP="0003742E">
      <w:pPr>
        <w:widowControl w:val="0"/>
        <w:tabs>
          <w:tab w:val="clear" w:pos="567"/>
        </w:tabs>
        <w:autoSpaceDE w:val="0"/>
        <w:autoSpaceDN w:val="0"/>
        <w:adjustRightInd w:val="0"/>
        <w:spacing w:line="240" w:lineRule="auto"/>
        <w:rPr>
          <w:snapToGrid/>
          <w:szCs w:val="22"/>
          <w:lang w:val="de-DE" w:eastAsia="de-DE"/>
        </w:rPr>
      </w:pPr>
    </w:p>
    <w:p w:rsidR="00823EF5" w:rsidRPr="004277C0" w:rsidRDefault="00823EF5" w:rsidP="0003742E">
      <w:pPr>
        <w:widowControl w:val="0"/>
        <w:tabs>
          <w:tab w:val="clear" w:pos="567"/>
        </w:tabs>
        <w:autoSpaceDE w:val="0"/>
        <w:autoSpaceDN w:val="0"/>
        <w:adjustRightInd w:val="0"/>
        <w:spacing w:line="240" w:lineRule="auto"/>
        <w:rPr>
          <w:i/>
          <w:snapToGrid/>
          <w:szCs w:val="22"/>
          <w:lang w:val="de-DE" w:eastAsia="de-DE"/>
        </w:rPr>
      </w:pPr>
      <w:r w:rsidRPr="004277C0">
        <w:rPr>
          <w:i/>
          <w:snapToGrid/>
          <w:szCs w:val="22"/>
          <w:lang w:val="de-DE" w:eastAsia="de-DE"/>
        </w:rPr>
        <w:t>Kinder und Jugendliche</w:t>
      </w:r>
    </w:p>
    <w:p w:rsidR="00823EF5" w:rsidRPr="007C3A45" w:rsidRDefault="00823EF5"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 xml:space="preserve">Die Sicherheit und Wirksamkeit von </w:t>
      </w:r>
      <w:proofErr w:type="spellStart"/>
      <w:r w:rsidRPr="007C3A45">
        <w:rPr>
          <w:snapToGrid/>
          <w:szCs w:val="22"/>
          <w:lang w:val="de-DE" w:eastAsia="de-DE"/>
        </w:rPr>
        <w:t>Tolucombi</w:t>
      </w:r>
      <w:proofErr w:type="spellEnd"/>
      <w:r w:rsidRPr="007C3A45">
        <w:rPr>
          <w:snapToGrid/>
          <w:szCs w:val="22"/>
          <w:lang w:val="de-DE" w:eastAsia="de-DE"/>
        </w:rPr>
        <w:t xml:space="preserve"> bei Kindern und Jugendlichen unter 18 Jahren ist nicht </w:t>
      </w:r>
      <w:r w:rsidR="005D7345" w:rsidRPr="007C3A45">
        <w:rPr>
          <w:snapToGrid/>
          <w:szCs w:val="22"/>
          <w:lang w:val="de-DE" w:eastAsia="de-DE"/>
        </w:rPr>
        <w:t>e</w:t>
      </w:r>
      <w:r w:rsidRPr="007C3A45">
        <w:rPr>
          <w:snapToGrid/>
          <w:szCs w:val="22"/>
          <w:lang w:val="de-DE" w:eastAsia="de-DE"/>
        </w:rPr>
        <w:t>rwiesen. Es liegen keine Daten vor.</w:t>
      </w:r>
    </w:p>
    <w:p w:rsidR="00823EF5" w:rsidRPr="007C3A45" w:rsidRDefault="00823EF5" w:rsidP="0003742E">
      <w:pPr>
        <w:widowControl w:val="0"/>
        <w:tabs>
          <w:tab w:val="clear" w:pos="567"/>
        </w:tabs>
        <w:autoSpaceDE w:val="0"/>
        <w:autoSpaceDN w:val="0"/>
        <w:adjustRightInd w:val="0"/>
        <w:spacing w:line="240" w:lineRule="auto"/>
        <w:rPr>
          <w:snapToGrid/>
          <w:szCs w:val="22"/>
          <w:lang w:val="de-DE" w:eastAsia="de-DE"/>
        </w:rPr>
      </w:pPr>
    </w:p>
    <w:p w:rsidR="00823EF5" w:rsidRPr="007C3A45" w:rsidRDefault="00823EF5" w:rsidP="0003742E">
      <w:pPr>
        <w:widowControl w:val="0"/>
        <w:tabs>
          <w:tab w:val="clear" w:pos="567"/>
        </w:tabs>
        <w:autoSpaceDE w:val="0"/>
        <w:autoSpaceDN w:val="0"/>
        <w:adjustRightInd w:val="0"/>
        <w:spacing w:line="240" w:lineRule="auto"/>
        <w:rPr>
          <w:snapToGrid/>
          <w:szCs w:val="22"/>
          <w:u w:val="single"/>
          <w:lang w:val="de-DE" w:eastAsia="de-DE"/>
        </w:rPr>
      </w:pPr>
      <w:r w:rsidRPr="007C3A45">
        <w:rPr>
          <w:snapToGrid/>
          <w:szCs w:val="22"/>
          <w:u w:val="single"/>
          <w:lang w:val="de-DE" w:eastAsia="de-DE"/>
        </w:rPr>
        <w:t>Art der Anwendung</w:t>
      </w:r>
    </w:p>
    <w:p w:rsidR="005D7345" w:rsidRPr="007C3A45" w:rsidRDefault="005D7345" w:rsidP="0003742E">
      <w:pPr>
        <w:widowControl w:val="0"/>
        <w:tabs>
          <w:tab w:val="clear" w:pos="567"/>
        </w:tabs>
        <w:autoSpaceDE w:val="0"/>
        <w:autoSpaceDN w:val="0"/>
        <w:adjustRightInd w:val="0"/>
        <w:spacing w:line="240" w:lineRule="auto"/>
        <w:rPr>
          <w:snapToGrid/>
          <w:szCs w:val="22"/>
          <w:u w:val="single"/>
          <w:lang w:val="de-DE" w:eastAsia="de-DE"/>
        </w:rPr>
      </w:pPr>
    </w:p>
    <w:p w:rsidR="00823EF5" w:rsidRPr="007C3A45" w:rsidRDefault="00823EF5" w:rsidP="0003742E">
      <w:pPr>
        <w:widowControl w:val="0"/>
        <w:tabs>
          <w:tab w:val="clear" w:pos="567"/>
        </w:tabs>
        <w:autoSpaceDE w:val="0"/>
        <w:autoSpaceDN w:val="0"/>
        <w:adjustRightInd w:val="0"/>
        <w:spacing w:line="240" w:lineRule="auto"/>
        <w:rPr>
          <w:snapToGrid/>
          <w:szCs w:val="22"/>
          <w:lang w:val="de-DE" w:eastAsia="de-DE"/>
        </w:rPr>
      </w:pPr>
      <w:proofErr w:type="spellStart"/>
      <w:r w:rsidRPr="007C3A45">
        <w:rPr>
          <w:snapToGrid/>
          <w:szCs w:val="22"/>
          <w:lang w:val="de-DE" w:eastAsia="de-DE"/>
        </w:rPr>
        <w:t>Tolucombi</w:t>
      </w:r>
      <w:proofErr w:type="spellEnd"/>
      <w:r w:rsidRPr="007C3A45">
        <w:rPr>
          <w:snapToGrid/>
          <w:szCs w:val="22"/>
          <w:lang w:val="de-DE" w:eastAsia="de-DE"/>
        </w:rPr>
        <w:t xml:space="preserve"> Tabletten sind für die 1 x tägliche orale Anwendung vorgesehen und sollten mit Flüssigkeit zu oder unabhängig von den Mahlzeiten eingenommen werden.</w:t>
      </w:r>
    </w:p>
    <w:p w:rsidR="005D7345" w:rsidRPr="007C3A45" w:rsidRDefault="005D7345" w:rsidP="0003742E">
      <w:pPr>
        <w:widowControl w:val="0"/>
        <w:tabs>
          <w:tab w:val="clear" w:pos="567"/>
        </w:tabs>
        <w:autoSpaceDE w:val="0"/>
        <w:autoSpaceDN w:val="0"/>
        <w:adjustRightInd w:val="0"/>
        <w:spacing w:line="240" w:lineRule="auto"/>
        <w:rPr>
          <w:i/>
          <w:iCs/>
          <w:snapToGrid/>
          <w:szCs w:val="22"/>
          <w:lang w:val="de-DE" w:eastAsia="de-DE"/>
        </w:rPr>
      </w:pPr>
    </w:p>
    <w:p w:rsidR="00637E20" w:rsidRPr="007C3A45" w:rsidRDefault="00637E20" w:rsidP="0003742E">
      <w:pPr>
        <w:widowControl w:val="0"/>
        <w:spacing w:line="240" w:lineRule="auto"/>
        <w:ind w:left="567" w:hanging="567"/>
        <w:rPr>
          <w:szCs w:val="22"/>
          <w:lang w:val="de-DE"/>
        </w:rPr>
      </w:pPr>
      <w:r w:rsidRPr="007C3A45">
        <w:rPr>
          <w:b/>
          <w:szCs w:val="22"/>
          <w:lang w:val="de-DE"/>
        </w:rPr>
        <w:t>4.3</w:t>
      </w:r>
      <w:r w:rsidRPr="007C3A45">
        <w:rPr>
          <w:b/>
          <w:szCs w:val="22"/>
          <w:lang w:val="de-DE"/>
        </w:rPr>
        <w:tab/>
      </w:r>
      <w:r w:rsidRPr="007C3A45">
        <w:rPr>
          <w:b/>
          <w:noProof/>
          <w:szCs w:val="22"/>
          <w:lang w:val="de-DE"/>
        </w:rPr>
        <w:t>Gegenanzeigen</w:t>
      </w:r>
    </w:p>
    <w:p w:rsidR="00637E20" w:rsidRPr="007C3A45" w:rsidRDefault="00637E20" w:rsidP="0003742E">
      <w:pPr>
        <w:widowControl w:val="0"/>
        <w:spacing w:line="240" w:lineRule="auto"/>
        <w:rPr>
          <w:szCs w:val="22"/>
          <w:lang w:val="de-DE"/>
        </w:rPr>
      </w:pPr>
    </w:p>
    <w:p w:rsidR="005D7345" w:rsidRPr="007C3A45" w:rsidRDefault="005D7345"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7C3A45">
        <w:rPr>
          <w:snapToGrid/>
          <w:szCs w:val="22"/>
          <w:lang w:val="de-DE" w:eastAsia="de-DE"/>
        </w:rPr>
        <w:t>Überempfindlichkeit gegen die Wirkstoffe oder einen der in Abschnitt 6.1 genannten sonstigen Bestandteile</w:t>
      </w:r>
    </w:p>
    <w:p w:rsidR="005D7345" w:rsidRPr="007C3A45" w:rsidRDefault="005D7345"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7C3A45">
        <w:rPr>
          <w:snapToGrid/>
          <w:szCs w:val="22"/>
          <w:lang w:val="de-DE" w:eastAsia="de-DE"/>
        </w:rPr>
        <w:t>Überempfindlichkeit gegen andere Sulfonamid-Derivate (da Hydrochlorothiazid ein</w:t>
      </w:r>
      <w:r w:rsidR="00501396" w:rsidRPr="007C3A45">
        <w:rPr>
          <w:snapToGrid/>
          <w:szCs w:val="22"/>
          <w:lang w:val="de-DE" w:eastAsia="de-DE"/>
        </w:rPr>
        <w:t xml:space="preserve"> </w:t>
      </w:r>
      <w:r w:rsidRPr="007C3A45">
        <w:rPr>
          <w:snapToGrid/>
          <w:szCs w:val="22"/>
          <w:lang w:val="de-DE" w:eastAsia="de-DE"/>
        </w:rPr>
        <w:t>Sulfonamid-Derivat ist)</w:t>
      </w:r>
    </w:p>
    <w:p w:rsidR="005D7345" w:rsidRPr="007C3A45" w:rsidRDefault="005D7345"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7C3A45">
        <w:rPr>
          <w:snapToGrid/>
          <w:szCs w:val="22"/>
          <w:lang w:val="de-DE" w:eastAsia="de-DE"/>
        </w:rPr>
        <w:t>Zweites und drittes Schwangerschaftsdrittel (siehe Abschnitte 4.4 und 4.6)</w:t>
      </w:r>
    </w:p>
    <w:p w:rsidR="005D7345" w:rsidRPr="007C3A45" w:rsidRDefault="005D7345"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7C3A45">
        <w:rPr>
          <w:snapToGrid/>
          <w:szCs w:val="22"/>
          <w:lang w:val="de-DE" w:eastAsia="de-DE"/>
        </w:rPr>
        <w:t>Cholestase und obstruktive Gallenfunktionsstörung</w:t>
      </w:r>
    </w:p>
    <w:p w:rsidR="005D7345" w:rsidRPr="007C3A45" w:rsidRDefault="005D7345"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7C3A45">
        <w:rPr>
          <w:snapToGrid/>
          <w:szCs w:val="22"/>
          <w:lang w:val="de-DE" w:eastAsia="de-DE"/>
        </w:rPr>
        <w:t>Schwere Leberfunktionsstörung</w:t>
      </w:r>
    </w:p>
    <w:p w:rsidR="005D7345" w:rsidRPr="007C3A45" w:rsidRDefault="005D7345"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7C3A45">
        <w:rPr>
          <w:snapToGrid/>
          <w:szCs w:val="22"/>
          <w:lang w:val="de-DE" w:eastAsia="de-DE"/>
        </w:rPr>
        <w:t>Schwere Nierensc</w:t>
      </w:r>
      <w:r w:rsidR="00592E35" w:rsidRPr="007C3A45">
        <w:rPr>
          <w:snapToGrid/>
          <w:szCs w:val="22"/>
          <w:lang w:val="de-DE" w:eastAsia="de-DE"/>
        </w:rPr>
        <w:t>häden (Kreatinin-Clearance &lt; 30 </w:t>
      </w:r>
      <w:r w:rsidRPr="007C3A45">
        <w:rPr>
          <w:snapToGrid/>
          <w:szCs w:val="22"/>
          <w:lang w:val="de-DE" w:eastAsia="de-DE"/>
        </w:rPr>
        <w:t>ml/min)</w:t>
      </w:r>
    </w:p>
    <w:p w:rsidR="00637E20" w:rsidRPr="007C3A45" w:rsidRDefault="005D7345" w:rsidP="0003742E">
      <w:pPr>
        <w:widowControl w:val="0"/>
        <w:numPr>
          <w:ilvl w:val="0"/>
          <w:numId w:val="7"/>
        </w:numPr>
        <w:tabs>
          <w:tab w:val="clear" w:pos="567"/>
        </w:tabs>
        <w:spacing w:line="240" w:lineRule="auto"/>
        <w:ind w:left="567" w:hanging="567"/>
        <w:rPr>
          <w:szCs w:val="22"/>
          <w:lang w:val="de-DE"/>
        </w:rPr>
      </w:pPr>
      <w:r w:rsidRPr="007C3A45">
        <w:rPr>
          <w:snapToGrid/>
          <w:szCs w:val="22"/>
          <w:lang w:val="de-DE" w:eastAsia="de-DE"/>
        </w:rPr>
        <w:t>Refraktäre Hypokaliämie, Hyper</w:t>
      </w:r>
      <w:r w:rsidR="007D1517">
        <w:rPr>
          <w:snapToGrid/>
          <w:szCs w:val="22"/>
          <w:lang w:val="de-DE" w:eastAsia="de-DE"/>
        </w:rPr>
        <w:t>k</w:t>
      </w:r>
      <w:r w:rsidRPr="007C3A45">
        <w:rPr>
          <w:snapToGrid/>
          <w:szCs w:val="22"/>
          <w:lang w:val="de-DE" w:eastAsia="de-DE"/>
        </w:rPr>
        <w:t>al</w:t>
      </w:r>
      <w:r w:rsidR="007D1517">
        <w:rPr>
          <w:snapToGrid/>
          <w:szCs w:val="22"/>
          <w:lang w:val="de-DE" w:eastAsia="de-DE"/>
        </w:rPr>
        <w:t>z</w:t>
      </w:r>
      <w:r w:rsidRPr="007C3A45">
        <w:rPr>
          <w:snapToGrid/>
          <w:szCs w:val="22"/>
          <w:lang w:val="de-DE" w:eastAsia="de-DE"/>
        </w:rPr>
        <w:t>ämie</w:t>
      </w:r>
    </w:p>
    <w:p w:rsidR="00501396" w:rsidRPr="007C3A45" w:rsidRDefault="00501396" w:rsidP="0003742E">
      <w:pPr>
        <w:widowControl w:val="0"/>
        <w:spacing w:line="240" w:lineRule="auto"/>
        <w:rPr>
          <w:szCs w:val="22"/>
          <w:lang w:val="de-DE"/>
        </w:rPr>
      </w:pPr>
    </w:p>
    <w:p w:rsidR="00E44CFF" w:rsidRPr="007C3A45" w:rsidRDefault="00E44CFF" w:rsidP="0003742E">
      <w:pPr>
        <w:widowControl w:val="0"/>
        <w:spacing w:line="240" w:lineRule="auto"/>
        <w:rPr>
          <w:szCs w:val="22"/>
          <w:lang w:val="de-DE"/>
        </w:rPr>
      </w:pPr>
      <w:r w:rsidRPr="007C3A45">
        <w:rPr>
          <w:szCs w:val="22"/>
          <w:lang w:val="de-DE"/>
        </w:rPr>
        <w:t xml:space="preserve">Die gleichzeitige Anwendung von </w:t>
      </w:r>
      <w:proofErr w:type="spellStart"/>
      <w:r w:rsidR="00B37602">
        <w:rPr>
          <w:szCs w:val="22"/>
          <w:lang w:val="de-DE"/>
        </w:rPr>
        <w:t>Tolucombi</w:t>
      </w:r>
      <w:proofErr w:type="spellEnd"/>
      <w:r w:rsidRPr="007C3A45">
        <w:rPr>
          <w:szCs w:val="22"/>
          <w:lang w:val="de-DE"/>
        </w:rPr>
        <w:t xml:space="preserve"> </w:t>
      </w:r>
      <w:r w:rsidR="00B37602">
        <w:rPr>
          <w:szCs w:val="22"/>
          <w:lang w:val="de-DE"/>
        </w:rPr>
        <w:t>mit</w:t>
      </w:r>
      <w:r w:rsidRPr="007C3A45">
        <w:rPr>
          <w:szCs w:val="22"/>
          <w:lang w:val="de-DE"/>
        </w:rPr>
        <w:t xml:space="preserve"> </w:t>
      </w:r>
      <w:proofErr w:type="spellStart"/>
      <w:r w:rsidRPr="007C3A45">
        <w:rPr>
          <w:szCs w:val="22"/>
          <w:lang w:val="de-DE"/>
        </w:rPr>
        <w:t>Aliskiren</w:t>
      </w:r>
      <w:proofErr w:type="spellEnd"/>
      <w:r w:rsidR="00B37602">
        <w:rPr>
          <w:szCs w:val="22"/>
          <w:lang w:val="de-DE"/>
        </w:rPr>
        <w:t>-haltigen Arzneimitteln</w:t>
      </w:r>
      <w:r w:rsidRPr="007C3A45">
        <w:rPr>
          <w:szCs w:val="22"/>
          <w:lang w:val="de-DE"/>
        </w:rPr>
        <w:t xml:space="preserve"> ist bei Patienten mit Diabetes mellitus oder eingeschränkter Nierenfunktion (GFR &lt; 60 ml/min/1,73 m</w:t>
      </w:r>
      <w:r w:rsidRPr="007C3A45">
        <w:rPr>
          <w:szCs w:val="22"/>
          <w:vertAlign w:val="superscript"/>
          <w:lang w:val="de-DE"/>
        </w:rPr>
        <w:t>2</w:t>
      </w:r>
      <w:r w:rsidRPr="007C3A45">
        <w:rPr>
          <w:szCs w:val="22"/>
          <w:lang w:val="de-DE"/>
        </w:rPr>
        <w:t>) kontraindiziert (siehe Abschnitte 4.5</w:t>
      </w:r>
      <w:r w:rsidR="00B37602">
        <w:rPr>
          <w:szCs w:val="22"/>
          <w:lang w:val="de-DE"/>
        </w:rPr>
        <w:t xml:space="preserve"> und 5.1</w:t>
      </w:r>
      <w:r w:rsidRPr="007C3A45">
        <w:rPr>
          <w:szCs w:val="22"/>
          <w:lang w:val="de-DE"/>
        </w:rPr>
        <w:t>).</w:t>
      </w:r>
    </w:p>
    <w:p w:rsidR="00E44CFF" w:rsidRPr="007C3A45" w:rsidRDefault="00E44CFF" w:rsidP="0003742E">
      <w:pPr>
        <w:widowControl w:val="0"/>
        <w:spacing w:line="240" w:lineRule="auto"/>
        <w:rPr>
          <w:szCs w:val="22"/>
          <w:lang w:val="de-DE"/>
        </w:rPr>
      </w:pPr>
    </w:p>
    <w:p w:rsidR="00637E20" w:rsidRPr="007C3A45" w:rsidRDefault="00637E20" w:rsidP="0003742E">
      <w:pPr>
        <w:widowControl w:val="0"/>
        <w:spacing w:line="240" w:lineRule="auto"/>
        <w:ind w:left="567" w:hanging="567"/>
        <w:rPr>
          <w:b/>
          <w:szCs w:val="22"/>
          <w:lang w:val="de-DE"/>
        </w:rPr>
      </w:pPr>
      <w:r w:rsidRPr="007C3A45">
        <w:rPr>
          <w:b/>
          <w:szCs w:val="22"/>
          <w:lang w:val="de-DE"/>
        </w:rPr>
        <w:t>4.4</w:t>
      </w:r>
      <w:r w:rsidRPr="007C3A45">
        <w:rPr>
          <w:b/>
          <w:szCs w:val="22"/>
          <w:lang w:val="de-DE"/>
        </w:rPr>
        <w:tab/>
      </w:r>
      <w:r w:rsidRPr="007C3A45">
        <w:rPr>
          <w:b/>
          <w:noProof/>
          <w:szCs w:val="22"/>
          <w:lang w:val="de-DE"/>
        </w:rPr>
        <w:t>Besondere Warnhinweise und Vorsichtsmaßnahmen für die Anwendung</w:t>
      </w:r>
    </w:p>
    <w:p w:rsidR="00637E20" w:rsidRPr="007C3A45" w:rsidRDefault="00637E20" w:rsidP="0003742E">
      <w:pPr>
        <w:widowControl w:val="0"/>
        <w:spacing w:line="240" w:lineRule="auto"/>
        <w:ind w:left="567" w:hanging="567"/>
        <w:rPr>
          <w:b/>
          <w:szCs w:val="22"/>
          <w:lang w:val="de-DE"/>
        </w:rPr>
      </w:pPr>
    </w:p>
    <w:p w:rsidR="00544F89" w:rsidRPr="007C3A45" w:rsidRDefault="00501396" w:rsidP="0003742E">
      <w:pPr>
        <w:widowControl w:val="0"/>
        <w:tabs>
          <w:tab w:val="clear" w:pos="567"/>
        </w:tabs>
        <w:autoSpaceDE w:val="0"/>
        <w:autoSpaceDN w:val="0"/>
        <w:adjustRightInd w:val="0"/>
        <w:spacing w:line="240" w:lineRule="auto"/>
        <w:rPr>
          <w:snapToGrid/>
          <w:szCs w:val="22"/>
          <w:u w:val="single"/>
          <w:lang w:val="de-DE" w:eastAsia="de-DE"/>
        </w:rPr>
      </w:pPr>
      <w:r w:rsidRPr="007C3A45">
        <w:rPr>
          <w:snapToGrid/>
          <w:szCs w:val="22"/>
          <w:u w:val="single"/>
          <w:lang w:val="de-DE" w:eastAsia="de-DE"/>
        </w:rPr>
        <w:t>Schwangerschaft</w:t>
      </w:r>
    </w:p>
    <w:p w:rsidR="00501396" w:rsidRPr="007C3A45" w:rsidRDefault="00501396"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Eine Angiotensin-II-Rezeptor-Antagonisten-Therapie darf nicht während einer Schwangerschaft begonnen werden. Bei Patientinnen mit Schwangerschaftswunsch sollte eine Umstellung auf eine alternative antihypertensive Behandlung mit bewährtem Sicherheitsprofil für Schwangere erfolgen – es sei denn, eine Fortführung der Behandlung mit Angiotensin-II-Rezeptor-Antagonisten ist zwingend erforderlich. Wird eine Schwangerschaft festgestellt, ist die Behandlung mit Angiotensin-II-Rezeptor-Antagonisten unverzüglich zu beenden und, wenn erforderlich, eine alternative Therapie zu beginnen (siehe Abschnitte</w:t>
      </w:r>
      <w:r w:rsidR="00BA6CAF">
        <w:rPr>
          <w:snapToGrid/>
          <w:szCs w:val="22"/>
          <w:lang w:val="de-DE" w:eastAsia="de-DE"/>
        </w:rPr>
        <w:t> </w:t>
      </w:r>
      <w:r w:rsidRPr="007C3A45">
        <w:rPr>
          <w:snapToGrid/>
          <w:szCs w:val="22"/>
          <w:lang w:val="de-DE" w:eastAsia="de-DE"/>
        </w:rPr>
        <w:t>4.3 und 4.6).</w:t>
      </w:r>
    </w:p>
    <w:p w:rsidR="00501396" w:rsidRPr="007C3A45" w:rsidRDefault="00501396" w:rsidP="0003742E">
      <w:pPr>
        <w:widowControl w:val="0"/>
        <w:tabs>
          <w:tab w:val="clear" w:pos="567"/>
        </w:tabs>
        <w:autoSpaceDE w:val="0"/>
        <w:autoSpaceDN w:val="0"/>
        <w:adjustRightInd w:val="0"/>
        <w:spacing w:line="240" w:lineRule="auto"/>
        <w:rPr>
          <w:snapToGrid/>
          <w:szCs w:val="22"/>
          <w:lang w:val="de-DE" w:eastAsia="de-DE"/>
        </w:rPr>
      </w:pPr>
    </w:p>
    <w:p w:rsidR="00501396" w:rsidRPr="007C3A45" w:rsidRDefault="00501396" w:rsidP="0003742E">
      <w:pPr>
        <w:widowControl w:val="0"/>
        <w:tabs>
          <w:tab w:val="clear" w:pos="567"/>
        </w:tabs>
        <w:autoSpaceDE w:val="0"/>
        <w:autoSpaceDN w:val="0"/>
        <w:adjustRightInd w:val="0"/>
        <w:spacing w:line="240" w:lineRule="auto"/>
        <w:rPr>
          <w:snapToGrid/>
          <w:szCs w:val="22"/>
          <w:u w:val="single"/>
          <w:lang w:val="de-DE" w:eastAsia="de-DE"/>
        </w:rPr>
      </w:pPr>
      <w:r w:rsidRPr="007C3A45">
        <w:rPr>
          <w:snapToGrid/>
          <w:szCs w:val="22"/>
          <w:u w:val="single"/>
          <w:lang w:val="de-DE" w:eastAsia="de-DE"/>
        </w:rPr>
        <w:t>Eingeschränkte Leberfunktion</w:t>
      </w:r>
    </w:p>
    <w:p w:rsidR="00501396" w:rsidRPr="007C3A45" w:rsidRDefault="00501396"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 xml:space="preserve">Da Telmisartan überwiegend über die Galle ausgeschieden wird, sollte </w:t>
      </w:r>
      <w:proofErr w:type="spellStart"/>
      <w:r w:rsidRPr="007C3A45">
        <w:rPr>
          <w:snapToGrid/>
          <w:szCs w:val="22"/>
          <w:lang w:val="de-DE" w:eastAsia="de-DE"/>
        </w:rPr>
        <w:t>Tolucombi</w:t>
      </w:r>
      <w:proofErr w:type="spellEnd"/>
      <w:r w:rsidRPr="007C3A45">
        <w:rPr>
          <w:snapToGrid/>
          <w:szCs w:val="22"/>
          <w:lang w:val="de-DE" w:eastAsia="de-DE"/>
        </w:rPr>
        <w:t xml:space="preserve"> nicht bei Patienten mit Cholestase, obstruktiver Gallenfunktionsstörung oder schwerer Leberinsuffizienz angewendet werden (siehe Abschnitt 4.3). Bei diesen Patienten kann eine eingeschränkte hepatische Clearance für Telmisartan erwartet werden.</w:t>
      </w:r>
    </w:p>
    <w:p w:rsidR="00501396" w:rsidRPr="007C3A45" w:rsidRDefault="00501396" w:rsidP="0003742E">
      <w:pPr>
        <w:widowControl w:val="0"/>
        <w:tabs>
          <w:tab w:val="clear" w:pos="567"/>
        </w:tabs>
        <w:autoSpaceDE w:val="0"/>
        <w:autoSpaceDN w:val="0"/>
        <w:adjustRightInd w:val="0"/>
        <w:spacing w:line="240" w:lineRule="auto"/>
        <w:rPr>
          <w:snapToGrid/>
          <w:szCs w:val="22"/>
          <w:lang w:val="de-DE" w:eastAsia="de-DE"/>
        </w:rPr>
      </w:pPr>
    </w:p>
    <w:p w:rsidR="00501396" w:rsidRPr="007C3A45" w:rsidRDefault="00501396"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 xml:space="preserve">Zusätzlich sollte </w:t>
      </w:r>
      <w:proofErr w:type="spellStart"/>
      <w:r w:rsidRPr="007C3A45">
        <w:rPr>
          <w:snapToGrid/>
          <w:szCs w:val="22"/>
          <w:lang w:val="de-DE" w:eastAsia="de-DE"/>
        </w:rPr>
        <w:t>Tolucombi</w:t>
      </w:r>
      <w:proofErr w:type="spellEnd"/>
      <w:r w:rsidRPr="007C3A45">
        <w:rPr>
          <w:snapToGrid/>
          <w:szCs w:val="22"/>
          <w:lang w:val="de-DE" w:eastAsia="de-DE"/>
        </w:rPr>
        <w:t xml:space="preserve"> bei Patienten mit Leberfunktionsstörung oder progressiver Lebererkrankung mit Vorsicht angewandt werden, da bereits geringfügige Änderungen im</w:t>
      </w:r>
      <w:r w:rsidR="00592E35" w:rsidRPr="007C3A45">
        <w:rPr>
          <w:snapToGrid/>
          <w:szCs w:val="22"/>
          <w:lang w:val="de-DE" w:eastAsia="de-DE"/>
        </w:rPr>
        <w:t xml:space="preserve"> </w:t>
      </w:r>
      <w:r w:rsidRPr="007C3A45">
        <w:rPr>
          <w:snapToGrid/>
          <w:szCs w:val="22"/>
          <w:lang w:val="de-DE" w:eastAsia="de-DE"/>
        </w:rPr>
        <w:t>Flüssigkeits- und Elektrolythaushalt ein Leberkoma auslösen können. Es liegen keine klinischen</w:t>
      </w:r>
      <w:r w:rsidR="00592E35" w:rsidRPr="007C3A45">
        <w:rPr>
          <w:snapToGrid/>
          <w:szCs w:val="22"/>
          <w:lang w:val="de-DE" w:eastAsia="de-DE"/>
        </w:rPr>
        <w:t xml:space="preserve"> </w:t>
      </w:r>
      <w:r w:rsidRPr="007C3A45">
        <w:rPr>
          <w:snapToGrid/>
          <w:szCs w:val="22"/>
          <w:lang w:val="de-DE" w:eastAsia="de-DE"/>
        </w:rPr>
        <w:t xml:space="preserve">Erfahrungen mit </w:t>
      </w:r>
      <w:proofErr w:type="spellStart"/>
      <w:r w:rsidRPr="007C3A45">
        <w:rPr>
          <w:snapToGrid/>
          <w:szCs w:val="22"/>
          <w:lang w:val="de-DE" w:eastAsia="de-DE"/>
        </w:rPr>
        <w:t>Tolucombi</w:t>
      </w:r>
      <w:proofErr w:type="spellEnd"/>
      <w:r w:rsidRPr="007C3A45">
        <w:rPr>
          <w:snapToGrid/>
          <w:szCs w:val="22"/>
          <w:lang w:val="de-DE" w:eastAsia="de-DE"/>
        </w:rPr>
        <w:t xml:space="preserve"> bei Patienten mit Leberfunktionsstörung vor.</w:t>
      </w:r>
    </w:p>
    <w:p w:rsidR="00592E35" w:rsidRPr="007C3A45" w:rsidRDefault="00592E35" w:rsidP="0003742E">
      <w:pPr>
        <w:widowControl w:val="0"/>
        <w:tabs>
          <w:tab w:val="clear" w:pos="567"/>
        </w:tabs>
        <w:autoSpaceDE w:val="0"/>
        <w:autoSpaceDN w:val="0"/>
        <w:adjustRightInd w:val="0"/>
        <w:spacing w:line="240" w:lineRule="auto"/>
        <w:rPr>
          <w:snapToGrid/>
          <w:szCs w:val="22"/>
          <w:lang w:val="de-DE" w:eastAsia="de-DE"/>
        </w:rPr>
      </w:pPr>
    </w:p>
    <w:p w:rsidR="00501396" w:rsidRPr="007C3A45" w:rsidRDefault="00501396" w:rsidP="0003742E">
      <w:pPr>
        <w:widowControl w:val="0"/>
        <w:tabs>
          <w:tab w:val="clear" w:pos="567"/>
        </w:tabs>
        <w:autoSpaceDE w:val="0"/>
        <w:autoSpaceDN w:val="0"/>
        <w:adjustRightInd w:val="0"/>
        <w:spacing w:line="240" w:lineRule="auto"/>
        <w:rPr>
          <w:snapToGrid/>
          <w:szCs w:val="22"/>
          <w:u w:val="single"/>
          <w:lang w:val="de-DE" w:eastAsia="de-DE"/>
        </w:rPr>
      </w:pPr>
      <w:proofErr w:type="spellStart"/>
      <w:r w:rsidRPr="007C3A45">
        <w:rPr>
          <w:snapToGrid/>
          <w:szCs w:val="22"/>
          <w:u w:val="single"/>
          <w:lang w:val="de-DE" w:eastAsia="de-DE"/>
        </w:rPr>
        <w:t>Renovaskuläre</w:t>
      </w:r>
      <w:proofErr w:type="spellEnd"/>
      <w:r w:rsidRPr="007C3A45">
        <w:rPr>
          <w:snapToGrid/>
          <w:szCs w:val="22"/>
          <w:u w:val="single"/>
          <w:lang w:val="de-DE" w:eastAsia="de-DE"/>
        </w:rPr>
        <w:t xml:space="preserve"> Hypertonie</w:t>
      </w:r>
    </w:p>
    <w:p w:rsidR="00501396" w:rsidRPr="007C3A45" w:rsidRDefault="00501396"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Bei Patienten mit bilateraler Nierenarterienstenose oder Stenose der Nierenarterie bei einer einzelnen</w:t>
      </w:r>
      <w:r w:rsidR="00592E35" w:rsidRPr="007C3A45">
        <w:rPr>
          <w:snapToGrid/>
          <w:szCs w:val="22"/>
          <w:lang w:val="de-DE" w:eastAsia="de-DE"/>
        </w:rPr>
        <w:t xml:space="preserve"> </w:t>
      </w:r>
      <w:r w:rsidRPr="007C3A45">
        <w:rPr>
          <w:snapToGrid/>
          <w:szCs w:val="22"/>
          <w:lang w:val="de-DE" w:eastAsia="de-DE"/>
        </w:rPr>
        <w:t>funktionsfähigen Niere besteht ein erhöhtes Risiko einer schweren Hypotonie oder einer</w:t>
      </w:r>
      <w:r w:rsidR="00592E35" w:rsidRPr="007C3A45">
        <w:rPr>
          <w:snapToGrid/>
          <w:szCs w:val="22"/>
          <w:lang w:val="de-DE" w:eastAsia="de-DE"/>
        </w:rPr>
        <w:t xml:space="preserve"> </w:t>
      </w:r>
      <w:r w:rsidRPr="007C3A45">
        <w:rPr>
          <w:snapToGrid/>
          <w:szCs w:val="22"/>
          <w:lang w:val="de-DE" w:eastAsia="de-DE"/>
        </w:rPr>
        <w:t>Niereninsuffizienz bei einer Behandlung mit Arzneimitteln, die das Renin-Angiotensin-Aldosteron-System beeinflussen.</w:t>
      </w:r>
    </w:p>
    <w:p w:rsidR="00592E35" w:rsidRPr="007C3A45" w:rsidRDefault="00592E35" w:rsidP="0003742E">
      <w:pPr>
        <w:widowControl w:val="0"/>
        <w:tabs>
          <w:tab w:val="clear" w:pos="567"/>
        </w:tabs>
        <w:autoSpaceDE w:val="0"/>
        <w:autoSpaceDN w:val="0"/>
        <w:adjustRightInd w:val="0"/>
        <w:spacing w:line="240" w:lineRule="auto"/>
        <w:rPr>
          <w:snapToGrid/>
          <w:szCs w:val="22"/>
          <w:lang w:val="de-DE" w:eastAsia="de-DE"/>
        </w:rPr>
      </w:pPr>
    </w:p>
    <w:p w:rsidR="00501396" w:rsidRPr="007C3A45" w:rsidRDefault="00501396" w:rsidP="0003742E">
      <w:pPr>
        <w:widowControl w:val="0"/>
        <w:tabs>
          <w:tab w:val="clear" w:pos="567"/>
        </w:tabs>
        <w:autoSpaceDE w:val="0"/>
        <w:autoSpaceDN w:val="0"/>
        <w:adjustRightInd w:val="0"/>
        <w:spacing w:line="240" w:lineRule="auto"/>
        <w:rPr>
          <w:snapToGrid/>
          <w:szCs w:val="22"/>
          <w:u w:val="single"/>
          <w:lang w:val="de-DE" w:eastAsia="de-DE"/>
        </w:rPr>
      </w:pPr>
      <w:r w:rsidRPr="007C3A45">
        <w:rPr>
          <w:snapToGrid/>
          <w:szCs w:val="22"/>
          <w:u w:val="single"/>
          <w:lang w:val="de-DE" w:eastAsia="de-DE"/>
        </w:rPr>
        <w:t>Eingeschränkte Nierenfunktion und Nierentransplantation</w:t>
      </w:r>
    </w:p>
    <w:p w:rsidR="00207546" w:rsidRPr="007C3A45" w:rsidRDefault="00207546" w:rsidP="0003742E">
      <w:pPr>
        <w:widowControl w:val="0"/>
        <w:tabs>
          <w:tab w:val="clear" w:pos="567"/>
        </w:tabs>
        <w:autoSpaceDE w:val="0"/>
        <w:autoSpaceDN w:val="0"/>
        <w:adjustRightInd w:val="0"/>
        <w:spacing w:line="240" w:lineRule="auto"/>
        <w:rPr>
          <w:snapToGrid/>
          <w:szCs w:val="22"/>
          <w:lang w:val="de-DE" w:eastAsia="de-DE"/>
        </w:rPr>
      </w:pPr>
      <w:proofErr w:type="spellStart"/>
      <w:r w:rsidRPr="007C3A45">
        <w:rPr>
          <w:snapToGrid/>
          <w:szCs w:val="22"/>
          <w:lang w:val="de-DE" w:eastAsia="de-DE"/>
        </w:rPr>
        <w:t>Tolucombi</w:t>
      </w:r>
      <w:proofErr w:type="spellEnd"/>
      <w:r w:rsidRPr="007C3A45">
        <w:rPr>
          <w:snapToGrid/>
          <w:szCs w:val="22"/>
          <w:lang w:val="de-DE" w:eastAsia="de-DE"/>
        </w:rPr>
        <w:t xml:space="preserve"> </w:t>
      </w:r>
      <w:r w:rsidR="001E24C2">
        <w:rPr>
          <w:snapToGrid/>
          <w:szCs w:val="22"/>
          <w:lang w:val="de-DE" w:eastAsia="de-DE"/>
        </w:rPr>
        <w:t>darf</w:t>
      </w:r>
      <w:r w:rsidR="001E24C2" w:rsidRPr="007C3A45">
        <w:rPr>
          <w:snapToGrid/>
          <w:szCs w:val="22"/>
          <w:lang w:val="de-DE" w:eastAsia="de-DE"/>
        </w:rPr>
        <w:t xml:space="preserve"> </w:t>
      </w:r>
      <w:r w:rsidRPr="007C3A45">
        <w:rPr>
          <w:snapToGrid/>
          <w:szCs w:val="22"/>
          <w:lang w:val="de-DE" w:eastAsia="de-DE"/>
        </w:rPr>
        <w:t>nicht bei Patienten mit schwerer Nierenfunktionsstörung (Kreatinin</w:t>
      </w:r>
      <w:r w:rsidRPr="007C3A45">
        <w:rPr>
          <w:snapToGrid/>
          <w:szCs w:val="22"/>
          <w:lang w:val="de-DE" w:eastAsia="de-DE"/>
        </w:rPr>
        <w:noBreakHyphen/>
        <w:t>Clearance &lt; 30 ml/min) (siehe Abschnitt</w:t>
      </w:r>
      <w:r w:rsidR="00BA6CAF">
        <w:rPr>
          <w:snapToGrid/>
          <w:szCs w:val="22"/>
          <w:lang w:val="de-DE" w:eastAsia="de-DE"/>
        </w:rPr>
        <w:t> </w:t>
      </w:r>
      <w:r w:rsidRPr="007C3A45">
        <w:rPr>
          <w:snapToGrid/>
          <w:szCs w:val="22"/>
          <w:lang w:val="de-DE" w:eastAsia="de-DE"/>
        </w:rPr>
        <w:t xml:space="preserve">4.3) angewandt werden. Es liegen keine Erfahrungen zur Anwendung von </w:t>
      </w:r>
      <w:proofErr w:type="spellStart"/>
      <w:r w:rsidRPr="007C3A45">
        <w:rPr>
          <w:snapToGrid/>
          <w:szCs w:val="22"/>
          <w:lang w:val="de-DE" w:eastAsia="de-DE"/>
        </w:rPr>
        <w:t>Tolucombi</w:t>
      </w:r>
      <w:proofErr w:type="spellEnd"/>
      <w:r w:rsidRPr="007C3A45">
        <w:rPr>
          <w:snapToGrid/>
          <w:szCs w:val="22"/>
          <w:lang w:val="de-DE" w:eastAsia="de-DE"/>
        </w:rPr>
        <w:t xml:space="preserve"> bei Patienten mit einer kurz zurückliegenden Nierentransplantation vor. Die Erfahrungen mit </w:t>
      </w:r>
      <w:proofErr w:type="spellStart"/>
      <w:r w:rsidRPr="007C3A45">
        <w:rPr>
          <w:snapToGrid/>
          <w:szCs w:val="22"/>
          <w:lang w:val="de-DE" w:eastAsia="de-DE"/>
        </w:rPr>
        <w:t>Tolucombi</w:t>
      </w:r>
      <w:proofErr w:type="spellEnd"/>
      <w:r w:rsidRPr="007C3A45">
        <w:rPr>
          <w:snapToGrid/>
          <w:szCs w:val="22"/>
          <w:lang w:val="de-DE" w:eastAsia="de-DE"/>
        </w:rPr>
        <w:t xml:space="preserve"> bei Patienten mit leichten bis mittelschweren Nierenfunktionsstörungen sind begrenzt, daher wird eine regelmäßige Kontrolle der Kalium-, Kreatinin- und Harnsäure-Serumspiegel empfohlen. Eine mit Thiaziddiuretika einhergehende Azotämie kann bei Patienten mit Nierenfunktionsstörungen auftreten.</w:t>
      </w:r>
    </w:p>
    <w:p w:rsidR="00592E35" w:rsidRPr="007C3A45" w:rsidRDefault="00592E35" w:rsidP="0003742E">
      <w:pPr>
        <w:widowControl w:val="0"/>
        <w:tabs>
          <w:tab w:val="clear" w:pos="567"/>
        </w:tabs>
        <w:autoSpaceDE w:val="0"/>
        <w:autoSpaceDN w:val="0"/>
        <w:adjustRightInd w:val="0"/>
        <w:spacing w:line="240" w:lineRule="auto"/>
        <w:rPr>
          <w:snapToGrid/>
          <w:szCs w:val="22"/>
          <w:lang w:val="de-DE" w:eastAsia="de-DE"/>
        </w:rPr>
      </w:pPr>
    </w:p>
    <w:p w:rsidR="00501396" w:rsidRPr="007C3A45" w:rsidRDefault="00501396" w:rsidP="0003742E">
      <w:pPr>
        <w:widowControl w:val="0"/>
        <w:tabs>
          <w:tab w:val="clear" w:pos="567"/>
        </w:tabs>
        <w:autoSpaceDE w:val="0"/>
        <w:autoSpaceDN w:val="0"/>
        <w:adjustRightInd w:val="0"/>
        <w:spacing w:line="240" w:lineRule="auto"/>
        <w:rPr>
          <w:snapToGrid/>
          <w:szCs w:val="22"/>
          <w:u w:val="single"/>
          <w:lang w:val="de-DE" w:eastAsia="de-DE"/>
        </w:rPr>
      </w:pPr>
      <w:r w:rsidRPr="007C3A45">
        <w:rPr>
          <w:snapToGrid/>
          <w:szCs w:val="22"/>
          <w:u w:val="single"/>
          <w:lang w:val="de-DE" w:eastAsia="de-DE"/>
        </w:rPr>
        <w:t>Intravaskuläre Hypovolämie</w:t>
      </w:r>
    </w:p>
    <w:p w:rsidR="00501396" w:rsidRPr="007C3A45" w:rsidRDefault="00501396"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Eine symptomatische Hypotonie kann, insbesondere nach der ersten Dosis, bei Patienten auftreten, bei</w:t>
      </w:r>
      <w:r w:rsidR="00592E35" w:rsidRPr="007C3A45">
        <w:rPr>
          <w:snapToGrid/>
          <w:szCs w:val="22"/>
          <w:lang w:val="de-DE" w:eastAsia="de-DE"/>
        </w:rPr>
        <w:t xml:space="preserve"> </w:t>
      </w:r>
      <w:r w:rsidRPr="007C3A45">
        <w:rPr>
          <w:snapToGrid/>
          <w:szCs w:val="22"/>
          <w:lang w:val="de-DE" w:eastAsia="de-DE"/>
        </w:rPr>
        <w:t xml:space="preserve">denen ein Volumen- und/oder Natriummangel aufgrund einer hochdosierten </w:t>
      </w:r>
      <w:proofErr w:type="spellStart"/>
      <w:r w:rsidRPr="007C3A45">
        <w:rPr>
          <w:snapToGrid/>
          <w:szCs w:val="22"/>
          <w:lang w:val="de-DE" w:eastAsia="de-DE"/>
        </w:rPr>
        <w:t>Diuretikabehandlung</w:t>
      </w:r>
      <w:proofErr w:type="spellEnd"/>
      <w:r w:rsidRPr="007C3A45">
        <w:rPr>
          <w:snapToGrid/>
          <w:szCs w:val="22"/>
          <w:lang w:val="de-DE" w:eastAsia="de-DE"/>
        </w:rPr>
        <w:t>,</w:t>
      </w:r>
      <w:r w:rsidR="00592E35" w:rsidRPr="007C3A45">
        <w:rPr>
          <w:snapToGrid/>
          <w:szCs w:val="22"/>
          <w:lang w:val="de-DE" w:eastAsia="de-DE"/>
        </w:rPr>
        <w:t xml:space="preserve"> </w:t>
      </w:r>
      <w:r w:rsidRPr="007C3A45">
        <w:rPr>
          <w:snapToGrid/>
          <w:szCs w:val="22"/>
          <w:lang w:val="de-DE" w:eastAsia="de-DE"/>
        </w:rPr>
        <w:t>salzarmer Kost, Durchfall oder Erbrechen vorliegt. Solche Umstände sind vor der Anwendung von</w:t>
      </w:r>
      <w:r w:rsidR="00592E35" w:rsidRPr="007C3A45">
        <w:rPr>
          <w:snapToGrid/>
          <w:szCs w:val="22"/>
          <w:lang w:val="de-DE" w:eastAsia="de-DE"/>
        </w:rPr>
        <w:t xml:space="preserve"> </w:t>
      </w:r>
      <w:proofErr w:type="spellStart"/>
      <w:r w:rsidRPr="007C3A45">
        <w:rPr>
          <w:snapToGrid/>
          <w:szCs w:val="22"/>
          <w:lang w:val="de-DE" w:eastAsia="de-DE"/>
        </w:rPr>
        <w:t>Tolucombi</w:t>
      </w:r>
      <w:proofErr w:type="spellEnd"/>
      <w:r w:rsidRPr="007C3A45">
        <w:rPr>
          <w:snapToGrid/>
          <w:szCs w:val="22"/>
          <w:lang w:val="de-DE" w:eastAsia="de-DE"/>
        </w:rPr>
        <w:t xml:space="preserve"> auszugleichen.</w:t>
      </w:r>
    </w:p>
    <w:p w:rsidR="00592E35" w:rsidRPr="007C3A45" w:rsidRDefault="00592E35" w:rsidP="0003742E">
      <w:pPr>
        <w:widowControl w:val="0"/>
        <w:tabs>
          <w:tab w:val="clear" w:pos="567"/>
        </w:tabs>
        <w:autoSpaceDE w:val="0"/>
        <w:autoSpaceDN w:val="0"/>
        <w:adjustRightInd w:val="0"/>
        <w:spacing w:line="240" w:lineRule="auto"/>
        <w:rPr>
          <w:snapToGrid/>
          <w:szCs w:val="22"/>
          <w:lang w:val="de-DE" w:eastAsia="de-DE"/>
        </w:rPr>
      </w:pPr>
    </w:p>
    <w:p w:rsidR="00501396" w:rsidRPr="007C3A45" w:rsidRDefault="00501396" w:rsidP="0003742E">
      <w:pPr>
        <w:widowControl w:val="0"/>
        <w:tabs>
          <w:tab w:val="clear" w:pos="567"/>
        </w:tabs>
        <w:autoSpaceDE w:val="0"/>
        <w:autoSpaceDN w:val="0"/>
        <w:adjustRightInd w:val="0"/>
        <w:spacing w:line="240" w:lineRule="auto"/>
        <w:rPr>
          <w:snapToGrid/>
          <w:szCs w:val="22"/>
          <w:u w:val="single"/>
          <w:lang w:val="de-DE" w:eastAsia="de-DE"/>
        </w:rPr>
      </w:pPr>
      <w:r w:rsidRPr="007C3A45">
        <w:rPr>
          <w:snapToGrid/>
          <w:szCs w:val="22"/>
          <w:u w:val="single"/>
          <w:lang w:val="de-DE" w:eastAsia="de-DE"/>
        </w:rPr>
        <w:t>Duale Blockade des Renin-Angiotensin-Aldosteron-Systems</w:t>
      </w:r>
      <w:r w:rsidR="00B37602">
        <w:rPr>
          <w:snapToGrid/>
          <w:szCs w:val="22"/>
          <w:u w:val="single"/>
          <w:lang w:val="de-DE" w:eastAsia="de-DE"/>
        </w:rPr>
        <w:t xml:space="preserve"> (RAAS)</w:t>
      </w:r>
    </w:p>
    <w:p w:rsidR="00B37602" w:rsidRPr="00A62BF1" w:rsidRDefault="00B37602" w:rsidP="00A62BF1">
      <w:pPr>
        <w:widowControl w:val="0"/>
        <w:tabs>
          <w:tab w:val="clear" w:pos="567"/>
        </w:tabs>
        <w:autoSpaceDE w:val="0"/>
        <w:autoSpaceDN w:val="0"/>
        <w:adjustRightInd w:val="0"/>
        <w:spacing w:line="240" w:lineRule="auto"/>
        <w:rPr>
          <w:snapToGrid/>
          <w:lang w:val="de-DE" w:eastAsia="de-DE"/>
        </w:rPr>
      </w:pPr>
      <w:r w:rsidRPr="00A62BF1">
        <w:rPr>
          <w:snapToGrid/>
          <w:lang w:val="de-DE" w:eastAsia="de-DE"/>
        </w:rPr>
        <w:t xml:space="preserve">Es gibt Belege dafür, dass die gleichzeitige Anwendung von ACE-Hemmern, Angiotensin-II-Rezeptor-Antagonisten oder </w:t>
      </w:r>
      <w:proofErr w:type="spellStart"/>
      <w:r w:rsidRPr="00A62BF1">
        <w:rPr>
          <w:snapToGrid/>
          <w:lang w:val="de-DE" w:eastAsia="de-DE"/>
        </w:rPr>
        <w:t>Aliskiren</w:t>
      </w:r>
      <w:proofErr w:type="spellEnd"/>
      <w:r w:rsidRPr="00A62BF1">
        <w:rPr>
          <w:snapToGrid/>
          <w:lang w:val="de-DE" w:eastAsia="de-DE"/>
        </w:rPr>
        <w:t xml:space="preserve"> das Risiko für Hypotonie, Hyperkaliämie und eine Abnahme der Nierenfunktion (einschließlich eines akuten Nierenversagens) erhöht. Eine duale Blockade des RAAS durch die gleichzeitige Anwendung von ACE-Hemmern, Angiotensin-II-Rezeptor-Antagonisten oder </w:t>
      </w:r>
      <w:proofErr w:type="spellStart"/>
      <w:r w:rsidRPr="00A62BF1">
        <w:rPr>
          <w:snapToGrid/>
          <w:lang w:val="de-DE" w:eastAsia="de-DE"/>
        </w:rPr>
        <w:t>Aliskiren</w:t>
      </w:r>
      <w:proofErr w:type="spellEnd"/>
      <w:r w:rsidRPr="00A62BF1">
        <w:rPr>
          <w:snapToGrid/>
          <w:lang w:val="de-DE" w:eastAsia="de-DE"/>
        </w:rPr>
        <w:t xml:space="preserve"> wird deshalb nicht empfohlen (siehe Abschnitte 4.5 und 5.1).</w:t>
      </w:r>
    </w:p>
    <w:p w:rsidR="00B37602" w:rsidRPr="00A62BF1" w:rsidRDefault="00B37602" w:rsidP="00A62BF1">
      <w:pPr>
        <w:widowControl w:val="0"/>
        <w:tabs>
          <w:tab w:val="clear" w:pos="567"/>
        </w:tabs>
        <w:autoSpaceDE w:val="0"/>
        <w:autoSpaceDN w:val="0"/>
        <w:adjustRightInd w:val="0"/>
        <w:spacing w:line="240" w:lineRule="auto"/>
        <w:rPr>
          <w:snapToGrid/>
          <w:lang w:val="de-DE" w:eastAsia="de-DE"/>
        </w:rPr>
      </w:pPr>
      <w:r w:rsidRPr="00A62BF1">
        <w:rPr>
          <w:snapToGrid/>
          <w:lang w:val="de-DE" w:eastAsia="de-DE"/>
        </w:rPr>
        <w:t>Wenn die Therapie mit einer dualen Blockade als absolut notwendig erachtet wird, sollte dies nur unter Aufsicht eines Spezialisten und unter Durchführung engmaschiger Kontrollen von Nierenfunktion, Elektrolytwerten und Blutdruck erfolgen.</w:t>
      </w:r>
    </w:p>
    <w:p w:rsidR="00E44CFF" w:rsidRPr="00A62BF1" w:rsidRDefault="00B37602" w:rsidP="00A62BF1">
      <w:pPr>
        <w:widowControl w:val="0"/>
        <w:tabs>
          <w:tab w:val="clear" w:pos="567"/>
        </w:tabs>
        <w:autoSpaceDE w:val="0"/>
        <w:autoSpaceDN w:val="0"/>
        <w:adjustRightInd w:val="0"/>
        <w:spacing w:line="240" w:lineRule="auto"/>
        <w:rPr>
          <w:snapToGrid/>
          <w:szCs w:val="22"/>
          <w:lang w:val="de-DE" w:eastAsia="de-DE"/>
        </w:rPr>
      </w:pPr>
      <w:r w:rsidRPr="00A62BF1">
        <w:rPr>
          <w:snapToGrid/>
          <w:lang w:val="de-DE" w:eastAsia="de-DE"/>
        </w:rPr>
        <w:t>ACE-Hemmer und Angiotensin-II-Rezeptor-Antagonisten sollten bei Patienten mit diabetischer Nephropathie nicht gleichzeitig angewendet werden.</w:t>
      </w:r>
    </w:p>
    <w:p w:rsidR="00592E35" w:rsidRPr="007C3A45" w:rsidRDefault="00592E35" w:rsidP="0003742E">
      <w:pPr>
        <w:widowControl w:val="0"/>
        <w:tabs>
          <w:tab w:val="clear" w:pos="567"/>
        </w:tabs>
        <w:autoSpaceDE w:val="0"/>
        <w:autoSpaceDN w:val="0"/>
        <w:adjustRightInd w:val="0"/>
        <w:spacing w:line="240" w:lineRule="auto"/>
        <w:rPr>
          <w:snapToGrid/>
          <w:szCs w:val="22"/>
          <w:lang w:val="de-DE" w:eastAsia="de-DE"/>
        </w:rPr>
      </w:pPr>
    </w:p>
    <w:p w:rsidR="00501396" w:rsidRPr="007C3A45" w:rsidRDefault="00501396" w:rsidP="0003742E">
      <w:pPr>
        <w:widowControl w:val="0"/>
        <w:tabs>
          <w:tab w:val="clear" w:pos="567"/>
        </w:tabs>
        <w:autoSpaceDE w:val="0"/>
        <w:autoSpaceDN w:val="0"/>
        <w:adjustRightInd w:val="0"/>
        <w:spacing w:line="240" w:lineRule="auto"/>
        <w:rPr>
          <w:snapToGrid/>
          <w:szCs w:val="22"/>
          <w:u w:val="single"/>
          <w:lang w:val="de-DE" w:eastAsia="de-DE"/>
        </w:rPr>
      </w:pPr>
      <w:r w:rsidRPr="007C3A45">
        <w:rPr>
          <w:snapToGrid/>
          <w:szCs w:val="22"/>
          <w:u w:val="single"/>
          <w:lang w:val="de-DE" w:eastAsia="de-DE"/>
        </w:rPr>
        <w:t>Andere Umstände mit Stimulation des Renin-Angiotensin-Aldosteron-Systems</w:t>
      </w:r>
    </w:p>
    <w:p w:rsidR="00501396" w:rsidRPr="007C3A45" w:rsidRDefault="00501396"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Bei Patienten, deren Gefäßtonus und Nierenfunktion im Wesentlichen von der Aktivität des Renin-Angiotensin-Aldosteron-Systems abhängen (</w:t>
      </w:r>
      <w:r w:rsidR="00433771">
        <w:rPr>
          <w:snapToGrid/>
          <w:szCs w:val="22"/>
          <w:lang w:val="de-DE" w:eastAsia="de-DE"/>
        </w:rPr>
        <w:t>z. B.</w:t>
      </w:r>
      <w:r w:rsidRPr="007C3A45">
        <w:rPr>
          <w:snapToGrid/>
          <w:szCs w:val="22"/>
          <w:lang w:val="de-DE" w:eastAsia="de-DE"/>
        </w:rPr>
        <w:t xml:space="preserve"> Patienten mit schwerer Herzinsuffizienz oder</w:t>
      </w:r>
      <w:r w:rsidR="00592E35" w:rsidRPr="007C3A45">
        <w:rPr>
          <w:snapToGrid/>
          <w:szCs w:val="22"/>
          <w:lang w:val="de-DE" w:eastAsia="de-DE"/>
        </w:rPr>
        <w:t xml:space="preserve"> </w:t>
      </w:r>
      <w:r w:rsidRPr="007C3A45">
        <w:rPr>
          <w:snapToGrid/>
          <w:szCs w:val="22"/>
          <w:lang w:val="de-DE" w:eastAsia="de-DE"/>
        </w:rPr>
        <w:t>zugrundeliegender Nierenerkrankung, einschließlich Nierenarterienstenose), wurde eine Behandlung</w:t>
      </w:r>
      <w:r w:rsidR="00592E35" w:rsidRPr="007C3A45">
        <w:rPr>
          <w:snapToGrid/>
          <w:szCs w:val="22"/>
          <w:lang w:val="de-DE" w:eastAsia="de-DE"/>
        </w:rPr>
        <w:t xml:space="preserve"> </w:t>
      </w:r>
      <w:r w:rsidRPr="007C3A45">
        <w:rPr>
          <w:snapToGrid/>
          <w:szCs w:val="22"/>
          <w:lang w:val="de-DE" w:eastAsia="de-DE"/>
        </w:rPr>
        <w:t xml:space="preserve">mit Arzneimitteln, die dieses System beeinflussen, mit akuter Hypotonie, </w:t>
      </w:r>
      <w:proofErr w:type="spellStart"/>
      <w:r w:rsidRPr="007C3A45">
        <w:rPr>
          <w:snapToGrid/>
          <w:szCs w:val="22"/>
          <w:lang w:val="de-DE" w:eastAsia="de-DE"/>
        </w:rPr>
        <w:t>Hyperazotämie</w:t>
      </w:r>
      <w:proofErr w:type="spellEnd"/>
      <w:r w:rsidRPr="007C3A45">
        <w:rPr>
          <w:snapToGrid/>
          <w:szCs w:val="22"/>
          <w:lang w:val="de-DE" w:eastAsia="de-DE"/>
        </w:rPr>
        <w:t>, Oligurie</w:t>
      </w:r>
      <w:r w:rsidR="00592E35" w:rsidRPr="007C3A45">
        <w:rPr>
          <w:snapToGrid/>
          <w:szCs w:val="22"/>
          <w:lang w:val="de-DE" w:eastAsia="de-DE"/>
        </w:rPr>
        <w:t xml:space="preserve"> </w:t>
      </w:r>
      <w:r w:rsidRPr="007C3A45">
        <w:rPr>
          <w:snapToGrid/>
          <w:szCs w:val="22"/>
          <w:lang w:val="de-DE" w:eastAsia="de-DE"/>
        </w:rPr>
        <w:t>oder in seltenen Fällen akutem Nierenversagen in Verbindung gebracht (siehe Abschnitt 4.8).</w:t>
      </w:r>
    </w:p>
    <w:p w:rsidR="00592E35" w:rsidRPr="007C3A45" w:rsidRDefault="00592E35" w:rsidP="0003742E">
      <w:pPr>
        <w:widowControl w:val="0"/>
        <w:tabs>
          <w:tab w:val="clear" w:pos="567"/>
        </w:tabs>
        <w:autoSpaceDE w:val="0"/>
        <w:autoSpaceDN w:val="0"/>
        <w:adjustRightInd w:val="0"/>
        <w:spacing w:line="240" w:lineRule="auto"/>
        <w:rPr>
          <w:snapToGrid/>
          <w:szCs w:val="22"/>
          <w:lang w:val="de-DE" w:eastAsia="de-DE"/>
        </w:rPr>
      </w:pPr>
    </w:p>
    <w:p w:rsidR="00501396" w:rsidRPr="007C3A45" w:rsidRDefault="00501396" w:rsidP="0003742E">
      <w:pPr>
        <w:widowControl w:val="0"/>
        <w:tabs>
          <w:tab w:val="clear" w:pos="567"/>
        </w:tabs>
        <w:autoSpaceDE w:val="0"/>
        <w:autoSpaceDN w:val="0"/>
        <w:adjustRightInd w:val="0"/>
        <w:spacing w:line="240" w:lineRule="auto"/>
        <w:rPr>
          <w:snapToGrid/>
          <w:szCs w:val="22"/>
          <w:u w:val="single"/>
          <w:lang w:val="de-DE" w:eastAsia="de-DE"/>
        </w:rPr>
      </w:pPr>
      <w:r w:rsidRPr="007C3A45">
        <w:rPr>
          <w:snapToGrid/>
          <w:szCs w:val="22"/>
          <w:u w:val="single"/>
          <w:lang w:val="de-DE" w:eastAsia="de-DE"/>
        </w:rPr>
        <w:t xml:space="preserve">Primärer </w:t>
      </w:r>
      <w:proofErr w:type="spellStart"/>
      <w:r w:rsidRPr="007C3A45">
        <w:rPr>
          <w:snapToGrid/>
          <w:szCs w:val="22"/>
          <w:u w:val="single"/>
          <w:lang w:val="de-DE" w:eastAsia="de-DE"/>
        </w:rPr>
        <w:t>Aldosteronismus</w:t>
      </w:r>
      <w:proofErr w:type="spellEnd"/>
    </w:p>
    <w:p w:rsidR="00501396" w:rsidRPr="007C3A45" w:rsidRDefault="00501396"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 xml:space="preserve">Patienten mit primärem </w:t>
      </w:r>
      <w:proofErr w:type="spellStart"/>
      <w:r w:rsidRPr="007C3A45">
        <w:rPr>
          <w:snapToGrid/>
          <w:szCs w:val="22"/>
          <w:lang w:val="de-DE" w:eastAsia="de-DE"/>
        </w:rPr>
        <w:t>Aldosteronismus</w:t>
      </w:r>
      <w:proofErr w:type="spellEnd"/>
      <w:r w:rsidRPr="007C3A45">
        <w:rPr>
          <w:snapToGrid/>
          <w:szCs w:val="22"/>
          <w:lang w:val="de-DE" w:eastAsia="de-DE"/>
        </w:rPr>
        <w:t xml:space="preserve"> sprechen im Allgemeinen nicht auf Antihypertonika an,</w:t>
      </w:r>
      <w:r w:rsidR="00592E35" w:rsidRPr="007C3A45">
        <w:rPr>
          <w:snapToGrid/>
          <w:szCs w:val="22"/>
          <w:lang w:val="de-DE" w:eastAsia="de-DE"/>
        </w:rPr>
        <w:t xml:space="preserve"> </w:t>
      </w:r>
      <w:r w:rsidRPr="007C3A45">
        <w:rPr>
          <w:snapToGrid/>
          <w:szCs w:val="22"/>
          <w:lang w:val="de-DE" w:eastAsia="de-DE"/>
        </w:rPr>
        <w:t>deren Wirkung auf der Hemmung des Renin-Angiotensin-Systems beruht. Daher wird die Anwendung</w:t>
      </w:r>
      <w:r w:rsidR="00592E35" w:rsidRPr="007C3A45">
        <w:rPr>
          <w:snapToGrid/>
          <w:szCs w:val="22"/>
          <w:lang w:val="de-DE" w:eastAsia="de-DE"/>
        </w:rPr>
        <w:t xml:space="preserve"> </w:t>
      </w:r>
      <w:r w:rsidRPr="007C3A45">
        <w:rPr>
          <w:snapToGrid/>
          <w:szCs w:val="22"/>
          <w:lang w:val="de-DE" w:eastAsia="de-DE"/>
        </w:rPr>
        <w:t xml:space="preserve">von </w:t>
      </w:r>
      <w:proofErr w:type="spellStart"/>
      <w:r w:rsidRPr="007C3A45">
        <w:rPr>
          <w:snapToGrid/>
          <w:szCs w:val="22"/>
          <w:lang w:val="de-DE" w:eastAsia="de-DE"/>
        </w:rPr>
        <w:t>Tolucombi</w:t>
      </w:r>
      <w:proofErr w:type="spellEnd"/>
      <w:r w:rsidRPr="007C3A45">
        <w:rPr>
          <w:snapToGrid/>
          <w:szCs w:val="22"/>
          <w:lang w:val="de-DE" w:eastAsia="de-DE"/>
        </w:rPr>
        <w:t xml:space="preserve"> nicht empfohlen.</w:t>
      </w:r>
    </w:p>
    <w:p w:rsidR="00592E35" w:rsidRPr="007C3A45" w:rsidRDefault="00592E35" w:rsidP="0003742E">
      <w:pPr>
        <w:widowControl w:val="0"/>
        <w:tabs>
          <w:tab w:val="clear" w:pos="567"/>
        </w:tabs>
        <w:autoSpaceDE w:val="0"/>
        <w:autoSpaceDN w:val="0"/>
        <w:adjustRightInd w:val="0"/>
        <w:spacing w:line="240" w:lineRule="auto"/>
        <w:rPr>
          <w:snapToGrid/>
          <w:szCs w:val="22"/>
          <w:lang w:val="de-DE" w:eastAsia="de-DE"/>
        </w:rPr>
      </w:pPr>
    </w:p>
    <w:p w:rsidR="00501396" w:rsidRPr="007C3A45" w:rsidRDefault="00501396" w:rsidP="0003742E">
      <w:pPr>
        <w:widowControl w:val="0"/>
        <w:tabs>
          <w:tab w:val="clear" w:pos="567"/>
        </w:tabs>
        <w:autoSpaceDE w:val="0"/>
        <w:autoSpaceDN w:val="0"/>
        <w:adjustRightInd w:val="0"/>
        <w:spacing w:line="240" w:lineRule="auto"/>
        <w:rPr>
          <w:snapToGrid/>
          <w:szCs w:val="22"/>
          <w:u w:val="single"/>
          <w:lang w:val="de-DE" w:eastAsia="de-DE"/>
        </w:rPr>
      </w:pPr>
      <w:r w:rsidRPr="007C3A45">
        <w:rPr>
          <w:snapToGrid/>
          <w:szCs w:val="22"/>
          <w:u w:val="single"/>
          <w:lang w:val="de-DE" w:eastAsia="de-DE"/>
        </w:rPr>
        <w:t xml:space="preserve">Aorten- und </w:t>
      </w:r>
      <w:proofErr w:type="spellStart"/>
      <w:r w:rsidRPr="007C3A45">
        <w:rPr>
          <w:snapToGrid/>
          <w:szCs w:val="22"/>
          <w:u w:val="single"/>
          <w:lang w:val="de-DE" w:eastAsia="de-DE"/>
        </w:rPr>
        <w:t>Mitralklappenstenose</w:t>
      </w:r>
      <w:proofErr w:type="spellEnd"/>
      <w:r w:rsidRPr="007C3A45">
        <w:rPr>
          <w:snapToGrid/>
          <w:szCs w:val="22"/>
          <w:u w:val="single"/>
          <w:lang w:val="de-DE" w:eastAsia="de-DE"/>
        </w:rPr>
        <w:t>, obstruktive hypertrophe Kardiomyopathie</w:t>
      </w:r>
    </w:p>
    <w:p w:rsidR="00501396" w:rsidRPr="007C3A45" w:rsidRDefault="00501396"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 xml:space="preserve">Wie bei anderen Vasodilatatoren ist bei Patienten mit Aorten- oder </w:t>
      </w:r>
      <w:proofErr w:type="spellStart"/>
      <w:r w:rsidRPr="007C3A45">
        <w:rPr>
          <w:snapToGrid/>
          <w:szCs w:val="22"/>
          <w:lang w:val="de-DE" w:eastAsia="de-DE"/>
        </w:rPr>
        <w:t>Mitralklappenstenose</w:t>
      </w:r>
      <w:proofErr w:type="spellEnd"/>
      <w:r w:rsidRPr="007C3A45">
        <w:rPr>
          <w:snapToGrid/>
          <w:szCs w:val="22"/>
          <w:lang w:val="de-DE" w:eastAsia="de-DE"/>
        </w:rPr>
        <w:t xml:space="preserve"> oder</w:t>
      </w:r>
      <w:r w:rsidR="00592E35" w:rsidRPr="007C3A45">
        <w:rPr>
          <w:snapToGrid/>
          <w:szCs w:val="22"/>
          <w:lang w:val="de-DE" w:eastAsia="de-DE"/>
        </w:rPr>
        <w:t xml:space="preserve"> </w:t>
      </w:r>
      <w:r w:rsidRPr="007C3A45">
        <w:rPr>
          <w:snapToGrid/>
          <w:szCs w:val="22"/>
          <w:lang w:val="de-DE" w:eastAsia="de-DE"/>
        </w:rPr>
        <w:t>obstruktiver hypertropher Kardiomyopathie besondere Vorsicht angezeigt.</w:t>
      </w:r>
    </w:p>
    <w:p w:rsidR="00592E35" w:rsidRPr="007C3A45" w:rsidRDefault="00592E35" w:rsidP="0003742E">
      <w:pPr>
        <w:widowControl w:val="0"/>
        <w:tabs>
          <w:tab w:val="clear" w:pos="567"/>
        </w:tabs>
        <w:autoSpaceDE w:val="0"/>
        <w:autoSpaceDN w:val="0"/>
        <w:adjustRightInd w:val="0"/>
        <w:spacing w:line="240" w:lineRule="auto"/>
        <w:rPr>
          <w:snapToGrid/>
          <w:szCs w:val="22"/>
          <w:lang w:val="de-DE" w:eastAsia="de-DE"/>
        </w:rPr>
      </w:pPr>
    </w:p>
    <w:p w:rsidR="00501396" w:rsidRPr="007C3A45" w:rsidRDefault="00501396" w:rsidP="0003742E">
      <w:pPr>
        <w:widowControl w:val="0"/>
        <w:tabs>
          <w:tab w:val="clear" w:pos="567"/>
        </w:tabs>
        <w:autoSpaceDE w:val="0"/>
        <w:autoSpaceDN w:val="0"/>
        <w:adjustRightInd w:val="0"/>
        <w:spacing w:line="240" w:lineRule="auto"/>
        <w:rPr>
          <w:snapToGrid/>
          <w:szCs w:val="22"/>
          <w:u w:val="single"/>
          <w:lang w:val="de-DE" w:eastAsia="de-DE"/>
        </w:rPr>
      </w:pPr>
      <w:r w:rsidRPr="007C3A45">
        <w:rPr>
          <w:snapToGrid/>
          <w:szCs w:val="22"/>
          <w:u w:val="single"/>
          <w:lang w:val="de-DE" w:eastAsia="de-DE"/>
        </w:rPr>
        <w:t>Metabolische und endokrine Wirkungen</w:t>
      </w:r>
    </w:p>
    <w:p w:rsidR="00501396" w:rsidRPr="007C3A45" w:rsidRDefault="00501396"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 xml:space="preserve">Die Behandlung mit </w:t>
      </w:r>
      <w:proofErr w:type="spellStart"/>
      <w:r w:rsidRPr="007C3A45">
        <w:rPr>
          <w:snapToGrid/>
          <w:szCs w:val="22"/>
          <w:lang w:val="de-DE" w:eastAsia="de-DE"/>
        </w:rPr>
        <w:t>Thiaziden</w:t>
      </w:r>
      <w:proofErr w:type="spellEnd"/>
      <w:r w:rsidRPr="007C3A45">
        <w:rPr>
          <w:snapToGrid/>
          <w:szCs w:val="22"/>
          <w:lang w:val="de-DE" w:eastAsia="de-DE"/>
        </w:rPr>
        <w:t xml:space="preserve"> kann die Glucose-Toleranz beeinträchtigen. Bei Diabetikern kann unter</w:t>
      </w:r>
      <w:r w:rsidR="00A27783" w:rsidRPr="007C3A45">
        <w:rPr>
          <w:snapToGrid/>
          <w:szCs w:val="22"/>
          <w:lang w:val="de-DE" w:eastAsia="de-DE"/>
        </w:rPr>
        <w:t xml:space="preserve"> </w:t>
      </w:r>
      <w:r w:rsidRPr="007C3A45">
        <w:rPr>
          <w:snapToGrid/>
          <w:szCs w:val="22"/>
          <w:lang w:val="de-DE" w:eastAsia="de-DE"/>
        </w:rPr>
        <w:t>einer Behandlung mit Insulin oder Antidiabetika sowie mit Telmisartan eine Hypoglykämie auftreten.</w:t>
      </w:r>
      <w:r w:rsidR="00A27783" w:rsidRPr="007C3A45">
        <w:rPr>
          <w:snapToGrid/>
          <w:szCs w:val="22"/>
          <w:lang w:val="de-DE" w:eastAsia="de-DE"/>
        </w:rPr>
        <w:t xml:space="preserve"> </w:t>
      </w:r>
      <w:r w:rsidRPr="007C3A45">
        <w:rPr>
          <w:snapToGrid/>
          <w:szCs w:val="22"/>
          <w:lang w:val="de-DE" w:eastAsia="de-DE"/>
        </w:rPr>
        <w:t>Eine Überwachung des Blutzuckers sollte daher bei diesen Patienten in Betracht gezogen werden; eine</w:t>
      </w:r>
      <w:r w:rsidR="00A27783" w:rsidRPr="007C3A45">
        <w:rPr>
          <w:snapToGrid/>
          <w:szCs w:val="22"/>
          <w:lang w:val="de-DE" w:eastAsia="de-DE"/>
        </w:rPr>
        <w:t xml:space="preserve"> </w:t>
      </w:r>
      <w:r w:rsidRPr="007C3A45">
        <w:rPr>
          <w:snapToGrid/>
          <w:szCs w:val="22"/>
          <w:lang w:val="de-DE" w:eastAsia="de-DE"/>
        </w:rPr>
        <w:t>Dosisanpassung von Insulin oder Antidiabetika kann erforderlich sein. Ein latenter Diabetes mellitus</w:t>
      </w:r>
      <w:r w:rsidR="00FC72A2" w:rsidRPr="007C3A45">
        <w:rPr>
          <w:snapToGrid/>
          <w:szCs w:val="22"/>
          <w:lang w:val="de-DE" w:eastAsia="de-DE"/>
        </w:rPr>
        <w:t xml:space="preserve"> </w:t>
      </w:r>
      <w:r w:rsidRPr="007C3A45">
        <w:rPr>
          <w:snapToGrid/>
          <w:szCs w:val="22"/>
          <w:lang w:val="de-DE" w:eastAsia="de-DE"/>
        </w:rPr>
        <w:t xml:space="preserve">kann sich unter der Behandlung mit </w:t>
      </w:r>
      <w:proofErr w:type="spellStart"/>
      <w:r w:rsidRPr="007C3A45">
        <w:rPr>
          <w:snapToGrid/>
          <w:szCs w:val="22"/>
          <w:lang w:val="de-DE" w:eastAsia="de-DE"/>
        </w:rPr>
        <w:t>Thiaziden</w:t>
      </w:r>
      <w:proofErr w:type="spellEnd"/>
      <w:r w:rsidRPr="007C3A45">
        <w:rPr>
          <w:snapToGrid/>
          <w:szCs w:val="22"/>
          <w:lang w:val="de-DE" w:eastAsia="de-DE"/>
        </w:rPr>
        <w:t xml:space="preserve"> manifestieren.</w:t>
      </w:r>
    </w:p>
    <w:p w:rsidR="00A27783" w:rsidRPr="007C3A45" w:rsidRDefault="00A27783" w:rsidP="0003742E">
      <w:pPr>
        <w:widowControl w:val="0"/>
        <w:tabs>
          <w:tab w:val="clear" w:pos="567"/>
        </w:tabs>
        <w:autoSpaceDE w:val="0"/>
        <w:autoSpaceDN w:val="0"/>
        <w:adjustRightInd w:val="0"/>
        <w:spacing w:line="240" w:lineRule="auto"/>
        <w:rPr>
          <w:snapToGrid/>
          <w:szCs w:val="22"/>
          <w:lang w:val="de-DE" w:eastAsia="de-DE"/>
        </w:rPr>
      </w:pPr>
    </w:p>
    <w:p w:rsidR="00544F89" w:rsidRPr="007C3A45" w:rsidRDefault="00501396"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 xml:space="preserve">Ein Anstieg der Cholesterin- und </w:t>
      </w:r>
      <w:proofErr w:type="spellStart"/>
      <w:r w:rsidRPr="007C3A45">
        <w:rPr>
          <w:snapToGrid/>
          <w:szCs w:val="22"/>
          <w:lang w:val="de-DE" w:eastAsia="de-DE"/>
        </w:rPr>
        <w:t>Triglyzeridspiegel</w:t>
      </w:r>
      <w:proofErr w:type="spellEnd"/>
      <w:r w:rsidRPr="007C3A45">
        <w:rPr>
          <w:snapToGrid/>
          <w:szCs w:val="22"/>
          <w:lang w:val="de-DE" w:eastAsia="de-DE"/>
        </w:rPr>
        <w:t xml:space="preserve"> wurde mit der diuretischen </w:t>
      </w:r>
      <w:proofErr w:type="spellStart"/>
      <w:r w:rsidRPr="007C3A45">
        <w:rPr>
          <w:snapToGrid/>
          <w:szCs w:val="22"/>
          <w:lang w:val="de-DE" w:eastAsia="de-DE"/>
        </w:rPr>
        <w:t>Thiazid</w:t>
      </w:r>
      <w:proofErr w:type="spellEnd"/>
      <w:r w:rsidRPr="007C3A45">
        <w:rPr>
          <w:snapToGrid/>
          <w:szCs w:val="22"/>
          <w:lang w:val="de-DE" w:eastAsia="de-DE"/>
        </w:rPr>
        <w:t>-Therapie in</w:t>
      </w:r>
      <w:r w:rsidR="00A27783" w:rsidRPr="007C3A45">
        <w:rPr>
          <w:snapToGrid/>
          <w:szCs w:val="22"/>
          <w:lang w:val="de-DE" w:eastAsia="de-DE"/>
        </w:rPr>
        <w:t xml:space="preserve"> </w:t>
      </w:r>
      <w:r w:rsidRPr="007C3A45">
        <w:rPr>
          <w:snapToGrid/>
          <w:szCs w:val="22"/>
          <w:lang w:val="de-DE" w:eastAsia="de-DE"/>
        </w:rPr>
        <w:t xml:space="preserve">Zusammenhang gebracht; jedoch wurden nur geringe oder keine Wirkungen bei der in </w:t>
      </w:r>
      <w:proofErr w:type="spellStart"/>
      <w:r w:rsidRPr="007C3A45">
        <w:rPr>
          <w:snapToGrid/>
          <w:szCs w:val="22"/>
          <w:lang w:val="de-DE" w:eastAsia="de-DE"/>
        </w:rPr>
        <w:t>Tolucombi</w:t>
      </w:r>
      <w:proofErr w:type="spellEnd"/>
      <w:r w:rsidR="0050759B" w:rsidRPr="007C3A45">
        <w:rPr>
          <w:snapToGrid/>
          <w:szCs w:val="22"/>
          <w:lang w:val="de-DE" w:eastAsia="de-DE"/>
        </w:rPr>
        <w:t xml:space="preserve"> </w:t>
      </w:r>
      <w:r w:rsidRPr="007C3A45">
        <w:rPr>
          <w:snapToGrid/>
          <w:szCs w:val="22"/>
          <w:lang w:val="de-DE" w:eastAsia="de-DE"/>
        </w:rPr>
        <w:t>enthaltenen Dosis von 12,5</w:t>
      </w:r>
      <w:r w:rsidR="00023E2B" w:rsidRPr="007C3A45">
        <w:rPr>
          <w:snapToGrid/>
          <w:szCs w:val="22"/>
          <w:lang w:val="de-DE" w:eastAsia="de-DE"/>
        </w:rPr>
        <w:t> mg</w:t>
      </w:r>
      <w:r w:rsidRPr="007C3A45">
        <w:rPr>
          <w:snapToGrid/>
          <w:szCs w:val="22"/>
          <w:lang w:val="de-DE" w:eastAsia="de-DE"/>
        </w:rPr>
        <w:t xml:space="preserve"> berichtet.</w:t>
      </w:r>
    </w:p>
    <w:p w:rsidR="00501396" w:rsidRPr="007C3A45" w:rsidRDefault="00501396"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 xml:space="preserve">Bei einigen Patienten kann es unter </w:t>
      </w:r>
      <w:proofErr w:type="spellStart"/>
      <w:r w:rsidRPr="007C3A45">
        <w:rPr>
          <w:snapToGrid/>
          <w:szCs w:val="22"/>
          <w:lang w:val="de-DE" w:eastAsia="de-DE"/>
        </w:rPr>
        <w:t>Thiazid</w:t>
      </w:r>
      <w:proofErr w:type="spellEnd"/>
      <w:r w:rsidRPr="007C3A45">
        <w:rPr>
          <w:snapToGrid/>
          <w:szCs w:val="22"/>
          <w:lang w:val="de-DE" w:eastAsia="de-DE"/>
        </w:rPr>
        <w:t>-Therapie zu</w:t>
      </w:r>
      <w:r w:rsidR="00A27783" w:rsidRPr="007C3A45">
        <w:rPr>
          <w:snapToGrid/>
          <w:szCs w:val="22"/>
          <w:lang w:val="de-DE" w:eastAsia="de-DE"/>
        </w:rPr>
        <w:t xml:space="preserve"> </w:t>
      </w:r>
      <w:r w:rsidRPr="007C3A45">
        <w:rPr>
          <w:snapToGrid/>
          <w:szCs w:val="22"/>
          <w:lang w:val="de-DE" w:eastAsia="de-DE"/>
        </w:rPr>
        <w:t>einer Hyperurikä</w:t>
      </w:r>
      <w:r w:rsidR="0050759B" w:rsidRPr="007C3A45">
        <w:rPr>
          <w:snapToGrid/>
          <w:szCs w:val="22"/>
          <w:lang w:val="de-DE" w:eastAsia="de-DE"/>
        </w:rPr>
        <w:t xml:space="preserve">mie kommen oder ein Gichtanfall </w:t>
      </w:r>
      <w:r w:rsidRPr="007C3A45">
        <w:rPr>
          <w:snapToGrid/>
          <w:szCs w:val="22"/>
          <w:lang w:val="de-DE" w:eastAsia="de-DE"/>
        </w:rPr>
        <w:t>ausgelöst werden.</w:t>
      </w:r>
    </w:p>
    <w:p w:rsidR="00FC72A2" w:rsidRPr="007C3A45" w:rsidRDefault="00FC72A2" w:rsidP="0003742E">
      <w:pPr>
        <w:widowControl w:val="0"/>
        <w:tabs>
          <w:tab w:val="clear" w:pos="567"/>
        </w:tabs>
        <w:autoSpaceDE w:val="0"/>
        <w:autoSpaceDN w:val="0"/>
        <w:adjustRightInd w:val="0"/>
        <w:spacing w:line="240" w:lineRule="auto"/>
        <w:rPr>
          <w:snapToGrid/>
          <w:szCs w:val="22"/>
          <w:lang w:val="de-DE" w:eastAsia="de-DE"/>
        </w:rPr>
      </w:pPr>
    </w:p>
    <w:p w:rsidR="00501396" w:rsidRPr="007C3A45" w:rsidRDefault="00501396" w:rsidP="0003742E">
      <w:pPr>
        <w:widowControl w:val="0"/>
        <w:tabs>
          <w:tab w:val="clear" w:pos="567"/>
        </w:tabs>
        <w:autoSpaceDE w:val="0"/>
        <w:autoSpaceDN w:val="0"/>
        <w:adjustRightInd w:val="0"/>
        <w:spacing w:line="240" w:lineRule="auto"/>
        <w:rPr>
          <w:snapToGrid/>
          <w:szCs w:val="22"/>
          <w:u w:val="single"/>
          <w:lang w:val="de-DE" w:eastAsia="de-DE"/>
        </w:rPr>
      </w:pPr>
      <w:r w:rsidRPr="007C3A45">
        <w:rPr>
          <w:snapToGrid/>
          <w:szCs w:val="22"/>
          <w:u w:val="single"/>
          <w:lang w:val="de-DE" w:eastAsia="de-DE"/>
        </w:rPr>
        <w:t>Elektrolytstörungen</w:t>
      </w:r>
    </w:p>
    <w:p w:rsidR="00501396" w:rsidRPr="007C3A45" w:rsidRDefault="00501396"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Wie bei allen Patienten, die mit Diuretika behandelt werden, sollte in regelmäßigen Abständen die</w:t>
      </w:r>
      <w:r w:rsidR="00A27783" w:rsidRPr="007C3A45">
        <w:rPr>
          <w:snapToGrid/>
          <w:szCs w:val="22"/>
          <w:lang w:val="de-DE" w:eastAsia="de-DE"/>
        </w:rPr>
        <w:t xml:space="preserve"> </w:t>
      </w:r>
      <w:r w:rsidRPr="007C3A45">
        <w:rPr>
          <w:snapToGrid/>
          <w:szCs w:val="22"/>
          <w:lang w:val="de-DE" w:eastAsia="de-DE"/>
        </w:rPr>
        <w:t>Bestimmung der Serumelektrolyte erfolgen.</w:t>
      </w:r>
    </w:p>
    <w:p w:rsidR="00501396" w:rsidRPr="007C3A45" w:rsidRDefault="00501396"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Thiazide, einschließlich Hydrochlorothiazid, können Flüssigkeits- oder Elektrolytstörungen</w:t>
      </w:r>
      <w:r w:rsidR="00A27783" w:rsidRPr="007C3A45">
        <w:rPr>
          <w:snapToGrid/>
          <w:szCs w:val="22"/>
          <w:lang w:val="de-DE" w:eastAsia="de-DE"/>
        </w:rPr>
        <w:t xml:space="preserve"> </w:t>
      </w:r>
      <w:r w:rsidRPr="007C3A45">
        <w:rPr>
          <w:snapToGrid/>
          <w:szCs w:val="22"/>
          <w:lang w:val="de-DE" w:eastAsia="de-DE"/>
        </w:rPr>
        <w:t xml:space="preserve">verursachen (einschließlich Hypokaliämie, Hyponatriämie und </w:t>
      </w:r>
      <w:proofErr w:type="spellStart"/>
      <w:r w:rsidRPr="007C3A45">
        <w:rPr>
          <w:snapToGrid/>
          <w:szCs w:val="22"/>
          <w:lang w:val="de-DE" w:eastAsia="de-DE"/>
        </w:rPr>
        <w:t>hypochlorämischer</w:t>
      </w:r>
      <w:proofErr w:type="spellEnd"/>
      <w:r w:rsidRPr="007C3A45">
        <w:rPr>
          <w:snapToGrid/>
          <w:szCs w:val="22"/>
          <w:lang w:val="de-DE" w:eastAsia="de-DE"/>
        </w:rPr>
        <w:t xml:space="preserve"> Alkalose).</w:t>
      </w:r>
      <w:r w:rsidR="00A27783" w:rsidRPr="007C3A45">
        <w:rPr>
          <w:snapToGrid/>
          <w:szCs w:val="22"/>
          <w:lang w:val="de-DE" w:eastAsia="de-DE"/>
        </w:rPr>
        <w:t xml:space="preserve"> </w:t>
      </w:r>
      <w:r w:rsidRPr="007C3A45">
        <w:rPr>
          <w:snapToGrid/>
          <w:szCs w:val="22"/>
          <w:lang w:val="de-DE" w:eastAsia="de-DE"/>
        </w:rPr>
        <w:t>Warnende Anzeichen von Flüssigkeits- oder Elektrolytstörung sind Mundtrockenheit, Durst, Asthenie,</w:t>
      </w:r>
      <w:r w:rsidR="00A27783" w:rsidRPr="007C3A45">
        <w:rPr>
          <w:snapToGrid/>
          <w:szCs w:val="22"/>
          <w:lang w:val="de-DE" w:eastAsia="de-DE"/>
        </w:rPr>
        <w:t xml:space="preserve"> </w:t>
      </w:r>
      <w:r w:rsidRPr="007C3A45">
        <w:rPr>
          <w:snapToGrid/>
          <w:szCs w:val="22"/>
          <w:lang w:val="de-DE" w:eastAsia="de-DE"/>
        </w:rPr>
        <w:t>Lethargie, Schläfrigkeit, Unruhe, Muskelschmerzen oder -krämpfe, Muskelermüdung, Hypotonie,</w:t>
      </w:r>
      <w:r w:rsidR="00A27783" w:rsidRPr="007C3A45">
        <w:rPr>
          <w:snapToGrid/>
          <w:szCs w:val="22"/>
          <w:lang w:val="de-DE" w:eastAsia="de-DE"/>
        </w:rPr>
        <w:t xml:space="preserve"> </w:t>
      </w:r>
      <w:r w:rsidRPr="007C3A45">
        <w:rPr>
          <w:snapToGrid/>
          <w:szCs w:val="22"/>
          <w:lang w:val="de-DE" w:eastAsia="de-DE"/>
        </w:rPr>
        <w:t>Oligurie, Tachykardie und gastrointestinale Störungen, wie Übelkeit oder Erbrechen (siehe</w:t>
      </w:r>
      <w:r w:rsidR="00A27783" w:rsidRPr="007C3A45">
        <w:rPr>
          <w:snapToGrid/>
          <w:szCs w:val="22"/>
          <w:lang w:val="de-DE" w:eastAsia="de-DE"/>
        </w:rPr>
        <w:t xml:space="preserve"> </w:t>
      </w:r>
      <w:r w:rsidRPr="007C3A45">
        <w:rPr>
          <w:snapToGrid/>
          <w:szCs w:val="22"/>
          <w:lang w:val="de-DE" w:eastAsia="de-DE"/>
        </w:rPr>
        <w:t>Abschnitt</w:t>
      </w:r>
      <w:r w:rsidR="00433771">
        <w:rPr>
          <w:snapToGrid/>
          <w:szCs w:val="22"/>
          <w:lang w:val="de-DE" w:eastAsia="de-DE"/>
        </w:rPr>
        <w:t> </w:t>
      </w:r>
      <w:r w:rsidRPr="007C3A45">
        <w:rPr>
          <w:snapToGrid/>
          <w:szCs w:val="22"/>
          <w:lang w:val="de-DE" w:eastAsia="de-DE"/>
        </w:rPr>
        <w:t>4.8).</w:t>
      </w:r>
    </w:p>
    <w:p w:rsidR="003B0859" w:rsidRPr="007C3A45" w:rsidRDefault="003B0859" w:rsidP="0003742E">
      <w:pPr>
        <w:widowControl w:val="0"/>
        <w:tabs>
          <w:tab w:val="clear" w:pos="567"/>
        </w:tabs>
        <w:autoSpaceDE w:val="0"/>
        <w:autoSpaceDN w:val="0"/>
        <w:adjustRightInd w:val="0"/>
        <w:spacing w:line="240" w:lineRule="auto"/>
        <w:rPr>
          <w:snapToGrid/>
          <w:szCs w:val="22"/>
          <w:lang w:val="de-DE" w:eastAsia="de-DE"/>
        </w:rPr>
      </w:pPr>
    </w:p>
    <w:p w:rsidR="00501396" w:rsidRPr="007C3A45" w:rsidRDefault="00694745" w:rsidP="0003742E">
      <w:pPr>
        <w:widowControl w:val="0"/>
        <w:tabs>
          <w:tab w:val="clear" w:pos="567"/>
        </w:tabs>
        <w:autoSpaceDE w:val="0"/>
        <w:autoSpaceDN w:val="0"/>
        <w:adjustRightInd w:val="0"/>
        <w:spacing w:line="240" w:lineRule="auto"/>
        <w:ind w:left="567" w:hanging="567"/>
        <w:rPr>
          <w:snapToGrid/>
          <w:szCs w:val="22"/>
          <w:lang w:val="de-DE" w:eastAsia="de-DE"/>
        </w:rPr>
      </w:pPr>
      <w:r w:rsidRPr="007C3A45">
        <w:rPr>
          <w:snapToGrid/>
          <w:szCs w:val="22"/>
          <w:lang w:val="de-DE" w:eastAsia="de-DE"/>
        </w:rPr>
        <w:t>-</w:t>
      </w:r>
      <w:r w:rsidR="003B0859" w:rsidRPr="007C3A45">
        <w:rPr>
          <w:snapToGrid/>
          <w:szCs w:val="22"/>
          <w:lang w:val="de-DE" w:eastAsia="de-DE"/>
        </w:rPr>
        <w:tab/>
      </w:r>
      <w:r w:rsidR="00501396" w:rsidRPr="007C3A45">
        <w:rPr>
          <w:snapToGrid/>
          <w:szCs w:val="22"/>
          <w:lang w:val="de-DE" w:eastAsia="de-DE"/>
        </w:rPr>
        <w:t>Hypokaliämie</w:t>
      </w:r>
    </w:p>
    <w:p w:rsidR="00501396" w:rsidRPr="007C3A45" w:rsidRDefault="00501396"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Obwohl es bei der Einnahme von Thiaziddiuretika zu Hypokaliämie kommen kann, kann die</w:t>
      </w:r>
      <w:r w:rsidR="003B0859" w:rsidRPr="007C3A45">
        <w:rPr>
          <w:snapToGrid/>
          <w:szCs w:val="22"/>
          <w:lang w:val="de-DE" w:eastAsia="de-DE"/>
        </w:rPr>
        <w:t xml:space="preserve"> </w:t>
      </w:r>
      <w:r w:rsidRPr="007C3A45">
        <w:rPr>
          <w:snapToGrid/>
          <w:szCs w:val="22"/>
          <w:lang w:val="de-DE" w:eastAsia="de-DE"/>
        </w:rPr>
        <w:t>gleichzeitige Behandlung mit Telmisartan die Diuretika bedingte Hypokaliämie verringern. Ein</w:t>
      </w:r>
      <w:r w:rsidR="003B0859" w:rsidRPr="007C3A45">
        <w:rPr>
          <w:snapToGrid/>
          <w:szCs w:val="22"/>
          <w:lang w:val="de-DE" w:eastAsia="de-DE"/>
        </w:rPr>
        <w:t xml:space="preserve"> </w:t>
      </w:r>
      <w:r w:rsidRPr="007C3A45">
        <w:rPr>
          <w:snapToGrid/>
          <w:szCs w:val="22"/>
          <w:lang w:val="de-DE" w:eastAsia="de-DE"/>
        </w:rPr>
        <w:t>größeres Risiko einer Hypokaliämie besteht bei Patienten mit Leberzirrhose, bei Patienten unter</w:t>
      </w:r>
      <w:r w:rsidR="003B0859" w:rsidRPr="007C3A45">
        <w:rPr>
          <w:snapToGrid/>
          <w:szCs w:val="22"/>
          <w:lang w:val="de-DE" w:eastAsia="de-DE"/>
        </w:rPr>
        <w:t xml:space="preserve"> </w:t>
      </w:r>
      <w:r w:rsidRPr="007C3A45">
        <w:rPr>
          <w:snapToGrid/>
          <w:szCs w:val="22"/>
          <w:lang w:val="de-DE" w:eastAsia="de-DE"/>
        </w:rPr>
        <w:t>forcierter Diurese, bei Patienten mit unzureichender oraler Elektrolytaufnahme und bei Patienten unter</w:t>
      </w:r>
      <w:r w:rsidR="003B0859" w:rsidRPr="007C3A45">
        <w:rPr>
          <w:snapToGrid/>
          <w:szCs w:val="22"/>
          <w:lang w:val="de-DE" w:eastAsia="de-DE"/>
        </w:rPr>
        <w:t xml:space="preserve"> </w:t>
      </w:r>
      <w:r w:rsidRPr="007C3A45">
        <w:rPr>
          <w:snapToGrid/>
          <w:szCs w:val="22"/>
          <w:lang w:val="de-DE" w:eastAsia="de-DE"/>
        </w:rPr>
        <w:t xml:space="preserve">einer begleitenden Behandlung mit Kortikosteroiden oder </w:t>
      </w:r>
      <w:proofErr w:type="spellStart"/>
      <w:r w:rsidRPr="007C3A45">
        <w:rPr>
          <w:snapToGrid/>
          <w:szCs w:val="22"/>
          <w:lang w:val="de-DE" w:eastAsia="de-DE"/>
        </w:rPr>
        <w:t>adrenocorticotropem</w:t>
      </w:r>
      <w:proofErr w:type="spellEnd"/>
      <w:r w:rsidRPr="007C3A45">
        <w:rPr>
          <w:snapToGrid/>
          <w:szCs w:val="22"/>
          <w:lang w:val="de-DE" w:eastAsia="de-DE"/>
        </w:rPr>
        <w:t xml:space="preserve"> Hormon (ACTH)</w:t>
      </w:r>
      <w:r w:rsidR="003B0859" w:rsidRPr="007C3A45">
        <w:rPr>
          <w:snapToGrid/>
          <w:szCs w:val="22"/>
          <w:lang w:val="de-DE" w:eastAsia="de-DE"/>
        </w:rPr>
        <w:t xml:space="preserve"> </w:t>
      </w:r>
      <w:r w:rsidRPr="007C3A45">
        <w:rPr>
          <w:snapToGrid/>
          <w:szCs w:val="22"/>
          <w:lang w:val="de-DE" w:eastAsia="de-DE"/>
        </w:rPr>
        <w:t>(siehe Abschnitt</w:t>
      </w:r>
      <w:r w:rsidR="00433771">
        <w:rPr>
          <w:snapToGrid/>
          <w:szCs w:val="22"/>
          <w:lang w:val="de-DE" w:eastAsia="de-DE"/>
        </w:rPr>
        <w:t> </w:t>
      </w:r>
      <w:r w:rsidRPr="007C3A45">
        <w:rPr>
          <w:snapToGrid/>
          <w:szCs w:val="22"/>
          <w:lang w:val="de-DE" w:eastAsia="de-DE"/>
        </w:rPr>
        <w:t>4.5).</w:t>
      </w:r>
    </w:p>
    <w:p w:rsidR="003B0859" w:rsidRPr="007C3A45" w:rsidRDefault="003B0859" w:rsidP="0003742E">
      <w:pPr>
        <w:widowControl w:val="0"/>
        <w:tabs>
          <w:tab w:val="clear" w:pos="567"/>
        </w:tabs>
        <w:autoSpaceDE w:val="0"/>
        <w:autoSpaceDN w:val="0"/>
        <w:adjustRightInd w:val="0"/>
        <w:spacing w:line="240" w:lineRule="auto"/>
        <w:rPr>
          <w:snapToGrid/>
          <w:szCs w:val="22"/>
          <w:lang w:val="de-DE" w:eastAsia="de-DE"/>
        </w:rPr>
      </w:pPr>
    </w:p>
    <w:p w:rsidR="00501396" w:rsidRPr="007C3A45" w:rsidRDefault="00694745" w:rsidP="0003742E">
      <w:pPr>
        <w:widowControl w:val="0"/>
        <w:tabs>
          <w:tab w:val="clear" w:pos="567"/>
        </w:tabs>
        <w:autoSpaceDE w:val="0"/>
        <w:autoSpaceDN w:val="0"/>
        <w:adjustRightInd w:val="0"/>
        <w:spacing w:line="240" w:lineRule="auto"/>
        <w:ind w:left="567" w:hanging="567"/>
        <w:rPr>
          <w:snapToGrid/>
          <w:szCs w:val="22"/>
          <w:lang w:val="de-DE" w:eastAsia="de-DE"/>
        </w:rPr>
      </w:pPr>
      <w:r w:rsidRPr="007C3A45">
        <w:rPr>
          <w:snapToGrid/>
          <w:szCs w:val="22"/>
          <w:lang w:val="de-DE" w:eastAsia="de-DE"/>
        </w:rPr>
        <w:t>-</w:t>
      </w:r>
      <w:r w:rsidR="003B0859" w:rsidRPr="007C3A45">
        <w:rPr>
          <w:snapToGrid/>
          <w:szCs w:val="22"/>
          <w:lang w:val="de-DE" w:eastAsia="de-DE"/>
        </w:rPr>
        <w:tab/>
      </w:r>
      <w:r w:rsidR="00501396" w:rsidRPr="007C3A45">
        <w:rPr>
          <w:snapToGrid/>
          <w:szCs w:val="22"/>
          <w:lang w:val="de-DE" w:eastAsia="de-DE"/>
        </w:rPr>
        <w:t>Hyperkaliämie</w:t>
      </w:r>
    </w:p>
    <w:p w:rsidR="00501396" w:rsidRPr="007C3A45" w:rsidRDefault="00501396"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Umgekehrt kann es aufgrund des Antagonismus der Angiotensin-II-Rezeptoren (AT</w:t>
      </w:r>
      <w:r w:rsidRPr="00854C15">
        <w:rPr>
          <w:snapToGrid/>
          <w:szCs w:val="22"/>
          <w:vertAlign w:val="subscript"/>
          <w:lang w:val="de-DE" w:eastAsia="de-DE"/>
        </w:rPr>
        <w:t>1</w:t>
      </w:r>
      <w:r w:rsidRPr="007C3A45">
        <w:rPr>
          <w:snapToGrid/>
          <w:szCs w:val="22"/>
          <w:lang w:val="de-DE" w:eastAsia="de-DE"/>
        </w:rPr>
        <w:t>) durch die</w:t>
      </w:r>
      <w:r w:rsidR="003B0859" w:rsidRPr="007C3A45">
        <w:rPr>
          <w:snapToGrid/>
          <w:szCs w:val="22"/>
          <w:lang w:val="de-DE" w:eastAsia="de-DE"/>
        </w:rPr>
        <w:t xml:space="preserve"> </w:t>
      </w:r>
      <w:r w:rsidRPr="007C3A45">
        <w:rPr>
          <w:snapToGrid/>
          <w:szCs w:val="22"/>
          <w:lang w:val="de-DE" w:eastAsia="de-DE"/>
        </w:rPr>
        <w:t xml:space="preserve">Telmisartan-Komponente in </w:t>
      </w:r>
      <w:proofErr w:type="spellStart"/>
      <w:r w:rsidRPr="007C3A45">
        <w:rPr>
          <w:snapToGrid/>
          <w:szCs w:val="22"/>
          <w:lang w:val="de-DE" w:eastAsia="de-DE"/>
        </w:rPr>
        <w:t>Tolucombi</w:t>
      </w:r>
      <w:proofErr w:type="spellEnd"/>
      <w:r w:rsidRPr="007C3A45">
        <w:rPr>
          <w:snapToGrid/>
          <w:szCs w:val="22"/>
          <w:lang w:val="de-DE" w:eastAsia="de-DE"/>
        </w:rPr>
        <w:t xml:space="preserve"> zu einer Hyperkaliämie kommen. Eine klinisch relevante</w:t>
      </w:r>
      <w:r w:rsidR="003B0859" w:rsidRPr="007C3A45">
        <w:rPr>
          <w:snapToGrid/>
          <w:szCs w:val="22"/>
          <w:lang w:val="de-DE" w:eastAsia="de-DE"/>
        </w:rPr>
        <w:t xml:space="preserve"> </w:t>
      </w:r>
      <w:r w:rsidRPr="007C3A45">
        <w:rPr>
          <w:snapToGrid/>
          <w:szCs w:val="22"/>
          <w:lang w:val="de-DE" w:eastAsia="de-DE"/>
        </w:rPr>
        <w:t xml:space="preserve">Hyperkaliämie wurde mit </w:t>
      </w:r>
      <w:proofErr w:type="spellStart"/>
      <w:r w:rsidRPr="007C3A45">
        <w:rPr>
          <w:snapToGrid/>
          <w:szCs w:val="22"/>
          <w:lang w:val="de-DE" w:eastAsia="de-DE"/>
        </w:rPr>
        <w:t>Tolucombi</w:t>
      </w:r>
      <w:proofErr w:type="spellEnd"/>
      <w:r w:rsidRPr="007C3A45">
        <w:rPr>
          <w:snapToGrid/>
          <w:szCs w:val="22"/>
          <w:lang w:val="de-DE" w:eastAsia="de-DE"/>
        </w:rPr>
        <w:t xml:space="preserve"> zwar nicht berichtet, Risikofaktoren für die Entstehung einer</w:t>
      </w:r>
      <w:r w:rsidR="003B0859" w:rsidRPr="007C3A45">
        <w:rPr>
          <w:snapToGrid/>
          <w:szCs w:val="22"/>
          <w:lang w:val="de-DE" w:eastAsia="de-DE"/>
        </w:rPr>
        <w:t xml:space="preserve"> </w:t>
      </w:r>
      <w:r w:rsidRPr="007C3A45">
        <w:rPr>
          <w:snapToGrid/>
          <w:szCs w:val="22"/>
          <w:lang w:val="de-DE" w:eastAsia="de-DE"/>
        </w:rPr>
        <w:t>Hyperkaliämie umfassen jedoch unter anderem Niereninsuffizienz und/oder Herzinsuffizienz und</w:t>
      </w:r>
      <w:r w:rsidR="003B0859" w:rsidRPr="007C3A45">
        <w:rPr>
          <w:snapToGrid/>
          <w:szCs w:val="22"/>
          <w:lang w:val="de-DE" w:eastAsia="de-DE"/>
        </w:rPr>
        <w:t xml:space="preserve"> </w:t>
      </w:r>
      <w:r w:rsidRPr="007C3A45">
        <w:rPr>
          <w:snapToGrid/>
          <w:szCs w:val="22"/>
          <w:lang w:val="de-DE" w:eastAsia="de-DE"/>
        </w:rPr>
        <w:t>Diabetes mellitus. Kaliumsparende Diuretika, Kaliumpräparate oder kaliumhaltige Salzersatzpräparate</w:t>
      </w:r>
      <w:r w:rsidR="003B0859" w:rsidRPr="007C3A45">
        <w:rPr>
          <w:snapToGrid/>
          <w:szCs w:val="22"/>
          <w:lang w:val="de-DE" w:eastAsia="de-DE"/>
        </w:rPr>
        <w:t xml:space="preserve"> </w:t>
      </w:r>
      <w:r w:rsidRPr="007C3A45">
        <w:rPr>
          <w:snapToGrid/>
          <w:szCs w:val="22"/>
          <w:lang w:val="de-DE" w:eastAsia="de-DE"/>
        </w:rPr>
        <w:t xml:space="preserve">sollten nur mit Vorsicht mit </w:t>
      </w:r>
      <w:proofErr w:type="spellStart"/>
      <w:r w:rsidRPr="007C3A45">
        <w:rPr>
          <w:snapToGrid/>
          <w:szCs w:val="22"/>
          <w:lang w:val="de-DE" w:eastAsia="de-DE"/>
        </w:rPr>
        <w:t>Tolucombi</w:t>
      </w:r>
      <w:proofErr w:type="spellEnd"/>
      <w:r w:rsidRPr="007C3A45">
        <w:rPr>
          <w:snapToGrid/>
          <w:szCs w:val="22"/>
          <w:lang w:val="de-DE" w:eastAsia="de-DE"/>
        </w:rPr>
        <w:t xml:space="preserve"> zusammen gegeben werden (siehe Abschnitt</w:t>
      </w:r>
      <w:r w:rsidR="00433771">
        <w:rPr>
          <w:snapToGrid/>
          <w:szCs w:val="22"/>
          <w:lang w:val="de-DE" w:eastAsia="de-DE"/>
        </w:rPr>
        <w:t> </w:t>
      </w:r>
      <w:r w:rsidRPr="007C3A45">
        <w:rPr>
          <w:snapToGrid/>
          <w:szCs w:val="22"/>
          <w:lang w:val="de-DE" w:eastAsia="de-DE"/>
        </w:rPr>
        <w:t>4.5).</w:t>
      </w:r>
    </w:p>
    <w:p w:rsidR="003B0859" w:rsidRPr="007C3A45" w:rsidRDefault="003B0859" w:rsidP="0003742E">
      <w:pPr>
        <w:widowControl w:val="0"/>
        <w:tabs>
          <w:tab w:val="clear" w:pos="567"/>
        </w:tabs>
        <w:autoSpaceDE w:val="0"/>
        <w:autoSpaceDN w:val="0"/>
        <w:adjustRightInd w:val="0"/>
        <w:spacing w:line="240" w:lineRule="auto"/>
        <w:rPr>
          <w:snapToGrid/>
          <w:szCs w:val="22"/>
          <w:lang w:val="de-DE" w:eastAsia="de-DE"/>
        </w:rPr>
      </w:pPr>
    </w:p>
    <w:p w:rsidR="00501396" w:rsidRPr="007C3A45" w:rsidRDefault="00694745" w:rsidP="0003742E">
      <w:pPr>
        <w:widowControl w:val="0"/>
        <w:tabs>
          <w:tab w:val="clear" w:pos="567"/>
        </w:tabs>
        <w:autoSpaceDE w:val="0"/>
        <w:autoSpaceDN w:val="0"/>
        <w:adjustRightInd w:val="0"/>
        <w:spacing w:line="240" w:lineRule="auto"/>
        <w:ind w:left="567" w:hanging="567"/>
        <w:rPr>
          <w:snapToGrid/>
          <w:szCs w:val="22"/>
          <w:lang w:val="de-DE" w:eastAsia="de-DE"/>
        </w:rPr>
      </w:pPr>
      <w:r w:rsidRPr="007C3A45">
        <w:rPr>
          <w:snapToGrid/>
          <w:szCs w:val="22"/>
          <w:lang w:val="de-DE" w:eastAsia="de-DE"/>
        </w:rPr>
        <w:t>-</w:t>
      </w:r>
      <w:r w:rsidR="003B0859" w:rsidRPr="007C3A45">
        <w:rPr>
          <w:snapToGrid/>
          <w:szCs w:val="22"/>
          <w:lang w:val="de-DE" w:eastAsia="de-DE"/>
        </w:rPr>
        <w:tab/>
      </w:r>
      <w:r w:rsidR="00501396" w:rsidRPr="007C3A45">
        <w:rPr>
          <w:snapToGrid/>
          <w:szCs w:val="22"/>
          <w:lang w:val="de-DE" w:eastAsia="de-DE"/>
        </w:rPr>
        <w:t xml:space="preserve">Hyponatriämie und </w:t>
      </w:r>
      <w:proofErr w:type="spellStart"/>
      <w:r w:rsidR="00501396" w:rsidRPr="007C3A45">
        <w:rPr>
          <w:snapToGrid/>
          <w:szCs w:val="22"/>
          <w:lang w:val="de-DE" w:eastAsia="de-DE"/>
        </w:rPr>
        <w:t>hypochlorämische</w:t>
      </w:r>
      <w:proofErr w:type="spellEnd"/>
      <w:r w:rsidR="00501396" w:rsidRPr="007C3A45">
        <w:rPr>
          <w:snapToGrid/>
          <w:szCs w:val="22"/>
          <w:lang w:val="de-DE" w:eastAsia="de-DE"/>
        </w:rPr>
        <w:t xml:space="preserve"> Alkalose</w:t>
      </w:r>
    </w:p>
    <w:p w:rsidR="00501396" w:rsidRPr="007C3A45" w:rsidRDefault="00501396"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 xml:space="preserve">Es gibt keine Hinweise dafür, dass </w:t>
      </w:r>
      <w:proofErr w:type="spellStart"/>
      <w:r w:rsidRPr="007C3A45">
        <w:rPr>
          <w:snapToGrid/>
          <w:szCs w:val="22"/>
          <w:lang w:val="de-DE" w:eastAsia="de-DE"/>
        </w:rPr>
        <w:t>Tolucombi</w:t>
      </w:r>
      <w:proofErr w:type="spellEnd"/>
      <w:r w:rsidRPr="007C3A45">
        <w:rPr>
          <w:snapToGrid/>
          <w:szCs w:val="22"/>
          <w:lang w:val="de-DE" w:eastAsia="de-DE"/>
        </w:rPr>
        <w:t xml:space="preserve"> eine durch Diuretika hervorgerufene Hyponatriämie</w:t>
      </w:r>
      <w:r w:rsidR="003B0859" w:rsidRPr="007C3A45">
        <w:rPr>
          <w:snapToGrid/>
          <w:szCs w:val="22"/>
          <w:lang w:val="de-DE" w:eastAsia="de-DE"/>
        </w:rPr>
        <w:t xml:space="preserve"> </w:t>
      </w:r>
      <w:r w:rsidRPr="007C3A45">
        <w:rPr>
          <w:snapToGrid/>
          <w:szCs w:val="22"/>
          <w:lang w:val="de-DE" w:eastAsia="de-DE"/>
        </w:rPr>
        <w:t xml:space="preserve">verringern oder verhindern könnte. Der </w:t>
      </w:r>
      <w:proofErr w:type="spellStart"/>
      <w:r w:rsidRPr="007C3A45">
        <w:rPr>
          <w:snapToGrid/>
          <w:szCs w:val="22"/>
          <w:lang w:val="de-DE" w:eastAsia="de-DE"/>
        </w:rPr>
        <w:t>Chloridmangel</w:t>
      </w:r>
      <w:proofErr w:type="spellEnd"/>
      <w:r w:rsidRPr="007C3A45">
        <w:rPr>
          <w:snapToGrid/>
          <w:szCs w:val="22"/>
          <w:lang w:val="de-DE" w:eastAsia="de-DE"/>
        </w:rPr>
        <w:t xml:space="preserve"> ist meist gering und bedarf normalerweise</w:t>
      </w:r>
      <w:r w:rsidR="003B0859" w:rsidRPr="007C3A45">
        <w:rPr>
          <w:snapToGrid/>
          <w:szCs w:val="22"/>
          <w:lang w:val="de-DE" w:eastAsia="de-DE"/>
        </w:rPr>
        <w:t xml:space="preserve"> </w:t>
      </w:r>
      <w:r w:rsidRPr="007C3A45">
        <w:rPr>
          <w:snapToGrid/>
          <w:szCs w:val="22"/>
          <w:lang w:val="de-DE" w:eastAsia="de-DE"/>
        </w:rPr>
        <w:t>keiner Behandlung.</w:t>
      </w:r>
    </w:p>
    <w:p w:rsidR="003B0859" w:rsidRPr="007C3A45" w:rsidRDefault="003B0859" w:rsidP="0003742E">
      <w:pPr>
        <w:widowControl w:val="0"/>
        <w:tabs>
          <w:tab w:val="clear" w:pos="567"/>
        </w:tabs>
        <w:autoSpaceDE w:val="0"/>
        <w:autoSpaceDN w:val="0"/>
        <w:adjustRightInd w:val="0"/>
        <w:spacing w:line="240" w:lineRule="auto"/>
        <w:rPr>
          <w:snapToGrid/>
          <w:szCs w:val="22"/>
          <w:lang w:val="de-DE" w:eastAsia="de-DE"/>
        </w:rPr>
      </w:pPr>
    </w:p>
    <w:p w:rsidR="00501396" w:rsidRPr="007C3A45" w:rsidRDefault="00694745" w:rsidP="0003742E">
      <w:pPr>
        <w:widowControl w:val="0"/>
        <w:tabs>
          <w:tab w:val="clear" w:pos="567"/>
        </w:tabs>
        <w:autoSpaceDE w:val="0"/>
        <w:autoSpaceDN w:val="0"/>
        <w:adjustRightInd w:val="0"/>
        <w:spacing w:line="240" w:lineRule="auto"/>
        <w:ind w:left="567" w:hanging="567"/>
        <w:rPr>
          <w:snapToGrid/>
          <w:szCs w:val="22"/>
          <w:lang w:val="de-DE" w:eastAsia="de-DE"/>
        </w:rPr>
      </w:pPr>
      <w:r w:rsidRPr="007C3A45">
        <w:rPr>
          <w:snapToGrid/>
          <w:szCs w:val="22"/>
          <w:lang w:val="de-DE" w:eastAsia="de-DE"/>
        </w:rPr>
        <w:t>-</w:t>
      </w:r>
      <w:r w:rsidR="003B0859" w:rsidRPr="007C3A45">
        <w:rPr>
          <w:snapToGrid/>
          <w:szCs w:val="22"/>
          <w:lang w:val="de-DE" w:eastAsia="de-DE"/>
        </w:rPr>
        <w:tab/>
      </w:r>
      <w:proofErr w:type="spellStart"/>
      <w:r w:rsidR="00501396" w:rsidRPr="007C3A45">
        <w:rPr>
          <w:snapToGrid/>
          <w:szCs w:val="22"/>
          <w:lang w:val="de-DE" w:eastAsia="de-DE"/>
        </w:rPr>
        <w:t>Hyper</w:t>
      </w:r>
      <w:r w:rsidR="001958A3">
        <w:rPr>
          <w:snapToGrid/>
          <w:szCs w:val="22"/>
          <w:lang w:val="de-DE" w:eastAsia="de-DE"/>
        </w:rPr>
        <w:t>c</w:t>
      </w:r>
      <w:r w:rsidR="00501396" w:rsidRPr="007C3A45">
        <w:rPr>
          <w:snapToGrid/>
          <w:szCs w:val="22"/>
          <w:lang w:val="de-DE" w:eastAsia="de-DE"/>
        </w:rPr>
        <w:t>al</w:t>
      </w:r>
      <w:r w:rsidR="001958A3">
        <w:rPr>
          <w:snapToGrid/>
          <w:szCs w:val="22"/>
          <w:lang w:val="de-DE" w:eastAsia="de-DE"/>
        </w:rPr>
        <w:t>c</w:t>
      </w:r>
      <w:r w:rsidR="00501396" w:rsidRPr="007C3A45">
        <w:rPr>
          <w:snapToGrid/>
          <w:szCs w:val="22"/>
          <w:lang w:val="de-DE" w:eastAsia="de-DE"/>
        </w:rPr>
        <w:t>ämie</w:t>
      </w:r>
      <w:proofErr w:type="spellEnd"/>
    </w:p>
    <w:p w:rsidR="00501396" w:rsidRPr="007C3A45" w:rsidRDefault="00501396"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 xml:space="preserve">Thiazide können die Ausscheidung von </w:t>
      </w:r>
      <w:r w:rsidR="001958A3">
        <w:rPr>
          <w:snapToGrid/>
          <w:szCs w:val="22"/>
          <w:lang w:val="de-DE" w:eastAsia="de-DE"/>
        </w:rPr>
        <w:t>C</w:t>
      </w:r>
      <w:r w:rsidRPr="007C3A45">
        <w:rPr>
          <w:snapToGrid/>
          <w:szCs w:val="22"/>
          <w:lang w:val="de-DE" w:eastAsia="de-DE"/>
        </w:rPr>
        <w:t>al</w:t>
      </w:r>
      <w:r w:rsidR="001958A3">
        <w:rPr>
          <w:snapToGrid/>
          <w:szCs w:val="22"/>
          <w:lang w:val="de-DE" w:eastAsia="de-DE"/>
        </w:rPr>
        <w:t>c</w:t>
      </w:r>
      <w:r w:rsidRPr="007C3A45">
        <w:rPr>
          <w:snapToGrid/>
          <w:szCs w:val="22"/>
          <w:lang w:val="de-DE" w:eastAsia="de-DE"/>
        </w:rPr>
        <w:t>ium mit dem Urin verringern und zu einer zeitweise</w:t>
      </w:r>
      <w:r w:rsidR="003B0859" w:rsidRPr="007C3A45">
        <w:rPr>
          <w:snapToGrid/>
          <w:szCs w:val="22"/>
          <w:lang w:val="de-DE" w:eastAsia="de-DE"/>
        </w:rPr>
        <w:t xml:space="preserve"> </w:t>
      </w:r>
      <w:r w:rsidRPr="007C3A45">
        <w:rPr>
          <w:snapToGrid/>
          <w:szCs w:val="22"/>
          <w:lang w:val="de-DE" w:eastAsia="de-DE"/>
        </w:rPr>
        <w:t>auftretenden leichten Erhöhung des Serum</w:t>
      </w:r>
      <w:r w:rsidR="001958A3">
        <w:rPr>
          <w:snapToGrid/>
          <w:szCs w:val="22"/>
          <w:lang w:val="de-DE" w:eastAsia="de-DE"/>
        </w:rPr>
        <w:t>c</w:t>
      </w:r>
      <w:r w:rsidRPr="007C3A45">
        <w:rPr>
          <w:snapToGrid/>
          <w:szCs w:val="22"/>
          <w:lang w:val="de-DE" w:eastAsia="de-DE"/>
        </w:rPr>
        <w:t>al</w:t>
      </w:r>
      <w:r w:rsidR="001958A3">
        <w:rPr>
          <w:snapToGrid/>
          <w:szCs w:val="22"/>
          <w:lang w:val="de-DE" w:eastAsia="de-DE"/>
        </w:rPr>
        <w:t>c</w:t>
      </w:r>
      <w:r w:rsidRPr="007C3A45">
        <w:rPr>
          <w:snapToGrid/>
          <w:szCs w:val="22"/>
          <w:lang w:val="de-DE" w:eastAsia="de-DE"/>
        </w:rPr>
        <w:t>iums führen, auch wenn keine anderen Störungen des</w:t>
      </w:r>
      <w:r w:rsidR="003B0859" w:rsidRPr="007C3A45">
        <w:rPr>
          <w:snapToGrid/>
          <w:szCs w:val="22"/>
          <w:lang w:val="de-DE" w:eastAsia="de-DE"/>
        </w:rPr>
        <w:t xml:space="preserve"> </w:t>
      </w:r>
      <w:r w:rsidR="001958A3">
        <w:rPr>
          <w:snapToGrid/>
          <w:szCs w:val="22"/>
          <w:lang w:val="de-DE" w:eastAsia="de-DE"/>
        </w:rPr>
        <w:t>C</w:t>
      </w:r>
      <w:r w:rsidRPr="007C3A45">
        <w:rPr>
          <w:snapToGrid/>
          <w:szCs w:val="22"/>
          <w:lang w:val="de-DE" w:eastAsia="de-DE"/>
        </w:rPr>
        <w:t>al</w:t>
      </w:r>
      <w:r w:rsidR="001958A3">
        <w:rPr>
          <w:snapToGrid/>
          <w:szCs w:val="22"/>
          <w:lang w:val="de-DE" w:eastAsia="de-DE"/>
        </w:rPr>
        <w:t>c</w:t>
      </w:r>
      <w:r w:rsidRPr="007C3A45">
        <w:rPr>
          <w:snapToGrid/>
          <w:szCs w:val="22"/>
          <w:lang w:val="de-DE" w:eastAsia="de-DE"/>
        </w:rPr>
        <w:t xml:space="preserve">iumstoffwechsels bekannt sind. Eine deutliche </w:t>
      </w:r>
      <w:proofErr w:type="spellStart"/>
      <w:r w:rsidRPr="007C3A45">
        <w:rPr>
          <w:snapToGrid/>
          <w:szCs w:val="22"/>
          <w:lang w:val="de-DE" w:eastAsia="de-DE"/>
        </w:rPr>
        <w:t>Hyper</w:t>
      </w:r>
      <w:r w:rsidR="001958A3">
        <w:rPr>
          <w:snapToGrid/>
          <w:szCs w:val="22"/>
          <w:lang w:val="de-DE" w:eastAsia="de-DE"/>
        </w:rPr>
        <w:t>c</w:t>
      </w:r>
      <w:r w:rsidRPr="007C3A45">
        <w:rPr>
          <w:snapToGrid/>
          <w:szCs w:val="22"/>
          <w:lang w:val="de-DE" w:eastAsia="de-DE"/>
        </w:rPr>
        <w:t>al</w:t>
      </w:r>
      <w:r w:rsidR="001958A3">
        <w:rPr>
          <w:snapToGrid/>
          <w:szCs w:val="22"/>
          <w:lang w:val="de-DE" w:eastAsia="de-DE"/>
        </w:rPr>
        <w:t>c</w:t>
      </w:r>
      <w:r w:rsidRPr="007C3A45">
        <w:rPr>
          <w:snapToGrid/>
          <w:szCs w:val="22"/>
          <w:lang w:val="de-DE" w:eastAsia="de-DE"/>
        </w:rPr>
        <w:t>ämie</w:t>
      </w:r>
      <w:proofErr w:type="spellEnd"/>
      <w:r w:rsidRPr="007C3A45">
        <w:rPr>
          <w:snapToGrid/>
          <w:szCs w:val="22"/>
          <w:lang w:val="de-DE" w:eastAsia="de-DE"/>
        </w:rPr>
        <w:t xml:space="preserve"> kann ein Hinweis auf einen</w:t>
      </w:r>
      <w:r w:rsidR="003B0859" w:rsidRPr="007C3A45">
        <w:rPr>
          <w:snapToGrid/>
          <w:szCs w:val="22"/>
          <w:lang w:val="de-DE" w:eastAsia="de-DE"/>
        </w:rPr>
        <w:t xml:space="preserve"> </w:t>
      </w:r>
      <w:r w:rsidRPr="007C3A45">
        <w:rPr>
          <w:snapToGrid/>
          <w:szCs w:val="22"/>
          <w:lang w:val="de-DE" w:eastAsia="de-DE"/>
        </w:rPr>
        <w:t xml:space="preserve">versteckten </w:t>
      </w:r>
      <w:proofErr w:type="spellStart"/>
      <w:r w:rsidRPr="007C3A45">
        <w:rPr>
          <w:snapToGrid/>
          <w:szCs w:val="22"/>
          <w:lang w:val="de-DE" w:eastAsia="de-DE"/>
        </w:rPr>
        <w:t>Hyperparathyroidismus</w:t>
      </w:r>
      <w:proofErr w:type="spellEnd"/>
      <w:r w:rsidRPr="007C3A45">
        <w:rPr>
          <w:snapToGrid/>
          <w:szCs w:val="22"/>
          <w:lang w:val="de-DE" w:eastAsia="de-DE"/>
        </w:rPr>
        <w:t xml:space="preserve"> sein. Thiazide sollten vor der Durchführung einer</w:t>
      </w:r>
      <w:r w:rsidR="003B0859" w:rsidRPr="007C3A45">
        <w:rPr>
          <w:snapToGrid/>
          <w:szCs w:val="22"/>
          <w:lang w:val="de-DE" w:eastAsia="de-DE"/>
        </w:rPr>
        <w:t xml:space="preserve"> </w:t>
      </w:r>
      <w:r w:rsidRPr="007C3A45">
        <w:rPr>
          <w:snapToGrid/>
          <w:szCs w:val="22"/>
          <w:lang w:val="de-DE" w:eastAsia="de-DE"/>
        </w:rPr>
        <w:t>Funktionsprüfung der Nebenschilddrüse abgesetzt werden.</w:t>
      </w:r>
    </w:p>
    <w:p w:rsidR="003B0859" w:rsidRPr="007C3A45" w:rsidRDefault="003B0859" w:rsidP="0003742E">
      <w:pPr>
        <w:widowControl w:val="0"/>
        <w:tabs>
          <w:tab w:val="clear" w:pos="567"/>
        </w:tabs>
        <w:autoSpaceDE w:val="0"/>
        <w:autoSpaceDN w:val="0"/>
        <w:adjustRightInd w:val="0"/>
        <w:spacing w:line="240" w:lineRule="auto"/>
        <w:rPr>
          <w:snapToGrid/>
          <w:szCs w:val="22"/>
          <w:lang w:val="de-DE" w:eastAsia="de-DE"/>
        </w:rPr>
      </w:pPr>
    </w:p>
    <w:p w:rsidR="00501396" w:rsidRPr="007C3A45" w:rsidRDefault="00694745" w:rsidP="0003742E">
      <w:pPr>
        <w:widowControl w:val="0"/>
        <w:tabs>
          <w:tab w:val="clear" w:pos="567"/>
        </w:tabs>
        <w:autoSpaceDE w:val="0"/>
        <w:autoSpaceDN w:val="0"/>
        <w:adjustRightInd w:val="0"/>
        <w:spacing w:line="240" w:lineRule="auto"/>
        <w:ind w:left="567" w:hanging="567"/>
        <w:rPr>
          <w:snapToGrid/>
          <w:szCs w:val="22"/>
          <w:lang w:val="de-DE" w:eastAsia="de-DE"/>
        </w:rPr>
      </w:pPr>
      <w:r w:rsidRPr="007C3A45">
        <w:rPr>
          <w:snapToGrid/>
          <w:szCs w:val="22"/>
          <w:lang w:val="de-DE" w:eastAsia="de-DE"/>
        </w:rPr>
        <w:t>-</w:t>
      </w:r>
      <w:r w:rsidR="003B0859" w:rsidRPr="007C3A45">
        <w:rPr>
          <w:snapToGrid/>
          <w:szCs w:val="22"/>
          <w:lang w:val="de-DE" w:eastAsia="de-DE"/>
        </w:rPr>
        <w:tab/>
      </w:r>
      <w:proofErr w:type="spellStart"/>
      <w:r w:rsidR="00501396" w:rsidRPr="007C3A45">
        <w:rPr>
          <w:snapToGrid/>
          <w:szCs w:val="22"/>
          <w:lang w:val="de-DE" w:eastAsia="de-DE"/>
        </w:rPr>
        <w:t>Hypomagnesiämie</w:t>
      </w:r>
      <w:proofErr w:type="spellEnd"/>
    </w:p>
    <w:p w:rsidR="00501396" w:rsidRPr="007C3A45" w:rsidRDefault="00501396" w:rsidP="0003742E">
      <w:pPr>
        <w:widowControl w:val="0"/>
        <w:tabs>
          <w:tab w:val="clear" w:pos="567"/>
        </w:tabs>
        <w:autoSpaceDE w:val="0"/>
        <w:autoSpaceDN w:val="0"/>
        <w:adjustRightInd w:val="0"/>
        <w:spacing w:line="240" w:lineRule="auto"/>
        <w:rPr>
          <w:snapToGrid/>
          <w:szCs w:val="22"/>
          <w:lang w:val="de-DE" w:eastAsia="de-DE"/>
        </w:rPr>
      </w:pPr>
      <w:r w:rsidRPr="007C3A45">
        <w:rPr>
          <w:snapToGrid/>
          <w:szCs w:val="22"/>
          <w:lang w:val="de-DE" w:eastAsia="de-DE"/>
        </w:rPr>
        <w:t xml:space="preserve">Thiazide erhöhen nachweislich die Magnesiumausscheidung im Urin, was zu einer </w:t>
      </w:r>
      <w:proofErr w:type="spellStart"/>
      <w:r w:rsidRPr="007C3A45">
        <w:rPr>
          <w:snapToGrid/>
          <w:szCs w:val="22"/>
          <w:lang w:val="de-DE" w:eastAsia="de-DE"/>
        </w:rPr>
        <w:t>Hypomagnesiämie</w:t>
      </w:r>
      <w:proofErr w:type="spellEnd"/>
      <w:r w:rsidR="003B0859" w:rsidRPr="007C3A45">
        <w:rPr>
          <w:snapToGrid/>
          <w:szCs w:val="22"/>
          <w:lang w:val="de-DE" w:eastAsia="de-DE"/>
        </w:rPr>
        <w:t xml:space="preserve"> </w:t>
      </w:r>
      <w:r w:rsidRPr="007C3A45">
        <w:rPr>
          <w:snapToGrid/>
          <w:szCs w:val="22"/>
          <w:lang w:val="de-DE" w:eastAsia="de-DE"/>
        </w:rPr>
        <w:t>führen kann (siehe Abschnitt</w:t>
      </w:r>
      <w:r w:rsidR="00433771">
        <w:rPr>
          <w:snapToGrid/>
          <w:szCs w:val="22"/>
          <w:lang w:val="de-DE" w:eastAsia="de-DE"/>
        </w:rPr>
        <w:t> </w:t>
      </w:r>
      <w:r w:rsidRPr="007C3A45">
        <w:rPr>
          <w:snapToGrid/>
          <w:szCs w:val="22"/>
          <w:lang w:val="de-DE" w:eastAsia="de-DE"/>
        </w:rPr>
        <w:t>4.5).</w:t>
      </w:r>
    </w:p>
    <w:p w:rsidR="003B0859" w:rsidRPr="007C3A45" w:rsidRDefault="003B0859" w:rsidP="0003742E">
      <w:pPr>
        <w:widowControl w:val="0"/>
        <w:tabs>
          <w:tab w:val="clear" w:pos="567"/>
        </w:tabs>
        <w:autoSpaceDE w:val="0"/>
        <w:autoSpaceDN w:val="0"/>
        <w:adjustRightInd w:val="0"/>
        <w:spacing w:line="240" w:lineRule="auto"/>
        <w:rPr>
          <w:snapToGrid/>
          <w:szCs w:val="22"/>
          <w:lang w:val="de-DE" w:eastAsia="de-DE"/>
        </w:rPr>
      </w:pPr>
    </w:p>
    <w:p w:rsidR="00501396" w:rsidRPr="00DE1967" w:rsidRDefault="00501396" w:rsidP="0003742E">
      <w:pPr>
        <w:widowControl w:val="0"/>
        <w:tabs>
          <w:tab w:val="clear" w:pos="567"/>
        </w:tabs>
        <w:autoSpaceDE w:val="0"/>
        <w:autoSpaceDN w:val="0"/>
        <w:adjustRightInd w:val="0"/>
        <w:spacing w:line="240" w:lineRule="auto"/>
        <w:rPr>
          <w:snapToGrid/>
          <w:szCs w:val="22"/>
          <w:u w:val="single"/>
          <w:lang w:val="de-DE" w:eastAsia="de-DE"/>
        </w:rPr>
      </w:pPr>
      <w:r w:rsidRPr="007C3A45">
        <w:rPr>
          <w:snapToGrid/>
          <w:szCs w:val="22"/>
          <w:u w:val="single"/>
          <w:lang w:val="de-DE" w:eastAsia="de-DE"/>
        </w:rPr>
        <w:t>Lactose</w:t>
      </w:r>
      <w:r w:rsidR="00A637D3" w:rsidRPr="00DE1967">
        <w:rPr>
          <w:snapToGrid/>
          <w:szCs w:val="22"/>
          <w:u w:val="single"/>
          <w:lang w:val="de-DE" w:eastAsia="de-DE"/>
        </w:rPr>
        <w:t>, Sorbitol und Natrium</w:t>
      </w:r>
    </w:p>
    <w:p w:rsidR="00501396" w:rsidRPr="00DE1967" w:rsidRDefault="00501396"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Dieses Arzneimittel enthält Lactose. Patienten mit der seltenen hereditären</w:t>
      </w:r>
      <w:r w:rsidR="003B0859" w:rsidRPr="00DE1967">
        <w:rPr>
          <w:snapToGrid/>
          <w:szCs w:val="22"/>
          <w:lang w:val="de-DE" w:eastAsia="de-DE"/>
        </w:rPr>
        <w:t xml:space="preserve"> </w:t>
      </w:r>
      <w:r w:rsidRPr="00DE1967">
        <w:rPr>
          <w:snapToGrid/>
          <w:szCs w:val="22"/>
          <w:lang w:val="de-DE" w:eastAsia="de-DE"/>
        </w:rPr>
        <w:t xml:space="preserve">Galactose-Intoleranz, </w:t>
      </w:r>
      <w:r w:rsidR="00A637D3" w:rsidRPr="00DE1967">
        <w:rPr>
          <w:snapToGrid/>
          <w:szCs w:val="22"/>
          <w:lang w:val="de-DE" w:eastAsia="de-DE"/>
        </w:rPr>
        <w:t xml:space="preserve">völligem </w:t>
      </w:r>
      <w:r w:rsidRPr="00DE1967">
        <w:rPr>
          <w:snapToGrid/>
          <w:szCs w:val="22"/>
          <w:lang w:val="de-DE" w:eastAsia="de-DE"/>
        </w:rPr>
        <w:t>Lactase-Mangel</w:t>
      </w:r>
      <w:r w:rsidR="003B0859" w:rsidRPr="00DE1967">
        <w:rPr>
          <w:snapToGrid/>
          <w:szCs w:val="22"/>
          <w:lang w:val="de-DE" w:eastAsia="de-DE"/>
        </w:rPr>
        <w:t xml:space="preserve"> </w:t>
      </w:r>
      <w:r w:rsidRPr="00DE1967">
        <w:rPr>
          <w:snapToGrid/>
          <w:szCs w:val="22"/>
          <w:lang w:val="de-DE" w:eastAsia="de-DE"/>
        </w:rPr>
        <w:t>oder Glucose-Galactose-Malabsorption sollten dieses Arzneimittel nicht einnehmen.</w:t>
      </w:r>
    </w:p>
    <w:p w:rsidR="007355CF" w:rsidRPr="00DE1967" w:rsidRDefault="007355CF" w:rsidP="0003742E">
      <w:pPr>
        <w:widowControl w:val="0"/>
        <w:tabs>
          <w:tab w:val="clear" w:pos="567"/>
        </w:tabs>
        <w:autoSpaceDE w:val="0"/>
        <w:autoSpaceDN w:val="0"/>
        <w:adjustRightInd w:val="0"/>
        <w:spacing w:line="240" w:lineRule="auto"/>
        <w:rPr>
          <w:snapToGrid/>
          <w:szCs w:val="22"/>
          <w:lang w:val="de-DE" w:eastAsia="de-DE"/>
        </w:rPr>
      </w:pPr>
    </w:p>
    <w:p w:rsidR="007355CF" w:rsidRPr="00DE1967" w:rsidRDefault="004E73F9" w:rsidP="004E73F9">
      <w:pPr>
        <w:widowControl w:val="0"/>
        <w:tabs>
          <w:tab w:val="clear" w:pos="567"/>
        </w:tabs>
        <w:autoSpaceDE w:val="0"/>
        <w:autoSpaceDN w:val="0"/>
        <w:adjustRightInd w:val="0"/>
        <w:spacing w:line="240" w:lineRule="auto"/>
        <w:rPr>
          <w:snapToGrid/>
          <w:szCs w:val="22"/>
          <w:lang w:val="de-DE" w:eastAsia="de-DE"/>
        </w:rPr>
      </w:pPr>
      <w:proofErr w:type="spellStart"/>
      <w:r w:rsidRPr="00DE1967">
        <w:rPr>
          <w:snapToGrid/>
          <w:szCs w:val="22"/>
          <w:lang w:val="de-DE" w:eastAsia="de-DE"/>
        </w:rPr>
        <w:t>Tolucombi</w:t>
      </w:r>
      <w:proofErr w:type="spellEnd"/>
      <w:r w:rsidRPr="00DE1967">
        <w:rPr>
          <w:snapToGrid/>
          <w:szCs w:val="22"/>
          <w:lang w:val="de-DE" w:eastAsia="de-DE"/>
        </w:rPr>
        <w:t xml:space="preserve"> 40 mg/12,5 mg enthält 147,04  mg Sorbitol pro Tablette entsprechend 5 mg/kg/Tag</w:t>
      </w:r>
      <w:r w:rsidR="0026534E" w:rsidRPr="00DE1967">
        <w:rPr>
          <w:snapToGrid/>
          <w:szCs w:val="22"/>
          <w:lang w:val="de-DE" w:eastAsia="de-DE"/>
        </w:rPr>
        <w:t xml:space="preserve">, bei einem Körpergewicht von </w:t>
      </w:r>
      <w:r w:rsidR="0064536E" w:rsidRPr="00DE1967">
        <w:rPr>
          <w:snapToGrid/>
          <w:szCs w:val="22"/>
          <w:lang w:val="de-DE" w:eastAsia="de-DE"/>
        </w:rPr>
        <w:t>29</w:t>
      </w:r>
      <w:r w:rsidR="0026534E" w:rsidRPr="00DE1967">
        <w:rPr>
          <w:snapToGrid/>
          <w:szCs w:val="22"/>
          <w:lang w:val="de-DE" w:eastAsia="de-DE"/>
        </w:rPr>
        <w:t>,8 kg</w:t>
      </w:r>
      <w:r w:rsidRPr="00DE1967">
        <w:rPr>
          <w:snapToGrid/>
          <w:szCs w:val="22"/>
          <w:lang w:val="de-DE" w:eastAsia="de-DE"/>
        </w:rPr>
        <w:t xml:space="preserve">. </w:t>
      </w:r>
      <w:r w:rsidR="007355CF" w:rsidRPr="00DE1967">
        <w:rPr>
          <w:snapToGrid/>
          <w:szCs w:val="22"/>
          <w:lang w:val="de-DE" w:eastAsia="de-DE"/>
        </w:rPr>
        <w:t xml:space="preserve">Die additive Wirkung gleichzeitig angewendeter Sorbitol (oder Fructose) -haltiger Arzneimittel und die Einnahme von Sorbitol (oder Fructose) über die Nahrung ist zu berücksichtigen. Der </w:t>
      </w:r>
      <w:proofErr w:type="spellStart"/>
      <w:r w:rsidR="007355CF" w:rsidRPr="00DE1967">
        <w:rPr>
          <w:snapToGrid/>
          <w:szCs w:val="22"/>
          <w:lang w:val="de-DE" w:eastAsia="de-DE"/>
        </w:rPr>
        <w:t>Sorbitolgehalt</w:t>
      </w:r>
      <w:proofErr w:type="spellEnd"/>
      <w:r w:rsidR="007355CF" w:rsidRPr="00DE1967">
        <w:rPr>
          <w:snapToGrid/>
          <w:szCs w:val="22"/>
          <w:lang w:val="de-DE" w:eastAsia="de-DE"/>
        </w:rPr>
        <w:t xml:space="preserve"> oral angewendeter Arzneimittel kann die Bioverfügbarkeit von anderen gleichzeitig oral angewendeten Arzneimitteln beeinflussen.</w:t>
      </w:r>
    </w:p>
    <w:p w:rsidR="0026534E" w:rsidRPr="00DE1967" w:rsidRDefault="0026534E" w:rsidP="004E73F9">
      <w:pPr>
        <w:widowControl w:val="0"/>
        <w:tabs>
          <w:tab w:val="clear" w:pos="567"/>
        </w:tabs>
        <w:autoSpaceDE w:val="0"/>
        <w:autoSpaceDN w:val="0"/>
        <w:adjustRightInd w:val="0"/>
        <w:spacing w:line="240" w:lineRule="auto"/>
        <w:rPr>
          <w:snapToGrid/>
          <w:szCs w:val="22"/>
          <w:lang w:val="de-DE" w:eastAsia="de-DE"/>
        </w:rPr>
      </w:pPr>
    </w:p>
    <w:p w:rsidR="0026534E" w:rsidRPr="00DE1967" w:rsidRDefault="0026534E" w:rsidP="004E73F9">
      <w:pPr>
        <w:widowControl w:val="0"/>
        <w:tabs>
          <w:tab w:val="clear" w:pos="567"/>
        </w:tabs>
        <w:autoSpaceDE w:val="0"/>
        <w:autoSpaceDN w:val="0"/>
        <w:adjustRightInd w:val="0"/>
        <w:spacing w:line="240" w:lineRule="auto"/>
        <w:rPr>
          <w:snapToGrid/>
          <w:szCs w:val="22"/>
          <w:lang w:val="de-DE" w:eastAsia="de-DE"/>
        </w:rPr>
      </w:pPr>
      <w:proofErr w:type="spellStart"/>
      <w:r w:rsidRPr="00DE1967">
        <w:rPr>
          <w:snapToGrid/>
          <w:szCs w:val="22"/>
          <w:lang w:val="de-DE" w:eastAsia="de-DE"/>
        </w:rPr>
        <w:t>Tolucombi</w:t>
      </w:r>
      <w:proofErr w:type="spellEnd"/>
      <w:r w:rsidRPr="00DE1967">
        <w:rPr>
          <w:snapToGrid/>
          <w:szCs w:val="22"/>
          <w:lang w:val="de-DE" w:eastAsia="de-DE"/>
        </w:rPr>
        <w:t xml:space="preserve"> 80 mg/12,5 mg enthält 294,08  mg Sorbitol pro Tablette entsprechend 5 mg/kg/Tag, bei einem Körpergewicht von 58,8 kg. Die additive Wirkung gleichzeitig angewendeter Sorbitol (oder Fructose) -haltiger Arzneimittel und die Einnahme von Sorbitol (oder Fructose) über die Nahrung ist zu berücksichtigen. Der </w:t>
      </w:r>
      <w:proofErr w:type="spellStart"/>
      <w:r w:rsidRPr="00DE1967">
        <w:rPr>
          <w:snapToGrid/>
          <w:szCs w:val="22"/>
          <w:lang w:val="de-DE" w:eastAsia="de-DE"/>
        </w:rPr>
        <w:t>Sorbitolgehalt</w:t>
      </w:r>
      <w:proofErr w:type="spellEnd"/>
      <w:r w:rsidRPr="00DE1967">
        <w:rPr>
          <w:snapToGrid/>
          <w:szCs w:val="22"/>
          <w:lang w:val="de-DE" w:eastAsia="de-DE"/>
        </w:rPr>
        <w:t xml:space="preserve"> oral angewendeter Arzneimittel kann die Bioverfügbarkeit von anderen gleichzeitig oral angewendeten Arzneimitteln beeinflussen. Patienten mit einem Körpergewicht von 58,8 kg oder weniger und mit hereditärer </w:t>
      </w:r>
      <w:proofErr w:type="spellStart"/>
      <w:r w:rsidRPr="00DE1967">
        <w:rPr>
          <w:snapToGrid/>
          <w:szCs w:val="22"/>
          <w:lang w:val="de-DE" w:eastAsia="de-DE"/>
        </w:rPr>
        <w:t>Fructoseintoleranz</w:t>
      </w:r>
      <w:proofErr w:type="spellEnd"/>
      <w:r w:rsidRPr="00DE1967">
        <w:rPr>
          <w:snapToGrid/>
          <w:szCs w:val="22"/>
          <w:lang w:val="de-DE" w:eastAsia="de-DE"/>
        </w:rPr>
        <w:t xml:space="preserve"> (HFI) dürfen dieses Arzneimittel nicht einnehmen.</w:t>
      </w:r>
    </w:p>
    <w:p w:rsidR="007355CF" w:rsidRPr="00DE1967" w:rsidRDefault="007355CF" w:rsidP="007355CF">
      <w:pPr>
        <w:widowControl w:val="0"/>
        <w:tabs>
          <w:tab w:val="clear" w:pos="567"/>
        </w:tabs>
        <w:autoSpaceDE w:val="0"/>
        <w:autoSpaceDN w:val="0"/>
        <w:adjustRightInd w:val="0"/>
        <w:spacing w:line="240" w:lineRule="auto"/>
        <w:rPr>
          <w:snapToGrid/>
          <w:szCs w:val="22"/>
          <w:lang w:val="de-DE" w:eastAsia="de-DE"/>
        </w:rPr>
      </w:pPr>
    </w:p>
    <w:p w:rsidR="007355CF" w:rsidRPr="00DE1967" w:rsidRDefault="007355CF" w:rsidP="007355CF">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Dieses Arzneimittel enthält weniger als 1 mmol Natrium (23 mg) pro Tablette, d.h. es ist nahezu „natriumfrei“.</w:t>
      </w:r>
    </w:p>
    <w:p w:rsidR="003B0859" w:rsidRPr="00DE1967" w:rsidRDefault="003B0859" w:rsidP="0003742E">
      <w:pPr>
        <w:widowControl w:val="0"/>
        <w:tabs>
          <w:tab w:val="clear" w:pos="567"/>
        </w:tabs>
        <w:autoSpaceDE w:val="0"/>
        <w:autoSpaceDN w:val="0"/>
        <w:adjustRightInd w:val="0"/>
        <w:spacing w:line="240" w:lineRule="auto"/>
        <w:rPr>
          <w:snapToGrid/>
          <w:szCs w:val="22"/>
          <w:lang w:val="de-DE" w:eastAsia="de-DE"/>
        </w:rPr>
      </w:pPr>
    </w:p>
    <w:p w:rsidR="00501396" w:rsidRPr="00DE1967" w:rsidRDefault="00501396"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Ethnische Unterschiede</w:t>
      </w:r>
    </w:p>
    <w:p w:rsidR="00501396" w:rsidRPr="00DE1967" w:rsidRDefault="00501396"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Wie alle übrigen Angiotensin-II-Rezeptor-Antagonisten bewirkt Telmisartan anscheinend eine</w:t>
      </w:r>
      <w:r w:rsidR="00D174C1" w:rsidRPr="00DE1967">
        <w:rPr>
          <w:snapToGrid/>
          <w:szCs w:val="22"/>
          <w:lang w:val="de-DE" w:eastAsia="de-DE"/>
        </w:rPr>
        <w:t xml:space="preserve"> </w:t>
      </w:r>
      <w:r w:rsidRPr="00DE1967">
        <w:rPr>
          <w:snapToGrid/>
          <w:szCs w:val="22"/>
          <w:lang w:val="de-DE" w:eastAsia="de-DE"/>
        </w:rPr>
        <w:t>geringere Blutdrucksenkung bei farbigen Patienten als bei nichtfarbigen, möglicherweise aufgrund der</w:t>
      </w:r>
      <w:r w:rsidR="00D174C1" w:rsidRPr="00DE1967">
        <w:rPr>
          <w:snapToGrid/>
          <w:szCs w:val="22"/>
          <w:lang w:val="de-DE" w:eastAsia="de-DE"/>
        </w:rPr>
        <w:t xml:space="preserve"> </w:t>
      </w:r>
      <w:r w:rsidRPr="00DE1967">
        <w:rPr>
          <w:snapToGrid/>
          <w:szCs w:val="22"/>
          <w:lang w:val="de-DE" w:eastAsia="de-DE"/>
        </w:rPr>
        <w:t>höheren Prävalenz eines niedrigen Renin-Status in der farbigen hypertensiven Bevölkerung.</w:t>
      </w:r>
    </w:p>
    <w:p w:rsidR="00D174C1" w:rsidRPr="00DE1967" w:rsidRDefault="00D174C1" w:rsidP="0003742E">
      <w:pPr>
        <w:widowControl w:val="0"/>
        <w:tabs>
          <w:tab w:val="clear" w:pos="567"/>
        </w:tabs>
        <w:autoSpaceDE w:val="0"/>
        <w:autoSpaceDN w:val="0"/>
        <w:adjustRightInd w:val="0"/>
        <w:spacing w:line="240" w:lineRule="auto"/>
        <w:rPr>
          <w:snapToGrid/>
          <w:szCs w:val="22"/>
          <w:lang w:val="de-DE" w:eastAsia="de-DE"/>
        </w:rPr>
      </w:pPr>
    </w:p>
    <w:p w:rsidR="00501396" w:rsidRPr="00DE1967" w:rsidRDefault="00501396"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Andere</w:t>
      </w:r>
    </w:p>
    <w:p w:rsidR="00501396" w:rsidRPr="00DE1967" w:rsidRDefault="00501396"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Wie bei jedem Antihypertensivum kann ein übermäßiger Blutdruckabfall bei Patienten mit</w:t>
      </w:r>
      <w:r w:rsidR="00FA5F7B" w:rsidRPr="00DE1967">
        <w:rPr>
          <w:snapToGrid/>
          <w:szCs w:val="22"/>
          <w:lang w:val="de-DE" w:eastAsia="de-DE"/>
        </w:rPr>
        <w:t xml:space="preserve"> </w:t>
      </w:r>
      <w:r w:rsidRPr="00DE1967">
        <w:rPr>
          <w:snapToGrid/>
          <w:szCs w:val="22"/>
          <w:lang w:val="de-DE" w:eastAsia="de-DE"/>
        </w:rPr>
        <w:t>ischämischer Herzkrankheit oder ischämischer kardiovaskulärer Erkrankung zu einem Myokardinfarkt</w:t>
      </w:r>
      <w:r w:rsidR="00FA5F7B" w:rsidRPr="00DE1967">
        <w:rPr>
          <w:snapToGrid/>
          <w:szCs w:val="22"/>
          <w:lang w:val="de-DE" w:eastAsia="de-DE"/>
        </w:rPr>
        <w:t xml:space="preserve"> </w:t>
      </w:r>
      <w:r w:rsidRPr="00DE1967">
        <w:rPr>
          <w:snapToGrid/>
          <w:szCs w:val="22"/>
          <w:lang w:val="de-DE" w:eastAsia="de-DE"/>
        </w:rPr>
        <w:t>oder Schlaganfall führen.</w:t>
      </w:r>
    </w:p>
    <w:p w:rsidR="00FA5F7B" w:rsidRPr="00DE1967" w:rsidRDefault="00FA5F7B" w:rsidP="0003742E">
      <w:pPr>
        <w:widowControl w:val="0"/>
        <w:tabs>
          <w:tab w:val="clear" w:pos="567"/>
        </w:tabs>
        <w:autoSpaceDE w:val="0"/>
        <w:autoSpaceDN w:val="0"/>
        <w:adjustRightInd w:val="0"/>
        <w:spacing w:line="240" w:lineRule="auto"/>
        <w:rPr>
          <w:snapToGrid/>
          <w:szCs w:val="22"/>
          <w:lang w:val="de-DE" w:eastAsia="de-DE"/>
        </w:rPr>
      </w:pPr>
    </w:p>
    <w:p w:rsidR="00501396" w:rsidRPr="00DE1967" w:rsidRDefault="00501396"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Allgemeines</w:t>
      </w:r>
    </w:p>
    <w:p w:rsidR="00501396" w:rsidRPr="00DE1967" w:rsidRDefault="00501396"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Überempfindlichkeitsreaktionen gegenüber Hydrochlorothiazid können bei Patienten mit oder ohne</w:t>
      </w:r>
      <w:r w:rsidR="005034FE" w:rsidRPr="00DE1967">
        <w:rPr>
          <w:snapToGrid/>
          <w:szCs w:val="22"/>
          <w:lang w:val="de-DE" w:eastAsia="de-DE"/>
        </w:rPr>
        <w:t xml:space="preserve"> </w:t>
      </w:r>
      <w:r w:rsidRPr="00DE1967">
        <w:rPr>
          <w:snapToGrid/>
          <w:szCs w:val="22"/>
          <w:lang w:val="de-DE" w:eastAsia="de-DE"/>
        </w:rPr>
        <w:t>anamnestisch bekannter Allergie oder Bronchialasthma auftreten, sind jedoch wahrscheinlicher bei</w:t>
      </w:r>
      <w:r w:rsidR="00FC72A2" w:rsidRPr="00DE1967">
        <w:rPr>
          <w:snapToGrid/>
          <w:szCs w:val="22"/>
          <w:lang w:val="de-DE" w:eastAsia="de-DE"/>
        </w:rPr>
        <w:t xml:space="preserve"> </w:t>
      </w:r>
      <w:r w:rsidRPr="00DE1967">
        <w:rPr>
          <w:snapToGrid/>
          <w:szCs w:val="22"/>
          <w:lang w:val="de-DE" w:eastAsia="de-DE"/>
        </w:rPr>
        <w:t>Patienten mit einer solchen Anamnese.</w:t>
      </w:r>
    </w:p>
    <w:p w:rsidR="00501396" w:rsidRPr="00DE1967" w:rsidRDefault="00501396"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Exazerbationen oder Aktivierung eines systemischen Lupus erythematodes wurden bei Gabe von</w:t>
      </w:r>
      <w:r w:rsidR="005034FE" w:rsidRPr="00DE1967">
        <w:rPr>
          <w:snapToGrid/>
          <w:szCs w:val="22"/>
          <w:lang w:val="de-DE" w:eastAsia="de-DE"/>
        </w:rPr>
        <w:t xml:space="preserve"> </w:t>
      </w:r>
      <w:r w:rsidRPr="00DE1967">
        <w:rPr>
          <w:snapToGrid/>
          <w:szCs w:val="22"/>
          <w:lang w:val="de-DE" w:eastAsia="de-DE"/>
        </w:rPr>
        <w:t>Thiaziddiuretika, einschließlich Hydrochlorothiazid, berichtet.</w:t>
      </w:r>
    </w:p>
    <w:p w:rsidR="00637E20" w:rsidRPr="00DE1967" w:rsidRDefault="00501396"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Fälle von </w:t>
      </w:r>
      <w:proofErr w:type="spellStart"/>
      <w:r w:rsidRPr="00DE1967">
        <w:rPr>
          <w:snapToGrid/>
          <w:szCs w:val="22"/>
          <w:lang w:val="de-DE" w:eastAsia="de-DE"/>
        </w:rPr>
        <w:t>Photosensibilität</w:t>
      </w:r>
      <w:proofErr w:type="spellEnd"/>
      <w:r w:rsidRPr="00DE1967">
        <w:rPr>
          <w:snapToGrid/>
          <w:szCs w:val="22"/>
          <w:lang w:val="de-DE" w:eastAsia="de-DE"/>
        </w:rPr>
        <w:t xml:space="preserve"> wurden mit Thiaziddiuretika berichtet (siehe Abschnitt</w:t>
      </w:r>
      <w:r w:rsidR="00433771" w:rsidRPr="00DE1967">
        <w:rPr>
          <w:snapToGrid/>
          <w:szCs w:val="22"/>
          <w:lang w:val="de-DE" w:eastAsia="de-DE"/>
        </w:rPr>
        <w:t> </w:t>
      </w:r>
      <w:r w:rsidRPr="00DE1967">
        <w:rPr>
          <w:snapToGrid/>
          <w:szCs w:val="22"/>
          <w:lang w:val="de-DE" w:eastAsia="de-DE"/>
        </w:rPr>
        <w:t>4.8). Falls eine</w:t>
      </w:r>
      <w:r w:rsidR="005034FE" w:rsidRPr="00DE1967">
        <w:rPr>
          <w:snapToGrid/>
          <w:szCs w:val="22"/>
          <w:lang w:val="de-DE" w:eastAsia="de-DE"/>
        </w:rPr>
        <w:t xml:space="preserve"> </w:t>
      </w:r>
      <w:proofErr w:type="spellStart"/>
      <w:r w:rsidRPr="00DE1967">
        <w:rPr>
          <w:snapToGrid/>
          <w:szCs w:val="22"/>
          <w:lang w:val="de-DE" w:eastAsia="de-DE"/>
        </w:rPr>
        <w:t>Photosensibilität</w:t>
      </w:r>
      <w:proofErr w:type="spellEnd"/>
      <w:r w:rsidRPr="00DE1967">
        <w:rPr>
          <w:snapToGrid/>
          <w:szCs w:val="22"/>
          <w:lang w:val="de-DE" w:eastAsia="de-DE"/>
        </w:rPr>
        <w:t xml:space="preserve"> während der Einnahme auftritt, ist ein Abbruch der Therapie zu empfehlen. Wird</w:t>
      </w:r>
      <w:r w:rsidR="005034FE" w:rsidRPr="00DE1967">
        <w:rPr>
          <w:snapToGrid/>
          <w:szCs w:val="22"/>
          <w:lang w:val="de-DE" w:eastAsia="de-DE"/>
        </w:rPr>
        <w:t xml:space="preserve"> </w:t>
      </w:r>
      <w:r w:rsidRPr="00DE1967">
        <w:rPr>
          <w:snapToGrid/>
          <w:szCs w:val="22"/>
          <w:lang w:val="de-DE" w:eastAsia="de-DE"/>
        </w:rPr>
        <w:t>eine erneute Einnahme des Diuretikums als absolut notwendig erachtet, wird empfohlen, exponierte</w:t>
      </w:r>
      <w:r w:rsidR="00FC72A2" w:rsidRPr="00DE1967">
        <w:rPr>
          <w:snapToGrid/>
          <w:szCs w:val="22"/>
          <w:lang w:val="de-DE" w:eastAsia="de-DE"/>
        </w:rPr>
        <w:t xml:space="preserve"> </w:t>
      </w:r>
      <w:r w:rsidRPr="00DE1967">
        <w:rPr>
          <w:snapToGrid/>
          <w:szCs w:val="22"/>
          <w:lang w:val="de-DE" w:eastAsia="de-DE"/>
        </w:rPr>
        <w:t>Bereiche vor der Sonne oder künstlichen UV-A-Strahlen zu schützen.</w:t>
      </w:r>
    </w:p>
    <w:p w:rsidR="005034FE" w:rsidRPr="00DE1967" w:rsidRDefault="005034FE" w:rsidP="0003742E">
      <w:pPr>
        <w:widowControl w:val="0"/>
        <w:spacing w:line="240" w:lineRule="auto"/>
        <w:outlineLvl w:val="0"/>
        <w:rPr>
          <w:szCs w:val="22"/>
          <w:lang w:val="de-DE"/>
        </w:rPr>
      </w:pPr>
    </w:p>
    <w:p w:rsidR="00FF1D1F" w:rsidRDefault="00FF1D1F" w:rsidP="0003742E">
      <w:pPr>
        <w:widowControl w:val="0"/>
        <w:tabs>
          <w:tab w:val="clear" w:pos="567"/>
        </w:tabs>
        <w:autoSpaceDE w:val="0"/>
        <w:autoSpaceDN w:val="0"/>
        <w:adjustRightInd w:val="0"/>
        <w:spacing w:line="240" w:lineRule="auto"/>
        <w:rPr>
          <w:snapToGrid/>
          <w:szCs w:val="22"/>
          <w:u w:val="single"/>
          <w:lang w:val="de-DE" w:eastAsia="de-DE"/>
        </w:rPr>
      </w:pPr>
      <w:r w:rsidRPr="00FF1D1F">
        <w:rPr>
          <w:snapToGrid/>
          <w:szCs w:val="22"/>
          <w:u w:val="single"/>
          <w:lang w:val="de-DE" w:eastAsia="de-DE"/>
        </w:rPr>
        <w:t>Aderhauterguss (</w:t>
      </w:r>
      <w:proofErr w:type="spellStart"/>
      <w:r w:rsidRPr="00FF1D1F">
        <w:rPr>
          <w:snapToGrid/>
          <w:szCs w:val="22"/>
          <w:u w:val="single"/>
          <w:lang w:val="de-DE" w:eastAsia="de-DE"/>
        </w:rPr>
        <w:t>choroidaler</w:t>
      </w:r>
      <w:proofErr w:type="spellEnd"/>
      <w:r w:rsidRPr="00FF1D1F">
        <w:rPr>
          <w:snapToGrid/>
          <w:szCs w:val="22"/>
          <w:u w:val="single"/>
          <w:lang w:val="de-DE" w:eastAsia="de-DE"/>
        </w:rPr>
        <w:t xml:space="preserve"> Erguss), akute Myopie und sekundäres Winkelverschlussglaukom</w:t>
      </w:r>
    </w:p>
    <w:p w:rsidR="00F62D8D" w:rsidRPr="00DE1967" w:rsidRDefault="00F62D8D" w:rsidP="00FF1D1F">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Sulfonamid</w:t>
      </w:r>
      <w:r w:rsidR="00FF1D1F">
        <w:rPr>
          <w:snapToGrid/>
          <w:szCs w:val="22"/>
          <w:lang w:val="de-DE" w:eastAsia="de-DE"/>
        </w:rPr>
        <w:t>e</w:t>
      </w:r>
      <w:r w:rsidRPr="00DE1967">
        <w:rPr>
          <w:snapToGrid/>
          <w:szCs w:val="22"/>
          <w:lang w:val="de-DE" w:eastAsia="de-DE"/>
        </w:rPr>
        <w:t xml:space="preserve"> </w:t>
      </w:r>
      <w:r w:rsidR="00FF1D1F" w:rsidRPr="00FF1D1F">
        <w:rPr>
          <w:snapToGrid/>
          <w:szCs w:val="22"/>
          <w:lang w:val="de-DE" w:eastAsia="de-DE"/>
        </w:rPr>
        <w:t>und Sulfonamid-Derivate können</w:t>
      </w:r>
      <w:r w:rsidR="00FF1D1F">
        <w:rPr>
          <w:snapToGrid/>
          <w:szCs w:val="22"/>
          <w:lang w:val="de-DE" w:eastAsia="de-DE"/>
        </w:rPr>
        <w:t xml:space="preserve"> </w:t>
      </w:r>
      <w:r w:rsidRPr="00DE1967">
        <w:rPr>
          <w:snapToGrid/>
          <w:szCs w:val="22"/>
          <w:lang w:val="de-DE" w:eastAsia="de-DE"/>
        </w:rPr>
        <w:t xml:space="preserve">eine idiosynkratische Reaktion auslösen, die </w:t>
      </w:r>
      <w:r w:rsidR="00FF1D1F" w:rsidRPr="00FF1D1F">
        <w:rPr>
          <w:snapToGrid/>
          <w:szCs w:val="22"/>
          <w:lang w:val="de-DE" w:eastAsia="de-DE"/>
        </w:rPr>
        <w:t>zu einem</w:t>
      </w:r>
      <w:r w:rsidR="00FF1D1F">
        <w:rPr>
          <w:snapToGrid/>
          <w:szCs w:val="22"/>
          <w:lang w:val="de-DE" w:eastAsia="de-DE"/>
        </w:rPr>
        <w:t xml:space="preserve"> </w:t>
      </w:r>
      <w:r w:rsidR="00FF1D1F" w:rsidRPr="00FF1D1F">
        <w:rPr>
          <w:snapToGrid/>
          <w:szCs w:val="22"/>
          <w:lang w:val="de-DE" w:eastAsia="de-DE"/>
        </w:rPr>
        <w:t>Aderhauterguss mit Gesichtsfelddefekt,</w:t>
      </w:r>
      <w:r w:rsidR="00FF1D1F">
        <w:rPr>
          <w:snapToGrid/>
          <w:szCs w:val="22"/>
          <w:lang w:val="de-DE" w:eastAsia="de-DE"/>
        </w:rPr>
        <w:t xml:space="preserve"> </w:t>
      </w:r>
      <w:r w:rsidRPr="00DE1967">
        <w:rPr>
          <w:snapToGrid/>
          <w:szCs w:val="22"/>
          <w:lang w:val="de-DE" w:eastAsia="de-DE"/>
        </w:rPr>
        <w:t xml:space="preserve">transienter </w:t>
      </w:r>
      <w:r w:rsidR="00FF1D1F" w:rsidRPr="00FF1D1F">
        <w:rPr>
          <w:snapToGrid/>
          <w:szCs w:val="22"/>
          <w:lang w:val="de-DE" w:eastAsia="de-DE"/>
        </w:rPr>
        <w:t>Myopie</w:t>
      </w:r>
      <w:r w:rsidRPr="00DE1967">
        <w:rPr>
          <w:snapToGrid/>
          <w:szCs w:val="22"/>
          <w:lang w:val="de-DE" w:eastAsia="de-DE"/>
        </w:rPr>
        <w:t xml:space="preserve"> und </w:t>
      </w:r>
      <w:r w:rsidR="00FF1D1F" w:rsidRPr="00FF1D1F">
        <w:rPr>
          <w:snapToGrid/>
          <w:szCs w:val="22"/>
          <w:lang w:val="de-DE" w:eastAsia="de-DE"/>
        </w:rPr>
        <w:t>zu einem</w:t>
      </w:r>
      <w:r w:rsidR="00FF1D1F">
        <w:rPr>
          <w:snapToGrid/>
          <w:szCs w:val="22"/>
          <w:lang w:val="de-DE" w:eastAsia="de-DE"/>
        </w:rPr>
        <w:t xml:space="preserve"> </w:t>
      </w:r>
      <w:r w:rsidRPr="00DE1967">
        <w:rPr>
          <w:snapToGrid/>
          <w:szCs w:val="22"/>
          <w:lang w:val="de-DE" w:eastAsia="de-DE"/>
        </w:rPr>
        <w:t xml:space="preserve">akutem </w:t>
      </w:r>
      <w:r w:rsidR="00FF1D1F" w:rsidRPr="00FF1D1F">
        <w:rPr>
          <w:snapToGrid/>
          <w:szCs w:val="22"/>
          <w:lang w:val="de-DE" w:eastAsia="de-DE"/>
        </w:rPr>
        <w:t>Winkelverschlussglaukom führen kann</w:t>
      </w:r>
      <w:r w:rsidRPr="00DE1967">
        <w:rPr>
          <w:snapToGrid/>
          <w:szCs w:val="22"/>
          <w:lang w:val="de-DE" w:eastAsia="de-DE"/>
        </w:rPr>
        <w:t xml:space="preserve">. Symptome wie eine akut einsetzende verminderte Sehschärfe oder Augenschmerzen können typischerweise innerhalb von Stunden bis Wochen nach Behandlungsbeginn auftreten. Ein unbehandeltes akutes </w:t>
      </w:r>
      <w:r w:rsidR="00FF1D1F" w:rsidRPr="00FF1D1F">
        <w:rPr>
          <w:snapToGrid/>
          <w:szCs w:val="22"/>
          <w:lang w:val="de-DE" w:eastAsia="de-DE"/>
        </w:rPr>
        <w:t>Winkelverschlussglaukom</w:t>
      </w:r>
      <w:r w:rsidRPr="00DE1967">
        <w:rPr>
          <w:snapToGrid/>
          <w:szCs w:val="22"/>
          <w:lang w:val="de-DE" w:eastAsia="de-DE"/>
        </w:rPr>
        <w:t xml:space="preserve"> kann zu dauerhaftem Sehverlust führen. Als Erstmaßnahme sollte Hydrochlorothiazid so schnell wie möglich abgesetzt werden. Umgehende medizinische oder operative Behandlungen müssen bei länger anhaltendem unkontrolliertem Augeninnendruck in Betracht gezogen werden. Risikofaktoren, die die Entstehung eines akuten Engwinkelglaukoms begünstigen könnten, schließen eine Allergie gegenüber Sulfonamiden oder Penicillin in der Krankengeschichte ein.</w:t>
      </w:r>
    </w:p>
    <w:p w:rsidR="007355CF" w:rsidRPr="00DE1967" w:rsidRDefault="007355CF" w:rsidP="0003742E">
      <w:pPr>
        <w:widowControl w:val="0"/>
        <w:tabs>
          <w:tab w:val="clear" w:pos="567"/>
        </w:tabs>
        <w:autoSpaceDE w:val="0"/>
        <w:autoSpaceDN w:val="0"/>
        <w:adjustRightInd w:val="0"/>
        <w:spacing w:line="240" w:lineRule="auto"/>
        <w:rPr>
          <w:snapToGrid/>
          <w:szCs w:val="22"/>
          <w:lang w:val="de-DE" w:eastAsia="de-DE"/>
        </w:rPr>
      </w:pPr>
    </w:p>
    <w:p w:rsidR="007355CF" w:rsidRPr="00DE1967" w:rsidRDefault="007355CF" w:rsidP="007355CF">
      <w:pPr>
        <w:widowControl w:val="0"/>
        <w:tabs>
          <w:tab w:val="clear" w:pos="567"/>
        </w:tabs>
        <w:autoSpaceDE w:val="0"/>
        <w:autoSpaceDN w:val="0"/>
        <w:adjustRightInd w:val="0"/>
        <w:spacing w:line="240" w:lineRule="auto"/>
        <w:rPr>
          <w:szCs w:val="22"/>
          <w:u w:val="single"/>
          <w:lang w:val="de-DE"/>
        </w:rPr>
      </w:pPr>
      <w:r w:rsidRPr="00DE1967">
        <w:rPr>
          <w:szCs w:val="22"/>
          <w:u w:val="single"/>
          <w:lang w:val="de-DE"/>
        </w:rPr>
        <w:t>Nicht-melanozytärer Hautkrebs</w:t>
      </w:r>
    </w:p>
    <w:p w:rsidR="007355CF" w:rsidRPr="00DE1967" w:rsidRDefault="007355CF" w:rsidP="007355CF">
      <w:pPr>
        <w:widowControl w:val="0"/>
        <w:tabs>
          <w:tab w:val="clear" w:pos="567"/>
        </w:tabs>
        <w:autoSpaceDE w:val="0"/>
        <w:autoSpaceDN w:val="0"/>
        <w:adjustRightInd w:val="0"/>
        <w:spacing w:line="240" w:lineRule="auto"/>
        <w:rPr>
          <w:szCs w:val="22"/>
          <w:lang w:val="de-DE"/>
        </w:rPr>
      </w:pPr>
      <w:r w:rsidRPr="00DE1967">
        <w:rPr>
          <w:szCs w:val="22"/>
          <w:lang w:val="de-DE"/>
        </w:rPr>
        <w:t xml:space="preserve">In zwei epidemiologischen Studien auf der Grundlage des dänischen nationalen Krebsregisters wurde ein erhöhtes Risiko von nicht-melanozytärem Hautkrebs (NMSC) [Basalzellkarzinom (BCC) und Plattenepithelkarzinom (SCC)] mit steigender kumulativer Dosis von Hydrochlorothiazid (HCTZ) beobachtet. </w:t>
      </w:r>
      <w:proofErr w:type="spellStart"/>
      <w:r w:rsidRPr="00DE1967">
        <w:rPr>
          <w:szCs w:val="22"/>
          <w:lang w:val="de-DE"/>
        </w:rPr>
        <w:t>Photosensibilisierende</w:t>
      </w:r>
      <w:proofErr w:type="spellEnd"/>
      <w:r w:rsidRPr="00DE1967">
        <w:rPr>
          <w:szCs w:val="22"/>
          <w:lang w:val="de-DE"/>
        </w:rPr>
        <w:t xml:space="preserve"> Wirkungen von HCTZ könnten zur Entstehung von NMSC beitragen.</w:t>
      </w:r>
    </w:p>
    <w:p w:rsidR="007355CF" w:rsidRPr="00DE1967" w:rsidRDefault="007355CF" w:rsidP="007355CF">
      <w:pPr>
        <w:widowControl w:val="0"/>
        <w:tabs>
          <w:tab w:val="clear" w:pos="567"/>
        </w:tabs>
        <w:autoSpaceDE w:val="0"/>
        <w:autoSpaceDN w:val="0"/>
        <w:adjustRightInd w:val="0"/>
        <w:spacing w:line="240" w:lineRule="auto"/>
        <w:rPr>
          <w:szCs w:val="22"/>
          <w:lang w:val="de-DE"/>
        </w:rPr>
      </w:pPr>
    </w:p>
    <w:p w:rsidR="007355CF" w:rsidRPr="00DE1967" w:rsidRDefault="007355CF" w:rsidP="007355CF">
      <w:pPr>
        <w:widowControl w:val="0"/>
        <w:tabs>
          <w:tab w:val="clear" w:pos="567"/>
        </w:tabs>
        <w:autoSpaceDE w:val="0"/>
        <w:autoSpaceDN w:val="0"/>
        <w:adjustRightInd w:val="0"/>
        <w:spacing w:line="240" w:lineRule="auto"/>
        <w:rPr>
          <w:szCs w:val="22"/>
          <w:lang w:val="de-DE"/>
        </w:rPr>
      </w:pPr>
      <w:r w:rsidRPr="00DE1967">
        <w:rPr>
          <w:szCs w:val="22"/>
          <w:lang w:val="de-DE"/>
        </w:rPr>
        <w:t>Patienten, die HCTZ einnehmen, sollten über das NMSC-Risiko informiert werden, und es sollte ihnen geraten werden, ihre Haut regelmäßig auf neue Läsionen zu prüfen und unverzüglich alle verdächtigen Hautveränderungen zu melden. Den Patienten sollten mögliche vorbeugende Maßnahmen empfohlen werden, um das Risiko von Hautkrebs zu minimieren; z. B. Einschränkung der Exposition gegenüber Sonnenlicht und UV- Strahlung oder im Fall einer Exposition Verwendung eines angemessenen Sonnenschutzes. Verdächtige Hautveränderungen sollten unverzüglich untersucht werden, ggf. einschließlich histologischer Untersuchungen von Biopsien. Bei Patienten, bei denen bereits ein NMSC aufgetreten ist, sollte die Verwendung von HCTZ überprüft werden (siehe auch Abschnitt 4.8).</w:t>
      </w:r>
    </w:p>
    <w:p w:rsidR="00636B07" w:rsidRPr="00DE1967" w:rsidRDefault="00636B07" w:rsidP="0003742E">
      <w:pPr>
        <w:pStyle w:val="Default"/>
        <w:widowControl w:val="0"/>
        <w:rPr>
          <w:color w:val="auto"/>
          <w:sz w:val="22"/>
          <w:szCs w:val="22"/>
        </w:rPr>
      </w:pPr>
    </w:p>
    <w:p w:rsidR="00637E20" w:rsidRPr="00DE1967" w:rsidRDefault="00637E20" w:rsidP="0003742E">
      <w:pPr>
        <w:widowControl w:val="0"/>
        <w:spacing w:line="240" w:lineRule="auto"/>
        <w:ind w:left="567" w:hanging="567"/>
        <w:outlineLvl w:val="0"/>
        <w:rPr>
          <w:szCs w:val="22"/>
          <w:lang w:val="de-DE"/>
        </w:rPr>
      </w:pPr>
      <w:r w:rsidRPr="00DE1967">
        <w:rPr>
          <w:b/>
          <w:szCs w:val="22"/>
          <w:lang w:val="de-DE"/>
        </w:rPr>
        <w:t>4.5</w:t>
      </w:r>
      <w:r w:rsidRPr="00DE1967">
        <w:rPr>
          <w:b/>
          <w:szCs w:val="22"/>
          <w:lang w:val="de-DE"/>
        </w:rPr>
        <w:tab/>
      </w:r>
      <w:r w:rsidRPr="00DE1967">
        <w:rPr>
          <w:b/>
          <w:noProof/>
          <w:szCs w:val="22"/>
          <w:lang w:val="de-DE"/>
        </w:rPr>
        <w:t>Wechselwirkungen mit anderen Arzneimitteln und sonstige Wechselwirkungen</w:t>
      </w:r>
    </w:p>
    <w:p w:rsidR="00A34C33" w:rsidRPr="00DE1967" w:rsidRDefault="00A34C33" w:rsidP="0003742E">
      <w:pPr>
        <w:widowControl w:val="0"/>
        <w:spacing w:line="240" w:lineRule="auto"/>
        <w:ind w:left="567" w:hanging="567"/>
        <w:outlineLvl w:val="0"/>
        <w:rPr>
          <w:szCs w:val="22"/>
          <w:lang w:val="de-DE"/>
        </w:rPr>
      </w:pPr>
    </w:p>
    <w:p w:rsidR="009A4D9C" w:rsidRPr="00DE1967" w:rsidRDefault="009A4D9C"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Lithium</w:t>
      </w:r>
    </w:p>
    <w:p w:rsidR="009A4D9C" w:rsidRPr="00DE1967" w:rsidRDefault="009A4D9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Ein reversibler Anstieg der Serumlithium-Konzentration und deren Toxizität wurde bei gleichzeitiger Anwendung von Lithium und Angiotensin-</w:t>
      </w:r>
      <w:proofErr w:type="spellStart"/>
      <w:r w:rsidRPr="00DE1967">
        <w:rPr>
          <w:snapToGrid/>
          <w:szCs w:val="22"/>
          <w:lang w:val="de-DE" w:eastAsia="de-DE"/>
        </w:rPr>
        <w:t>Converting</w:t>
      </w:r>
      <w:proofErr w:type="spellEnd"/>
      <w:r w:rsidRPr="00DE1967">
        <w:rPr>
          <w:snapToGrid/>
          <w:szCs w:val="22"/>
          <w:lang w:val="de-DE" w:eastAsia="de-DE"/>
        </w:rPr>
        <w:t xml:space="preserve">-Enzym-Hemmern berichtet. In seltenen Fällen wurde dies auch mit Angiotensin-II-Rezeptor-Antagonisten (einschließlich </w:t>
      </w:r>
      <w:proofErr w:type="spellStart"/>
      <w:r w:rsidRPr="00DE1967">
        <w:rPr>
          <w:snapToGrid/>
          <w:szCs w:val="22"/>
          <w:lang w:val="de-DE" w:eastAsia="de-DE"/>
        </w:rPr>
        <w:t>Tolucombi</w:t>
      </w:r>
      <w:proofErr w:type="spellEnd"/>
      <w:r w:rsidRPr="00DE1967">
        <w:rPr>
          <w:snapToGrid/>
          <w:szCs w:val="22"/>
          <w:lang w:val="de-DE" w:eastAsia="de-DE"/>
        </w:rPr>
        <w:t xml:space="preserve">) beobachtet. Eine gleichzeitige Anwendung von Lithium und </w:t>
      </w:r>
      <w:proofErr w:type="spellStart"/>
      <w:r w:rsidRPr="00DE1967">
        <w:rPr>
          <w:snapToGrid/>
          <w:szCs w:val="22"/>
          <w:lang w:val="de-DE" w:eastAsia="de-DE"/>
        </w:rPr>
        <w:t>Tolucombi</w:t>
      </w:r>
      <w:proofErr w:type="spellEnd"/>
      <w:r w:rsidRPr="00DE1967">
        <w:rPr>
          <w:snapToGrid/>
          <w:szCs w:val="22"/>
          <w:lang w:val="de-DE" w:eastAsia="de-DE"/>
        </w:rPr>
        <w:t xml:space="preserve"> wird nicht empfohlen (siehe Abschnitt</w:t>
      </w:r>
      <w:r w:rsidR="00433771" w:rsidRPr="00DE1967">
        <w:rPr>
          <w:snapToGrid/>
          <w:szCs w:val="22"/>
          <w:lang w:val="de-DE" w:eastAsia="de-DE"/>
        </w:rPr>
        <w:t> </w:t>
      </w:r>
      <w:r w:rsidRPr="00DE1967">
        <w:rPr>
          <w:snapToGrid/>
          <w:szCs w:val="22"/>
          <w:lang w:val="de-DE" w:eastAsia="de-DE"/>
        </w:rPr>
        <w:t>4.4). Wenn diese Kombination sich als notwendig erweist, wird die sorgfältige Kontrolle des Serumlithiumspiegels während der gleichzeitigen Gabe empfohlen.</w:t>
      </w:r>
    </w:p>
    <w:p w:rsidR="009A4D9C" w:rsidRPr="00DE1967" w:rsidRDefault="009A4D9C" w:rsidP="0003742E">
      <w:pPr>
        <w:widowControl w:val="0"/>
        <w:tabs>
          <w:tab w:val="clear" w:pos="567"/>
        </w:tabs>
        <w:autoSpaceDE w:val="0"/>
        <w:autoSpaceDN w:val="0"/>
        <w:adjustRightInd w:val="0"/>
        <w:spacing w:line="240" w:lineRule="auto"/>
        <w:rPr>
          <w:snapToGrid/>
          <w:szCs w:val="22"/>
          <w:lang w:val="de-DE" w:eastAsia="de-DE"/>
        </w:rPr>
      </w:pPr>
    </w:p>
    <w:p w:rsidR="009A4D9C" w:rsidRPr="00DE1967" w:rsidRDefault="009A4D9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u w:val="single"/>
          <w:lang w:val="de-DE" w:eastAsia="de-DE"/>
        </w:rPr>
        <w:t>Arzneimittel, die mit Kaliumverlust und Hypokaliämie in Zusammenhang stehen</w:t>
      </w:r>
      <w:r w:rsidRPr="00DE1967">
        <w:rPr>
          <w:snapToGrid/>
          <w:szCs w:val="22"/>
          <w:lang w:val="de-DE" w:eastAsia="de-DE"/>
        </w:rPr>
        <w:t xml:space="preserve"> (z.</w:t>
      </w:r>
      <w:r w:rsidR="00433771" w:rsidRPr="00DE1967">
        <w:rPr>
          <w:snapToGrid/>
          <w:szCs w:val="22"/>
          <w:lang w:val="de-DE" w:eastAsia="de-DE"/>
        </w:rPr>
        <w:t> </w:t>
      </w:r>
      <w:r w:rsidRPr="00DE1967">
        <w:rPr>
          <w:snapToGrid/>
          <w:szCs w:val="22"/>
          <w:lang w:val="de-DE" w:eastAsia="de-DE"/>
        </w:rPr>
        <w:t xml:space="preserve">B. kaliuretische Diuretika, Laxantien, Kortikosteroide, ACTH, Amphotericin, </w:t>
      </w:r>
      <w:proofErr w:type="spellStart"/>
      <w:r w:rsidRPr="00DE1967">
        <w:rPr>
          <w:snapToGrid/>
          <w:szCs w:val="22"/>
          <w:lang w:val="de-DE" w:eastAsia="de-DE"/>
        </w:rPr>
        <w:t>Carbenoxolon</w:t>
      </w:r>
      <w:proofErr w:type="spellEnd"/>
      <w:r w:rsidRPr="00DE1967">
        <w:rPr>
          <w:snapToGrid/>
          <w:szCs w:val="22"/>
          <w:lang w:val="de-DE" w:eastAsia="de-DE"/>
        </w:rPr>
        <w:t xml:space="preserve">, </w:t>
      </w:r>
      <w:proofErr w:type="spellStart"/>
      <w:r w:rsidRPr="00DE1967">
        <w:rPr>
          <w:snapToGrid/>
          <w:szCs w:val="22"/>
          <w:lang w:val="de-DE" w:eastAsia="de-DE"/>
        </w:rPr>
        <w:t>Benzylpenicillin</w:t>
      </w:r>
      <w:proofErr w:type="spellEnd"/>
      <w:r w:rsidRPr="00DE1967">
        <w:rPr>
          <w:snapToGrid/>
          <w:szCs w:val="22"/>
          <w:lang w:val="de-DE" w:eastAsia="de-DE"/>
        </w:rPr>
        <w:t>-Natrium, Salicylsäure und Salicylate)</w:t>
      </w:r>
    </w:p>
    <w:p w:rsidR="009A4D9C" w:rsidRPr="00DE1967" w:rsidRDefault="009A4D9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Wenn diese Wirkstoffe zusammen mit der Hydrochlorothiazid-Telmisartan-Kombination verschrieben werden sollen, wird die Kontrolle der Plasmakaliumspiegel empfohlen. Diese Arzneimittel können die Wirkung des Hydrochlorothiazids auf das Serumkalium verstärken (siehe Abschnitt</w:t>
      </w:r>
      <w:r w:rsidR="00433771" w:rsidRPr="00DE1967">
        <w:rPr>
          <w:snapToGrid/>
          <w:szCs w:val="22"/>
          <w:lang w:val="de-DE" w:eastAsia="de-DE"/>
        </w:rPr>
        <w:t> </w:t>
      </w:r>
      <w:r w:rsidRPr="00DE1967">
        <w:rPr>
          <w:snapToGrid/>
          <w:szCs w:val="22"/>
          <w:lang w:val="de-DE" w:eastAsia="de-DE"/>
        </w:rPr>
        <w:t>4.4).</w:t>
      </w:r>
    </w:p>
    <w:p w:rsidR="009A4D9C" w:rsidRPr="00DE1967" w:rsidRDefault="009A4D9C" w:rsidP="0003742E">
      <w:pPr>
        <w:widowControl w:val="0"/>
        <w:tabs>
          <w:tab w:val="clear" w:pos="567"/>
        </w:tabs>
        <w:autoSpaceDE w:val="0"/>
        <w:autoSpaceDN w:val="0"/>
        <w:adjustRightInd w:val="0"/>
        <w:spacing w:line="240" w:lineRule="auto"/>
        <w:rPr>
          <w:snapToGrid/>
          <w:szCs w:val="22"/>
          <w:lang w:val="de-DE" w:eastAsia="de-DE"/>
        </w:rPr>
      </w:pPr>
    </w:p>
    <w:p w:rsidR="009A4D9C" w:rsidRPr="00DE1967" w:rsidRDefault="009A4D9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u w:val="single"/>
          <w:lang w:val="de-DE" w:eastAsia="de-DE"/>
        </w:rPr>
        <w:t>Arzneimittel, die den Kaliumspiegel erhöhen oder eine Hyperkaliämie auslösen können</w:t>
      </w:r>
      <w:r w:rsidRPr="00DE1967">
        <w:rPr>
          <w:snapToGrid/>
          <w:szCs w:val="22"/>
          <w:lang w:val="de-DE" w:eastAsia="de-DE"/>
        </w:rPr>
        <w:t xml:space="preserve"> (z.</w:t>
      </w:r>
      <w:r w:rsidR="00433771" w:rsidRPr="00DE1967">
        <w:rPr>
          <w:snapToGrid/>
          <w:szCs w:val="22"/>
          <w:lang w:val="de-DE" w:eastAsia="de-DE"/>
        </w:rPr>
        <w:t> </w:t>
      </w:r>
      <w:r w:rsidRPr="00DE1967">
        <w:rPr>
          <w:snapToGrid/>
          <w:szCs w:val="22"/>
          <w:lang w:val="de-DE" w:eastAsia="de-DE"/>
        </w:rPr>
        <w:t>B.</w:t>
      </w:r>
      <w:r w:rsidR="00FC72A2" w:rsidRPr="00DE1967">
        <w:rPr>
          <w:snapToGrid/>
          <w:szCs w:val="22"/>
          <w:lang w:val="de-DE" w:eastAsia="de-DE"/>
        </w:rPr>
        <w:t xml:space="preserve"> </w:t>
      </w:r>
      <w:r w:rsidRPr="00DE1967">
        <w:rPr>
          <w:snapToGrid/>
          <w:szCs w:val="22"/>
          <w:lang w:val="de-DE" w:eastAsia="de-DE"/>
        </w:rPr>
        <w:t>ACE-Hemmer, kaliumsparende Diuretika, Kaliumpräparate, kaliumhaltige Salzersatzpräparate,</w:t>
      </w:r>
      <w:r w:rsidR="00FC72A2" w:rsidRPr="00DE1967">
        <w:rPr>
          <w:snapToGrid/>
          <w:szCs w:val="22"/>
          <w:lang w:val="de-DE" w:eastAsia="de-DE"/>
        </w:rPr>
        <w:t xml:space="preserve"> </w:t>
      </w:r>
      <w:r w:rsidRPr="00DE1967">
        <w:rPr>
          <w:snapToGrid/>
          <w:szCs w:val="22"/>
          <w:lang w:val="de-DE" w:eastAsia="de-DE"/>
        </w:rPr>
        <w:t>Cyclosporin oder andere Arzneimittel wie Natriumheparin)</w:t>
      </w:r>
    </w:p>
    <w:p w:rsidR="00207546" w:rsidRPr="00DE1967" w:rsidRDefault="00207546"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Wenn diese Arzneimittel zusammen mit der Hydrochlorothiazid-Telmisartan-Kombination verschrieben werden sollen, wird die Kontrolle der Plasmakaliumspiegel empfohlen. Wie die Erfahrung mit anderen Arzneimitteln, die das Renin-Angiotensin-System beeinflussen, zeigt, kann die gleichzeitige Anwendung der vorher genannten Arzneimittel zu einem Anstieg des Serumkaliums führen und wird daher nicht empfohlen (siehe Abschnitt</w:t>
      </w:r>
      <w:r w:rsidR="00433771" w:rsidRPr="00DE1967">
        <w:rPr>
          <w:snapToGrid/>
          <w:szCs w:val="22"/>
          <w:lang w:val="de-DE" w:eastAsia="de-DE"/>
        </w:rPr>
        <w:t> </w:t>
      </w:r>
      <w:r w:rsidRPr="00DE1967">
        <w:rPr>
          <w:snapToGrid/>
          <w:szCs w:val="22"/>
          <w:lang w:val="de-DE" w:eastAsia="de-DE"/>
        </w:rPr>
        <w:t>4.4).</w:t>
      </w:r>
    </w:p>
    <w:p w:rsidR="009A4D9C" w:rsidRPr="00DE1967" w:rsidRDefault="009A4D9C" w:rsidP="0003742E">
      <w:pPr>
        <w:widowControl w:val="0"/>
        <w:tabs>
          <w:tab w:val="clear" w:pos="567"/>
        </w:tabs>
        <w:autoSpaceDE w:val="0"/>
        <w:autoSpaceDN w:val="0"/>
        <w:adjustRightInd w:val="0"/>
        <w:spacing w:line="240" w:lineRule="auto"/>
        <w:rPr>
          <w:snapToGrid/>
          <w:szCs w:val="22"/>
          <w:lang w:val="de-DE" w:eastAsia="de-DE"/>
        </w:rPr>
      </w:pPr>
    </w:p>
    <w:p w:rsidR="009A4D9C" w:rsidRPr="00DE1967" w:rsidRDefault="009A4D9C"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Arzneimittel, die durch eine Störung des Serumkaliums beeinflusst werden</w:t>
      </w:r>
    </w:p>
    <w:p w:rsidR="009A4D9C" w:rsidRPr="00DE1967" w:rsidRDefault="009A4D9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Eine regelmäßige Überwachung des Serumkaliums und EKGs wird empfohlen, wenn </w:t>
      </w:r>
      <w:proofErr w:type="spellStart"/>
      <w:r w:rsidRPr="00DE1967">
        <w:rPr>
          <w:snapToGrid/>
          <w:szCs w:val="22"/>
          <w:lang w:val="de-DE" w:eastAsia="de-DE"/>
        </w:rPr>
        <w:t>Tolucombi</w:t>
      </w:r>
      <w:proofErr w:type="spellEnd"/>
      <w:r w:rsidR="00474E0E" w:rsidRPr="00DE1967">
        <w:rPr>
          <w:snapToGrid/>
          <w:szCs w:val="22"/>
          <w:lang w:val="de-DE" w:eastAsia="de-DE"/>
        </w:rPr>
        <w:t xml:space="preserve"> </w:t>
      </w:r>
      <w:r w:rsidRPr="00DE1967">
        <w:rPr>
          <w:snapToGrid/>
          <w:szCs w:val="22"/>
          <w:lang w:val="de-DE" w:eastAsia="de-DE"/>
        </w:rPr>
        <w:t>zusammen mit Arzneimitteln angewandt wird, die durch Störungen des Serumkaliums beeinflusst</w:t>
      </w:r>
      <w:r w:rsidR="00474E0E" w:rsidRPr="00DE1967">
        <w:rPr>
          <w:snapToGrid/>
          <w:szCs w:val="22"/>
          <w:lang w:val="de-DE" w:eastAsia="de-DE"/>
        </w:rPr>
        <w:t xml:space="preserve"> </w:t>
      </w:r>
      <w:r w:rsidRPr="00DE1967">
        <w:rPr>
          <w:snapToGrid/>
          <w:szCs w:val="22"/>
          <w:lang w:val="de-DE" w:eastAsia="de-DE"/>
        </w:rPr>
        <w:t>werden (z.</w:t>
      </w:r>
      <w:r w:rsidR="00433771" w:rsidRPr="00DE1967">
        <w:rPr>
          <w:snapToGrid/>
          <w:szCs w:val="22"/>
          <w:lang w:val="de-DE" w:eastAsia="de-DE"/>
        </w:rPr>
        <w:t> </w:t>
      </w:r>
      <w:r w:rsidRPr="00DE1967">
        <w:rPr>
          <w:snapToGrid/>
          <w:szCs w:val="22"/>
          <w:lang w:val="de-DE" w:eastAsia="de-DE"/>
        </w:rPr>
        <w:t xml:space="preserve">B. </w:t>
      </w:r>
      <w:proofErr w:type="spellStart"/>
      <w:r w:rsidRPr="00DE1967">
        <w:rPr>
          <w:snapToGrid/>
          <w:szCs w:val="22"/>
          <w:lang w:val="de-DE" w:eastAsia="de-DE"/>
        </w:rPr>
        <w:t>Digitalisglykoside</w:t>
      </w:r>
      <w:proofErr w:type="spellEnd"/>
      <w:r w:rsidRPr="00DE1967">
        <w:rPr>
          <w:snapToGrid/>
          <w:szCs w:val="22"/>
          <w:lang w:val="de-DE" w:eastAsia="de-DE"/>
        </w:rPr>
        <w:t>, Antiarrhythmika) und den nachfolgend aufgeführten Arzneimitteln,</w:t>
      </w:r>
      <w:r w:rsidR="00474E0E" w:rsidRPr="00DE1967">
        <w:rPr>
          <w:snapToGrid/>
          <w:szCs w:val="22"/>
          <w:lang w:val="de-DE" w:eastAsia="de-DE"/>
        </w:rPr>
        <w:t xml:space="preserve"> </w:t>
      </w:r>
      <w:r w:rsidRPr="00DE1967">
        <w:rPr>
          <w:snapToGrid/>
          <w:szCs w:val="22"/>
          <w:lang w:val="de-DE" w:eastAsia="de-DE"/>
        </w:rPr>
        <w:t xml:space="preserve">die </w:t>
      </w:r>
      <w:proofErr w:type="spellStart"/>
      <w:r w:rsidRPr="00DE1967">
        <w:rPr>
          <w:snapToGrid/>
          <w:szCs w:val="22"/>
          <w:lang w:val="de-DE" w:eastAsia="de-DE"/>
        </w:rPr>
        <w:t>Torsades</w:t>
      </w:r>
      <w:proofErr w:type="spellEnd"/>
      <w:r w:rsidRPr="00DE1967">
        <w:rPr>
          <w:snapToGrid/>
          <w:szCs w:val="22"/>
          <w:lang w:val="de-DE" w:eastAsia="de-DE"/>
        </w:rPr>
        <w:t xml:space="preserve"> de </w:t>
      </w:r>
      <w:proofErr w:type="spellStart"/>
      <w:r w:rsidRPr="00DE1967">
        <w:rPr>
          <w:snapToGrid/>
          <w:szCs w:val="22"/>
          <w:lang w:val="de-DE" w:eastAsia="de-DE"/>
        </w:rPr>
        <w:t>Pointes</w:t>
      </w:r>
      <w:proofErr w:type="spellEnd"/>
      <w:r w:rsidRPr="00DE1967">
        <w:rPr>
          <w:snapToGrid/>
          <w:szCs w:val="22"/>
          <w:lang w:val="de-DE" w:eastAsia="de-DE"/>
        </w:rPr>
        <w:t xml:space="preserve"> auslösen (einschließlich einiger Antiarrhythmika). Hypokaliämie ist dabei ein</w:t>
      </w:r>
      <w:r w:rsidR="00474E0E" w:rsidRPr="00DE1967">
        <w:rPr>
          <w:snapToGrid/>
          <w:szCs w:val="22"/>
          <w:lang w:val="de-DE" w:eastAsia="de-DE"/>
        </w:rPr>
        <w:t xml:space="preserve"> </w:t>
      </w:r>
      <w:r w:rsidRPr="00DE1967">
        <w:rPr>
          <w:snapToGrid/>
          <w:szCs w:val="22"/>
          <w:lang w:val="de-DE" w:eastAsia="de-DE"/>
        </w:rPr>
        <w:t xml:space="preserve">prädisponierender Faktor für </w:t>
      </w:r>
      <w:proofErr w:type="spellStart"/>
      <w:r w:rsidRPr="00DE1967">
        <w:rPr>
          <w:snapToGrid/>
          <w:szCs w:val="22"/>
          <w:lang w:val="de-DE" w:eastAsia="de-DE"/>
        </w:rPr>
        <w:t>Torsades</w:t>
      </w:r>
      <w:proofErr w:type="spellEnd"/>
      <w:r w:rsidRPr="00DE1967">
        <w:rPr>
          <w:snapToGrid/>
          <w:szCs w:val="22"/>
          <w:lang w:val="de-DE" w:eastAsia="de-DE"/>
        </w:rPr>
        <w:t xml:space="preserve"> de </w:t>
      </w:r>
      <w:proofErr w:type="spellStart"/>
      <w:r w:rsidRPr="00DE1967">
        <w:rPr>
          <w:snapToGrid/>
          <w:szCs w:val="22"/>
          <w:lang w:val="de-DE" w:eastAsia="de-DE"/>
        </w:rPr>
        <w:t>Pointes</w:t>
      </w:r>
      <w:proofErr w:type="spellEnd"/>
      <w:r w:rsidRPr="00DE1967">
        <w:rPr>
          <w:snapToGrid/>
          <w:szCs w:val="22"/>
          <w:lang w:val="de-DE" w:eastAsia="de-DE"/>
        </w:rPr>
        <w:t>.</w:t>
      </w:r>
    </w:p>
    <w:p w:rsidR="009A4D9C" w:rsidRPr="00DE1967" w:rsidRDefault="00BB6845" w:rsidP="0003742E">
      <w:pPr>
        <w:widowControl w:val="0"/>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t>
      </w:r>
      <w:r w:rsidR="00474E0E" w:rsidRPr="00DE1967">
        <w:rPr>
          <w:snapToGrid/>
          <w:szCs w:val="22"/>
          <w:lang w:val="de-DE" w:eastAsia="de-DE"/>
        </w:rPr>
        <w:tab/>
      </w:r>
      <w:r w:rsidR="009A4D9C" w:rsidRPr="00DE1967">
        <w:rPr>
          <w:snapToGrid/>
          <w:szCs w:val="22"/>
          <w:lang w:val="de-DE" w:eastAsia="de-DE"/>
        </w:rPr>
        <w:t xml:space="preserve">Klasse </w:t>
      </w:r>
      <w:proofErr w:type="spellStart"/>
      <w:r w:rsidR="009A4D9C" w:rsidRPr="00DE1967">
        <w:rPr>
          <w:snapToGrid/>
          <w:szCs w:val="22"/>
          <w:lang w:val="de-DE" w:eastAsia="de-DE"/>
        </w:rPr>
        <w:t>Ia</w:t>
      </w:r>
      <w:proofErr w:type="spellEnd"/>
      <w:r w:rsidR="009A4D9C" w:rsidRPr="00DE1967">
        <w:rPr>
          <w:snapToGrid/>
          <w:szCs w:val="22"/>
          <w:lang w:val="de-DE" w:eastAsia="de-DE"/>
        </w:rPr>
        <w:t xml:space="preserve"> Antiarrhythmika (z.</w:t>
      </w:r>
      <w:r w:rsidR="00433771" w:rsidRPr="00DE1967">
        <w:rPr>
          <w:snapToGrid/>
          <w:szCs w:val="22"/>
          <w:lang w:val="de-DE" w:eastAsia="de-DE"/>
        </w:rPr>
        <w:t> </w:t>
      </w:r>
      <w:r w:rsidR="009A4D9C" w:rsidRPr="00DE1967">
        <w:rPr>
          <w:snapToGrid/>
          <w:szCs w:val="22"/>
          <w:lang w:val="de-DE" w:eastAsia="de-DE"/>
        </w:rPr>
        <w:t xml:space="preserve">B. Chinidin, </w:t>
      </w:r>
      <w:proofErr w:type="spellStart"/>
      <w:r w:rsidR="009A4D9C" w:rsidRPr="00DE1967">
        <w:rPr>
          <w:snapToGrid/>
          <w:szCs w:val="22"/>
          <w:lang w:val="de-DE" w:eastAsia="de-DE"/>
        </w:rPr>
        <w:t>Hydrochinidin</w:t>
      </w:r>
      <w:proofErr w:type="spellEnd"/>
      <w:r w:rsidR="009A4D9C" w:rsidRPr="00DE1967">
        <w:rPr>
          <w:snapToGrid/>
          <w:szCs w:val="22"/>
          <w:lang w:val="de-DE" w:eastAsia="de-DE"/>
        </w:rPr>
        <w:t>, Disopyramid)</w:t>
      </w:r>
    </w:p>
    <w:p w:rsidR="009A4D9C" w:rsidRPr="00DE1967" w:rsidRDefault="00BB6845" w:rsidP="0003742E">
      <w:pPr>
        <w:widowControl w:val="0"/>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t>
      </w:r>
      <w:r w:rsidR="00474E0E" w:rsidRPr="00DE1967">
        <w:rPr>
          <w:snapToGrid/>
          <w:szCs w:val="22"/>
          <w:lang w:val="de-DE" w:eastAsia="de-DE"/>
        </w:rPr>
        <w:tab/>
      </w:r>
      <w:r w:rsidR="009A4D9C" w:rsidRPr="00DE1967">
        <w:rPr>
          <w:snapToGrid/>
          <w:szCs w:val="22"/>
          <w:lang w:val="de-DE" w:eastAsia="de-DE"/>
        </w:rPr>
        <w:t>Klasse III Antiarrhythmika (z.</w:t>
      </w:r>
      <w:r w:rsidR="00433771" w:rsidRPr="00DE1967">
        <w:rPr>
          <w:snapToGrid/>
          <w:szCs w:val="22"/>
          <w:lang w:val="de-DE" w:eastAsia="de-DE"/>
        </w:rPr>
        <w:t> </w:t>
      </w:r>
      <w:r w:rsidR="009A4D9C" w:rsidRPr="00DE1967">
        <w:rPr>
          <w:snapToGrid/>
          <w:szCs w:val="22"/>
          <w:lang w:val="de-DE" w:eastAsia="de-DE"/>
        </w:rPr>
        <w:t xml:space="preserve">B. Amiodaron, </w:t>
      </w:r>
      <w:proofErr w:type="spellStart"/>
      <w:r w:rsidR="009A4D9C" w:rsidRPr="00DE1967">
        <w:rPr>
          <w:snapToGrid/>
          <w:szCs w:val="22"/>
          <w:lang w:val="de-DE" w:eastAsia="de-DE"/>
        </w:rPr>
        <w:t>Sotalol</w:t>
      </w:r>
      <w:proofErr w:type="spellEnd"/>
      <w:r w:rsidR="009A4D9C" w:rsidRPr="00DE1967">
        <w:rPr>
          <w:snapToGrid/>
          <w:szCs w:val="22"/>
          <w:lang w:val="de-DE" w:eastAsia="de-DE"/>
        </w:rPr>
        <w:t xml:space="preserve">, </w:t>
      </w:r>
      <w:proofErr w:type="spellStart"/>
      <w:r w:rsidR="009A4D9C" w:rsidRPr="00DE1967">
        <w:rPr>
          <w:snapToGrid/>
          <w:szCs w:val="22"/>
          <w:lang w:val="de-DE" w:eastAsia="de-DE"/>
        </w:rPr>
        <w:t>Dofetilid</w:t>
      </w:r>
      <w:proofErr w:type="spellEnd"/>
      <w:r w:rsidR="009A4D9C" w:rsidRPr="00DE1967">
        <w:rPr>
          <w:snapToGrid/>
          <w:szCs w:val="22"/>
          <w:lang w:val="de-DE" w:eastAsia="de-DE"/>
        </w:rPr>
        <w:t xml:space="preserve">, </w:t>
      </w:r>
      <w:proofErr w:type="spellStart"/>
      <w:r w:rsidR="009A4D9C" w:rsidRPr="00DE1967">
        <w:rPr>
          <w:snapToGrid/>
          <w:szCs w:val="22"/>
          <w:lang w:val="de-DE" w:eastAsia="de-DE"/>
        </w:rPr>
        <w:t>Ibutilid</w:t>
      </w:r>
      <w:proofErr w:type="spellEnd"/>
      <w:r w:rsidR="009A4D9C" w:rsidRPr="00DE1967">
        <w:rPr>
          <w:snapToGrid/>
          <w:szCs w:val="22"/>
          <w:lang w:val="de-DE" w:eastAsia="de-DE"/>
        </w:rPr>
        <w:t>)</w:t>
      </w:r>
    </w:p>
    <w:p w:rsidR="009A4D9C" w:rsidRPr="00DE1967" w:rsidRDefault="00BB6845" w:rsidP="0003742E">
      <w:pPr>
        <w:widowControl w:val="0"/>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t>
      </w:r>
      <w:r w:rsidR="00474E0E" w:rsidRPr="00DE1967">
        <w:rPr>
          <w:snapToGrid/>
          <w:szCs w:val="22"/>
          <w:lang w:val="de-DE" w:eastAsia="de-DE"/>
        </w:rPr>
        <w:tab/>
      </w:r>
      <w:r w:rsidR="009A4D9C" w:rsidRPr="00DE1967">
        <w:rPr>
          <w:snapToGrid/>
          <w:szCs w:val="22"/>
          <w:lang w:val="de-DE" w:eastAsia="de-DE"/>
        </w:rPr>
        <w:t>Einige Antipsychotika (z.</w:t>
      </w:r>
      <w:r w:rsidR="00433771" w:rsidRPr="00DE1967">
        <w:rPr>
          <w:snapToGrid/>
          <w:szCs w:val="22"/>
          <w:lang w:val="de-DE" w:eastAsia="de-DE"/>
        </w:rPr>
        <w:t> </w:t>
      </w:r>
      <w:r w:rsidR="009A4D9C" w:rsidRPr="00DE1967">
        <w:rPr>
          <w:snapToGrid/>
          <w:szCs w:val="22"/>
          <w:lang w:val="de-DE" w:eastAsia="de-DE"/>
        </w:rPr>
        <w:t xml:space="preserve">B. Thioridazin, </w:t>
      </w:r>
      <w:proofErr w:type="spellStart"/>
      <w:r w:rsidR="009A4D9C" w:rsidRPr="00DE1967">
        <w:rPr>
          <w:snapToGrid/>
          <w:szCs w:val="22"/>
          <w:lang w:val="de-DE" w:eastAsia="de-DE"/>
        </w:rPr>
        <w:t>Chlorpromazin</w:t>
      </w:r>
      <w:proofErr w:type="spellEnd"/>
      <w:r w:rsidR="009A4D9C" w:rsidRPr="00DE1967">
        <w:rPr>
          <w:snapToGrid/>
          <w:szCs w:val="22"/>
          <w:lang w:val="de-DE" w:eastAsia="de-DE"/>
        </w:rPr>
        <w:t xml:space="preserve">, </w:t>
      </w:r>
      <w:proofErr w:type="spellStart"/>
      <w:r w:rsidR="009A4D9C" w:rsidRPr="00DE1967">
        <w:rPr>
          <w:snapToGrid/>
          <w:szCs w:val="22"/>
          <w:lang w:val="de-DE" w:eastAsia="de-DE"/>
        </w:rPr>
        <w:t>Levomepromazin</w:t>
      </w:r>
      <w:proofErr w:type="spellEnd"/>
      <w:r w:rsidR="009A4D9C" w:rsidRPr="00DE1967">
        <w:rPr>
          <w:snapToGrid/>
          <w:szCs w:val="22"/>
          <w:lang w:val="de-DE" w:eastAsia="de-DE"/>
        </w:rPr>
        <w:t xml:space="preserve">, </w:t>
      </w:r>
      <w:proofErr w:type="spellStart"/>
      <w:r w:rsidR="009A4D9C" w:rsidRPr="00DE1967">
        <w:rPr>
          <w:snapToGrid/>
          <w:szCs w:val="22"/>
          <w:lang w:val="de-DE" w:eastAsia="de-DE"/>
        </w:rPr>
        <w:t>Trifluoperazin</w:t>
      </w:r>
      <w:proofErr w:type="spellEnd"/>
      <w:r w:rsidR="009A4D9C" w:rsidRPr="00DE1967">
        <w:rPr>
          <w:snapToGrid/>
          <w:szCs w:val="22"/>
          <w:lang w:val="de-DE" w:eastAsia="de-DE"/>
        </w:rPr>
        <w:t>,</w:t>
      </w:r>
      <w:r w:rsidR="00474E0E" w:rsidRPr="00DE1967">
        <w:rPr>
          <w:snapToGrid/>
          <w:szCs w:val="22"/>
          <w:lang w:val="de-DE" w:eastAsia="de-DE"/>
        </w:rPr>
        <w:t xml:space="preserve"> </w:t>
      </w:r>
      <w:proofErr w:type="spellStart"/>
      <w:r w:rsidR="009A4D9C" w:rsidRPr="00DE1967">
        <w:rPr>
          <w:snapToGrid/>
          <w:szCs w:val="22"/>
          <w:lang w:val="de-DE" w:eastAsia="de-DE"/>
        </w:rPr>
        <w:t>Cyamemazin</w:t>
      </w:r>
      <w:proofErr w:type="spellEnd"/>
      <w:r w:rsidR="009A4D9C" w:rsidRPr="00DE1967">
        <w:rPr>
          <w:snapToGrid/>
          <w:szCs w:val="22"/>
          <w:lang w:val="de-DE" w:eastAsia="de-DE"/>
        </w:rPr>
        <w:t xml:space="preserve">, </w:t>
      </w:r>
      <w:proofErr w:type="spellStart"/>
      <w:r w:rsidR="009A4D9C" w:rsidRPr="00DE1967">
        <w:rPr>
          <w:snapToGrid/>
          <w:szCs w:val="22"/>
          <w:lang w:val="de-DE" w:eastAsia="de-DE"/>
        </w:rPr>
        <w:t>Sulpirid</w:t>
      </w:r>
      <w:proofErr w:type="spellEnd"/>
      <w:r w:rsidR="009A4D9C" w:rsidRPr="00DE1967">
        <w:rPr>
          <w:snapToGrid/>
          <w:szCs w:val="22"/>
          <w:lang w:val="de-DE" w:eastAsia="de-DE"/>
        </w:rPr>
        <w:t xml:space="preserve">, </w:t>
      </w:r>
      <w:proofErr w:type="spellStart"/>
      <w:r w:rsidR="009A4D9C" w:rsidRPr="00DE1967">
        <w:rPr>
          <w:snapToGrid/>
          <w:szCs w:val="22"/>
          <w:lang w:val="de-DE" w:eastAsia="de-DE"/>
        </w:rPr>
        <w:t>Sultoprid</w:t>
      </w:r>
      <w:proofErr w:type="spellEnd"/>
      <w:r w:rsidR="009A4D9C" w:rsidRPr="00DE1967">
        <w:rPr>
          <w:snapToGrid/>
          <w:szCs w:val="22"/>
          <w:lang w:val="de-DE" w:eastAsia="de-DE"/>
        </w:rPr>
        <w:t xml:space="preserve">, </w:t>
      </w:r>
      <w:proofErr w:type="spellStart"/>
      <w:r w:rsidR="009A4D9C" w:rsidRPr="00DE1967">
        <w:rPr>
          <w:snapToGrid/>
          <w:szCs w:val="22"/>
          <w:lang w:val="de-DE" w:eastAsia="de-DE"/>
        </w:rPr>
        <w:t>Amisulprid</w:t>
      </w:r>
      <w:proofErr w:type="spellEnd"/>
      <w:r w:rsidR="009A4D9C" w:rsidRPr="00DE1967">
        <w:rPr>
          <w:snapToGrid/>
          <w:szCs w:val="22"/>
          <w:lang w:val="de-DE" w:eastAsia="de-DE"/>
        </w:rPr>
        <w:t xml:space="preserve">, </w:t>
      </w:r>
      <w:proofErr w:type="spellStart"/>
      <w:r w:rsidR="009A4D9C" w:rsidRPr="00DE1967">
        <w:rPr>
          <w:snapToGrid/>
          <w:szCs w:val="22"/>
          <w:lang w:val="de-DE" w:eastAsia="de-DE"/>
        </w:rPr>
        <w:t>Tiaprid</w:t>
      </w:r>
      <w:proofErr w:type="spellEnd"/>
      <w:r w:rsidR="009A4D9C" w:rsidRPr="00DE1967">
        <w:rPr>
          <w:snapToGrid/>
          <w:szCs w:val="22"/>
          <w:lang w:val="de-DE" w:eastAsia="de-DE"/>
        </w:rPr>
        <w:t xml:space="preserve">, Pimozid, Haloperidol, </w:t>
      </w:r>
      <w:proofErr w:type="spellStart"/>
      <w:r w:rsidR="009A4D9C" w:rsidRPr="00DE1967">
        <w:rPr>
          <w:snapToGrid/>
          <w:szCs w:val="22"/>
          <w:lang w:val="de-DE" w:eastAsia="de-DE"/>
        </w:rPr>
        <w:t>Droperidol</w:t>
      </w:r>
      <w:proofErr w:type="spellEnd"/>
      <w:r w:rsidR="009A4D9C" w:rsidRPr="00DE1967">
        <w:rPr>
          <w:snapToGrid/>
          <w:szCs w:val="22"/>
          <w:lang w:val="de-DE" w:eastAsia="de-DE"/>
        </w:rPr>
        <w:t>)</w:t>
      </w:r>
    </w:p>
    <w:p w:rsidR="009A4D9C" w:rsidRPr="00DE1967" w:rsidRDefault="00BB6845" w:rsidP="0003742E">
      <w:pPr>
        <w:widowControl w:val="0"/>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t>
      </w:r>
      <w:r w:rsidR="00474E0E" w:rsidRPr="00DE1967">
        <w:rPr>
          <w:snapToGrid/>
          <w:szCs w:val="22"/>
          <w:lang w:val="de-DE" w:eastAsia="de-DE"/>
        </w:rPr>
        <w:tab/>
      </w:r>
      <w:r w:rsidR="009A4D9C" w:rsidRPr="00DE1967">
        <w:rPr>
          <w:snapToGrid/>
          <w:szCs w:val="22"/>
          <w:lang w:val="de-DE" w:eastAsia="de-DE"/>
        </w:rPr>
        <w:t>Andere (z.</w:t>
      </w:r>
      <w:r w:rsidR="00433771" w:rsidRPr="00DE1967">
        <w:rPr>
          <w:snapToGrid/>
          <w:szCs w:val="22"/>
          <w:lang w:val="de-DE" w:eastAsia="de-DE"/>
        </w:rPr>
        <w:t> </w:t>
      </w:r>
      <w:r w:rsidR="009A4D9C" w:rsidRPr="00DE1967">
        <w:rPr>
          <w:snapToGrid/>
          <w:szCs w:val="22"/>
          <w:lang w:val="de-DE" w:eastAsia="de-DE"/>
        </w:rPr>
        <w:t xml:space="preserve">B. Bepridil, Cisaprid, </w:t>
      </w:r>
      <w:proofErr w:type="spellStart"/>
      <w:r w:rsidR="009A4D9C" w:rsidRPr="00DE1967">
        <w:rPr>
          <w:snapToGrid/>
          <w:szCs w:val="22"/>
          <w:lang w:val="de-DE" w:eastAsia="de-DE"/>
        </w:rPr>
        <w:t>Diphemanil</w:t>
      </w:r>
      <w:proofErr w:type="spellEnd"/>
      <w:r w:rsidR="009A4D9C" w:rsidRPr="00DE1967">
        <w:rPr>
          <w:snapToGrid/>
          <w:szCs w:val="22"/>
          <w:lang w:val="de-DE" w:eastAsia="de-DE"/>
        </w:rPr>
        <w:t xml:space="preserve">, Erythromycin intravenös, </w:t>
      </w:r>
      <w:proofErr w:type="spellStart"/>
      <w:r w:rsidR="009A4D9C" w:rsidRPr="00DE1967">
        <w:rPr>
          <w:snapToGrid/>
          <w:szCs w:val="22"/>
          <w:lang w:val="de-DE" w:eastAsia="de-DE"/>
        </w:rPr>
        <w:t>Halofantrin</w:t>
      </w:r>
      <w:proofErr w:type="spellEnd"/>
      <w:r w:rsidR="009A4D9C" w:rsidRPr="00DE1967">
        <w:rPr>
          <w:snapToGrid/>
          <w:szCs w:val="22"/>
          <w:lang w:val="de-DE" w:eastAsia="de-DE"/>
        </w:rPr>
        <w:t xml:space="preserve">, </w:t>
      </w:r>
      <w:proofErr w:type="spellStart"/>
      <w:r w:rsidR="009A4D9C" w:rsidRPr="00DE1967">
        <w:rPr>
          <w:snapToGrid/>
          <w:szCs w:val="22"/>
          <w:lang w:val="de-DE" w:eastAsia="de-DE"/>
        </w:rPr>
        <w:t>Mizolastin</w:t>
      </w:r>
      <w:proofErr w:type="spellEnd"/>
      <w:r w:rsidR="009A4D9C" w:rsidRPr="00DE1967">
        <w:rPr>
          <w:snapToGrid/>
          <w:szCs w:val="22"/>
          <w:lang w:val="de-DE" w:eastAsia="de-DE"/>
        </w:rPr>
        <w:t>,</w:t>
      </w:r>
      <w:r w:rsidR="00474E0E" w:rsidRPr="00DE1967">
        <w:rPr>
          <w:snapToGrid/>
          <w:szCs w:val="22"/>
          <w:lang w:val="de-DE" w:eastAsia="de-DE"/>
        </w:rPr>
        <w:t xml:space="preserve"> </w:t>
      </w:r>
      <w:proofErr w:type="spellStart"/>
      <w:r w:rsidR="009A4D9C" w:rsidRPr="00DE1967">
        <w:rPr>
          <w:snapToGrid/>
          <w:szCs w:val="22"/>
          <w:lang w:val="de-DE" w:eastAsia="de-DE"/>
        </w:rPr>
        <w:t>Pentamidin</w:t>
      </w:r>
      <w:proofErr w:type="spellEnd"/>
      <w:r w:rsidR="009A4D9C" w:rsidRPr="00DE1967">
        <w:rPr>
          <w:snapToGrid/>
          <w:szCs w:val="22"/>
          <w:lang w:val="de-DE" w:eastAsia="de-DE"/>
        </w:rPr>
        <w:t xml:space="preserve">, </w:t>
      </w:r>
      <w:proofErr w:type="spellStart"/>
      <w:r w:rsidR="009A4D9C" w:rsidRPr="00DE1967">
        <w:rPr>
          <w:snapToGrid/>
          <w:szCs w:val="22"/>
          <w:lang w:val="de-DE" w:eastAsia="de-DE"/>
        </w:rPr>
        <w:t>Sparfloxazin</w:t>
      </w:r>
      <w:proofErr w:type="spellEnd"/>
      <w:r w:rsidR="009A4D9C" w:rsidRPr="00DE1967">
        <w:rPr>
          <w:snapToGrid/>
          <w:szCs w:val="22"/>
          <w:lang w:val="de-DE" w:eastAsia="de-DE"/>
        </w:rPr>
        <w:t xml:space="preserve">, Terfenadin, </w:t>
      </w:r>
      <w:proofErr w:type="spellStart"/>
      <w:r w:rsidR="009A4D9C" w:rsidRPr="00DE1967">
        <w:rPr>
          <w:snapToGrid/>
          <w:szCs w:val="22"/>
          <w:lang w:val="de-DE" w:eastAsia="de-DE"/>
        </w:rPr>
        <w:t>Vincamin</w:t>
      </w:r>
      <w:proofErr w:type="spellEnd"/>
      <w:r w:rsidR="009A4D9C" w:rsidRPr="00DE1967">
        <w:rPr>
          <w:snapToGrid/>
          <w:szCs w:val="22"/>
          <w:lang w:val="de-DE" w:eastAsia="de-DE"/>
        </w:rPr>
        <w:t xml:space="preserve"> intravenös)</w:t>
      </w:r>
    </w:p>
    <w:p w:rsidR="00474E0E" w:rsidRPr="00DE1967" w:rsidRDefault="00474E0E" w:rsidP="0003742E">
      <w:pPr>
        <w:widowControl w:val="0"/>
        <w:tabs>
          <w:tab w:val="clear" w:pos="567"/>
        </w:tabs>
        <w:autoSpaceDE w:val="0"/>
        <w:autoSpaceDN w:val="0"/>
        <w:adjustRightInd w:val="0"/>
        <w:spacing w:line="240" w:lineRule="auto"/>
        <w:rPr>
          <w:snapToGrid/>
          <w:szCs w:val="22"/>
          <w:lang w:val="de-DE" w:eastAsia="de-DE"/>
        </w:rPr>
      </w:pPr>
    </w:p>
    <w:p w:rsidR="009A4D9C" w:rsidRPr="00DE1967" w:rsidRDefault="009A4D9C" w:rsidP="0003742E">
      <w:pPr>
        <w:widowControl w:val="0"/>
        <w:tabs>
          <w:tab w:val="clear" w:pos="567"/>
        </w:tabs>
        <w:autoSpaceDE w:val="0"/>
        <w:autoSpaceDN w:val="0"/>
        <w:adjustRightInd w:val="0"/>
        <w:spacing w:line="240" w:lineRule="auto"/>
        <w:rPr>
          <w:snapToGrid/>
          <w:szCs w:val="22"/>
          <w:u w:val="single"/>
          <w:lang w:val="de-DE" w:eastAsia="de-DE"/>
        </w:rPr>
      </w:pPr>
      <w:proofErr w:type="spellStart"/>
      <w:r w:rsidRPr="00DE1967">
        <w:rPr>
          <w:snapToGrid/>
          <w:szCs w:val="22"/>
          <w:u w:val="single"/>
          <w:lang w:val="de-DE" w:eastAsia="de-DE"/>
        </w:rPr>
        <w:t>Digitalisglykoside</w:t>
      </w:r>
      <w:proofErr w:type="spellEnd"/>
    </w:p>
    <w:p w:rsidR="009A4D9C" w:rsidRPr="00DE1967" w:rsidRDefault="009A4D9C" w:rsidP="0003742E">
      <w:pPr>
        <w:widowControl w:val="0"/>
        <w:tabs>
          <w:tab w:val="clear" w:pos="567"/>
        </w:tabs>
        <w:autoSpaceDE w:val="0"/>
        <w:autoSpaceDN w:val="0"/>
        <w:adjustRightInd w:val="0"/>
        <w:spacing w:line="240" w:lineRule="auto"/>
        <w:rPr>
          <w:snapToGrid/>
          <w:szCs w:val="22"/>
          <w:lang w:val="de-DE" w:eastAsia="de-DE"/>
        </w:rPr>
      </w:pPr>
      <w:proofErr w:type="spellStart"/>
      <w:r w:rsidRPr="00DE1967">
        <w:rPr>
          <w:snapToGrid/>
          <w:szCs w:val="22"/>
          <w:lang w:val="de-DE" w:eastAsia="de-DE"/>
        </w:rPr>
        <w:t>Thiazid</w:t>
      </w:r>
      <w:proofErr w:type="spellEnd"/>
      <w:r w:rsidRPr="00DE1967">
        <w:rPr>
          <w:snapToGrid/>
          <w:szCs w:val="22"/>
          <w:lang w:val="de-DE" w:eastAsia="de-DE"/>
        </w:rPr>
        <w:t xml:space="preserve">-bedingte Hypokaliämie oder </w:t>
      </w:r>
      <w:proofErr w:type="spellStart"/>
      <w:r w:rsidRPr="00DE1967">
        <w:rPr>
          <w:snapToGrid/>
          <w:szCs w:val="22"/>
          <w:lang w:val="de-DE" w:eastAsia="de-DE"/>
        </w:rPr>
        <w:t>Hypomagnesiämie</w:t>
      </w:r>
      <w:proofErr w:type="spellEnd"/>
      <w:r w:rsidRPr="00DE1967">
        <w:rPr>
          <w:snapToGrid/>
          <w:szCs w:val="22"/>
          <w:lang w:val="de-DE" w:eastAsia="de-DE"/>
        </w:rPr>
        <w:t xml:space="preserve"> begünstigen das Auftreten Digitalis-bedingter</w:t>
      </w:r>
      <w:r w:rsidR="00474E0E" w:rsidRPr="00DE1967">
        <w:rPr>
          <w:snapToGrid/>
          <w:szCs w:val="22"/>
          <w:lang w:val="de-DE" w:eastAsia="de-DE"/>
        </w:rPr>
        <w:t xml:space="preserve"> </w:t>
      </w:r>
      <w:r w:rsidRPr="00DE1967">
        <w:rPr>
          <w:snapToGrid/>
          <w:szCs w:val="22"/>
          <w:lang w:val="de-DE" w:eastAsia="de-DE"/>
        </w:rPr>
        <w:t>Rhythmusstörungen (siehe Abschnitt</w:t>
      </w:r>
      <w:r w:rsidR="00433771" w:rsidRPr="00DE1967">
        <w:rPr>
          <w:snapToGrid/>
          <w:szCs w:val="22"/>
          <w:lang w:val="de-DE" w:eastAsia="de-DE"/>
        </w:rPr>
        <w:t> </w:t>
      </w:r>
      <w:r w:rsidRPr="00DE1967">
        <w:rPr>
          <w:snapToGrid/>
          <w:szCs w:val="22"/>
          <w:lang w:val="de-DE" w:eastAsia="de-DE"/>
        </w:rPr>
        <w:t>4.4).</w:t>
      </w:r>
    </w:p>
    <w:p w:rsidR="00474E0E" w:rsidRPr="00DE1967" w:rsidRDefault="00474E0E" w:rsidP="0003742E">
      <w:pPr>
        <w:widowControl w:val="0"/>
        <w:tabs>
          <w:tab w:val="clear" w:pos="567"/>
        </w:tabs>
        <w:autoSpaceDE w:val="0"/>
        <w:autoSpaceDN w:val="0"/>
        <w:adjustRightInd w:val="0"/>
        <w:spacing w:line="240" w:lineRule="auto"/>
        <w:rPr>
          <w:snapToGrid/>
          <w:szCs w:val="22"/>
          <w:lang w:val="de-DE" w:eastAsia="de-DE"/>
        </w:rPr>
      </w:pPr>
    </w:p>
    <w:p w:rsidR="00E44CFF" w:rsidRPr="00DE1967" w:rsidRDefault="00E44CFF" w:rsidP="0003742E">
      <w:pPr>
        <w:widowControl w:val="0"/>
        <w:spacing w:line="240" w:lineRule="auto"/>
        <w:rPr>
          <w:szCs w:val="22"/>
          <w:u w:val="single"/>
          <w:lang w:val="de-DE"/>
        </w:rPr>
      </w:pPr>
      <w:r w:rsidRPr="00DE1967">
        <w:rPr>
          <w:szCs w:val="22"/>
          <w:u w:val="single"/>
          <w:lang w:val="de-DE"/>
        </w:rPr>
        <w:t>Digoxin</w:t>
      </w:r>
    </w:p>
    <w:p w:rsidR="00E44CFF" w:rsidRPr="00DE1967" w:rsidRDefault="00E44CFF" w:rsidP="0003742E">
      <w:pPr>
        <w:widowControl w:val="0"/>
        <w:spacing w:line="240" w:lineRule="auto"/>
        <w:rPr>
          <w:szCs w:val="22"/>
          <w:lang w:val="de-DE"/>
        </w:rPr>
      </w:pPr>
      <w:r w:rsidRPr="00DE1967">
        <w:rPr>
          <w:szCs w:val="22"/>
          <w:lang w:val="de-DE"/>
        </w:rPr>
        <w:t xml:space="preserve">Bei gleichzeitiger Anwendung von Telmisartan und Digoxin wurde eine mittlere Erhöhung der maximalen (49 %) und minimalen (20 %) Digoxin-Plasmakonzentration beobachtet. Bei Initiierung, Anpassung und Beendigung der Telmisartan-Behandlung ist der </w:t>
      </w:r>
      <w:proofErr w:type="spellStart"/>
      <w:r w:rsidRPr="00DE1967">
        <w:rPr>
          <w:szCs w:val="22"/>
          <w:lang w:val="de-DE"/>
        </w:rPr>
        <w:t>Digoxinspiegel</w:t>
      </w:r>
      <w:proofErr w:type="spellEnd"/>
      <w:r w:rsidRPr="00DE1967">
        <w:rPr>
          <w:szCs w:val="22"/>
          <w:lang w:val="de-DE"/>
        </w:rPr>
        <w:t xml:space="preserve"> zu überwachen, um diesen innerhalb des therapeutischen Bereiches zu halten.</w:t>
      </w:r>
    </w:p>
    <w:p w:rsidR="00E44CFF" w:rsidRPr="00DE1967" w:rsidRDefault="00E44CFF" w:rsidP="0003742E">
      <w:pPr>
        <w:widowControl w:val="0"/>
        <w:tabs>
          <w:tab w:val="clear" w:pos="567"/>
        </w:tabs>
        <w:autoSpaceDE w:val="0"/>
        <w:autoSpaceDN w:val="0"/>
        <w:adjustRightInd w:val="0"/>
        <w:spacing w:line="240" w:lineRule="auto"/>
        <w:rPr>
          <w:snapToGrid/>
          <w:szCs w:val="22"/>
          <w:lang w:val="de-DE" w:eastAsia="de-DE"/>
        </w:rPr>
      </w:pPr>
    </w:p>
    <w:p w:rsidR="009A4D9C" w:rsidRPr="00DE1967" w:rsidRDefault="009A4D9C"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Andere antihypertensive Substanzen</w:t>
      </w:r>
    </w:p>
    <w:p w:rsidR="009A4D9C" w:rsidRPr="00DE1967" w:rsidRDefault="009A4D9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Telmisartan kann die blutdrucksenkende Wirkung von anderen Antihypertensiva verstärken.</w:t>
      </w:r>
    </w:p>
    <w:p w:rsidR="00474E0E" w:rsidRPr="00DE1967" w:rsidRDefault="00474E0E" w:rsidP="0003742E">
      <w:pPr>
        <w:widowControl w:val="0"/>
        <w:tabs>
          <w:tab w:val="clear" w:pos="567"/>
        </w:tabs>
        <w:autoSpaceDE w:val="0"/>
        <w:autoSpaceDN w:val="0"/>
        <w:adjustRightInd w:val="0"/>
        <w:spacing w:line="240" w:lineRule="auto"/>
        <w:rPr>
          <w:snapToGrid/>
          <w:szCs w:val="22"/>
          <w:lang w:val="de-DE" w:eastAsia="de-DE"/>
        </w:rPr>
      </w:pPr>
    </w:p>
    <w:p w:rsidR="00B37602" w:rsidRPr="00DE1967" w:rsidRDefault="00B37602" w:rsidP="0003742E">
      <w:pPr>
        <w:widowControl w:val="0"/>
        <w:tabs>
          <w:tab w:val="clear" w:pos="567"/>
        </w:tabs>
        <w:autoSpaceDE w:val="0"/>
        <w:autoSpaceDN w:val="0"/>
        <w:adjustRightInd w:val="0"/>
        <w:spacing w:line="240" w:lineRule="auto"/>
        <w:rPr>
          <w:iCs/>
          <w:snapToGrid/>
          <w:szCs w:val="22"/>
          <w:lang w:val="de-DE" w:eastAsia="de-DE"/>
        </w:rPr>
      </w:pPr>
      <w:r w:rsidRPr="00DE1967">
        <w:rPr>
          <w:iCs/>
          <w:snapToGrid/>
          <w:szCs w:val="22"/>
          <w:lang w:val="de-DE" w:eastAsia="de-DE"/>
        </w:rPr>
        <w:t xml:space="preserve">Daten aus klinischen Studien haben gezeigt, dass eine duale Blockade des Renin-Angiotensin-Aldosteron-Systems (RAAS) durch gleichzeitige Anwendung von ACE-Hemmern, Angiotensin-II-Rezeptor-Antagonisten oder </w:t>
      </w:r>
      <w:proofErr w:type="spellStart"/>
      <w:r w:rsidRPr="00DE1967">
        <w:rPr>
          <w:iCs/>
          <w:snapToGrid/>
          <w:szCs w:val="22"/>
          <w:lang w:val="de-DE" w:eastAsia="de-DE"/>
        </w:rPr>
        <w:t>Aliskiren</w:t>
      </w:r>
      <w:proofErr w:type="spellEnd"/>
      <w:r w:rsidRPr="00DE1967">
        <w:rPr>
          <w:iCs/>
          <w:snapToGrid/>
          <w:szCs w:val="22"/>
          <w:lang w:val="de-DE" w:eastAsia="de-DE"/>
        </w:rPr>
        <w:t xml:space="preserve"> im Vergleich zur Anwendung einer einzelnen Substanz, die auf das RAAS wirkt, mit einer höheren Rate an unerwünschten Ereignissen wie Hypotonie, Hyperkaliämie und einer Abnahme der Nierenfunktion (einschließlich eines akuten Nierenversagens) einher geht (siehe Abschnitte 4.3, 4.4 und 5.1).</w:t>
      </w:r>
    </w:p>
    <w:p w:rsidR="00B37602" w:rsidRPr="00DE1967" w:rsidRDefault="00B37602" w:rsidP="0003742E">
      <w:pPr>
        <w:widowControl w:val="0"/>
        <w:tabs>
          <w:tab w:val="clear" w:pos="567"/>
        </w:tabs>
        <w:autoSpaceDE w:val="0"/>
        <w:autoSpaceDN w:val="0"/>
        <w:adjustRightInd w:val="0"/>
        <w:spacing w:line="240" w:lineRule="auto"/>
        <w:rPr>
          <w:snapToGrid/>
          <w:szCs w:val="22"/>
          <w:lang w:val="de-DE" w:eastAsia="de-DE"/>
        </w:rPr>
      </w:pPr>
    </w:p>
    <w:p w:rsidR="009A4D9C" w:rsidRPr="00DE1967" w:rsidRDefault="009A4D9C"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Antidiabetika (orale Arzneimittel und Insulin)</w:t>
      </w:r>
    </w:p>
    <w:p w:rsidR="009A4D9C" w:rsidRPr="00DE1967" w:rsidRDefault="009A4D9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Eine Dosisanpassung des Antidiabetikums kann erforderlich sein (siehe Abschnitt</w:t>
      </w:r>
      <w:r w:rsidR="00433771" w:rsidRPr="00DE1967">
        <w:rPr>
          <w:snapToGrid/>
          <w:szCs w:val="22"/>
          <w:lang w:val="de-DE" w:eastAsia="de-DE"/>
        </w:rPr>
        <w:t> </w:t>
      </w:r>
      <w:r w:rsidRPr="00DE1967">
        <w:rPr>
          <w:snapToGrid/>
          <w:szCs w:val="22"/>
          <w:lang w:val="de-DE" w:eastAsia="de-DE"/>
        </w:rPr>
        <w:t>4.4).</w:t>
      </w:r>
    </w:p>
    <w:p w:rsidR="00474E0E" w:rsidRPr="00DE1967" w:rsidRDefault="00474E0E" w:rsidP="0003742E">
      <w:pPr>
        <w:widowControl w:val="0"/>
        <w:tabs>
          <w:tab w:val="clear" w:pos="567"/>
        </w:tabs>
        <w:autoSpaceDE w:val="0"/>
        <w:autoSpaceDN w:val="0"/>
        <w:adjustRightInd w:val="0"/>
        <w:spacing w:line="240" w:lineRule="auto"/>
        <w:rPr>
          <w:snapToGrid/>
          <w:szCs w:val="22"/>
          <w:lang w:val="de-DE" w:eastAsia="de-DE"/>
        </w:rPr>
      </w:pPr>
    </w:p>
    <w:p w:rsidR="009A4D9C" w:rsidRPr="00DE1967" w:rsidRDefault="009A4D9C"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Metformin</w:t>
      </w:r>
    </w:p>
    <w:p w:rsidR="009A4D9C" w:rsidRPr="00DE1967" w:rsidRDefault="009A4D9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Metformin sollte mit Vorsicht angewendet werden - das Risiko einer Laktatazidose, die durch ein</w:t>
      </w:r>
      <w:r w:rsidR="00474E0E" w:rsidRPr="00DE1967">
        <w:rPr>
          <w:snapToGrid/>
          <w:szCs w:val="22"/>
          <w:lang w:val="de-DE" w:eastAsia="de-DE"/>
        </w:rPr>
        <w:t xml:space="preserve"> </w:t>
      </w:r>
      <w:r w:rsidRPr="00DE1967">
        <w:rPr>
          <w:snapToGrid/>
          <w:szCs w:val="22"/>
          <w:lang w:val="de-DE" w:eastAsia="de-DE"/>
        </w:rPr>
        <w:t>mögliches funktionelles Nierenversagen induziert wird, wird mit Hydrochlorothiazid in Verbindung</w:t>
      </w:r>
      <w:r w:rsidR="00474E0E" w:rsidRPr="00DE1967">
        <w:rPr>
          <w:snapToGrid/>
          <w:szCs w:val="22"/>
          <w:lang w:val="de-DE" w:eastAsia="de-DE"/>
        </w:rPr>
        <w:t xml:space="preserve"> </w:t>
      </w:r>
      <w:r w:rsidRPr="00DE1967">
        <w:rPr>
          <w:snapToGrid/>
          <w:szCs w:val="22"/>
          <w:lang w:val="de-DE" w:eastAsia="de-DE"/>
        </w:rPr>
        <w:t>gebracht.</w:t>
      </w:r>
    </w:p>
    <w:p w:rsidR="00474E0E" w:rsidRPr="00DE1967" w:rsidRDefault="00474E0E" w:rsidP="0003742E">
      <w:pPr>
        <w:widowControl w:val="0"/>
        <w:tabs>
          <w:tab w:val="clear" w:pos="567"/>
        </w:tabs>
        <w:autoSpaceDE w:val="0"/>
        <w:autoSpaceDN w:val="0"/>
        <w:adjustRightInd w:val="0"/>
        <w:spacing w:line="240" w:lineRule="auto"/>
        <w:rPr>
          <w:snapToGrid/>
          <w:szCs w:val="22"/>
          <w:lang w:val="de-DE" w:eastAsia="de-DE"/>
        </w:rPr>
      </w:pPr>
    </w:p>
    <w:p w:rsidR="009A4D9C" w:rsidRPr="00DE1967" w:rsidRDefault="009A4D9C" w:rsidP="0003742E">
      <w:pPr>
        <w:widowControl w:val="0"/>
        <w:tabs>
          <w:tab w:val="clear" w:pos="567"/>
        </w:tabs>
        <w:autoSpaceDE w:val="0"/>
        <w:autoSpaceDN w:val="0"/>
        <w:adjustRightInd w:val="0"/>
        <w:spacing w:line="240" w:lineRule="auto"/>
        <w:rPr>
          <w:snapToGrid/>
          <w:szCs w:val="22"/>
          <w:u w:val="single"/>
          <w:lang w:val="de-DE" w:eastAsia="de-DE"/>
        </w:rPr>
      </w:pPr>
      <w:proofErr w:type="spellStart"/>
      <w:r w:rsidRPr="00DE1967">
        <w:rPr>
          <w:snapToGrid/>
          <w:szCs w:val="22"/>
          <w:u w:val="single"/>
          <w:lang w:val="de-DE" w:eastAsia="de-DE"/>
        </w:rPr>
        <w:t>Cholestyramin</w:t>
      </w:r>
      <w:proofErr w:type="spellEnd"/>
      <w:r w:rsidRPr="00DE1967">
        <w:rPr>
          <w:snapToGrid/>
          <w:szCs w:val="22"/>
          <w:u w:val="single"/>
          <w:lang w:val="de-DE" w:eastAsia="de-DE"/>
        </w:rPr>
        <w:t xml:space="preserve"> und </w:t>
      </w:r>
      <w:proofErr w:type="spellStart"/>
      <w:r w:rsidRPr="00DE1967">
        <w:rPr>
          <w:snapToGrid/>
          <w:szCs w:val="22"/>
          <w:u w:val="single"/>
          <w:lang w:val="de-DE" w:eastAsia="de-DE"/>
        </w:rPr>
        <w:t>Colestipolharze</w:t>
      </w:r>
      <w:proofErr w:type="spellEnd"/>
    </w:p>
    <w:p w:rsidR="00474E0E" w:rsidRPr="00DE1967" w:rsidRDefault="009A4D9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 Resorption von Hydrochlorothiazid ist in Gegenwart von </w:t>
      </w:r>
      <w:proofErr w:type="spellStart"/>
      <w:r w:rsidRPr="00DE1967">
        <w:rPr>
          <w:snapToGrid/>
          <w:szCs w:val="22"/>
          <w:lang w:val="de-DE" w:eastAsia="de-DE"/>
        </w:rPr>
        <w:t>Anionenaustauscherharzen</w:t>
      </w:r>
      <w:proofErr w:type="spellEnd"/>
      <w:r w:rsidRPr="00DE1967">
        <w:rPr>
          <w:snapToGrid/>
          <w:szCs w:val="22"/>
          <w:lang w:val="de-DE" w:eastAsia="de-DE"/>
        </w:rPr>
        <w:t xml:space="preserve"> gestört.</w:t>
      </w:r>
    </w:p>
    <w:p w:rsidR="00474E0E" w:rsidRPr="00DE1967" w:rsidRDefault="00474E0E" w:rsidP="0003742E">
      <w:pPr>
        <w:widowControl w:val="0"/>
        <w:tabs>
          <w:tab w:val="clear" w:pos="567"/>
        </w:tabs>
        <w:autoSpaceDE w:val="0"/>
        <w:autoSpaceDN w:val="0"/>
        <w:adjustRightInd w:val="0"/>
        <w:spacing w:line="240" w:lineRule="auto"/>
        <w:rPr>
          <w:snapToGrid/>
          <w:szCs w:val="22"/>
          <w:lang w:val="de-DE" w:eastAsia="de-DE"/>
        </w:rPr>
      </w:pPr>
    </w:p>
    <w:p w:rsidR="009A4D9C" w:rsidRPr="00DE1967" w:rsidRDefault="009A4D9C"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Nichtsteroidale Antirheumatika</w:t>
      </w:r>
      <w:r w:rsidR="00172E52" w:rsidRPr="00DE1967">
        <w:rPr>
          <w:snapToGrid/>
          <w:szCs w:val="22"/>
          <w:u w:val="single"/>
          <w:lang w:val="de-DE" w:eastAsia="de-DE"/>
        </w:rPr>
        <w:t xml:space="preserve"> (NSARs)</w:t>
      </w:r>
    </w:p>
    <w:p w:rsidR="00544F89" w:rsidRPr="00DE1967" w:rsidRDefault="009A4D9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NSAR (z.</w:t>
      </w:r>
      <w:r w:rsidR="00433771" w:rsidRPr="00DE1967">
        <w:rPr>
          <w:snapToGrid/>
          <w:szCs w:val="22"/>
          <w:lang w:val="de-DE" w:eastAsia="de-DE"/>
        </w:rPr>
        <w:t> </w:t>
      </w:r>
      <w:r w:rsidRPr="00DE1967">
        <w:rPr>
          <w:snapToGrid/>
          <w:szCs w:val="22"/>
          <w:lang w:val="de-DE" w:eastAsia="de-DE"/>
        </w:rPr>
        <w:t>B. Acetylsalicylsäure in entzündungshemmender Dosierung, COX-2-Hemmer und</w:t>
      </w:r>
      <w:r w:rsidR="00474E0E" w:rsidRPr="00DE1967">
        <w:rPr>
          <w:snapToGrid/>
          <w:szCs w:val="22"/>
          <w:lang w:val="de-DE" w:eastAsia="de-DE"/>
        </w:rPr>
        <w:t xml:space="preserve"> </w:t>
      </w:r>
      <w:r w:rsidRPr="00DE1967">
        <w:rPr>
          <w:snapToGrid/>
          <w:szCs w:val="22"/>
          <w:lang w:val="de-DE" w:eastAsia="de-DE"/>
        </w:rPr>
        <w:t>nichtselektive NSAR) können die diuretische, natriuretische und blutdrucksenkende Wirkung von</w:t>
      </w:r>
      <w:r w:rsidR="00474E0E" w:rsidRPr="00DE1967">
        <w:rPr>
          <w:snapToGrid/>
          <w:szCs w:val="22"/>
          <w:lang w:val="de-DE" w:eastAsia="de-DE"/>
        </w:rPr>
        <w:t xml:space="preserve"> </w:t>
      </w:r>
      <w:proofErr w:type="spellStart"/>
      <w:r w:rsidRPr="00DE1967">
        <w:rPr>
          <w:snapToGrid/>
          <w:szCs w:val="22"/>
          <w:lang w:val="de-DE" w:eastAsia="de-DE"/>
        </w:rPr>
        <w:t>Thiazid</w:t>
      </w:r>
      <w:proofErr w:type="spellEnd"/>
      <w:r w:rsidRPr="00DE1967">
        <w:rPr>
          <w:snapToGrid/>
          <w:szCs w:val="22"/>
          <w:lang w:val="de-DE" w:eastAsia="de-DE"/>
        </w:rPr>
        <w:t>-Diuretika und die blutdrucksenkende Wirkung von Angiotensin-II-Rezeptor-Antagonisten</w:t>
      </w:r>
      <w:r w:rsidR="00474E0E" w:rsidRPr="00DE1967">
        <w:rPr>
          <w:snapToGrid/>
          <w:szCs w:val="22"/>
          <w:lang w:val="de-DE" w:eastAsia="de-DE"/>
        </w:rPr>
        <w:t xml:space="preserve"> </w:t>
      </w:r>
      <w:r w:rsidRPr="00DE1967">
        <w:rPr>
          <w:snapToGrid/>
          <w:szCs w:val="22"/>
          <w:lang w:val="de-DE" w:eastAsia="de-DE"/>
        </w:rPr>
        <w:t>verringern.</w:t>
      </w:r>
    </w:p>
    <w:p w:rsidR="009A4D9C" w:rsidRPr="00DE1967" w:rsidRDefault="009A4D9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Bei einigen Patienten mit Einschränkung der Nierenfunktion (z.</w:t>
      </w:r>
      <w:r w:rsidR="00433771" w:rsidRPr="00DE1967">
        <w:rPr>
          <w:snapToGrid/>
          <w:szCs w:val="22"/>
          <w:lang w:val="de-DE" w:eastAsia="de-DE"/>
        </w:rPr>
        <w:t> </w:t>
      </w:r>
      <w:r w:rsidRPr="00DE1967">
        <w:rPr>
          <w:snapToGrid/>
          <w:szCs w:val="22"/>
          <w:lang w:val="de-DE" w:eastAsia="de-DE"/>
        </w:rPr>
        <w:t>B. dehydrierte Patienten</w:t>
      </w:r>
      <w:r w:rsidR="00474E0E" w:rsidRPr="00DE1967">
        <w:rPr>
          <w:snapToGrid/>
          <w:szCs w:val="22"/>
          <w:lang w:val="de-DE" w:eastAsia="de-DE"/>
        </w:rPr>
        <w:t xml:space="preserve"> </w:t>
      </w:r>
      <w:r w:rsidRPr="00DE1967">
        <w:rPr>
          <w:snapToGrid/>
          <w:szCs w:val="22"/>
          <w:lang w:val="de-DE" w:eastAsia="de-DE"/>
        </w:rPr>
        <w:t xml:space="preserve">oder ältere Patienten mit Einschränkung der Nierenfunktion) kann die gleichzeitige </w:t>
      </w:r>
      <w:r w:rsidR="00D75747" w:rsidRPr="00DE1967">
        <w:rPr>
          <w:snapToGrid/>
          <w:szCs w:val="22"/>
          <w:lang w:val="de-DE" w:eastAsia="de-DE"/>
        </w:rPr>
        <w:t>Anwendung</w:t>
      </w:r>
      <w:r w:rsidR="00474E0E" w:rsidRPr="00DE1967">
        <w:rPr>
          <w:snapToGrid/>
          <w:szCs w:val="22"/>
          <w:lang w:val="de-DE" w:eastAsia="de-DE"/>
        </w:rPr>
        <w:t xml:space="preserve"> </w:t>
      </w:r>
      <w:r w:rsidRPr="00DE1967">
        <w:rPr>
          <w:snapToGrid/>
          <w:szCs w:val="22"/>
          <w:lang w:val="de-DE" w:eastAsia="de-DE"/>
        </w:rPr>
        <w:t xml:space="preserve">von Angiotensin-II-Rezeptor-Antagonisten und </w:t>
      </w:r>
      <w:proofErr w:type="spellStart"/>
      <w:r w:rsidRPr="00DE1967">
        <w:rPr>
          <w:snapToGrid/>
          <w:szCs w:val="22"/>
          <w:lang w:val="de-DE" w:eastAsia="de-DE"/>
        </w:rPr>
        <w:t>Cyclooxigenase</w:t>
      </w:r>
      <w:proofErr w:type="spellEnd"/>
      <w:r w:rsidRPr="00DE1967">
        <w:rPr>
          <w:snapToGrid/>
          <w:szCs w:val="22"/>
          <w:lang w:val="de-DE" w:eastAsia="de-DE"/>
        </w:rPr>
        <w:t>-hemmenden Arzneimitteln zu einer</w:t>
      </w:r>
      <w:r w:rsidR="00474E0E" w:rsidRPr="00DE1967">
        <w:rPr>
          <w:snapToGrid/>
          <w:szCs w:val="22"/>
          <w:lang w:val="de-DE" w:eastAsia="de-DE"/>
        </w:rPr>
        <w:t xml:space="preserve"> </w:t>
      </w:r>
      <w:r w:rsidRPr="00DE1967">
        <w:rPr>
          <w:snapToGrid/>
          <w:szCs w:val="22"/>
          <w:lang w:val="de-DE" w:eastAsia="de-DE"/>
        </w:rPr>
        <w:t>weiteren Verschlechterung der Nierenfunktion führen, einschließlich der Möglichkeit eines</w:t>
      </w:r>
      <w:r w:rsidR="00474E0E" w:rsidRPr="00DE1967">
        <w:rPr>
          <w:snapToGrid/>
          <w:szCs w:val="22"/>
          <w:lang w:val="de-DE" w:eastAsia="de-DE"/>
        </w:rPr>
        <w:t xml:space="preserve"> </w:t>
      </w:r>
      <w:r w:rsidRPr="00DE1967">
        <w:rPr>
          <w:snapToGrid/>
          <w:szCs w:val="22"/>
          <w:lang w:val="de-DE" w:eastAsia="de-DE"/>
        </w:rPr>
        <w:t>üblicherweise reversiblen akuten Nierenversagens. Die Kombination sollte daher – insbesondere bei</w:t>
      </w:r>
      <w:r w:rsidR="00474E0E" w:rsidRPr="00DE1967">
        <w:rPr>
          <w:snapToGrid/>
          <w:szCs w:val="22"/>
          <w:lang w:val="de-DE" w:eastAsia="de-DE"/>
        </w:rPr>
        <w:t xml:space="preserve"> </w:t>
      </w:r>
      <w:r w:rsidRPr="00DE1967">
        <w:rPr>
          <w:snapToGrid/>
          <w:szCs w:val="22"/>
          <w:lang w:val="de-DE" w:eastAsia="de-DE"/>
        </w:rPr>
        <w:t>älteren Patienten - mit Vorsicht erfolgen. Eine ausreichende Hydrierung der Patienten sollte</w:t>
      </w:r>
      <w:r w:rsidR="00474E0E" w:rsidRPr="00DE1967">
        <w:rPr>
          <w:snapToGrid/>
          <w:szCs w:val="22"/>
          <w:lang w:val="de-DE" w:eastAsia="de-DE"/>
        </w:rPr>
        <w:t xml:space="preserve"> </w:t>
      </w:r>
      <w:r w:rsidRPr="00DE1967">
        <w:rPr>
          <w:snapToGrid/>
          <w:szCs w:val="22"/>
          <w:lang w:val="de-DE" w:eastAsia="de-DE"/>
        </w:rPr>
        <w:t>sichergestellt sein. Kontrollen der Nierenfunktion sind zu Beginn sowie in periodischen Abständen</w:t>
      </w:r>
      <w:r w:rsidR="00474E0E" w:rsidRPr="00DE1967">
        <w:rPr>
          <w:snapToGrid/>
          <w:szCs w:val="22"/>
          <w:lang w:val="de-DE" w:eastAsia="de-DE"/>
        </w:rPr>
        <w:t xml:space="preserve"> </w:t>
      </w:r>
      <w:r w:rsidRPr="00DE1967">
        <w:rPr>
          <w:snapToGrid/>
          <w:szCs w:val="22"/>
          <w:lang w:val="de-DE" w:eastAsia="de-DE"/>
        </w:rPr>
        <w:t xml:space="preserve">während der gleichzeitigen </w:t>
      </w:r>
      <w:r w:rsidR="00D75747" w:rsidRPr="00DE1967">
        <w:rPr>
          <w:snapToGrid/>
          <w:szCs w:val="22"/>
          <w:lang w:val="de-DE" w:eastAsia="de-DE"/>
        </w:rPr>
        <w:t>Anwendung</w:t>
      </w:r>
      <w:r w:rsidRPr="00DE1967">
        <w:rPr>
          <w:snapToGrid/>
          <w:szCs w:val="22"/>
          <w:lang w:val="de-DE" w:eastAsia="de-DE"/>
        </w:rPr>
        <w:t xml:space="preserve"> in Betracht zu ziehen.</w:t>
      </w:r>
    </w:p>
    <w:p w:rsidR="00474E0E" w:rsidRPr="00DE1967" w:rsidRDefault="00474E0E" w:rsidP="0003742E">
      <w:pPr>
        <w:widowControl w:val="0"/>
        <w:tabs>
          <w:tab w:val="clear" w:pos="567"/>
        </w:tabs>
        <w:autoSpaceDE w:val="0"/>
        <w:autoSpaceDN w:val="0"/>
        <w:adjustRightInd w:val="0"/>
        <w:spacing w:line="240" w:lineRule="auto"/>
        <w:rPr>
          <w:snapToGrid/>
          <w:szCs w:val="22"/>
          <w:lang w:val="de-DE" w:eastAsia="de-DE"/>
        </w:rPr>
      </w:pPr>
    </w:p>
    <w:p w:rsidR="009A4D9C" w:rsidRPr="00DE1967" w:rsidRDefault="009A4D9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In einer Studie führte die gleichzeitige Gabe von Telmisartan und </w:t>
      </w:r>
      <w:proofErr w:type="spellStart"/>
      <w:r w:rsidRPr="00DE1967">
        <w:rPr>
          <w:snapToGrid/>
          <w:szCs w:val="22"/>
          <w:lang w:val="de-DE" w:eastAsia="de-DE"/>
        </w:rPr>
        <w:t>Ramipril</w:t>
      </w:r>
      <w:proofErr w:type="spellEnd"/>
      <w:r w:rsidRPr="00DE1967">
        <w:rPr>
          <w:snapToGrid/>
          <w:szCs w:val="22"/>
          <w:lang w:val="de-DE" w:eastAsia="de-DE"/>
        </w:rPr>
        <w:t xml:space="preserve"> zu einer bis zu 2,5fachen</w:t>
      </w:r>
      <w:r w:rsidR="00474E0E" w:rsidRPr="00DE1967">
        <w:rPr>
          <w:snapToGrid/>
          <w:szCs w:val="22"/>
          <w:lang w:val="de-DE" w:eastAsia="de-DE"/>
        </w:rPr>
        <w:t xml:space="preserve"> </w:t>
      </w:r>
      <w:r w:rsidRPr="00DE1967">
        <w:rPr>
          <w:snapToGrid/>
          <w:szCs w:val="22"/>
          <w:lang w:val="de-DE" w:eastAsia="de-DE"/>
        </w:rPr>
        <w:t xml:space="preserve">Erhöhung der </w:t>
      </w:r>
      <w:r w:rsidR="00207546" w:rsidRPr="00DE1967">
        <w:rPr>
          <w:snapToGrid/>
          <w:szCs w:val="22"/>
          <w:lang w:val="de-DE" w:eastAsia="de-DE"/>
        </w:rPr>
        <w:t>AUC</w:t>
      </w:r>
      <w:r w:rsidR="00207546" w:rsidRPr="00DE1967">
        <w:rPr>
          <w:snapToGrid/>
          <w:szCs w:val="22"/>
          <w:vertAlign w:val="subscript"/>
          <w:lang w:val="de-DE" w:eastAsia="de-DE"/>
        </w:rPr>
        <w:t xml:space="preserve">0-24 </w:t>
      </w:r>
      <w:r w:rsidR="00207546" w:rsidRPr="00DE1967">
        <w:rPr>
          <w:snapToGrid/>
          <w:szCs w:val="22"/>
          <w:lang w:val="de-DE" w:eastAsia="de-DE"/>
        </w:rPr>
        <w:t>und C</w:t>
      </w:r>
      <w:r w:rsidR="00207546" w:rsidRPr="00DE1967">
        <w:rPr>
          <w:snapToGrid/>
          <w:szCs w:val="22"/>
          <w:vertAlign w:val="subscript"/>
          <w:lang w:val="de-DE" w:eastAsia="de-DE"/>
        </w:rPr>
        <w:t>max</w:t>
      </w:r>
      <w:r w:rsidR="00207546" w:rsidRPr="00DE1967">
        <w:rPr>
          <w:snapToGrid/>
          <w:szCs w:val="22"/>
          <w:lang w:val="de-DE" w:eastAsia="de-DE"/>
        </w:rPr>
        <w:t xml:space="preserve"> </w:t>
      </w:r>
      <w:r w:rsidRPr="00DE1967">
        <w:rPr>
          <w:snapToGrid/>
          <w:szCs w:val="22"/>
          <w:lang w:val="de-DE" w:eastAsia="de-DE"/>
        </w:rPr>
        <w:t xml:space="preserve">von </w:t>
      </w:r>
      <w:proofErr w:type="spellStart"/>
      <w:r w:rsidRPr="00DE1967">
        <w:rPr>
          <w:snapToGrid/>
          <w:szCs w:val="22"/>
          <w:lang w:val="de-DE" w:eastAsia="de-DE"/>
        </w:rPr>
        <w:t>Ramipril</w:t>
      </w:r>
      <w:proofErr w:type="spellEnd"/>
      <w:r w:rsidRPr="00DE1967">
        <w:rPr>
          <w:snapToGrid/>
          <w:szCs w:val="22"/>
          <w:lang w:val="de-DE" w:eastAsia="de-DE"/>
        </w:rPr>
        <w:t xml:space="preserve"> und </w:t>
      </w:r>
      <w:proofErr w:type="spellStart"/>
      <w:r w:rsidRPr="00DE1967">
        <w:rPr>
          <w:snapToGrid/>
          <w:szCs w:val="22"/>
          <w:lang w:val="de-DE" w:eastAsia="de-DE"/>
        </w:rPr>
        <w:t>Ramiprilat</w:t>
      </w:r>
      <w:proofErr w:type="spellEnd"/>
      <w:r w:rsidRPr="00DE1967">
        <w:rPr>
          <w:snapToGrid/>
          <w:szCs w:val="22"/>
          <w:lang w:val="de-DE" w:eastAsia="de-DE"/>
        </w:rPr>
        <w:t>. Die klinische Relevanz dieser</w:t>
      </w:r>
      <w:r w:rsidR="00474E0E" w:rsidRPr="00DE1967">
        <w:rPr>
          <w:snapToGrid/>
          <w:szCs w:val="22"/>
          <w:lang w:val="de-DE" w:eastAsia="de-DE"/>
        </w:rPr>
        <w:t xml:space="preserve"> </w:t>
      </w:r>
      <w:r w:rsidRPr="00DE1967">
        <w:rPr>
          <w:snapToGrid/>
          <w:szCs w:val="22"/>
          <w:lang w:val="de-DE" w:eastAsia="de-DE"/>
        </w:rPr>
        <w:t>Beobachtung ist unbekannt.</w:t>
      </w:r>
    </w:p>
    <w:p w:rsidR="00474E0E" w:rsidRPr="00DE1967" w:rsidRDefault="00474E0E" w:rsidP="0003742E">
      <w:pPr>
        <w:widowControl w:val="0"/>
        <w:tabs>
          <w:tab w:val="clear" w:pos="567"/>
        </w:tabs>
        <w:autoSpaceDE w:val="0"/>
        <w:autoSpaceDN w:val="0"/>
        <w:adjustRightInd w:val="0"/>
        <w:spacing w:line="240" w:lineRule="auto"/>
        <w:rPr>
          <w:snapToGrid/>
          <w:szCs w:val="22"/>
          <w:lang w:val="de-DE" w:eastAsia="de-DE"/>
        </w:rPr>
      </w:pPr>
    </w:p>
    <w:p w:rsidR="009A4D9C" w:rsidRPr="00DE1967" w:rsidRDefault="009A4D9C"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 xml:space="preserve">Amine mit </w:t>
      </w:r>
      <w:proofErr w:type="spellStart"/>
      <w:r w:rsidRPr="00DE1967">
        <w:rPr>
          <w:snapToGrid/>
          <w:szCs w:val="22"/>
          <w:u w:val="single"/>
          <w:lang w:val="de-DE" w:eastAsia="de-DE"/>
        </w:rPr>
        <w:t>sympathomimetischer</w:t>
      </w:r>
      <w:proofErr w:type="spellEnd"/>
      <w:r w:rsidRPr="00DE1967">
        <w:rPr>
          <w:snapToGrid/>
          <w:szCs w:val="22"/>
          <w:u w:val="single"/>
          <w:lang w:val="de-DE" w:eastAsia="de-DE"/>
        </w:rPr>
        <w:t xml:space="preserve"> Wirkung </w:t>
      </w:r>
      <w:r w:rsidRPr="00DE1967">
        <w:rPr>
          <w:snapToGrid/>
          <w:szCs w:val="22"/>
          <w:lang w:val="de-DE" w:eastAsia="de-DE"/>
        </w:rPr>
        <w:t>(z.</w:t>
      </w:r>
      <w:r w:rsidR="00433771" w:rsidRPr="00DE1967">
        <w:rPr>
          <w:snapToGrid/>
          <w:szCs w:val="22"/>
          <w:lang w:val="de-DE" w:eastAsia="de-DE"/>
        </w:rPr>
        <w:t> </w:t>
      </w:r>
      <w:r w:rsidRPr="00DE1967">
        <w:rPr>
          <w:snapToGrid/>
          <w:szCs w:val="22"/>
          <w:lang w:val="de-DE" w:eastAsia="de-DE"/>
        </w:rPr>
        <w:t>B. Noradrenalin)</w:t>
      </w:r>
    </w:p>
    <w:p w:rsidR="009A4D9C" w:rsidRPr="00DE1967" w:rsidRDefault="009A4D9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 Wirkung von Aminen mit </w:t>
      </w:r>
      <w:proofErr w:type="spellStart"/>
      <w:r w:rsidRPr="00DE1967">
        <w:rPr>
          <w:snapToGrid/>
          <w:szCs w:val="22"/>
          <w:lang w:val="de-DE" w:eastAsia="de-DE"/>
        </w:rPr>
        <w:t>sympathomimetischer</w:t>
      </w:r>
      <w:proofErr w:type="spellEnd"/>
      <w:r w:rsidRPr="00DE1967">
        <w:rPr>
          <w:snapToGrid/>
          <w:szCs w:val="22"/>
          <w:lang w:val="de-DE" w:eastAsia="de-DE"/>
        </w:rPr>
        <w:t xml:space="preserve"> Wirkung kann abgeschwächt werden.</w:t>
      </w:r>
    </w:p>
    <w:p w:rsidR="00474E0E" w:rsidRPr="00DE1967" w:rsidRDefault="00474E0E" w:rsidP="0003742E">
      <w:pPr>
        <w:widowControl w:val="0"/>
        <w:tabs>
          <w:tab w:val="clear" w:pos="567"/>
        </w:tabs>
        <w:autoSpaceDE w:val="0"/>
        <w:autoSpaceDN w:val="0"/>
        <w:adjustRightInd w:val="0"/>
        <w:spacing w:line="240" w:lineRule="auto"/>
        <w:rPr>
          <w:snapToGrid/>
          <w:szCs w:val="22"/>
          <w:lang w:val="de-DE" w:eastAsia="de-DE"/>
        </w:rPr>
      </w:pPr>
    </w:p>
    <w:p w:rsidR="009A4D9C" w:rsidRPr="00DE1967" w:rsidRDefault="009A4D9C"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 xml:space="preserve">Nicht depolarisierende Muskelrelaxantien </w:t>
      </w:r>
      <w:r w:rsidRPr="00DE1967">
        <w:rPr>
          <w:snapToGrid/>
          <w:szCs w:val="22"/>
          <w:lang w:val="de-DE" w:eastAsia="de-DE"/>
        </w:rPr>
        <w:t>(z.</w:t>
      </w:r>
      <w:r w:rsidR="00433771" w:rsidRPr="00DE1967">
        <w:rPr>
          <w:snapToGrid/>
          <w:szCs w:val="22"/>
          <w:lang w:val="de-DE" w:eastAsia="de-DE"/>
        </w:rPr>
        <w:t> </w:t>
      </w:r>
      <w:r w:rsidRPr="00DE1967">
        <w:rPr>
          <w:snapToGrid/>
          <w:szCs w:val="22"/>
          <w:lang w:val="de-DE" w:eastAsia="de-DE"/>
        </w:rPr>
        <w:t xml:space="preserve">B. </w:t>
      </w:r>
      <w:proofErr w:type="spellStart"/>
      <w:r w:rsidRPr="00DE1967">
        <w:rPr>
          <w:snapToGrid/>
          <w:szCs w:val="22"/>
          <w:lang w:val="de-DE" w:eastAsia="de-DE"/>
        </w:rPr>
        <w:t>Tubocurarin</w:t>
      </w:r>
      <w:proofErr w:type="spellEnd"/>
      <w:r w:rsidRPr="00DE1967">
        <w:rPr>
          <w:snapToGrid/>
          <w:szCs w:val="22"/>
          <w:lang w:val="de-DE" w:eastAsia="de-DE"/>
        </w:rPr>
        <w:t>)</w:t>
      </w:r>
    </w:p>
    <w:p w:rsidR="009A4D9C" w:rsidRPr="00DE1967" w:rsidRDefault="009A4D9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Die Wirkung von nicht depolarisierenden Muskelrelaxantien kann durch Hydrochlorothiazid verstärkt</w:t>
      </w:r>
      <w:r w:rsidR="00474E0E" w:rsidRPr="00DE1967">
        <w:rPr>
          <w:snapToGrid/>
          <w:szCs w:val="22"/>
          <w:lang w:val="de-DE" w:eastAsia="de-DE"/>
        </w:rPr>
        <w:t xml:space="preserve"> </w:t>
      </w:r>
      <w:r w:rsidRPr="00DE1967">
        <w:rPr>
          <w:snapToGrid/>
          <w:szCs w:val="22"/>
          <w:lang w:val="de-DE" w:eastAsia="de-DE"/>
        </w:rPr>
        <w:t>werden.</w:t>
      </w:r>
    </w:p>
    <w:p w:rsidR="00474E0E" w:rsidRPr="00DE1967" w:rsidRDefault="00474E0E" w:rsidP="0003742E">
      <w:pPr>
        <w:widowControl w:val="0"/>
        <w:tabs>
          <w:tab w:val="clear" w:pos="567"/>
        </w:tabs>
        <w:autoSpaceDE w:val="0"/>
        <w:autoSpaceDN w:val="0"/>
        <w:adjustRightInd w:val="0"/>
        <w:spacing w:line="240" w:lineRule="auto"/>
        <w:rPr>
          <w:snapToGrid/>
          <w:szCs w:val="22"/>
          <w:lang w:val="de-DE" w:eastAsia="de-DE"/>
        </w:rPr>
      </w:pPr>
    </w:p>
    <w:p w:rsidR="009A4D9C" w:rsidRPr="00DE1967" w:rsidRDefault="009A4D9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u w:val="single"/>
          <w:lang w:val="de-DE" w:eastAsia="de-DE"/>
        </w:rPr>
        <w:t xml:space="preserve">Arzneimittel, die zur Gichtbehandlung eingesetzt werden </w:t>
      </w:r>
      <w:r w:rsidRPr="00DE1967">
        <w:rPr>
          <w:snapToGrid/>
          <w:szCs w:val="22"/>
          <w:lang w:val="de-DE" w:eastAsia="de-DE"/>
        </w:rPr>
        <w:t>(z.</w:t>
      </w:r>
      <w:r w:rsidR="00433771" w:rsidRPr="00DE1967">
        <w:rPr>
          <w:snapToGrid/>
          <w:szCs w:val="22"/>
          <w:lang w:val="de-DE" w:eastAsia="de-DE"/>
        </w:rPr>
        <w:t> </w:t>
      </w:r>
      <w:r w:rsidRPr="00DE1967">
        <w:rPr>
          <w:snapToGrid/>
          <w:szCs w:val="22"/>
          <w:lang w:val="de-DE" w:eastAsia="de-DE"/>
        </w:rPr>
        <w:t xml:space="preserve">B. Probenecid, </w:t>
      </w:r>
      <w:proofErr w:type="spellStart"/>
      <w:r w:rsidRPr="00DE1967">
        <w:rPr>
          <w:snapToGrid/>
          <w:szCs w:val="22"/>
          <w:lang w:val="de-DE" w:eastAsia="de-DE"/>
        </w:rPr>
        <w:t>Sulfinpyrazon</w:t>
      </w:r>
      <w:proofErr w:type="spellEnd"/>
      <w:r w:rsidRPr="00DE1967">
        <w:rPr>
          <w:snapToGrid/>
          <w:szCs w:val="22"/>
          <w:lang w:val="de-DE" w:eastAsia="de-DE"/>
        </w:rPr>
        <w:t xml:space="preserve"> und</w:t>
      </w:r>
      <w:r w:rsidR="00474E0E" w:rsidRPr="00DE1967">
        <w:rPr>
          <w:snapToGrid/>
          <w:szCs w:val="22"/>
          <w:lang w:val="de-DE" w:eastAsia="de-DE"/>
        </w:rPr>
        <w:t xml:space="preserve"> </w:t>
      </w:r>
      <w:r w:rsidRPr="00DE1967">
        <w:rPr>
          <w:snapToGrid/>
          <w:szCs w:val="22"/>
          <w:lang w:val="de-DE" w:eastAsia="de-DE"/>
        </w:rPr>
        <w:t>Allopurinol)</w:t>
      </w:r>
    </w:p>
    <w:p w:rsidR="009A4D9C" w:rsidRPr="00DE1967" w:rsidRDefault="009A4D9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Eine Dosisanpassung der </w:t>
      </w:r>
      <w:proofErr w:type="spellStart"/>
      <w:r w:rsidRPr="00DE1967">
        <w:rPr>
          <w:snapToGrid/>
          <w:szCs w:val="22"/>
          <w:lang w:val="de-DE" w:eastAsia="de-DE"/>
        </w:rPr>
        <w:t>Urikosurika</w:t>
      </w:r>
      <w:proofErr w:type="spellEnd"/>
      <w:r w:rsidRPr="00DE1967">
        <w:rPr>
          <w:snapToGrid/>
          <w:szCs w:val="22"/>
          <w:lang w:val="de-DE" w:eastAsia="de-DE"/>
        </w:rPr>
        <w:t xml:space="preserve"> kann erforderlich sein, da Hydrochlorothiazid den</w:t>
      </w:r>
      <w:r w:rsidR="00474E0E" w:rsidRPr="00DE1967">
        <w:rPr>
          <w:snapToGrid/>
          <w:szCs w:val="22"/>
          <w:lang w:val="de-DE" w:eastAsia="de-DE"/>
        </w:rPr>
        <w:t xml:space="preserve"> </w:t>
      </w:r>
      <w:r w:rsidRPr="00DE1967">
        <w:rPr>
          <w:snapToGrid/>
          <w:szCs w:val="22"/>
          <w:lang w:val="de-DE" w:eastAsia="de-DE"/>
        </w:rPr>
        <w:t xml:space="preserve">Serumharnsäurespiegel erhöhen kann. Eine Erhöhung der Probenecid- oder </w:t>
      </w:r>
      <w:proofErr w:type="spellStart"/>
      <w:r w:rsidRPr="00DE1967">
        <w:rPr>
          <w:snapToGrid/>
          <w:szCs w:val="22"/>
          <w:lang w:val="de-DE" w:eastAsia="de-DE"/>
        </w:rPr>
        <w:t>Sulfinpyrazon</w:t>
      </w:r>
      <w:proofErr w:type="spellEnd"/>
      <w:r w:rsidRPr="00DE1967">
        <w:rPr>
          <w:snapToGrid/>
          <w:szCs w:val="22"/>
          <w:lang w:val="de-DE" w:eastAsia="de-DE"/>
        </w:rPr>
        <w:t>-Dosis kann</w:t>
      </w:r>
      <w:r w:rsidR="00FC72A2" w:rsidRPr="00DE1967">
        <w:rPr>
          <w:snapToGrid/>
          <w:szCs w:val="22"/>
          <w:lang w:val="de-DE" w:eastAsia="de-DE"/>
        </w:rPr>
        <w:t xml:space="preserve"> </w:t>
      </w:r>
      <w:r w:rsidRPr="00DE1967">
        <w:rPr>
          <w:snapToGrid/>
          <w:szCs w:val="22"/>
          <w:lang w:val="de-DE" w:eastAsia="de-DE"/>
        </w:rPr>
        <w:t xml:space="preserve">sich als notwendig erweisen. Die gleichzeitige Gabe von </w:t>
      </w:r>
      <w:proofErr w:type="spellStart"/>
      <w:r w:rsidRPr="00DE1967">
        <w:rPr>
          <w:snapToGrid/>
          <w:szCs w:val="22"/>
          <w:lang w:val="de-DE" w:eastAsia="de-DE"/>
        </w:rPr>
        <w:t>Thiazid</w:t>
      </w:r>
      <w:proofErr w:type="spellEnd"/>
      <w:r w:rsidRPr="00DE1967">
        <w:rPr>
          <w:snapToGrid/>
          <w:szCs w:val="22"/>
          <w:lang w:val="de-DE" w:eastAsia="de-DE"/>
        </w:rPr>
        <w:t xml:space="preserve"> kann die Häufigkeit von</w:t>
      </w:r>
      <w:r w:rsidR="003E2A60" w:rsidRPr="00DE1967">
        <w:rPr>
          <w:snapToGrid/>
          <w:szCs w:val="22"/>
          <w:lang w:val="de-DE" w:eastAsia="de-DE"/>
        </w:rPr>
        <w:t xml:space="preserve"> </w:t>
      </w:r>
      <w:r w:rsidRPr="00DE1967">
        <w:rPr>
          <w:snapToGrid/>
          <w:szCs w:val="22"/>
          <w:lang w:val="de-DE" w:eastAsia="de-DE"/>
        </w:rPr>
        <w:t>Überempfindlichkeitsreaktionen gegenüber Allopurinol erhöhen.</w:t>
      </w:r>
    </w:p>
    <w:p w:rsidR="003E2A60" w:rsidRPr="00DE1967" w:rsidRDefault="003E2A60" w:rsidP="0003742E">
      <w:pPr>
        <w:widowControl w:val="0"/>
        <w:tabs>
          <w:tab w:val="clear" w:pos="567"/>
        </w:tabs>
        <w:autoSpaceDE w:val="0"/>
        <w:autoSpaceDN w:val="0"/>
        <w:adjustRightInd w:val="0"/>
        <w:spacing w:line="240" w:lineRule="auto"/>
        <w:rPr>
          <w:snapToGrid/>
          <w:szCs w:val="22"/>
          <w:lang w:val="de-DE" w:eastAsia="de-DE"/>
        </w:rPr>
      </w:pPr>
    </w:p>
    <w:p w:rsidR="009A4D9C" w:rsidRPr="00DE1967" w:rsidRDefault="008D696F"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C</w:t>
      </w:r>
      <w:r w:rsidR="009A4D9C" w:rsidRPr="00DE1967">
        <w:rPr>
          <w:snapToGrid/>
          <w:szCs w:val="22"/>
          <w:u w:val="single"/>
          <w:lang w:val="de-DE" w:eastAsia="de-DE"/>
        </w:rPr>
        <w:t>al</w:t>
      </w:r>
      <w:r w:rsidRPr="00DE1967">
        <w:rPr>
          <w:snapToGrid/>
          <w:szCs w:val="22"/>
          <w:u w:val="single"/>
          <w:lang w:val="de-DE" w:eastAsia="de-DE"/>
        </w:rPr>
        <w:t>c</w:t>
      </w:r>
      <w:r w:rsidR="009A4D9C" w:rsidRPr="00DE1967">
        <w:rPr>
          <w:snapToGrid/>
          <w:szCs w:val="22"/>
          <w:u w:val="single"/>
          <w:lang w:val="de-DE" w:eastAsia="de-DE"/>
        </w:rPr>
        <w:t>iumsalze</w:t>
      </w:r>
    </w:p>
    <w:p w:rsidR="009A4D9C" w:rsidRPr="00DE1967" w:rsidRDefault="009A4D9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Thiaziddiuretika können durch eine verminderte Ausscheidung die Serum</w:t>
      </w:r>
      <w:r w:rsidR="008D696F" w:rsidRPr="00DE1967">
        <w:rPr>
          <w:snapToGrid/>
          <w:szCs w:val="22"/>
          <w:lang w:val="de-DE" w:eastAsia="de-DE"/>
        </w:rPr>
        <w:t>c</w:t>
      </w:r>
      <w:r w:rsidRPr="00DE1967">
        <w:rPr>
          <w:snapToGrid/>
          <w:szCs w:val="22"/>
          <w:lang w:val="de-DE" w:eastAsia="de-DE"/>
        </w:rPr>
        <w:t>al</w:t>
      </w:r>
      <w:r w:rsidR="008D696F" w:rsidRPr="00DE1967">
        <w:rPr>
          <w:snapToGrid/>
          <w:szCs w:val="22"/>
          <w:lang w:val="de-DE" w:eastAsia="de-DE"/>
        </w:rPr>
        <w:t>c</w:t>
      </w:r>
      <w:r w:rsidRPr="00DE1967">
        <w:rPr>
          <w:snapToGrid/>
          <w:szCs w:val="22"/>
          <w:lang w:val="de-DE" w:eastAsia="de-DE"/>
        </w:rPr>
        <w:t>iumspiegel erhöhen.</w:t>
      </w:r>
      <w:r w:rsidR="003E2A60" w:rsidRPr="00DE1967">
        <w:rPr>
          <w:snapToGrid/>
          <w:szCs w:val="22"/>
          <w:lang w:val="de-DE" w:eastAsia="de-DE"/>
        </w:rPr>
        <w:t xml:space="preserve"> </w:t>
      </w:r>
      <w:r w:rsidRPr="00DE1967">
        <w:rPr>
          <w:snapToGrid/>
          <w:szCs w:val="22"/>
          <w:lang w:val="de-DE" w:eastAsia="de-DE"/>
        </w:rPr>
        <w:t xml:space="preserve">Falls </w:t>
      </w:r>
      <w:r w:rsidR="008D696F" w:rsidRPr="00DE1967">
        <w:rPr>
          <w:snapToGrid/>
          <w:szCs w:val="22"/>
          <w:lang w:val="de-DE" w:eastAsia="de-DE"/>
        </w:rPr>
        <w:t>C</w:t>
      </w:r>
      <w:r w:rsidRPr="00DE1967">
        <w:rPr>
          <w:snapToGrid/>
          <w:szCs w:val="22"/>
          <w:lang w:val="de-DE" w:eastAsia="de-DE"/>
        </w:rPr>
        <w:t>al</w:t>
      </w:r>
      <w:r w:rsidR="008D696F" w:rsidRPr="00DE1967">
        <w:rPr>
          <w:snapToGrid/>
          <w:szCs w:val="22"/>
          <w:lang w:val="de-DE" w:eastAsia="de-DE"/>
        </w:rPr>
        <w:t>c</w:t>
      </w:r>
      <w:r w:rsidRPr="00DE1967">
        <w:rPr>
          <w:snapToGrid/>
          <w:szCs w:val="22"/>
          <w:lang w:val="de-DE" w:eastAsia="de-DE"/>
        </w:rPr>
        <w:t xml:space="preserve">iumpräparate </w:t>
      </w:r>
      <w:r w:rsidR="00E410D4" w:rsidRPr="00DE1967">
        <w:rPr>
          <w:szCs w:val="22"/>
          <w:lang w:val="de-DE"/>
        </w:rPr>
        <w:t xml:space="preserve">oder </w:t>
      </w:r>
      <w:r w:rsidR="008D696F" w:rsidRPr="00DE1967">
        <w:rPr>
          <w:szCs w:val="22"/>
          <w:lang w:val="de-DE"/>
        </w:rPr>
        <w:t>c</w:t>
      </w:r>
      <w:r w:rsidR="00E410D4" w:rsidRPr="00DE1967">
        <w:rPr>
          <w:szCs w:val="22"/>
          <w:lang w:val="de-DE"/>
        </w:rPr>
        <w:t>al</w:t>
      </w:r>
      <w:r w:rsidR="008D696F" w:rsidRPr="00DE1967">
        <w:rPr>
          <w:szCs w:val="22"/>
          <w:lang w:val="de-DE"/>
        </w:rPr>
        <w:t>c</w:t>
      </w:r>
      <w:r w:rsidR="00E410D4" w:rsidRPr="00DE1967">
        <w:rPr>
          <w:szCs w:val="22"/>
          <w:lang w:val="de-DE"/>
        </w:rPr>
        <w:t>iumsparende Arzneimittel (</w:t>
      </w:r>
      <w:r w:rsidR="00433771" w:rsidRPr="00DE1967">
        <w:rPr>
          <w:szCs w:val="22"/>
          <w:lang w:val="de-DE"/>
        </w:rPr>
        <w:t>z. B.</w:t>
      </w:r>
      <w:r w:rsidR="00E410D4" w:rsidRPr="00DE1967">
        <w:rPr>
          <w:szCs w:val="22"/>
          <w:lang w:val="de-DE"/>
        </w:rPr>
        <w:t xml:space="preserve"> Vitamin</w:t>
      </w:r>
      <w:r w:rsidR="00E410D4" w:rsidRPr="00DE1967">
        <w:rPr>
          <w:szCs w:val="22"/>
          <w:lang w:val="de-DE"/>
        </w:rPr>
        <w:noBreakHyphen/>
        <w:t>D</w:t>
      </w:r>
      <w:r w:rsidR="00E410D4" w:rsidRPr="00DE1967">
        <w:rPr>
          <w:szCs w:val="22"/>
          <w:lang w:val="de-DE"/>
        </w:rPr>
        <w:noBreakHyphen/>
        <w:t xml:space="preserve">Therapie) </w:t>
      </w:r>
      <w:r w:rsidRPr="00DE1967">
        <w:rPr>
          <w:snapToGrid/>
          <w:szCs w:val="22"/>
          <w:lang w:val="de-DE" w:eastAsia="de-DE"/>
        </w:rPr>
        <w:t>verschrieben werden müssen, sollten die Serum</w:t>
      </w:r>
      <w:r w:rsidR="008D696F" w:rsidRPr="00DE1967">
        <w:rPr>
          <w:snapToGrid/>
          <w:szCs w:val="22"/>
          <w:lang w:val="de-DE" w:eastAsia="de-DE"/>
        </w:rPr>
        <w:t>c</w:t>
      </w:r>
      <w:r w:rsidRPr="00DE1967">
        <w:rPr>
          <w:snapToGrid/>
          <w:szCs w:val="22"/>
          <w:lang w:val="de-DE" w:eastAsia="de-DE"/>
        </w:rPr>
        <w:t>al</w:t>
      </w:r>
      <w:r w:rsidR="008D696F" w:rsidRPr="00DE1967">
        <w:rPr>
          <w:snapToGrid/>
          <w:szCs w:val="22"/>
          <w:lang w:val="de-DE" w:eastAsia="de-DE"/>
        </w:rPr>
        <w:t>c</w:t>
      </w:r>
      <w:r w:rsidRPr="00DE1967">
        <w:rPr>
          <w:snapToGrid/>
          <w:szCs w:val="22"/>
          <w:lang w:val="de-DE" w:eastAsia="de-DE"/>
        </w:rPr>
        <w:t>iumspiegel überwacht und</w:t>
      </w:r>
      <w:r w:rsidR="003E2A60" w:rsidRPr="00DE1967">
        <w:rPr>
          <w:snapToGrid/>
          <w:szCs w:val="22"/>
          <w:lang w:val="de-DE" w:eastAsia="de-DE"/>
        </w:rPr>
        <w:t xml:space="preserve"> </w:t>
      </w:r>
      <w:r w:rsidRPr="00DE1967">
        <w:rPr>
          <w:snapToGrid/>
          <w:szCs w:val="22"/>
          <w:lang w:val="de-DE" w:eastAsia="de-DE"/>
        </w:rPr>
        <w:t xml:space="preserve">die </w:t>
      </w:r>
      <w:r w:rsidR="008D696F" w:rsidRPr="00DE1967">
        <w:rPr>
          <w:snapToGrid/>
          <w:szCs w:val="22"/>
          <w:lang w:val="de-DE" w:eastAsia="de-DE"/>
        </w:rPr>
        <w:t>C</w:t>
      </w:r>
      <w:r w:rsidRPr="00DE1967">
        <w:rPr>
          <w:snapToGrid/>
          <w:szCs w:val="22"/>
          <w:lang w:val="de-DE" w:eastAsia="de-DE"/>
        </w:rPr>
        <w:t>al</w:t>
      </w:r>
      <w:r w:rsidR="008D696F" w:rsidRPr="00DE1967">
        <w:rPr>
          <w:snapToGrid/>
          <w:szCs w:val="22"/>
          <w:lang w:val="de-DE" w:eastAsia="de-DE"/>
        </w:rPr>
        <w:t>c</w:t>
      </w:r>
      <w:r w:rsidRPr="00DE1967">
        <w:rPr>
          <w:snapToGrid/>
          <w:szCs w:val="22"/>
          <w:lang w:val="de-DE" w:eastAsia="de-DE"/>
        </w:rPr>
        <w:t>iumdosierung entsprechend angepasst werden.</w:t>
      </w:r>
    </w:p>
    <w:p w:rsidR="003E2A60" w:rsidRPr="00DE1967" w:rsidRDefault="003E2A60" w:rsidP="0003742E">
      <w:pPr>
        <w:widowControl w:val="0"/>
        <w:tabs>
          <w:tab w:val="clear" w:pos="567"/>
        </w:tabs>
        <w:autoSpaceDE w:val="0"/>
        <w:autoSpaceDN w:val="0"/>
        <w:adjustRightInd w:val="0"/>
        <w:spacing w:line="240" w:lineRule="auto"/>
        <w:rPr>
          <w:snapToGrid/>
          <w:szCs w:val="22"/>
          <w:lang w:val="de-DE" w:eastAsia="de-DE"/>
        </w:rPr>
      </w:pPr>
    </w:p>
    <w:p w:rsidR="009A4D9C" w:rsidRPr="00DE1967" w:rsidRDefault="009A4D9C"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 xml:space="preserve">β-Blocker und </w:t>
      </w:r>
      <w:proofErr w:type="spellStart"/>
      <w:r w:rsidRPr="00DE1967">
        <w:rPr>
          <w:snapToGrid/>
          <w:szCs w:val="22"/>
          <w:u w:val="single"/>
          <w:lang w:val="de-DE" w:eastAsia="de-DE"/>
        </w:rPr>
        <w:t>Diazoxid</w:t>
      </w:r>
      <w:proofErr w:type="spellEnd"/>
    </w:p>
    <w:p w:rsidR="009A4D9C" w:rsidRPr="00DE1967" w:rsidRDefault="009A4D9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 hyperglykämische Wirkung von β-Blockern und </w:t>
      </w:r>
      <w:proofErr w:type="spellStart"/>
      <w:r w:rsidRPr="00DE1967">
        <w:rPr>
          <w:snapToGrid/>
          <w:szCs w:val="22"/>
          <w:lang w:val="de-DE" w:eastAsia="de-DE"/>
        </w:rPr>
        <w:t>Diazoxid</w:t>
      </w:r>
      <w:proofErr w:type="spellEnd"/>
      <w:r w:rsidRPr="00DE1967">
        <w:rPr>
          <w:snapToGrid/>
          <w:szCs w:val="22"/>
          <w:lang w:val="de-DE" w:eastAsia="de-DE"/>
        </w:rPr>
        <w:t xml:space="preserve"> kann durch Thiazide verstärkt werden.</w:t>
      </w:r>
    </w:p>
    <w:p w:rsidR="003E2A60" w:rsidRPr="00DE1967" w:rsidRDefault="003E2A60" w:rsidP="0003742E">
      <w:pPr>
        <w:widowControl w:val="0"/>
        <w:tabs>
          <w:tab w:val="clear" w:pos="567"/>
        </w:tabs>
        <w:autoSpaceDE w:val="0"/>
        <w:autoSpaceDN w:val="0"/>
        <w:adjustRightInd w:val="0"/>
        <w:spacing w:line="240" w:lineRule="auto"/>
        <w:rPr>
          <w:snapToGrid/>
          <w:szCs w:val="22"/>
          <w:lang w:val="de-DE" w:eastAsia="de-DE"/>
        </w:rPr>
      </w:pPr>
    </w:p>
    <w:p w:rsidR="009A4D9C" w:rsidRPr="00DE1967" w:rsidRDefault="009A4D9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u w:val="single"/>
          <w:lang w:val="de-DE" w:eastAsia="de-DE"/>
        </w:rPr>
        <w:t xml:space="preserve">Anticholinergika </w:t>
      </w:r>
      <w:r w:rsidRPr="00DE1967">
        <w:rPr>
          <w:snapToGrid/>
          <w:szCs w:val="22"/>
          <w:lang w:val="de-DE" w:eastAsia="de-DE"/>
        </w:rPr>
        <w:t>(z.</w:t>
      </w:r>
      <w:r w:rsidR="00433771" w:rsidRPr="00DE1967">
        <w:rPr>
          <w:snapToGrid/>
          <w:szCs w:val="22"/>
          <w:lang w:val="de-DE" w:eastAsia="de-DE"/>
        </w:rPr>
        <w:t> </w:t>
      </w:r>
      <w:r w:rsidRPr="00DE1967">
        <w:rPr>
          <w:snapToGrid/>
          <w:szCs w:val="22"/>
          <w:lang w:val="de-DE" w:eastAsia="de-DE"/>
        </w:rPr>
        <w:t xml:space="preserve">B. Atropin, </w:t>
      </w:r>
      <w:proofErr w:type="spellStart"/>
      <w:r w:rsidRPr="00DE1967">
        <w:rPr>
          <w:snapToGrid/>
          <w:szCs w:val="22"/>
          <w:lang w:val="de-DE" w:eastAsia="de-DE"/>
        </w:rPr>
        <w:t>Biperiden</w:t>
      </w:r>
      <w:proofErr w:type="spellEnd"/>
      <w:r w:rsidRPr="00DE1967">
        <w:rPr>
          <w:snapToGrid/>
          <w:szCs w:val="22"/>
          <w:lang w:val="de-DE" w:eastAsia="de-DE"/>
        </w:rPr>
        <w:t xml:space="preserve">) können die Bioverfügbarkeit von </w:t>
      </w:r>
      <w:proofErr w:type="spellStart"/>
      <w:r w:rsidRPr="00DE1967">
        <w:rPr>
          <w:snapToGrid/>
          <w:szCs w:val="22"/>
          <w:lang w:val="de-DE" w:eastAsia="de-DE"/>
        </w:rPr>
        <w:t>Thiazid</w:t>
      </w:r>
      <w:proofErr w:type="spellEnd"/>
      <w:r w:rsidRPr="00DE1967">
        <w:rPr>
          <w:snapToGrid/>
          <w:szCs w:val="22"/>
          <w:lang w:val="de-DE" w:eastAsia="de-DE"/>
        </w:rPr>
        <w:t>-artigen</w:t>
      </w:r>
      <w:r w:rsidR="003E2A60" w:rsidRPr="00DE1967">
        <w:rPr>
          <w:snapToGrid/>
          <w:szCs w:val="22"/>
          <w:lang w:val="de-DE" w:eastAsia="de-DE"/>
        </w:rPr>
        <w:t xml:space="preserve"> </w:t>
      </w:r>
      <w:r w:rsidRPr="00DE1967">
        <w:rPr>
          <w:snapToGrid/>
          <w:szCs w:val="22"/>
          <w:lang w:val="de-DE" w:eastAsia="de-DE"/>
        </w:rPr>
        <w:t>Diuretika durch eine Verringerung der Magen- und Darmmotilität und eine Verlangsamung der</w:t>
      </w:r>
      <w:r w:rsidR="003E2A60" w:rsidRPr="00DE1967">
        <w:rPr>
          <w:snapToGrid/>
          <w:szCs w:val="22"/>
          <w:lang w:val="de-DE" w:eastAsia="de-DE"/>
        </w:rPr>
        <w:t xml:space="preserve"> </w:t>
      </w:r>
      <w:r w:rsidRPr="00DE1967">
        <w:rPr>
          <w:snapToGrid/>
          <w:szCs w:val="22"/>
          <w:lang w:val="de-DE" w:eastAsia="de-DE"/>
        </w:rPr>
        <w:t>Magenentleerung erhöhen.</w:t>
      </w:r>
    </w:p>
    <w:p w:rsidR="003E2A60" w:rsidRPr="00DE1967" w:rsidRDefault="003E2A60" w:rsidP="0003742E">
      <w:pPr>
        <w:widowControl w:val="0"/>
        <w:tabs>
          <w:tab w:val="clear" w:pos="567"/>
        </w:tabs>
        <w:autoSpaceDE w:val="0"/>
        <w:autoSpaceDN w:val="0"/>
        <w:adjustRightInd w:val="0"/>
        <w:spacing w:line="240" w:lineRule="auto"/>
        <w:rPr>
          <w:snapToGrid/>
          <w:szCs w:val="22"/>
          <w:lang w:val="de-DE" w:eastAsia="de-DE"/>
        </w:rPr>
      </w:pPr>
    </w:p>
    <w:p w:rsidR="009A4D9C" w:rsidRPr="00DE1967" w:rsidRDefault="009A4D9C"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Amantadin</w:t>
      </w:r>
    </w:p>
    <w:p w:rsidR="009A4D9C" w:rsidRPr="00DE1967" w:rsidRDefault="009A4D9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Thiazide können das Nebenwirkungsrisiko von Amantadin erhöhen.</w:t>
      </w:r>
    </w:p>
    <w:p w:rsidR="003E2A60" w:rsidRPr="00DE1967" w:rsidRDefault="003E2A60" w:rsidP="0003742E">
      <w:pPr>
        <w:widowControl w:val="0"/>
        <w:tabs>
          <w:tab w:val="clear" w:pos="567"/>
        </w:tabs>
        <w:autoSpaceDE w:val="0"/>
        <w:autoSpaceDN w:val="0"/>
        <w:adjustRightInd w:val="0"/>
        <w:spacing w:line="240" w:lineRule="auto"/>
        <w:rPr>
          <w:snapToGrid/>
          <w:szCs w:val="22"/>
          <w:lang w:val="de-DE" w:eastAsia="de-DE"/>
        </w:rPr>
      </w:pPr>
    </w:p>
    <w:p w:rsidR="009A4D9C" w:rsidRPr="00DE1967" w:rsidRDefault="009A4D9C"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 xml:space="preserve">Zytotoxische Wirkstoffe </w:t>
      </w:r>
      <w:r w:rsidRPr="00DE1967">
        <w:rPr>
          <w:snapToGrid/>
          <w:szCs w:val="22"/>
          <w:lang w:val="de-DE" w:eastAsia="de-DE"/>
        </w:rPr>
        <w:t>(</w:t>
      </w:r>
      <w:r w:rsidR="00433771" w:rsidRPr="00DE1967">
        <w:rPr>
          <w:snapToGrid/>
          <w:szCs w:val="22"/>
          <w:lang w:val="de-DE" w:eastAsia="de-DE"/>
        </w:rPr>
        <w:t>z. B.</w:t>
      </w:r>
      <w:r w:rsidRPr="00DE1967">
        <w:rPr>
          <w:snapToGrid/>
          <w:szCs w:val="22"/>
          <w:lang w:val="de-DE" w:eastAsia="de-DE"/>
        </w:rPr>
        <w:t xml:space="preserve"> Cyclophosphamid, Methotrexat)</w:t>
      </w:r>
    </w:p>
    <w:p w:rsidR="009A4D9C" w:rsidRPr="00DE1967" w:rsidRDefault="009A4D9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Thiazide können die renale Ausscheidung zytotoxischer Arzneimittel verringern und deren</w:t>
      </w:r>
      <w:r w:rsidR="003E2A60" w:rsidRPr="00DE1967">
        <w:rPr>
          <w:snapToGrid/>
          <w:szCs w:val="22"/>
          <w:lang w:val="de-DE" w:eastAsia="de-DE"/>
        </w:rPr>
        <w:t xml:space="preserve"> </w:t>
      </w:r>
      <w:proofErr w:type="spellStart"/>
      <w:r w:rsidRPr="00DE1967">
        <w:rPr>
          <w:snapToGrid/>
          <w:szCs w:val="22"/>
          <w:lang w:val="de-DE" w:eastAsia="de-DE"/>
        </w:rPr>
        <w:t>myelosuppressiven</w:t>
      </w:r>
      <w:proofErr w:type="spellEnd"/>
      <w:r w:rsidRPr="00DE1967">
        <w:rPr>
          <w:snapToGrid/>
          <w:szCs w:val="22"/>
          <w:lang w:val="de-DE" w:eastAsia="de-DE"/>
        </w:rPr>
        <w:t xml:space="preserve"> Effekt verstärken.</w:t>
      </w:r>
    </w:p>
    <w:p w:rsidR="003E2A60" w:rsidRPr="00DE1967" w:rsidRDefault="003E2A60" w:rsidP="0003742E">
      <w:pPr>
        <w:widowControl w:val="0"/>
        <w:tabs>
          <w:tab w:val="clear" w:pos="567"/>
        </w:tabs>
        <w:autoSpaceDE w:val="0"/>
        <w:autoSpaceDN w:val="0"/>
        <w:adjustRightInd w:val="0"/>
        <w:spacing w:line="240" w:lineRule="auto"/>
        <w:rPr>
          <w:snapToGrid/>
          <w:szCs w:val="22"/>
          <w:lang w:val="de-DE" w:eastAsia="de-DE"/>
        </w:rPr>
      </w:pPr>
    </w:p>
    <w:p w:rsidR="00544F89" w:rsidRPr="00DE1967" w:rsidRDefault="009A4D9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Basierend auf deren pharmakologischen Eigenschaften ist zu erwarten, dass die folgenden</w:t>
      </w:r>
      <w:r w:rsidR="003E2A60" w:rsidRPr="00DE1967">
        <w:rPr>
          <w:snapToGrid/>
          <w:szCs w:val="22"/>
          <w:lang w:val="de-DE" w:eastAsia="de-DE"/>
        </w:rPr>
        <w:t xml:space="preserve"> </w:t>
      </w:r>
      <w:r w:rsidRPr="00DE1967">
        <w:rPr>
          <w:snapToGrid/>
          <w:szCs w:val="22"/>
          <w:lang w:val="de-DE" w:eastAsia="de-DE"/>
        </w:rPr>
        <w:t>Arzneimittel die blutdrucksenkende Wirkung aller Antihypertensiva einschließlich Telmisartan</w:t>
      </w:r>
      <w:r w:rsidR="003E2A60" w:rsidRPr="00DE1967">
        <w:rPr>
          <w:snapToGrid/>
          <w:szCs w:val="22"/>
          <w:lang w:val="de-DE" w:eastAsia="de-DE"/>
        </w:rPr>
        <w:t xml:space="preserve"> </w:t>
      </w:r>
      <w:r w:rsidRPr="00DE1967">
        <w:rPr>
          <w:snapToGrid/>
          <w:szCs w:val="22"/>
          <w:lang w:val="de-DE" w:eastAsia="de-DE"/>
        </w:rPr>
        <w:t xml:space="preserve">verstärken können: </w:t>
      </w:r>
      <w:proofErr w:type="spellStart"/>
      <w:r w:rsidRPr="00DE1967">
        <w:rPr>
          <w:snapToGrid/>
          <w:szCs w:val="22"/>
          <w:lang w:val="de-DE" w:eastAsia="de-DE"/>
        </w:rPr>
        <w:t>Baclofen</w:t>
      </w:r>
      <w:proofErr w:type="spellEnd"/>
      <w:r w:rsidRPr="00DE1967">
        <w:rPr>
          <w:snapToGrid/>
          <w:szCs w:val="22"/>
          <w:lang w:val="de-DE" w:eastAsia="de-DE"/>
        </w:rPr>
        <w:t xml:space="preserve">, </w:t>
      </w:r>
      <w:proofErr w:type="spellStart"/>
      <w:r w:rsidRPr="00DE1967">
        <w:rPr>
          <w:snapToGrid/>
          <w:szCs w:val="22"/>
          <w:lang w:val="de-DE" w:eastAsia="de-DE"/>
        </w:rPr>
        <w:t>Amifostin</w:t>
      </w:r>
      <w:proofErr w:type="spellEnd"/>
      <w:r w:rsidRPr="00DE1967">
        <w:rPr>
          <w:snapToGrid/>
          <w:szCs w:val="22"/>
          <w:lang w:val="de-DE" w:eastAsia="de-DE"/>
        </w:rPr>
        <w:t>.</w:t>
      </w:r>
    </w:p>
    <w:p w:rsidR="00637E20" w:rsidRPr="00DE1967" w:rsidRDefault="009A4D9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Darüber hinaus kann eine orthostatische Hypotonie durch</w:t>
      </w:r>
      <w:r w:rsidR="003E2A60" w:rsidRPr="00DE1967">
        <w:rPr>
          <w:snapToGrid/>
          <w:szCs w:val="22"/>
          <w:lang w:val="de-DE" w:eastAsia="de-DE"/>
        </w:rPr>
        <w:t xml:space="preserve"> </w:t>
      </w:r>
      <w:r w:rsidRPr="00DE1967">
        <w:rPr>
          <w:snapToGrid/>
          <w:szCs w:val="22"/>
          <w:lang w:val="de-DE" w:eastAsia="de-DE"/>
        </w:rPr>
        <w:t>Alkohol, Barbiturate, Narkotika oder</w:t>
      </w:r>
      <w:r w:rsidR="003E2A60" w:rsidRPr="00DE1967">
        <w:rPr>
          <w:snapToGrid/>
          <w:szCs w:val="22"/>
          <w:lang w:val="de-DE" w:eastAsia="de-DE"/>
        </w:rPr>
        <w:t xml:space="preserve"> A</w:t>
      </w:r>
      <w:r w:rsidRPr="00DE1967">
        <w:rPr>
          <w:snapToGrid/>
          <w:szCs w:val="22"/>
          <w:lang w:val="de-DE" w:eastAsia="de-DE"/>
        </w:rPr>
        <w:t>ntidepressiva weiter verschlechtert werden.</w:t>
      </w:r>
    </w:p>
    <w:p w:rsidR="003E2A60" w:rsidRPr="00DE1967" w:rsidRDefault="003E2A60" w:rsidP="0003742E">
      <w:pPr>
        <w:widowControl w:val="0"/>
        <w:tabs>
          <w:tab w:val="clear" w:pos="567"/>
        </w:tabs>
        <w:autoSpaceDE w:val="0"/>
        <w:autoSpaceDN w:val="0"/>
        <w:adjustRightInd w:val="0"/>
        <w:spacing w:line="240" w:lineRule="auto"/>
        <w:rPr>
          <w:szCs w:val="22"/>
          <w:lang w:val="de-DE"/>
        </w:rPr>
      </w:pPr>
    </w:p>
    <w:p w:rsidR="00637E20" w:rsidRPr="00DE1967" w:rsidRDefault="00637E20" w:rsidP="0003742E">
      <w:pPr>
        <w:widowControl w:val="0"/>
        <w:spacing w:line="240" w:lineRule="auto"/>
        <w:ind w:left="567" w:hanging="567"/>
        <w:outlineLvl w:val="0"/>
        <w:rPr>
          <w:szCs w:val="22"/>
          <w:lang w:val="de-DE"/>
        </w:rPr>
      </w:pPr>
      <w:r w:rsidRPr="00DE1967">
        <w:rPr>
          <w:b/>
          <w:szCs w:val="22"/>
          <w:lang w:val="de-DE"/>
        </w:rPr>
        <w:t>4.6</w:t>
      </w:r>
      <w:r w:rsidRPr="00DE1967">
        <w:rPr>
          <w:b/>
          <w:szCs w:val="22"/>
          <w:lang w:val="de-DE"/>
        </w:rPr>
        <w:tab/>
      </w:r>
      <w:r w:rsidRPr="00DE1967">
        <w:rPr>
          <w:b/>
          <w:noProof/>
          <w:szCs w:val="22"/>
          <w:lang w:val="de-DE"/>
        </w:rPr>
        <w:t>Fertilität, Schwangerschaft und Stillzeit</w:t>
      </w:r>
    </w:p>
    <w:p w:rsidR="00637E20" w:rsidRPr="00DE1967" w:rsidRDefault="00637E20" w:rsidP="0003742E">
      <w:pPr>
        <w:widowControl w:val="0"/>
        <w:spacing w:line="240" w:lineRule="auto"/>
        <w:rPr>
          <w:i/>
          <w:szCs w:val="22"/>
          <w:lang w:val="de-DE"/>
        </w:rPr>
      </w:pPr>
    </w:p>
    <w:p w:rsidR="003E2A60" w:rsidRPr="00DE1967" w:rsidRDefault="003E2A60"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Schwangerschaft</w:t>
      </w:r>
    </w:p>
    <w:p w:rsidR="003E2A60" w:rsidRPr="00DE1967" w:rsidRDefault="003E2A60" w:rsidP="0003742E">
      <w:pPr>
        <w:widowControl w:val="0"/>
        <w:tabs>
          <w:tab w:val="clear" w:pos="567"/>
        </w:tabs>
        <w:autoSpaceDE w:val="0"/>
        <w:autoSpaceDN w:val="0"/>
        <w:adjustRightInd w:val="0"/>
        <w:spacing w:line="240" w:lineRule="auto"/>
        <w:rPr>
          <w:snapToGrid/>
          <w:szCs w:val="22"/>
          <w:lang w:val="de-DE" w:eastAsia="de-DE"/>
        </w:rPr>
      </w:pPr>
    </w:p>
    <w:p w:rsidR="003E2A60" w:rsidRPr="00DE1967" w:rsidRDefault="003E2A60" w:rsidP="0003742E">
      <w:pPr>
        <w:widowControl w:val="0"/>
        <w:pBdr>
          <w:top w:val="single" w:sz="4" w:space="1" w:color="auto"/>
          <w:left w:val="single" w:sz="4" w:space="4" w:color="auto"/>
          <w:bottom w:val="single" w:sz="4" w:space="1" w:color="auto"/>
          <w:right w:val="single" w:sz="4" w:space="4" w:color="auto"/>
        </w:pBdr>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Die Anwendung von Angiotensin-II-Rezeptor-Antagonisten wird im ersten Schwangerschaftsdrittel</w:t>
      </w:r>
      <w:r w:rsidR="00FC72A2" w:rsidRPr="00DE1967">
        <w:rPr>
          <w:snapToGrid/>
          <w:szCs w:val="22"/>
          <w:lang w:val="de-DE" w:eastAsia="de-DE"/>
        </w:rPr>
        <w:t xml:space="preserve"> </w:t>
      </w:r>
      <w:r w:rsidRPr="00DE1967">
        <w:rPr>
          <w:snapToGrid/>
          <w:szCs w:val="22"/>
          <w:lang w:val="de-DE" w:eastAsia="de-DE"/>
        </w:rPr>
        <w:t>nicht empfohlen (siehe Abschnitt 4.4). Die Anwendung von Angiotensin-II-Rezeptor-Antagonisten ist</w:t>
      </w:r>
      <w:r w:rsidR="00FC72A2" w:rsidRPr="00DE1967">
        <w:rPr>
          <w:snapToGrid/>
          <w:szCs w:val="22"/>
          <w:lang w:val="de-DE" w:eastAsia="de-DE"/>
        </w:rPr>
        <w:t xml:space="preserve"> </w:t>
      </w:r>
      <w:r w:rsidRPr="00DE1967">
        <w:rPr>
          <w:snapToGrid/>
          <w:szCs w:val="22"/>
          <w:lang w:val="de-DE" w:eastAsia="de-DE"/>
        </w:rPr>
        <w:t>im zweiten und dritten Schwangerschaftsdrittel kontraindiziert (siehe Abschnitte</w:t>
      </w:r>
      <w:r w:rsidR="00433771" w:rsidRPr="00DE1967">
        <w:rPr>
          <w:snapToGrid/>
          <w:szCs w:val="22"/>
          <w:lang w:val="de-DE" w:eastAsia="de-DE"/>
        </w:rPr>
        <w:t> </w:t>
      </w:r>
      <w:r w:rsidRPr="00DE1967">
        <w:rPr>
          <w:snapToGrid/>
          <w:szCs w:val="22"/>
          <w:lang w:val="de-DE" w:eastAsia="de-DE"/>
        </w:rPr>
        <w:t>4.3 und 4.4).</w:t>
      </w:r>
    </w:p>
    <w:p w:rsidR="003E2A60" w:rsidRPr="00DE1967" w:rsidRDefault="003E2A60" w:rsidP="0003742E">
      <w:pPr>
        <w:widowControl w:val="0"/>
        <w:tabs>
          <w:tab w:val="clear" w:pos="567"/>
        </w:tabs>
        <w:autoSpaceDE w:val="0"/>
        <w:autoSpaceDN w:val="0"/>
        <w:adjustRightInd w:val="0"/>
        <w:spacing w:line="240" w:lineRule="auto"/>
        <w:rPr>
          <w:snapToGrid/>
          <w:szCs w:val="22"/>
          <w:lang w:val="de-DE" w:eastAsia="de-DE"/>
        </w:rPr>
      </w:pPr>
    </w:p>
    <w:p w:rsidR="003E2A60" w:rsidRPr="00DE1967" w:rsidRDefault="003E2A60"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Es liegen keine hinreichenden Daten für die Verwendung von </w:t>
      </w:r>
      <w:proofErr w:type="spellStart"/>
      <w:r w:rsidRPr="00DE1967">
        <w:rPr>
          <w:szCs w:val="22"/>
          <w:lang w:val="de-DE"/>
        </w:rPr>
        <w:t>Tolucombi</w:t>
      </w:r>
      <w:proofErr w:type="spellEnd"/>
      <w:r w:rsidRPr="00DE1967">
        <w:rPr>
          <w:snapToGrid/>
          <w:szCs w:val="22"/>
          <w:lang w:val="de-DE" w:eastAsia="de-DE"/>
        </w:rPr>
        <w:t xml:space="preserve"> bei Schwangeren vor. Tierexperimentelle Studien haben eine Reproduktionstoxizität gezeigt (siehe Abschnitt</w:t>
      </w:r>
      <w:r w:rsidR="00433771" w:rsidRPr="00DE1967">
        <w:rPr>
          <w:snapToGrid/>
          <w:szCs w:val="22"/>
          <w:lang w:val="de-DE" w:eastAsia="de-DE"/>
        </w:rPr>
        <w:t> </w:t>
      </w:r>
      <w:r w:rsidRPr="00DE1967">
        <w:rPr>
          <w:snapToGrid/>
          <w:szCs w:val="22"/>
          <w:lang w:val="de-DE" w:eastAsia="de-DE"/>
        </w:rPr>
        <w:t>5.3).</w:t>
      </w:r>
    </w:p>
    <w:p w:rsidR="003E2A60" w:rsidRPr="00DE1967" w:rsidRDefault="003E2A60" w:rsidP="0003742E">
      <w:pPr>
        <w:widowControl w:val="0"/>
        <w:tabs>
          <w:tab w:val="clear" w:pos="567"/>
        </w:tabs>
        <w:autoSpaceDE w:val="0"/>
        <w:autoSpaceDN w:val="0"/>
        <w:adjustRightInd w:val="0"/>
        <w:spacing w:line="240" w:lineRule="auto"/>
        <w:rPr>
          <w:snapToGrid/>
          <w:szCs w:val="22"/>
          <w:lang w:val="de-DE" w:eastAsia="de-DE"/>
        </w:rPr>
      </w:pPr>
    </w:p>
    <w:p w:rsidR="003E2A60" w:rsidRPr="00DE1967" w:rsidRDefault="003E2A60"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Es liegen keine endgültigen epidemiologischen Daten hinsichtlich eines </w:t>
      </w:r>
      <w:proofErr w:type="spellStart"/>
      <w:r w:rsidRPr="00DE1967">
        <w:rPr>
          <w:snapToGrid/>
          <w:szCs w:val="22"/>
          <w:lang w:val="de-DE" w:eastAsia="de-DE"/>
        </w:rPr>
        <w:t>Teratogenitätsrisikos</w:t>
      </w:r>
      <w:proofErr w:type="spellEnd"/>
      <w:r w:rsidRPr="00DE1967">
        <w:rPr>
          <w:snapToGrid/>
          <w:szCs w:val="22"/>
          <w:lang w:val="de-DE" w:eastAsia="de-DE"/>
        </w:rPr>
        <w:t xml:space="preserve"> nach Exposition mit ACE-Hemmern während des ersten Schwangerschaftsdrittels vor. Ein geringfügig erhöhtes Risiko kann jedoch nicht ausgeschlossen werden. Solange keine kontrollierten epidemiologischen Daten hinsichtlich des Risikos der Anwendung von Angiotensin-II-Rezeptor-Antagonisten vorliegen, muss ein dieser Substanzklasse entsprechendes Risiko angenommen werden. Sofern ein Fortsetzen der Angiotensin-II-Rezeptor-Antagonisten-Therapie nicht als notwendig erachtet wird, sollten Patientinnen, die planen schwanger zu werden, auf eine alternative antihypertensive Therapie mit bewährtem Sicherheitsprofil für Schwangere umgestellt werden. Wird eine Schwangerschaft festgestellt, ist eine Therapie mit Angiotensin-II-Rezeptor-Antagonisten unverzüglich zu beenden und, wenn erforderlich, eine alternative Therapie zu beginnen.</w:t>
      </w:r>
    </w:p>
    <w:p w:rsidR="003E2A60" w:rsidRPr="00DE1967" w:rsidRDefault="003E2A60" w:rsidP="0003742E">
      <w:pPr>
        <w:widowControl w:val="0"/>
        <w:tabs>
          <w:tab w:val="clear" w:pos="567"/>
        </w:tabs>
        <w:autoSpaceDE w:val="0"/>
        <w:autoSpaceDN w:val="0"/>
        <w:adjustRightInd w:val="0"/>
        <w:spacing w:line="240" w:lineRule="auto"/>
        <w:rPr>
          <w:snapToGrid/>
          <w:szCs w:val="22"/>
          <w:lang w:val="de-DE" w:eastAsia="de-DE"/>
        </w:rPr>
      </w:pPr>
    </w:p>
    <w:p w:rsidR="00207546" w:rsidRPr="00DE1967" w:rsidRDefault="00207546"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Es ist bekannt, dass eine Therapie mit Angiotensin-II-Rezeptor-Antagonisten während des zweiten und dritten Schwangerschaftsdrittels eine humane </w:t>
      </w:r>
      <w:proofErr w:type="spellStart"/>
      <w:r w:rsidRPr="00DE1967">
        <w:rPr>
          <w:snapToGrid/>
          <w:szCs w:val="22"/>
          <w:lang w:val="de-DE" w:eastAsia="de-DE"/>
        </w:rPr>
        <w:t>Fetotoxizität</w:t>
      </w:r>
      <w:proofErr w:type="spellEnd"/>
      <w:r w:rsidRPr="00DE1967">
        <w:rPr>
          <w:snapToGrid/>
          <w:szCs w:val="22"/>
          <w:lang w:val="de-DE" w:eastAsia="de-DE"/>
        </w:rPr>
        <w:t xml:space="preserve"> (verminderte Nierenfunktion, Oligohydramnion, Verzögerung der Schädelossifikation) und neonatale Toxizität (Nierenversagen, Hypotonie, Hyperkaliämie) auslöst (siehe Abschnitt 5.3). Im Falle einer Exposition mit Angiotensin-II-Rezeptor-Antagonisten ab dem zweiten Schwangerschaftsdrittel sind Ultraschalluntersuchungen der Nierenfunktion und des Schädels empfohlen.</w:t>
      </w:r>
    </w:p>
    <w:p w:rsidR="00207546" w:rsidRPr="00DE1967" w:rsidRDefault="00207546"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Säuglinge, deren Mütter Angiotensin-II-Rezeptor-Antagonisten eingenommen haben, sollten engmaschig auf Hypotonie untersucht werden (siehe Abschnitte 4.3 und 4.4).</w:t>
      </w:r>
    </w:p>
    <w:p w:rsidR="003E2A60" w:rsidRPr="00DE1967" w:rsidRDefault="003E2A60" w:rsidP="0003742E">
      <w:pPr>
        <w:widowControl w:val="0"/>
        <w:tabs>
          <w:tab w:val="clear" w:pos="567"/>
        </w:tabs>
        <w:autoSpaceDE w:val="0"/>
        <w:autoSpaceDN w:val="0"/>
        <w:adjustRightInd w:val="0"/>
        <w:spacing w:line="240" w:lineRule="auto"/>
        <w:rPr>
          <w:snapToGrid/>
          <w:szCs w:val="22"/>
          <w:lang w:val="de-DE" w:eastAsia="de-DE"/>
        </w:rPr>
      </w:pPr>
    </w:p>
    <w:p w:rsidR="003E2A60" w:rsidRPr="00DE1967" w:rsidRDefault="003E2A60"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Es liegen nur begrenzte Erfahrungen mit der Anwendung von Hydrochlorothiazid in der Schwangerschaft vor, insbesondere während des ersten Trimesters. Ergebnisse aus Tierstudien sind unzureichend. Hydrochlorothiazid ist plazentagängig. Aufgrund des pharmakologischen Wirkmechanismus von Hydrochlorothiazid kann es bei Anwendung während des zweiten und dritten Trimesters zu einer Störung der </w:t>
      </w:r>
      <w:proofErr w:type="spellStart"/>
      <w:r w:rsidRPr="00DE1967">
        <w:rPr>
          <w:snapToGrid/>
          <w:szCs w:val="22"/>
          <w:lang w:val="de-DE" w:eastAsia="de-DE"/>
        </w:rPr>
        <w:t>fetoplazentaren</w:t>
      </w:r>
      <w:proofErr w:type="spellEnd"/>
      <w:r w:rsidRPr="00DE1967">
        <w:rPr>
          <w:snapToGrid/>
          <w:szCs w:val="22"/>
          <w:lang w:val="de-DE" w:eastAsia="de-DE"/>
        </w:rPr>
        <w:t xml:space="preserve"> Perfusion und zu fetalen und neonatalen Auswirkungen wie Ikterus, Störung des Elektrolythaushalts und </w:t>
      </w:r>
      <w:proofErr w:type="spellStart"/>
      <w:r w:rsidRPr="00DE1967">
        <w:rPr>
          <w:snapToGrid/>
          <w:szCs w:val="22"/>
          <w:lang w:val="de-DE" w:eastAsia="de-DE"/>
        </w:rPr>
        <w:t>Thrombozytopenien</w:t>
      </w:r>
      <w:proofErr w:type="spellEnd"/>
      <w:r w:rsidRPr="00DE1967">
        <w:rPr>
          <w:snapToGrid/>
          <w:szCs w:val="22"/>
          <w:lang w:val="de-DE" w:eastAsia="de-DE"/>
        </w:rPr>
        <w:t xml:space="preserve"> kommen.</w:t>
      </w:r>
    </w:p>
    <w:p w:rsidR="003E2A60" w:rsidRPr="00DE1967" w:rsidRDefault="003E2A60"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Aufgrund des Risikos eines verringerten Plasmavolumens und einer plazentaren Hypoperfusion, ohne den Krankheitsverlauf günstig zu beeinflussen, sollte Hydrochlorothiazid bei Schwangerschaftsödemen, Schwangerschaftshypertonie oder einer Präeklampsie nicht angewendet werden.</w:t>
      </w:r>
    </w:p>
    <w:p w:rsidR="003E2A60" w:rsidRPr="00DE1967" w:rsidRDefault="003E2A60" w:rsidP="0003742E">
      <w:pPr>
        <w:widowControl w:val="0"/>
        <w:tabs>
          <w:tab w:val="clear" w:pos="567"/>
        </w:tabs>
        <w:autoSpaceDE w:val="0"/>
        <w:autoSpaceDN w:val="0"/>
        <w:adjustRightInd w:val="0"/>
        <w:spacing w:line="240" w:lineRule="auto"/>
        <w:rPr>
          <w:snapToGrid/>
          <w:szCs w:val="22"/>
          <w:lang w:val="de-DE" w:eastAsia="de-DE"/>
        </w:rPr>
      </w:pPr>
    </w:p>
    <w:p w:rsidR="003E2A60" w:rsidRPr="00DE1967" w:rsidRDefault="003E2A60"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Bei essentieller Hypertonie schwangerer Frauen sollte Hydrochlorothiazid nur in den seltenen Fällen, in denen keine andere Behandlung möglich ist, angewendet werden.</w:t>
      </w:r>
    </w:p>
    <w:p w:rsidR="003E2A60" w:rsidRPr="00DE1967" w:rsidRDefault="003E2A60" w:rsidP="0003742E">
      <w:pPr>
        <w:widowControl w:val="0"/>
        <w:tabs>
          <w:tab w:val="clear" w:pos="567"/>
        </w:tabs>
        <w:autoSpaceDE w:val="0"/>
        <w:autoSpaceDN w:val="0"/>
        <w:adjustRightInd w:val="0"/>
        <w:spacing w:line="240" w:lineRule="auto"/>
        <w:rPr>
          <w:snapToGrid/>
          <w:szCs w:val="22"/>
          <w:lang w:val="de-DE" w:eastAsia="de-DE"/>
        </w:rPr>
      </w:pPr>
    </w:p>
    <w:p w:rsidR="003E2A60" w:rsidRPr="00DE1967" w:rsidRDefault="003E2A60"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Stillzeit</w:t>
      </w:r>
    </w:p>
    <w:p w:rsidR="003E2A60" w:rsidRPr="00DE1967" w:rsidRDefault="003E2A60" w:rsidP="0003742E">
      <w:pPr>
        <w:widowControl w:val="0"/>
        <w:tabs>
          <w:tab w:val="clear" w:pos="567"/>
        </w:tabs>
        <w:autoSpaceDE w:val="0"/>
        <w:autoSpaceDN w:val="0"/>
        <w:adjustRightInd w:val="0"/>
        <w:spacing w:line="240" w:lineRule="auto"/>
        <w:rPr>
          <w:snapToGrid/>
          <w:szCs w:val="22"/>
          <w:lang w:val="de-DE" w:eastAsia="de-DE"/>
        </w:rPr>
      </w:pPr>
    </w:p>
    <w:p w:rsidR="003E2A60" w:rsidRPr="00DE1967" w:rsidRDefault="003E2A60"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Da keine Informationen hinsichtlich der Einnahme von </w:t>
      </w:r>
      <w:proofErr w:type="spellStart"/>
      <w:r w:rsidRPr="00DE1967">
        <w:rPr>
          <w:szCs w:val="22"/>
          <w:lang w:val="de-DE"/>
        </w:rPr>
        <w:t>Tolucombi</w:t>
      </w:r>
      <w:proofErr w:type="spellEnd"/>
      <w:r w:rsidRPr="00DE1967">
        <w:rPr>
          <w:snapToGrid/>
          <w:szCs w:val="22"/>
          <w:lang w:val="de-DE" w:eastAsia="de-DE"/>
        </w:rPr>
        <w:t xml:space="preserve"> während der Stillzeit vorliegen,</w:t>
      </w:r>
      <w:r w:rsidR="001F6C53" w:rsidRPr="00DE1967">
        <w:rPr>
          <w:snapToGrid/>
          <w:szCs w:val="22"/>
          <w:lang w:val="de-DE" w:eastAsia="de-DE"/>
        </w:rPr>
        <w:t xml:space="preserve"> </w:t>
      </w:r>
      <w:r w:rsidRPr="00DE1967">
        <w:rPr>
          <w:snapToGrid/>
          <w:szCs w:val="22"/>
          <w:lang w:val="de-DE" w:eastAsia="de-DE"/>
        </w:rPr>
        <w:t xml:space="preserve">wird </w:t>
      </w:r>
      <w:proofErr w:type="spellStart"/>
      <w:r w:rsidRPr="00DE1967">
        <w:rPr>
          <w:szCs w:val="22"/>
          <w:lang w:val="de-DE"/>
        </w:rPr>
        <w:t>Tolucombi</w:t>
      </w:r>
      <w:proofErr w:type="spellEnd"/>
      <w:r w:rsidRPr="00DE1967">
        <w:rPr>
          <w:snapToGrid/>
          <w:szCs w:val="22"/>
          <w:lang w:val="de-DE" w:eastAsia="de-DE"/>
        </w:rPr>
        <w:t xml:space="preserve"> nicht empfohlen. Alternative Behandlungen mit in der Stillzeit besser etablierten</w:t>
      </w:r>
      <w:r w:rsidR="001F6C53" w:rsidRPr="00DE1967">
        <w:rPr>
          <w:snapToGrid/>
          <w:szCs w:val="22"/>
          <w:lang w:val="de-DE" w:eastAsia="de-DE"/>
        </w:rPr>
        <w:t xml:space="preserve"> </w:t>
      </w:r>
      <w:r w:rsidRPr="00DE1967">
        <w:rPr>
          <w:snapToGrid/>
          <w:szCs w:val="22"/>
          <w:lang w:val="de-DE" w:eastAsia="de-DE"/>
        </w:rPr>
        <w:t>Sicherheitsprofilen sind, insbesondere während des Stillens von Neugeborenen oder Frühgeborenen,</w:t>
      </w:r>
      <w:r w:rsidR="001F6C53" w:rsidRPr="00DE1967">
        <w:rPr>
          <w:snapToGrid/>
          <w:szCs w:val="22"/>
          <w:lang w:val="de-DE" w:eastAsia="de-DE"/>
        </w:rPr>
        <w:t xml:space="preserve"> </w:t>
      </w:r>
      <w:r w:rsidRPr="00DE1967">
        <w:rPr>
          <w:snapToGrid/>
          <w:szCs w:val="22"/>
          <w:lang w:val="de-DE" w:eastAsia="de-DE"/>
        </w:rPr>
        <w:t>zu bevorzugen.</w:t>
      </w: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p>
    <w:p w:rsidR="00544F89" w:rsidRPr="00DE1967" w:rsidRDefault="003E2A60"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Hydrochlorothiazid wird in geringen Mengen in die Muttermilch abgegeben. Thiazide in hohen</w:t>
      </w:r>
      <w:r w:rsidR="001F6C53" w:rsidRPr="00DE1967">
        <w:rPr>
          <w:snapToGrid/>
          <w:szCs w:val="22"/>
          <w:lang w:val="de-DE" w:eastAsia="de-DE"/>
        </w:rPr>
        <w:t xml:space="preserve"> </w:t>
      </w:r>
      <w:r w:rsidRPr="00DE1967">
        <w:rPr>
          <w:snapToGrid/>
          <w:szCs w:val="22"/>
          <w:lang w:val="de-DE" w:eastAsia="de-DE"/>
        </w:rPr>
        <w:t>Dosierungen, die eine intensive Diurese hervorrufen, können die Milchproduktion hemmen. Die</w:t>
      </w:r>
      <w:r w:rsidR="001F6C53" w:rsidRPr="00DE1967">
        <w:rPr>
          <w:snapToGrid/>
          <w:szCs w:val="22"/>
          <w:lang w:val="de-DE" w:eastAsia="de-DE"/>
        </w:rPr>
        <w:t xml:space="preserve"> </w:t>
      </w:r>
      <w:r w:rsidRPr="00DE1967">
        <w:rPr>
          <w:snapToGrid/>
          <w:szCs w:val="22"/>
          <w:lang w:val="de-DE" w:eastAsia="de-DE"/>
        </w:rPr>
        <w:t xml:space="preserve">Anwendung von </w:t>
      </w:r>
      <w:proofErr w:type="spellStart"/>
      <w:r w:rsidR="001F6C53" w:rsidRPr="00DE1967">
        <w:rPr>
          <w:szCs w:val="22"/>
          <w:lang w:val="de-DE"/>
        </w:rPr>
        <w:t>Tolucombi</w:t>
      </w:r>
      <w:proofErr w:type="spellEnd"/>
      <w:r w:rsidR="001F6C53" w:rsidRPr="00DE1967">
        <w:rPr>
          <w:szCs w:val="22"/>
          <w:lang w:val="de-DE"/>
        </w:rPr>
        <w:t xml:space="preserve"> </w:t>
      </w:r>
      <w:r w:rsidRPr="00DE1967">
        <w:rPr>
          <w:snapToGrid/>
          <w:szCs w:val="22"/>
          <w:lang w:val="de-DE" w:eastAsia="de-DE"/>
        </w:rPr>
        <w:t xml:space="preserve">während der Stillzeit wird nicht empfohlen. Falls </w:t>
      </w:r>
      <w:proofErr w:type="spellStart"/>
      <w:r w:rsidR="001F6C53" w:rsidRPr="00DE1967">
        <w:rPr>
          <w:szCs w:val="22"/>
          <w:lang w:val="de-DE"/>
        </w:rPr>
        <w:t>Tolucombi</w:t>
      </w:r>
      <w:proofErr w:type="spellEnd"/>
      <w:r w:rsidR="001F6C53" w:rsidRPr="00DE1967">
        <w:rPr>
          <w:szCs w:val="22"/>
          <w:lang w:val="de-DE"/>
        </w:rPr>
        <w:t xml:space="preserve"> </w:t>
      </w:r>
      <w:r w:rsidRPr="00DE1967">
        <w:rPr>
          <w:snapToGrid/>
          <w:szCs w:val="22"/>
          <w:lang w:val="de-DE" w:eastAsia="de-DE"/>
        </w:rPr>
        <w:t>während der Stillzeit</w:t>
      </w:r>
      <w:r w:rsidR="001F6C53" w:rsidRPr="00DE1967">
        <w:rPr>
          <w:snapToGrid/>
          <w:szCs w:val="22"/>
          <w:lang w:val="de-DE" w:eastAsia="de-DE"/>
        </w:rPr>
        <w:t xml:space="preserve"> </w:t>
      </w:r>
      <w:r w:rsidRPr="00DE1967">
        <w:rPr>
          <w:snapToGrid/>
          <w:szCs w:val="22"/>
          <w:lang w:val="de-DE" w:eastAsia="de-DE"/>
        </w:rPr>
        <w:t>angewendet wird, sollten die Dosen so niedrig wie möglich gehalten werden.</w:t>
      </w: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p>
    <w:p w:rsidR="003E2A60" w:rsidRPr="00DE1967" w:rsidRDefault="003E2A60"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Fertilität</w:t>
      </w:r>
    </w:p>
    <w:p w:rsidR="007932C2" w:rsidRPr="00DE1967" w:rsidRDefault="007932C2" w:rsidP="0003742E">
      <w:pPr>
        <w:widowControl w:val="0"/>
        <w:tabs>
          <w:tab w:val="clear" w:pos="567"/>
        </w:tabs>
        <w:autoSpaceDE w:val="0"/>
        <w:autoSpaceDN w:val="0"/>
        <w:adjustRightInd w:val="0"/>
        <w:spacing w:line="240" w:lineRule="auto"/>
        <w:rPr>
          <w:snapToGrid/>
          <w:szCs w:val="22"/>
          <w:lang w:val="de-DE" w:eastAsia="de-DE"/>
        </w:rPr>
      </w:pPr>
    </w:p>
    <w:p w:rsidR="00637E20" w:rsidRPr="00DE1967" w:rsidRDefault="003E2A60"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 tierexperimentellen Studien mit Telmisartan und Hydrochlorothiazid wurden keine Effekte auf die</w:t>
      </w:r>
      <w:r w:rsidR="001F6C53" w:rsidRPr="00DE1967">
        <w:rPr>
          <w:snapToGrid/>
          <w:szCs w:val="22"/>
          <w:lang w:val="de-DE" w:eastAsia="de-DE"/>
        </w:rPr>
        <w:t xml:space="preserve"> </w:t>
      </w:r>
      <w:r w:rsidRPr="00DE1967">
        <w:rPr>
          <w:snapToGrid/>
          <w:szCs w:val="22"/>
          <w:lang w:val="de-DE" w:eastAsia="de-DE"/>
        </w:rPr>
        <w:t>männliche und weibliche Fertilität beobachtet.</w:t>
      </w:r>
    </w:p>
    <w:p w:rsidR="001F6C53" w:rsidRPr="00DE1967" w:rsidRDefault="001F6C53" w:rsidP="0003742E">
      <w:pPr>
        <w:widowControl w:val="0"/>
        <w:tabs>
          <w:tab w:val="clear" w:pos="567"/>
        </w:tabs>
        <w:autoSpaceDE w:val="0"/>
        <w:autoSpaceDN w:val="0"/>
        <w:adjustRightInd w:val="0"/>
        <w:spacing w:line="240" w:lineRule="auto"/>
        <w:rPr>
          <w:i/>
          <w:szCs w:val="22"/>
          <w:lang w:val="de-DE"/>
        </w:rPr>
      </w:pPr>
    </w:p>
    <w:p w:rsidR="00637E20" w:rsidRPr="00DE1967" w:rsidRDefault="00637E20" w:rsidP="0003742E">
      <w:pPr>
        <w:widowControl w:val="0"/>
        <w:spacing w:line="240" w:lineRule="auto"/>
        <w:ind w:left="567" w:hanging="567"/>
        <w:outlineLvl w:val="0"/>
        <w:rPr>
          <w:szCs w:val="22"/>
          <w:lang w:val="de-DE"/>
        </w:rPr>
      </w:pPr>
      <w:r w:rsidRPr="00DE1967">
        <w:rPr>
          <w:b/>
          <w:szCs w:val="22"/>
          <w:lang w:val="de-DE"/>
        </w:rPr>
        <w:t>4.7</w:t>
      </w:r>
      <w:r w:rsidRPr="00DE1967">
        <w:rPr>
          <w:b/>
          <w:szCs w:val="22"/>
          <w:lang w:val="de-DE"/>
        </w:rPr>
        <w:tab/>
      </w:r>
      <w:r w:rsidRPr="00DE1967">
        <w:rPr>
          <w:b/>
          <w:noProof/>
          <w:szCs w:val="22"/>
          <w:lang w:val="de-DE"/>
        </w:rPr>
        <w:t>Auswirkungen auf die Verkehrstüchtigkeit und die Fähigkeit zum Bedienen von Maschinen</w:t>
      </w:r>
    </w:p>
    <w:p w:rsidR="00F323B2" w:rsidRPr="00DE1967" w:rsidRDefault="00F323B2" w:rsidP="0003742E">
      <w:pPr>
        <w:widowControl w:val="0"/>
        <w:spacing w:line="240" w:lineRule="auto"/>
        <w:rPr>
          <w:szCs w:val="22"/>
          <w:lang w:val="de-DE"/>
        </w:rPr>
      </w:pPr>
    </w:p>
    <w:p w:rsidR="001E24C2" w:rsidRPr="00DE1967" w:rsidRDefault="001E24C2" w:rsidP="0003742E">
      <w:pPr>
        <w:widowControl w:val="0"/>
        <w:tabs>
          <w:tab w:val="clear" w:pos="567"/>
        </w:tabs>
        <w:autoSpaceDE w:val="0"/>
        <w:autoSpaceDN w:val="0"/>
        <w:adjustRightInd w:val="0"/>
        <w:spacing w:line="240" w:lineRule="auto"/>
        <w:rPr>
          <w:szCs w:val="22"/>
          <w:lang w:val="de-DE"/>
        </w:rPr>
      </w:pPr>
      <w:proofErr w:type="spellStart"/>
      <w:r w:rsidRPr="00DE1967">
        <w:rPr>
          <w:szCs w:val="22"/>
          <w:lang w:val="de-DE"/>
        </w:rPr>
        <w:t>Tolucombi</w:t>
      </w:r>
      <w:proofErr w:type="spellEnd"/>
      <w:r w:rsidRPr="00DE1967">
        <w:rPr>
          <w:szCs w:val="22"/>
          <w:lang w:val="de-DE"/>
        </w:rPr>
        <w:t xml:space="preserve"> kann die Verkehrstüchtigkeit und die Fähigkeit zum Bedienen von Maschinen beeinflussen. Bei der Einnahme von </w:t>
      </w:r>
      <w:proofErr w:type="spellStart"/>
      <w:r w:rsidRPr="00DE1967">
        <w:rPr>
          <w:szCs w:val="22"/>
          <w:lang w:val="de-DE"/>
        </w:rPr>
        <w:t>Tolucombi</w:t>
      </w:r>
      <w:proofErr w:type="spellEnd"/>
      <w:r w:rsidRPr="00DE1967">
        <w:rPr>
          <w:szCs w:val="22"/>
          <w:lang w:val="de-DE"/>
        </w:rPr>
        <w:t xml:space="preserve"> kann gelegentlich Schwindelgefühl oder Müdigkeit auftreten</w:t>
      </w:r>
      <w:r w:rsidR="00E714BE" w:rsidRPr="00DE1967">
        <w:rPr>
          <w:szCs w:val="22"/>
          <w:lang w:val="de-DE"/>
        </w:rPr>
        <w:t>.</w:t>
      </w:r>
      <w:r w:rsidRPr="00DE1967" w:rsidDel="001E24C2">
        <w:rPr>
          <w:szCs w:val="22"/>
          <w:lang w:val="de-DE"/>
        </w:rPr>
        <w:t xml:space="preserve"> </w:t>
      </w:r>
    </w:p>
    <w:p w:rsidR="00207546" w:rsidRPr="00DE1967" w:rsidRDefault="00207546" w:rsidP="0003742E">
      <w:pPr>
        <w:widowControl w:val="0"/>
        <w:tabs>
          <w:tab w:val="clear" w:pos="567"/>
        </w:tabs>
        <w:autoSpaceDE w:val="0"/>
        <w:autoSpaceDN w:val="0"/>
        <w:adjustRightInd w:val="0"/>
        <w:spacing w:line="240" w:lineRule="auto"/>
        <w:rPr>
          <w:szCs w:val="22"/>
          <w:lang w:val="de-DE"/>
        </w:rPr>
      </w:pPr>
    </w:p>
    <w:p w:rsidR="00637E20" w:rsidRPr="00DE1967" w:rsidRDefault="00637E20" w:rsidP="0003742E">
      <w:pPr>
        <w:widowControl w:val="0"/>
        <w:numPr>
          <w:ilvl w:val="1"/>
          <w:numId w:val="2"/>
        </w:numPr>
        <w:snapToGrid w:val="0"/>
        <w:spacing w:line="240" w:lineRule="auto"/>
        <w:outlineLvl w:val="0"/>
        <w:rPr>
          <w:b/>
          <w:noProof/>
          <w:szCs w:val="22"/>
          <w:lang w:val="de-DE"/>
        </w:rPr>
      </w:pPr>
      <w:r w:rsidRPr="00DE1967">
        <w:rPr>
          <w:b/>
          <w:noProof/>
          <w:szCs w:val="22"/>
          <w:lang w:val="de-DE"/>
        </w:rPr>
        <w:t>Nebenwirkungen</w:t>
      </w:r>
    </w:p>
    <w:p w:rsidR="00637E20" w:rsidRPr="00DE1967" w:rsidRDefault="00637E20" w:rsidP="0003742E">
      <w:pPr>
        <w:widowControl w:val="0"/>
        <w:autoSpaceDE w:val="0"/>
        <w:autoSpaceDN w:val="0"/>
        <w:adjustRightInd w:val="0"/>
        <w:spacing w:line="240" w:lineRule="auto"/>
        <w:jc w:val="both"/>
        <w:rPr>
          <w:szCs w:val="22"/>
          <w:lang w:val="de-DE"/>
        </w:rPr>
      </w:pPr>
    </w:p>
    <w:p w:rsidR="001F6C53" w:rsidRPr="00DE1967" w:rsidRDefault="001F6C5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Zusammenfassung des Sicherheitsprofils</w:t>
      </w: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Die am häufigsten vorkommende Nebenwirkung war Schwindelgefühl. Ein schwerwiegendes Angioödem kann selten auftreten (≥ 1/10.000</w:t>
      </w:r>
      <w:r w:rsidR="008D696F" w:rsidRPr="00DE1967">
        <w:rPr>
          <w:snapToGrid/>
          <w:szCs w:val="22"/>
          <w:lang w:val="de-DE" w:eastAsia="de-DE"/>
        </w:rPr>
        <w:t>,</w:t>
      </w:r>
      <w:r w:rsidRPr="00DE1967">
        <w:rPr>
          <w:snapToGrid/>
          <w:szCs w:val="22"/>
          <w:lang w:val="de-DE" w:eastAsia="de-DE"/>
        </w:rPr>
        <w:t xml:space="preserve"> &lt; 1/1.000).</w:t>
      </w: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p>
    <w:p w:rsidR="00637E20"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 Häufigkeit der berichteten Nebenwirkungen unter </w:t>
      </w:r>
      <w:proofErr w:type="spellStart"/>
      <w:r w:rsidRPr="00DE1967">
        <w:rPr>
          <w:szCs w:val="22"/>
          <w:lang w:val="de-DE"/>
        </w:rPr>
        <w:t>Tolucombi</w:t>
      </w:r>
      <w:proofErr w:type="spellEnd"/>
      <w:r w:rsidRPr="00DE1967">
        <w:rPr>
          <w:snapToGrid/>
          <w:szCs w:val="22"/>
          <w:lang w:val="de-DE" w:eastAsia="de-DE"/>
        </w:rPr>
        <w:t xml:space="preserve"> war vergleichbar mit der unter Telmisartan-Monotherapie in randomisierten, kontrollierten klinischen Studien mit insgesamt 1.471 Patienten, von denen 835 Patienten Telmisartan plus Hydrochlorothiazid und 636 Patienten Telmisartan-Monotherapie erhielten. Die Häufigkeit der Nebenwirkungen war nicht dosisbezogen und</w:t>
      </w:r>
      <w:r w:rsidR="00FC72A2" w:rsidRPr="00DE1967">
        <w:rPr>
          <w:snapToGrid/>
          <w:szCs w:val="22"/>
          <w:lang w:val="de-DE" w:eastAsia="de-DE"/>
        </w:rPr>
        <w:t xml:space="preserve"> </w:t>
      </w:r>
      <w:r w:rsidRPr="00DE1967">
        <w:rPr>
          <w:snapToGrid/>
          <w:szCs w:val="22"/>
          <w:lang w:val="de-DE" w:eastAsia="de-DE"/>
        </w:rPr>
        <w:t>korrelierte nicht mit Geschlecht, Alter oder ethnischer Zugehörigkeit der Patienten.</w:t>
      </w:r>
    </w:p>
    <w:p w:rsidR="001F6C53" w:rsidRPr="00DE1967" w:rsidRDefault="001F6C53" w:rsidP="0003742E">
      <w:pPr>
        <w:widowControl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 xml:space="preserve">Tabellarische </w:t>
      </w:r>
      <w:r w:rsidR="00E410D4" w:rsidRPr="00DE1967">
        <w:rPr>
          <w:snapToGrid/>
          <w:szCs w:val="22"/>
          <w:u w:val="single"/>
          <w:lang w:val="de-DE" w:eastAsia="de-DE"/>
        </w:rPr>
        <w:t xml:space="preserve">Auflistung </w:t>
      </w:r>
      <w:r w:rsidRPr="00DE1967">
        <w:rPr>
          <w:snapToGrid/>
          <w:szCs w:val="22"/>
          <w:u w:val="single"/>
          <w:lang w:val="de-DE" w:eastAsia="de-DE"/>
        </w:rPr>
        <w:t>der Nebenwirkungen</w:t>
      </w:r>
    </w:p>
    <w:p w:rsidR="001F6C53" w:rsidRPr="00DE1967" w:rsidRDefault="001F6C53" w:rsidP="0003742E">
      <w:pPr>
        <w:widowControl w:val="0"/>
        <w:tabs>
          <w:tab w:val="clear" w:pos="567"/>
        </w:tabs>
        <w:autoSpaceDE w:val="0"/>
        <w:autoSpaceDN w:val="0"/>
        <w:adjustRightInd w:val="0"/>
        <w:spacing w:line="240" w:lineRule="auto"/>
        <w:rPr>
          <w:snapToGrid/>
          <w:szCs w:val="22"/>
          <w:u w:val="single"/>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In der nachfolgenden Tabelle werden die Nebenwirkungen, die in allen klinischen Studien und häufiger (p ≤0,05) unter Telmisartan plus Hydrochlorothiazid als unter Placebo auftraten, nach System-Organ-Klassen zusammengefasst. Nebenwirkungen, die bekanntermaßen nach Gabe der Einzelwirkstoffe auftreten, jedoch nicht in den klinischen Prüfungen gesehen wurden, können auch während der Behandlung mit </w:t>
      </w:r>
      <w:proofErr w:type="spellStart"/>
      <w:r w:rsidRPr="00DE1967">
        <w:rPr>
          <w:snapToGrid/>
          <w:szCs w:val="22"/>
          <w:lang w:val="de-DE" w:eastAsia="de-DE"/>
        </w:rPr>
        <w:t>Tolucombi</w:t>
      </w:r>
      <w:proofErr w:type="spellEnd"/>
      <w:r w:rsidRPr="00DE1967">
        <w:rPr>
          <w:snapToGrid/>
          <w:szCs w:val="22"/>
          <w:lang w:val="de-DE" w:eastAsia="de-DE"/>
        </w:rPr>
        <w:t xml:space="preserve"> auftreten.</w:t>
      </w: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Die Nebenwirkungen sind nach Häufigkeit geordnet gemäß folgender Definition: sehr häufig (≥ 1/10); häufig (≥ 1/100, &lt; 1/10); gelegentlich (≥ 1/1.000, &lt; 1/100); selten (≥ 1/10.000, &lt; 1/1.000); sehr selten (&lt; 1/10.000), nicht bekannt (Häufigkeit auf Grundlage der verfügbaren Daten nicht abschätzbar).</w:t>
      </w: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Innerhalb jeder Häufigkeitsgruppe werden die Nebenwirkungen nach abnehmendem Schweregrad angegeben.</w:t>
      </w: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Infektionen und parasitäre Erkrankungen</w:t>
      </w:r>
    </w:p>
    <w:p w:rsidR="001F6C53" w:rsidRPr="00DE1967" w:rsidRDefault="00207546" w:rsidP="0003742E">
      <w:pPr>
        <w:widowControl w:val="0"/>
        <w:tabs>
          <w:tab w:val="clear" w:pos="567"/>
        </w:tabs>
        <w:autoSpaceDE w:val="0"/>
        <w:autoSpaceDN w:val="0"/>
        <w:adjustRightInd w:val="0"/>
        <w:spacing w:line="240" w:lineRule="auto"/>
        <w:ind w:left="2268" w:hanging="1548"/>
        <w:rPr>
          <w:snapToGrid/>
          <w:szCs w:val="22"/>
          <w:lang w:val="de-DE" w:eastAsia="de-DE"/>
        </w:rPr>
      </w:pPr>
      <w:r w:rsidRPr="00DE1967">
        <w:rPr>
          <w:snapToGrid/>
          <w:szCs w:val="22"/>
          <w:lang w:val="de-DE" w:eastAsia="de-DE"/>
        </w:rPr>
        <w:t>Selten:</w:t>
      </w:r>
      <w:r w:rsidRPr="00DE1967">
        <w:rPr>
          <w:snapToGrid/>
          <w:szCs w:val="22"/>
          <w:lang w:val="de-DE" w:eastAsia="de-DE"/>
        </w:rPr>
        <w:tab/>
        <w:t>Bronchitis, Pharyngitis, Sinusitis</w:t>
      </w:r>
    </w:p>
    <w:p w:rsidR="00207546" w:rsidRPr="00DE1967" w:rsidRDefault="00207546"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Immunsystems</w:t>
      </w:r>
    </w:p>
    <w:p w:rsidR="001F6C53" w:rsidRPr="00DE1967" w:rsidRDefault="001F6C5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 xml:space="preserve">Selten: </w:t>
      </w:r>
      <w:r w:rsidRPr="00DE1967">
        <w:rPr>
          <w:snapToGrid/>
          <w:szCs w:val="22"/>
          <w:lang w:val="de-DE" w:eastAsia="de-DE"/>
        </w:rPr>
        <w:tab/>
        <w:t>Exazerbation oder Aktivierung eines systemischen Lupus erythematodes</w:t>
      </w:r>
      <w:r w:rsidRPr="00DE1967">
        <w:rPr>
          <w:snapToGrid/>
          <w:szCs w:val="22"/>
          <w:vertAlign w:val="superscript"/>
          <w:lang w:val="de-DE" w:eastAsia="de-DE"/>
        </w:rPr>
        <w:t>1</w:t>
      </w:r>
    </w:p>
    <w:p w:rsidR="001F6C53" w:rsidRPr="00DE1967" w:rsidRDefault="001F6C53" w:rsidP="0003742E">
      <w:pPr>
        <w:widowControl w:val="0"/>
        <w:tabs>
          <w:tab w:val="clear" w:pos="567"/>
          <w:tab w:val="left" w:pos="2268"/>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Stoffwechsel- und Ernährungsstörungen</w:t>
      </w:r>
    </w:p>
    <w:p w:rsidR="001F6C53" w:rsidRPr="00DE1967" w:rsidRDefault="001F6C5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Gelegentlich:</w:t>
      </w:r>
      <w:r w:rsidRPr="00DE1967">
        <w:rPr>
          <w:snapToGrid/>
          <w:szCs w:val="22"/>
          <w:lang w:val="de-DE" w:eastAsia="de-DE"/>
        </w:rPr>
        <w:tab/>
        <w:t>Hypokaliämie</w:t>
      </w:r>
    </w:p>
    <w:p w:rsidR="001F6C53" w:rsidRPr="00DE1967" w:rsidRDefault="001F6C53" w:rsidP="0003742E">
      <w:pPr>
        <w:widowControl w:val="0"/>
        <w:tabs>
          <w:tab w:val="clear" w:pos="567"/>
          <w:tab w:val="left" w:pos="2268"/>
        </w:tabs>
        <w:autoSpaceDE w:val="0"/>
        <w:autoSpaceDN w:val="0"/>
        <w:adjustRightInd w:val="0"/>
        <w:spacing w:line="240" w:lineRule="auto"/>
        <w:ind w:left="131" w:firstLine="720"/>
        <w:rPr>
          <w:snapToGrid/>
          <w:szCs w:val="22"/>
          <w:lang w:val="de-DE" w:eastAsia="de-DE"/>
        </w:rPr>
      </w:pPr>
      <w:r w:rsidRPr="00DE1967">
        <w:rPr>
          <w:snapToGrid/>
          <w:szCs w:val="22"/>
          <w:lang w:val="de-DE" w:eastAsia="de-DE"/>
        </w:rPr>
        <w:t>Selten:</w:t>
      </w:r>
      <w:r w:rsidR="0060069E" w:rsidRPr="00DE1967">
        <w:rPr>
          <w:snapToGrid/>
          <w:szCs w:val="22"/>
          <w:lang w:val="de-DE" w:eastAsia="de-DE"/>
        </w:rPr>
        <w:tab/>
      </w:r>
      <w:r w:rsidRPr="00DE1967">
        <w:rPr>
          <w:snapToGrid/>
          <w:szCs w:val="22"/>
          <w:lang w:val="de-DE" w:eastAsia="de-DE"/>
        </w:rPr>
        <w:t>Hyperurikämie, Hyponatriämie</w:t>
      </w:r>
    </w:p>
    <w:p w:rsidR="0060069E" w:rsidRPr="00DE1967" w:rsidRDefault="0060069E"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Psychiatrische Erkrankungen</w:t>
      </w:r>
    </w:p>
    <w:p w:rsidR="001F6C53" w:rsidRPr="00DE1967" w:rsidRDefault="001F6C5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Gelegentlich:</w:t>
      </w:r>
      <w:r w:rsidR="0060069E" w:rsidRPr="00DE1967">
        <w:rPr>
          <w:snapToGrid/>
          <w:szCs w:val="22"/>
          <w:lang w:val="de-DE" w:eastAsia="de-DE"/>
        </w:rPr>
        <w:tab/>
      </w:r>
      <w:r w:rsidRPr="00DE1967">
        <w:rPr>
          <w:snapToGrid/>
          <w:szCs w:val="22"/>
          <w:lang w:val="de-DE" w:eastAsia="de-DE"/>
        </w:rPr>
        <w:t>Angstzustände</w:t>
      </w:r>
    </w:p>
    <w:p w:rsidR="001F6C53" w:rsidRPr="00DE1967" w:rsidRDefault="001F6C53" w:rsidP="0003742E">
      <w:pPr>
        <w:widowControl w:val="0"/>
        <w:tabs>
          <w:tab w:val="clear" w:pos="567"/>
          <w:tab w:val="left" w:pos="2268"/>
        </w:tabs>
        <w:autoSpaceDE w:val="0"/>
        <w:autoSpaceDN w:val="0"/>
        <w:adjustRightInd w:val="0"/>
        <w:spacing w:line="240" w:lineRule="auto"/>
        <w:ind w:left="131" w:firstLine="720"/>
        <w:rPr>
          <w:snapToGrid/>
          <w:szCs w:val="22"/>
          <w:lang w:val="de-DE" w:eastAsia="de-DE"/>
        </w:rPr>
      </w:pPr>
      <w:r w:rsidRPr="00DE1967">
        <w:rPr>
          <w:snapToGrid/>
          <w:szCs w:val="22"/>
          <w:lang w:val="de-DE" w:eastAsia="de-DE"/>
        </w:rPr>
        <w:t>Selten:</w:t>
      </w:r>
      <w:r w:rsidR="0060069E" w:rsidRPr="00DE1967">
        <w:rPr>
          <w:snapToGrid/>
          <w:szCs w:val="22"/>
          <w:lang w:val="de-DE" w:eastAsia="de-DE"/>
        </w:rPr>
        <w:tab/>
      </w:r>
      <w:r w:rsidRPr="00DE1967">
        <w:rPr>
          <w:snapToGrid/>
          <w:szCs w:val="22"/>
          <w:lang w:val="de-DE" w:eastAsia="de-DE"/>
        </w:rPr>
        <w:t>Depression</w:t>
      </w:r>
    </w:p>
    <w:p w:rsidR="0060069E" w:rsidRPr="00DE1967" w:rsidRDefault="0060069E"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Nervensystems</w:t>
      </w:r>
    </w:p>
    <w:p w:rsidR="001F6C53" w:rsidRPr="00DE1967" w:rsidRDefault="001F6C53" w:rsidP="0003742E">
      <w:pPr>
        <w:widowControl w:val="0"/>
        <w:tabs>
          <w:tab w:val="clear" w:pos="567"/>
          <w:tab w:val="left" w:pos="2268"/>
        </w:tabs>
        <w:autoSpaceDE w:val="0"/>
        <w:autoSpaceDN w:val="0"/>
        <w:adjustRightInd w:val="0"/>
        <w:spacing w:line="240" w:lineRule="auto"/>
        <w:ind w:left="851" w:firstLine="11"/>
        <w:rPr>
          <w:snapToGrid/>
          <w:szCs w:val="22"/>
          <w:lang w:val="de-DE" w:eastAsia="de-DE"/>
        </w:rPr>
      </w:pPr>
      <w:r w:rsidRPr="00DE1967">
        <w:rPr>
          <w:snapToGrid/>
          <w:szCs w:val="22"/>
          <w:lang w:val="de-DE" w:eastAsia="de-DE"/>
        </w:rPr>
        <w:t>Häufig:</w:t>
      </w:r>
      <w:r w:rsidR="0060069E" w:rsidRPr="00DE1967">
        <w:rPr>
          <w:snapToGrid/>
          <w:szCs w:val="22"/>
          <w:lang w:val="de-DE" w:eastAsia="de-DE"/>
        </w:rPr>
        <w:tab/>
      </w:r>
      <w:r w:rsidRPr="00DE1967">
        <w:rPr>
          <w:snapToGrid/>
          <w:szCs w:val="22"/>
          <w:lang w:val="de-DE" w:eastAsia="de-DE"/>
        </w:rPr>
        <w:t>Schwindelgefühl</w:t>
      </w:r>
    </w:p>
    <w:p w:rsidR="001F6C53" w:rsidRPr="00DE1967" w:rsidRDefault="001F6C53" w:rsidP="0003742E">
      <w:pPr>
        <w:widowControl w:val="0"/>
        <w:tabs>
          <w:tab w:val="clear" w:pos="567"/>
          <w:tab w:val="left" w:pos="2268"/>
        </w:tabs>
        <w:autoSpaceDE w:val="0"/>
        <w:autoSpaceDN w:val="0"/>
        <w:adjustRightInd w:val="0"/>
        <w:spacing w:line="240" w:lineRule="auto"/>
        <w:ind w:left="131" w:firstLine="720"/>
        <w:rPr>
          <w:snapToGrid/>
          <w:szCs w:val="22"/>
          <w:lang w:val="de-DE" w:eastAsia="de-DE"/>
        </w:rPr>
      </w:pPr>
      <w:r w:rsidRPr="00DE1967">
        <w:rPr>
          <w:snapToGrid/>
          <w:szCs w:val="22"/>
          <w:lang w:val="de-DE" w:eastAsia="de-DE"/>
        </w:rPr>
        <w:t>Gelegentlich:</w:t>
      </w:r>
      <w:r w:rsidR="0060069E" w:rsidRPr="00DE1967">
        <w:rPr>
          <w:snapToGrid/>
          <w:szCs w:val="22"/>
          <w:lang w:val="de-DE" w:eastAsia="de-DE"/>
        </w:rPr>
        <w:tab/>
      </w:r>
      <w:r w:rsidRPr="00DE1967">
        <w:rPr>
          <w:snapToGrid/>
          <w:szCs w:val="22"/>
          <w:lang w:val="de-DE" w:eastAsia="de-DE"/>
        </w:rPr>
        <w:t>Synkope, Parästhesien</w:t>
      </w:r>
    </w:p>
    <w:p w:rsidR="001F6C53" w:rsidRPr="00DE1967" w:rsidRDefault="001F6C53" w:rsidP="0003742E">
      <w:pPr>
        <w:widowControl w:val="0"/>
        <w:tabs>
          <w:tab w:val="clear" w:pos="567"/>
          <w:tab w:val="left" w:pos="2268"/>
        </w:tabs>
        <w:autoSpaceDE w:val="0"/>
        <w:autoSpaceDN w:val="0"/>
        <w:adjustRightInd w:val="0"/>
        <w:spacing w:line="240" w:lineRule="auto"/>
        <w:ind w:left="131" w:firstLine="720"/>
        <w:rPr>
          <w:snapToGrid/>
          <w:szCs w:val="22"/>
          <w:lang w:val="de-DE" w:eastAsia="de-DE"/>
        </w:rPr>
      </w:pPr>
      <w:r w:rsidRPr="00DE1967">
        <w:rPr>
          <w:snapToGrid/>
          <w:szCs w:val="22"/>
          <w:lang w:val="de-DE" w:eastAsia="de-DE"/>
        </w:rPr>
        <w:t>Selten:</w:t>
      </w:r>
      <w:r w:rsidR="0060069E" w:rsidRPr="00DE1967">
        <w:rPr>
          <w:snapToGrid/>
          <w:szCs w:val="22"/>
          <w:lang w:val="de-DE" w:eastAsia="de-DE"/>
        </w:rPr>
        <w:tab/>
      </w:r>
      <w:r w:rsidRPr="00DE1967">
        <w:rPr>
          <w:snapToGrid/>
          <w:szCs w:val="22"/>
          <w:lang w:val="de-DE" w:eastAsia="de-DE"/>
        </w:rPr>
        <w:t>Schlaflosigkeit, Schlafstörungen</w:t>
      </w:r>
    </w:p>
    <w:p w:rsidR="0060069E" w:rsidRPr="00DE1967" w:rsidRDefault="0060069E"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Augenerkrankungen</w:t>
      </w:r>
    </w:p>
    <w:p w:rsidR="001F6C53" w:rsidRPr="00DE1967" w:rsidRDefault="001F6C5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Selten:</w:t>
      </w:r>
      <w:r w:rsidR="0060069E" w:rsidRPr="00DE1967">
        <w:rPr>
          <w:snapToGrid/>
          <w:szCs w:val="22"/>
          <w:lang w:val="de-DE" w:eastAsia="de-DE"/>
        </w:rPr>
        <w:tab/>
      </w:r>
      <w:r w:rsidRPr="00DE1967">
        <w:rPr>
          <w:snapToGrid/>
          <w:szCs w:val="22"/>
          <w:lang w:val="de-DE" w:eastAsia="de-DE"/>
        </w:rPr>
        <w:t>Sehstörungen, verschwommenes Sehen</w:t>
      </w:r>
    </w:p>
    <w:p w:rsidR="0060069E" w:rsidRPr="00DE1967" w:rsidRDefault="0060069E"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Ohrs und des Labyrinths</w:t>
      </w:r>
    </w:p>
    <w:p w:rsidR="001F6C53" w:rsidRPr="00DE1967" w:rsidRDefault="001F6C5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Gelegentlich:</w:t>
      </w:r>
      <w:r w:rsidR="0060069E" w:rsidRPr="00DE1967">
        <w:rPr>
          <w:snapToGrid/>
          <w:szCs w:val="22"/>
          <w:lang w:val="de-DE" w:eastAsia="de-DE"/>
        </w:rPr>
        <w:tab/>
      </w:r>
      <w:r w:rsidRPr="00DE1967">
        <w:rPr>
          <w:snapToGrid/>
          <w:szCs w:val="22"/>
          <w:lang w:val="de-DE" w:eastAsia="de-DE"/>
        </w:rPr>
        <w:t>Vertigo</w:t>
      </w:r>
    </w:p>
    <w:p w:rsidR="0060069E" w:rsidRPr="00DE1967" w:rsidRDefault="0060069E"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Herzerkrankungen</w:t>
      </w:r>
    </w:p>
    <w:p w:rsidR="001F6C53" w:rsidRPr="00DE1967" w:rsidRDefault="001F6C5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Gelegentlich:</w:t>
      </w:r>
      <w:r w:rsidR="0060069E" w:rsidRPr="00DE1967">
        <w:rPr>
          <w:snapToGrid/>
          <w:szCs w:val="22"/>
          <w:lang w:val="de-DE" w:eastAsia="de-DE"/>
        </w:rPr>
        <w:tab/>
      </w:r>
      <w:r w:rsidRPr="00DE1967">
        <w:rPr>
          <w:snapToGrid/>
          <w:szCs w:val="22"/>
          <w:lang w:val="de-DE" w:eastAsia="de-DE"/>
        </w:rPr>
        <w:t>Tachykardie, Arrhythmie</w:t>
      </w:r>
    </w:p>
    <w:p w:rsidR="0060069E" w:rsidRPr="00DE1967" w:rsidRDefault="0060069E"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Gefäßerkrankungen</w:t>
      </w:r>
    </w:p>
    <w:p w:rsidR="001F6C53" w:rsidRPr="00DE1967" w:rsidRDefault="001F6C53" w:rsidP="0003742E">
      <w:pPr>
        <w:widowControl w:val="0"/>
        <w:tabs>
          <w:tab w:val="clear" w:pos="567"/>
          <w:tab w:val="left" w:pos="2268"/>
        </w:tabs>
        <w:autoSpaceDE w:val="0"/>
        <w:autoSpaceDN w:val="0"/>
        <w:adjustRightInd w:val="0"/>
        <w:spacing w:line="240" w:lineRule="auto"/>
        <w:ind w:left="851" w:hanging="11"/>
        <w:rPr>
          <w:snapToGrid/>
          <w:szCs w:val="22"/>
          <w:lang w:val="de-DE" w:eastAsia="de-DE"/>
        </w:rPr>
      </w:pPr>
      <w:r w:rsidRPr="00DE1967">
        <w:rPr>
          <w:snapToGrid/>
          <w:szCs w:val="22"/>
          <w:lang w:val="de-DE" w:eastAsia="de-DE"/>
        </w:rPr>
        <w:t>Gelegentlich:</w:t>
      </w:r>
      <w:r w:rsidR="0060069E" w:rsidRPr="00DE1967">
        <w:rPr>
          <w:snapToGrid/>
          <w:szCs w:val="22"/>
          <w:lang w:val="de-DE" w:eastAsia="de-DE"/>
        </w:rPr>
        <w:tab/>
      </w:r>
      <w:r w:rsidRPr="00DE1967">
        <w:rPr>
          <w:snapToGrid/>
          <w:szCs w:val="22"/>
          <w:lang w:val="de-DE" w:eastAsia="de-DE"/>
        </w:rPr>
        <w:t>Hypotonie, orthostatische Hypotonie</w:t>
      </w:r>
    </w:p>
    <w:p w:rsidR="0060069E" w:rsidRPr="00DE1967" w:rsidRDefault="0060069E"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der Atemwege, des Brustraums</w:t>
      </w:r>
      <w:r w:rsidR="008D451B" w:rsidRPr="00DE1967">
        <w:rPr>
          <w:snapToGrid/>
          <w:szCs w:val="22"/>
          <w:lang w:val="de-DE" w:eastAsia="de-DE"/>
        </w:rPr>
        <w:t xml:space="preserve"> </w:t>
      </w:r>
      <w:r w:rsidRPr="00DE1967">
        <w:rPr>
          <w:snapToGrid/>
          <w:szCs w:val="22"/>
          <w:lang w:val="de-DE" w:eastAsia="de-DE"/>
        </w:rPr>
        <w:t>und des Mediastinums</w:t>
      </w:r>
    </w:p>
    <w:p w:rsidR="001F6C53" w:rsidRPr="00DE1967" w:rsidRDefault="001F6C53" w:rsidP="0003742E">
      <w:pPr>
        <w:widowControl w:val="0"/>
        <w:tabs>
          <w:tab w:val="clear" w:pos="567"/>
          <w:tab w:val="left" w:pos="2268"/>
        </w:tabs>
        <w:autoSpaceDE w:val="0"/>
        <w:autoSpaceDN w:val="0"/>
        <w:adjustRightInd w:val="0"/>
        <w:spacing w:line="240" w:lineRule="auto"/>
        <w:ind w:left="851" w:hanging="11"/>
        <w:rPr>
          <w:snapToGrid/>
          <w:szCs w:val="22"/>
          <w:lang w:val="de-DE" w:eastAsia="de-DE"/>
        </w:rPr>
      </w:pPr>
      <w:r w:rsidRPr="00DE1967">
        <w:rPr>
          <w:snapToGrid/>
          <w:szCs w:val="22"/>
          <w:lang w:val="de-DE" w:eastAsia="de-DE"/>
        </w:rPr>
        <w:t>Gelegentlich:</w:t>
      </w:r>
      <w:r w:rsidR="008D451B" w:rsidRPr="00DE1967">
        <w:rPr>
          <w:snapToGrid/>
          <w:szCs w:val="22"/>
          <w:lang w:val="de-DE" w:eastAsia="de-DE"/>
        </w:rPr>
        <w:tab/>
      </w:r>
      <w:r w:rsidRPr="00DE1967">
        <w:rPr>
          <w:snapToGrid/>
          <w:szCs w:val="22"/>
          <w:lang w:val="de-DE" w:eastAsia="de-DE"/>
        </w:rPr>
        <w:t>Dyspnoe</w:t>
      </w:r>
    </w:p>
    <w:p w:rsidR="001F6C53" w:rsidRPr="00DE1967" w:rsidRDefault="001F6C5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Selten:</w:t>
      </w:r>
      <w:r w:rsidR="008D451B" w:rsidRPr="00DE1967">
        <w:rPr>
          <w:snapToGrid/>
          <w:szCs w:val="22"/>
          <w:lang w:val="de-DE" w:eastAsia="de-DE"/>
        </w:rPr>
        <w:tab/>
      </w:r>
      <w:r w:rsidRPr="00DE1967">
        <w:rPr>
          <w:snapToGrid/>
          <w:szCs w:val="22"/>
          <w:lang w:val="de-DE" w:eastAsia="de-DE"/>
        </w:rPr>
        <w:t>Atemnot (einschließlich Pneumonitis und</w:t>
      </w:r>
      <w:r w:rsidR="008D451B" w:rsidRPr="00DE1967">
        <w:rPr>
          <w:snapToGrid/>
          <w:szCs w:val="22"/>
          <w:lang w:val="de-DE" w:eastAsia="de-DE"/>
        </w:rPr>
        <w:t xml:space="preserve"> </w:t>
      </w:r>
      <w:r w:rsidRPr="00DE1967">
        <w:rPr>
          <w:snapToGrid/>
          <w:szCs w:val="22"/>
          <w:lang w:val="de-DE" w:eastAsia="de-DE"/>
        </w:rPr>
        <w:t>Lungenödem)</w:t>
      </w:r>
    </w:p>
    <w:p w:rsidR="008D451B" w:rsidRPr="00DE1967" w:rsidRDefault="008D451B"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Gastrointestinaltraktes</w:t>
      </w:r>
    </w:p>
    <w:p w:rsidR="001F6C53" w:rsidRPr="00DE1967" w:rsidRDefault="001F6C5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Gelegentlich:</w:t>
      </w:r>
      <w:r w:rsidR="008D451B" w:rsidRPr="00DE1967">
        <w:rPr>
          <w:snapToGrid/>
          <w:szCs w:val="22"/>
          <w:lang w:val="de-DE" w:eastAsia="de-DE"/>
        </w:rPr>
        <w:tab/>
      </w:r>
      <w:r w:rsidRPr="00DE1967">
        <w:rPr>
          <w:snapToGrid/>
          <w:szCs w:val="22"/>
          <w:lang w:val="de-DE" w:eastAsia="de-DE"/>
        </w:rPr>
        <w:t>Diarrhoe, Mundtrockenheit, Blähungen</w:t>
      </w:r>
    </w:p>
    <w:p w:rsidR="001F6C53" w:rsidRPr="00DE1967" w:rsidRDefault="008D451B"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Selten:</w:t>
      </w:r>
      <w:r w:rsidRPr="00DE1967">
        <w:rPr>
          <w:snapToGrid/>
          <w:szCs w:val="22"/>
          <w:lang w:val="de-DE" w:eastAsia="de-DE"/>
        </w:rPr>
        <w:tab/>
      </w:r>
      <w:r w:rsidR="001F6C53" w:rsidRPr="00DE1967">
        <w:rPr>
          <w:snapToGrid/>
          <w:szCs w:val="22"/>
          <w:lang w:val="de-DE" w:eastAsia="de-DE"/>
        </w:rPr>
        <w:t>abdominale Schmerzen, Verstopfung, Dyspepsie,</w:t>
      </w:r>
      <w:r w:rsidRPr="00DE1967">
        <w:rPr>
          <w:snapToGrid/>
          <w:szCs w:val="22"/>
          <w:lang w:val="de-DE" w:eastAsia="de-DE"/>
        </w:rPr>
        <w:t xml:space="preserve"> </w:t>
      </w:r>
      <w:r w:rsidR="001F6C53" w:rsidRPr="00DE1967">
        <w:rPr>
          <w:snapToGrid/>
          <w:szCs w:val="22"/>
          <w:lang w:val="de-DE" w:eastAsia="de-DE"/>
        </w:rPr>
        <w:t>Erbrechen, Gastritis</w:t>
      </w:r>
    </w:p>
    <w:p w:rsidR="008D451B" w:rsidRPr="00DE1967" w:rsidRDefault="008D451B"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Leber- und Gallenerkrankungen</w:t>
      </w:r>
    </w:p>
    <w:p w:rsidR="001F6C53" w:rsidRPr="00DE1967" w:rsidRDefault="008D451B"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Selten:</w:t>
      </w:r>
      <w:r w:rsidRPr="00DE1967">
        <w:rPr>
          <w:snapToGrid/>
          <w:szCs w:val="22"/>
          <w:lang w:val="de-DE" w:eastAsia="de-DE"/>
        </w:rPr>
        <w:tab/>
      </w:r>
      <w:r w:rsidR="001F6C53" w:rsidRPr="00DE1967">
        <w:rPr>
          <w:snapToGrid/>
          <w:szCs w:val="22"/>
          <w:lang w:val="de-DE" w:eastAsia="de-DE"/>
        </w:rPr>
        <w:t>abnorme Leberfunktion/Einschränkung der</w:t>
      </w:r>
      <w:r w:rsidRPr="00DE1967">
        <w:rPr>
          <w:snapToGrid/>
          <w:szCs w:val="22"/>
          <w:lang w:val="de-DE" w:eastAsia="de-DE"/>
        </w:rPr>
        <w:t xml:space="preserve"> </w:t>
      </w:r>
      <w:r w:rsidR="001F6C53" w:rsidRPr="00DE1967">
        <w:rPr>
          <w:snapToGrid/>
          <w:szCs w:val="22"/>
          <w:lang w:val="de-DE" w:eastAsia="de-DE"/>
        </w:rPr>
        <w:t>Leberfunktion</w:t>
      </w:r>
      <w:r w:rsidRPr="00DE1967">
        <w:rPr>
          <w:snapToGrid/>
          <w:szCs w:val="22"/>
          <w:vertAlign w:val="superscript"/>
          <w:lang w:val="de-DE" w:eastAsia="de-DE"/>
        </w:rPr>
        <w:t>2</w:t>
      </w:r>
    </w:p>
    <w:p w:rsidR="008D451B" w:rsidRPr="00DE1967" w:rsidRDefault="008D451B"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der Haut und des</w:t>
      </w:r>
      <w:r w:rsidR="008D451B" w:rsidRPr="00DE1967">
        <w:rPr>
          <w:snapToGrid/>
          <w:szCs w:val="22"/>
          <w:lang w:val="de-DE" w:eastAsia="de-DE"/>
        </w:rPr>
        <w:t xml:space="preserve"> </w:t>
      </w:r>
      <w:r w:rsidRPr="00DE1967">
        <w:rPr>
          <w:snapToGrid/>
          <w:szCs w:val="22"/>
          <w:lang w:val="de-DE" w:eastAsia="de-DE"/>
        </w:rPr>
        <w:t>Unterhautzellgewebes</w:t>
      </w:r>
    </w:p>
    <w:p w:rsidR="001F6C53" w:rsidRPr="00DE1967" w:rsidRDefault="001F6C53" w:rsidP="0003742E">
      <w:pPr>
        <w:widowControl w:val="0"/>
        <w:tabs>
          <w:tab w:val="clear" w:pos="567"/>
          <w:tab w:val="left" w:pos="2268"/>
        </w:tabs>
        <w:autoSpaceDE w:val="0"/>
        <w:autoSpaceDN w:val="0"/>
        <w:adjustRightInd w:val="0"/>
        <w:spacing w:line="240" w:lineRule="auto"/>
        <w:ind w:left="2261" w:hanging="1410"/>
        <w:rPr>
          <w:snapToGrid/>
          <w:szCs w:val="22"/>
          <w:lang w:val="de-DE" w:eastAsia="de-DE"/>
        </w:rPr>
      </w:pPr>
      <w:r w:rsidRPr="00DE1967">
        <w:rPr>
          <w:snapToGrid/>
          <w:szCs w:val="22"/>
          <w:lang w:val="de-DE" w:eastAsia="de-DE"/>
        </w:rPr>
        <w:t>Selten:</w:t>
      </w:r>
      <w:r w:rsidR="00023E2B" w:rsidRPr="00DE1967">
        <w:rPr>
          <w:snapToGrid/>
          <w:szCs w:val="22"/>
          <w:lang w:val="de-DE" w:eastAsia="de-DE"/>
        </w:rPr>
        <w:tab/>
      </w:r>
      <w:r w:rsidRPr="00DE1967">
        <w:rPr>
          <w:snapToGrid/>
          <w:szCs w:val="22"/>
          <w:lang w:val="de-DE" w:eastAsia="de-DE"/>
        </w:rPr>
        <w:t>Angioödem (einschließlich tödlichen Ausgangs),</w:t>
      </w:r>
      <w:r w:rsidR="008D451B" w:rsidRPr="00DE1967">
        <w:rPr>
          <w:snapToGrid/>
          <w:szCs w:val="22"/>
          <w:lang w:val="de-DE" w:eastAsia="de-DE"/>
        </w:rPr>
        <w:t xml:space="preserve"> </w:t>
      </w:r>
      <w:r w:rsidRPr="00DE1967">
        <w:rPr>
          <w:snapToGrid/>
          <w:szCs w:val="22"/>
          <w:lang w:val="de-DE" w:eastAsia="de-DE"/>
        </w:rPr>
        <w:t>Erythem, Pruritus, Hautausschlag, Hyperhidrose,</w:t>
      </w:r>
      <w:r w:rsidR="008D451B" w:rsidRPr="00DE1967">
        <w:rPr>
          <w:snapToGrid/>
          <w:szCs w:val="22"/>
          <w:lang w:val="de-DE" w:eastAsia="de-DE"/>
        </w:rPr>
        <w:t xml:space="preserve"> </w:t>
      </w:r>
      <w:r w:rsidRPr="00DE1967">
        <w:rPr>
          <w:snapToGrid/>
          <w:szCs w:val="22"/>
          <w:lang w:val="de-DE" w:eastAsia="de-DE"/>
        </w:rPr>
        <w:t>Urtikaria</w:t>
      </w:r>
    </w:p>
    <w:p w:rsidR="008D451B" w:rsidRPr="00DE1967" w:rsidRDefault="008D451B" w:rsidP="0003742E">
      <w:pPr>
        <w:widowControl w:val="0"/>
        <w:tabs>
          <w:tab w:val="clear" w:pos="567"/>
          <w:tab w:val="left" w:pos="2268"/>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Skelettmuskulatur-, Bindegewebs- und</w:t>
      </w:r>
      <w:r w:rsidR="008D451B" w:rsidRPr="00DE1967">
        <w:rPr>
          <w:snapToGrid/>
          <w:szCs w:val="22"/>
          <w:lang w:val="de-DE" w:eastAsia="de-DE"/>
        </w:rPr>
        <w:t xml:space="preserve"> </w:t>
      </w:r>
      <w:r w:rsidRPr="00DE1967">
        <w:rPr>
          <w:snapToGrid/>
          <w:szCs w:val="22"/>
          <w:lang w:val="de-DE" w:eastAsia="de-DE"/>
        </w:rPr>
        <w:t>Knochenerkrankungen</w:t>
      </w:r>
    </w:p>
    <w:p w:rsidR="001F6C53" w:rsidRPr="00DE1967" w:rsidRDefault="008D451B"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Gelegentlich:</w:t>
      </w:r>
      <w:r w:rsidRPr="00DE1967">
        <w:rPr>
          <w:snapToGrid/>
          <w:szCs w:val="22"/>
          <w:lang w:val="de-DE" w:eastAsia="de-DE"/>
        </w:rPr>
        <w:tab/>
      </w:r>
      <w:r w:rsidR="001F6C53" w:rsidRPr="00DE1967">
        <w:rPr>
          <w:snapToGrid/>
          <w:szCs w:val="22"/>
          <w:lang w:val="de-DE" w:eastAsia="de-DE"/>
        </w:rPr>
        <w:t>Rückenschmerzen, Muskelkrämpfe, Myalgie</w:t>
      </w:r>
    </w:p>
    <w:p w:rsidR="001F6C53" w:rsidRPr="00DE1967" w:rsidRDefault="001F6C5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 xml:space="preserve">Selten: </w:t>
      </w:r>
      <w:r w:rsidR="008D451B" w:rsidRPr="00DE1967">
        <w:rPr>
          <w:snapToGrid/>
          <w:szCs w:val="22"/>
          <w:lang w:val="de-DE" w:eastAsia="de-DE"/>
        </w:rPr>
        <w:tab/>
      </w:r>
      <w:r w:rsidRPr="00DE1967">
        <w:rPr>
          <w:snapToGrid/>
          <w:szCs w:val="22"/>
          <w:lang w:val="de-DE" w:eastAsia="de-DE"/>
        </w:rPr>
        <w:t>Arthralgie, Krämpfe in den Beinen, Schmerzen in</w:t>
      </w:r>
      <w:r w:rsidR="008D451B" w:rsidRPr="00DE1967">
        <w:rPr>
          <w:snapToGrid/>
          <w:szCs w:val="22"/>
          <w:lang w:val="de-DE" w:eastAsia="de-DE"/>
        </w:rPr>
        <w:t xml:space="preserve"> </w:t>
      </w:r>
      <w:r w:rsidRPr="00DE1967">
        <w:rPr>
          <w:snapToGrid/>
          <w:szCs w:val="22"/>
          <w:lang w:val="de-DE" w:eastAsia="de-DE"/>
        </w:rPr>
        <w:t>den Extremitäten</w:t>
      </w:r>
    </w:p>
    <w:p w:rsidR="008D451B" w:rsidRPr="00DE1967" w:rsidRDefault="008D451B"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der Geschlechtsorgane und der</w:t>
      </w:r>
      <w:r w:rsidR="008D451B" w:rsidRPr="00DE1967">
        <w:rPr>
          <w:snapToGrid/>
          <w:szCs w:val="22"/>
          <w:lang w:val="de-DE" w:eastAsia="de-DE"/>
        </w:rPr>
        <w:t xml:space="preserve"> </w:t>
      </w:r>
      <w:r w:rsidRPr="00DE1967">
        <w:rPr>
          <w:snapToGrid/>
          <w:szCs w:val="22"/>
          <w:lang w:val="de-DE" w:eastAsia="de-DE"/>
        </w:rPr>
        <w:t>Brustdrüse</w:t>
      </w:r>
    </w:p>
    <w:p w:rsidR="001F6C53" w:rsidRPr="00DE1967" w:rsidRDefault="001F6C5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Gelegentlich:</w:t>
      </w:r>
      <w:r w:rsidR="008D451B" w:rsidRPr="00DE1967">
        <w:rPr>
          <w:snapToGrid/>
          <w:szCs w:val="22"/>
          <w:lang w:val="de-DE" w:eastAsia="de-DE"/>
        </w:rPr>
        <w:tab/>
      </w:r>
      <w:r w:rsidRPr="00DE1967">
        <w:rPr>
          <w:snapToGrid/>
          <w:szCs w:val="22"/>
          <w:lang w:val="de-DE" w:eastAsia="de-DE"/>
        </w:rPr>
        <w:t>erektile Dysfunktion</w:t>
      </w:r>
    </w:p>
    <w:p w:rsidR="008D451B" w:rsidRPr="00DE1967" w:rsidRDefault="008D451B" w:rsidP="0003742E">
      <w:pPr>
        <w:widowControl w:val="0"/>
        <w:tabs>
          <w:tab w:val="clear" w:pos="567"/>
          <w:tab w:val="left" w:pos="2268"/>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Allgemeine Erkrankungen und Beschwerden am</w:t>
      </w:r>
      <w:r w:rsidR="008D451B" w:rsidRPr="00DE1967">
        <w:rPr>
          <w:snapToGrid/>
          <w:szCs w:val="22"/>
          <w:lang w:val="de-DE" w:eastAsia="de-DE"/>
        </w:rPr>
        <w:t xml:space="preserve"> </w:t>
      </w:r>
      <w:r w:rsidRPr="00DE1967">
        <w:rPr>
          <w:snapToGrid/>
          <w:szCs w:val="22"/>
          <w:lang w:val="de-DE" w:eastAsia="de-DE"/>
        </w:rPr>
        <w:t>Verabreichungsort</w:t>
      </w:r>
    </w:p>
    <w:p w:rsidR="001F6C53" w:rsidRPr="00DE1967" w:rsidRDefault="001F6C5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Gelegentlich:</w:t>
      </w:r>
      <w:r w:rsidR="008D451B" w:rsidRPr="00DE1967">
        <w:rPr>
          <w:snapToGrid/>
          <w:szCs w:val="22"/>
          <w:lang w:val="de-DE" w:eastAsia="de-DE"/>
        </w:rPr>
        <w:tab/>
      </w:r>
      <w:r w:rsidRPr="00DE1967">
        <w:rPr>
          <w:snapToGrid/>
          <w:szCs w:val="22"/>
          <w:lang w:val="de-DE" w:eastAsia="de-DE"/>
        </w:rPr>
        <w:t>Brustschmerzen</w:t>
      </w:r>
    </w:p>
    <w:p w:rsidR="001F6C53" w:rsidRPr="00DE1967" w:rsidRDefault="001F6C53" w:rsidP="0003742E">
      <w:pPr>
        <w:widowControl w:val="0"/>
        <w:tabs>
          <w:tab w:val="clear" w:pos="567"/>
          <w:tab w:val="left" w:pos="2268"/>
        </w:tabs>
        <w:autoSpaceDE w:val="0"/>
        <w:autoSpaceDN w:val="0"/>
        <w:adjustRightInd w:val="0"/>
        <w:spacing w:line="240" w:lineRule="auto"/>
        <w:ind w:left="131" w:firstLine="720"/>
        <w:rPr>
          <w:snapToGrid/>
          <w:szCs w:val="22"/>
          <w:lang w:val="de-DE" w:eastAsia="de-DE"/>
        </w:rPr>
      </w:pPr>
      <w:r w:rsidRPr="00DE1967">
        <w:rPr>
          <w:snapToGrid/>
          <w:szCs w:val="22"/>
          <w:lang w:val="de-DE" w:eastAsia="de-DE"/>
        </w:rPr>
        <w:t>Selten:</w:t>
      </w:r>
      <w:r w:rsidR="008D451B" w:rsidRPr="00DE1967">
        <w:rPr>
          <w:snapToGrid/>
          <w:szCs w:val="22"/>
          <w:lang w:val="de-DE" w:eastAsia="de-DE"/>
        </w:rPr>
        <w:tab/>
      </w:r>
      <w:r w:rsidRPr="00DE1967">
        <w:rPr>
          <w:snapToGrid/>
          <w:szCs w:val="22"/>
          <w:lang w:val="de-DE" w:eastAsia="de-DE"/>
        </w:rPr>
        <w:t>grippeähnliche Erkrankung, Schmerzen</w:t>
      </w:r>
    </w:p>
    <w:p w:rsidR="008D451B" w:rsidRPr="00DE1967" w:rsidRDefault="008D451B"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Untersuchungen</w:t>
      </w:r>
    </w:p>
    <w:p w:rsidR="001F6C53" w:rsidRPr="00DE1967" w:rsidRDefault="001F6C5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Gelegentlich:</w:t>
      </w:r>
      <w:r w:rsidR="008D451B" w:rsidRPr="00DE1967">
        <w:rPr>
          <w:snapToGrid/>
          <w:szCs w:val="22"/>
          <w:lang w:val="de-DE" w:eastAsia="de-DE"/>
        </w:rPr>
        <w:tab/>
      </w:r>
      <w:r w:rsidRPr="00DE1967">
        <w:rPr>
          <w:snapToGrid/>
          <w:szCs w:val="22"/>
          <w:lang w:val="de-DE" w:eastAsia="de-DE"/>
        </w:rPr>
        <w:t>erhöhte Harnsäure im Blut</w:t>
      </w:r>
    </w:p>
    <w:p w:rsidR="001F6C53" w:rsidRPr="00DE1967" w:rsidRDefault="001F6C53" w:rsidP="0003742E">
      <w:pPr>
        <w:widowControl w:val="0"/>
        <w:tabs>
          <w:tab w:val="clear" w:pos="567"/>
        </w:tabs>
        <w:autoSpaceDE w:val="0"/>
        <w:autoSpaceDN w:val="0"/>
        <w:adjustRightInd w:val="0"/>
        <w:spacing w:line="240" w:lineRule="auto"/>
        <w:ind w:left="2268" w:hanging="1417"/>
        <w:rPr>
          <w:snapToGrid/>
          <w:szCs w:val="22"/>
          <w:lang w:val="de-DE" w:eastAsia="de-DE"/>
        </w:rPr>
      </w:pPr>
      <w:r w:rsidRPr="00DE1967">
        <w:rPr>
          <w:snapToGrid/>
          <w:szCs w:val="22"/>
          <w:lang w:val="de-DE" w:eastAsia="de-DE"/>
        </w:rPr>
        <w:t>Selten:</w:t>
      </w:r>
      <w:r w:rsidR="008D451B" w:rsidRPr="00DE1967">
        <w:rPr>
          <w:snapToGrid/>
          <w:szCs w:val="22"/>
          <w:lang w:val="de-DE" w:eastAsia="de-DE"/>
        </w:rPr>
        <w:tab/>
      </w:r>
      <w:r w:rsidRPr="00DE1967">
        <w:rPr>
          <w:snapToGrid/>
          <w:szCs w:val="22"/>
          <w:lang w:val="de-DE" w:eastAsia="de-DE"/>
        </w:rPr>
        <w:t>erhöhter Kreatininwert im Blut, erhöhte</w:t>
      </w:r>
      <w:r w:rsidR="006801F7" w:rsidRPr="00DE1967">
        <w:rPr>
          <w:snapToGrid/>
          <w:szCs w:val="22"/>
          <w:lang w:val="de-DE" w:eastAsia="de-DE"/>
        </w:rPr>
        <w:t xml:space="preserve"> </w:t>
      </w:r>
      <w:proofErr w:type="spellStart"/>
      <w:r w:rsidRPr="00DE1967">
        <w:rPr>
          <w:snapToGrid/>
          <w:szCs w:val="22"/>
          <w:lang w:val="de-DE" w:eastAsia="de-DE"/>
        </w:rPr>
        <w:t>Kreatinphosphokinase</w:t>
      </w:r>
      <w:proofErr w:type="spellEnd"/>
      <w:r w:rsidRPr="00DE1967">
        <w:rPr>
          <w:snapToGrid/>
          <w:szCs w:val="22"/>
          <w:lang w:val="de-DE" w:eastAsia="de-DE"/>
        </w:rPr>
        <w:t xml:space="preserve"> im Blut, erhöhte</w:t>
      </w:r>
      <w:r w:rsidR="006801F7" w:rsidRPr="00DE1967">
        <w:rPr>
          <w:snapToGrid/>
          <w:szCs w:val="22"/>
          <w:lang w:val="de-DE" w:eastAsia="de-DE"/>
        </w:rPr>
        <w:t xml:space="preserve"> </w:t>
      </w:r>
      <w:r w:rsidRPr="00DE1967">
        <w:rPr>
          <w:snapToGrid/>
          <w:szCs w:val="22"/>
          <w:lang w:val="de-DE" w:eastAsia="de-DE"/>
        </w:rPr>
        <w:t>Leberenzymwerte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3E2A79"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1: </w:t>
      </w:r>
      <w:r w:rsidR="001F6C53" w:rsidRPr="00DE1967">
        <w:rPr>
          <w:snapToGrid/>
          <w:szCs w:val="22"/>
          <w:lang w:val="de-DE" w:eastAsia="de-DE"/>
        </w:rPr>
        <w:t>Basierend auf Erfahrungen nach Markteinführung.</w:t>
      </w: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2</w:t>
      </w:r>
      <w:r w:rsidR="003E2A79" w:rsidRPr="00DE1967">
        <w:rPr>
          <w:snapToGrid/>
          <w:szCs w:val="22"/>
          <w:lang w:val="de-DE" w:eastAsia="de-DE"/>
        </w:rPr>
        <w:t>:</w:t>
      </w:r>
      <w:r w:rsidRPr="00DE1967">
        <w:rPr>
          <w:snapToGrid/>
          <w:szCs w:val="22"/>
          <w:lang w:val="de-DE" w:eastAsia="de-DE"/>
        </w:rPr>
        <w:t xml:space="preserve"> Für weitere Beschreibungen siehe Unterabschnitt </w:t>
      </w:r>
      <w:r w:rsidRPr="00DE1967">
        <w:rPr>
          <w:i/>
          <w:snapToGrid/>
          <w:szCs w:val="22"/>
          <w:lang w:val="de-DE" w:eastAsia="de-DE"/>
        </w:rPr>
        <w:t>„Beschreibung ausgewählter Nebenwirkungen“</w:t>
      </w:r>
      <w:r w:rsidRPr="00DE1967">
        <w:rPr>
          <w:snapToGrid/>
          <w:szCs w:val="22"/>
          <w:lang w:val="de-DE" w:eastAsia="de-DE"/>
        </w:rPr>
        <w:t>.</w:t>
      </w:r>
    </w:p>
    <w:p w:rsidR="003E2A79" w:rsidRPr="00DE1967" w:rsidRDefault="003E2A79" w:rsidP="0003742E">
      <w:pPr>
        <w:widowControl w:val="0"/>
        <w:tabs>
          <w:tab w:val="clear" w:pos="567"/>
        </w:tabs>
        <w:autoSpaceDE w:val="0"/>
        <w:autoSpaceDN w:val="0"/>
        <w:adjustRightInd w:val="0"/>
        <w:spacing w:line="240" w:lineRule="auto"/>
        <w:rPr>
          <w:i/>
          <w:iCs/>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i/>
          <w:iCs/>
          <w:snapToGrid/>
          <w:szCs w:val="22"/>
          <w:lang w:val="de-DE" w:eastAsia="de-DE"/>
        </w:rPr>
      </w:pPr>
      <w:r w:rsidRPr="00DE1967">
        <w:rPr>
          <w:i/>
          <w:iCs/>
          <w:snapToGrid/>
          <w:szCs w:val="22"/>
          <w:lang w:val="de-DE" w:eastAsia="de-DE"/>
        </w:rPr>
        <w:t>Zusätzliche Informationen zu den einzelnen Bestandteilen</w:t>
      </w: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Nebenwirkungen, die bereits bei einem der Einzelbestandteile berichtet worden sind, können</w:t>
      </w:r>
      <w:r w:rsidR="00521CB2" w:rsidRPr="00DE1967">
        <w:rPr>
          <w:snapToGrid/>
          <w:szCs w:val="22"/>
          <w:lang w:val="de-DE" w:eastAsia="de-DE"/>
        </w:rPr>
        <w:t xml:space="preserve"> </w:t>
      </w:r>
      <w:r w:rsidRPr="00DE1967">
        <w:rPr>
          <w:snapToGrid/>
          <w:szCs w:val="22"/>
          <w:lang w:val="de-DE" w:eastAsia="de-DE"/>
        </w:rPr>
        <w:t xml:space="preserve">möglicherweise auch als Nebenwirkungen unter </w:t>
      </w:r>
      <w:proofErr w:type="spellStart"/>
      <w:r w:rsidRPr="00DE1967">
        <w:rPr>
          <w:snapToGrid/>
          <w:szCs w:val="22"/>
          <w:lang w:val="de-DE" w:eastAsia="de-DE"/>
        </w:rPr>
        <w:t>Tolucombi</w:t>
      </w:r>
      <w:proofErr w:type="spellEnd"/>
      <w:r w:rsidRPr="00DE1967">
        <w:rPr>
          <w:snapToGrid/>
          <w:szCs w:val="22"/>
          <w:lang w:val="de-DE" w:eastAsia="de-DE"/>
        </w:rPr>
        <w:t xml:space="preserve"> auftreten, selbst wenn sie nicht in</w:t>
      </w:r>
      <w:r w:rsidR="00521CB2" w:rsidRPr="00DE1967">
        <w:rPr>
          <w:snapToGrid/>
          <w:szCs w:val="22"/>
          <w:lang w:val="de-DE" w:eastAsia="de-DE"/>
        </w:rPr>
        <w:t xml:space="preserve"> </w:t>
      </w:r>
      <w:r w:rsidRPr="00DE1967">
        <w:rPr>
          <w:snapToGrid/>
          <w:szCs w:val="22"/>
          <w:lang w:val="de-DE" w:eastAsia="de-DE"/>
        </w:rPr>
        <w:t>klinischen Prüfungen beobachtet wurden.</w:t>
      </w:r>
    </w:p>
    <w:p w:rsidR="00521CB2" w:rsidRPr="00DE1967" w:rsidRDefault="00521CB2"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Telmisartan:</w:t>
      </w: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Nebenwirkungen traten in vergleichbarer Häufigkeit bei mit Placebo und Telmisartan behandelten</w:t>
      </w:r>
      <w:r w:rsidR="00521CB2" w:rsidRPr="00DE1967">
        <w:rPr>
          <w:snapToGrid/>
          <w:szCs w:val="22"/>
          <w:lang w:val="de-DE" w:eastAsia="de-DE"/>
        </w:rPr>
        <w:t xml:space="preserve"> </w:t>
      </w:r>
      <w:r w:rsidRPr="00DE1967">
        <w:rPr>
          <w:snapToGrid/>
          <w:szCs w:val="22"/>
          <w:lang w:val="de-DE" w:eastAsia="de-DE"/>
        </w:rPr>
        <w:t>Patienten auf.</w:t>
      </w:r>
    </w:p>
    <w:p w:rsidR="00521CB2" w:rsidRPr="00DE1967" w:rsidRDefault="00521CB2"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In den Placebo-kontrollierten Studien war die Gesamtinzidenz der Nebenwirkungen von </w:t>
      </w:r>
      <w:r w:rsidR="00521CB2" w:rsidRPr="00DE1967">
        <w:rPr>
          <w:snapToGrid/>
          <w:szCs w:val="22"/>
          <w:lang w:val="de-DE" w:eastAsia="de-DE"/>
        </w:rPr>
        <w:t>T</w:t>
      </w:r>
      <w:r w:rsidRPr="00DE1967">
        <w:rPr>
          <w:snapToGrid/>
          <w:szCs w:val="22"/>
          <w:lang w:val="de-DE" w:eastAsia="de-DE"/>
        </w:rPr>
        <w:t>elmisartan</w:t>
      </w:r>
      <w:r w:rsidR="00521CB2" w:rsidRPr="00DE1967">
        <w:rPr>
          <w:snapToGrid/>
          <w:szCs w:val="22"/>
          <w:lang w:val="de-DE" w:eastAsia="de-DE"/>
        </w:rPr>
        <w:t> </w:t>
      </w:r>
      <w:r w:rsidRPr="00DE1967">
        <w:rPr>
          <w:snapToGrid/>
          <w:szCs w:val="22"/>
          <w:lang w:val="de-DE" w:eastAsia="de-DE"/>
        </w:rPr>
        <w:t>(41,4</w:t>
      </w:r>
      <w:r w:rsidR="00521CB2" w:rsidRPr="00DE1967">
        <w:rPr>
          <w:snapToGrid/>
          <w:szCs w:val="22"/>
          <w:lang w:val="de-DE" w:eastAsia="de-DE"/>
        </w:rPr>
        <w:t> </w:t>
      </w:r>
      <w:r w:rsidRPr="00DE1967">
        <w:rPr>
          <w:snapToGrid/>
          <w:szCs w:val="22"/>
          <w:lang w:val="de-DE" w:eastAsia="de-DE"/>
        </w:rPr>
        <w:t>%) im Allgemeinen vergleichbar mit Placebo (43,9</w:t>
      </w:r>
      <w:r w:rsidR="00521CB2" w:rsidRPr="00DE1967">
        <w:rPr>
          <w:snapToGrid/>
          <w:szCs w:val="22"/>
          <w:lang w:val="de-DE" w:eastAsia="de-DE"/>
        </w:rPr>
        <w:t> </w:t>
      </w:r>
      <w:r w:rsidRPr="00DE1967">
        <w:rPr>
          <w:snapToGrid/>
          <w:szCs w:val="22"/>
          <w:lang w:val="de-DE" w:eastAsia="de-DE"/>
        </w:rPr>
        <w:t>%). Die nachfolgend aufgeführten</w:t>
      </w:r>
      <w:r w:rsidR="00FC72A2" w:rsidRPr="00DE1967">
        <w:rPr>
          <w:snapToGrid/>
          <w:szCs w:val="22"/>
          <w:lang w:val="de-DE" w:eastAsia="de-DE"/>
        </w:rPr>
        <w:t xml:space="preserve"> </w:t>
      </w:r>
      <w:r w:rsidRPr="00DE1967">
        <w:rPr>
          <w:snapToGrid/>
          <w:szCs w:val="22"/>
          <w:lang w:val="de-DE" w:eastAsia="de-DE"/>
        </w:rPr>
        <w:t>Nebenwirkungen wurden aus allen klinischen Studien bei Patienten, die mit Telmisartan wegen</w:t>
      </w:r>
      <w:r w:rsidR="00521CB2" w:rsidRPr="00DE1967">
        <w:rPr>
          <w:snapToGrid/>
          <w:szCs w:val="22"/>
          <w:lang w:val="de-DE" w:eastAsia="de-DE"/>
        </w:rPr>
        <w:t xml:space="preserve"> </w:t>
      </w:r>
      <w:r w:rsidRPr="00DE1967">
        <w:rPr>
          <w:snapToGrid/>
          <w:szCs w:val="22"/>
          <w:lang w:val="de-DE" w:eastAsia="de-DE"/>
        </w:rPr>
        <w:t>Bluthochdruck behandelt wurden oder bei Patienten</w:t>
      </w:r>
      <w:r w:rsidR="00544F89" w:rsidRPr="00DE1967">
        <w:rPr>
          <w:snapToGrid/>
          <w:szCs w:val="22"/>
          <w:lang w:val="de-DE" w:eastAsia="de-DE"/>
        </w:rPr>
        <w:t xml:space="preserve"> </w:t>
      </w:r>
      <w:r w:rsidRPr="00DE1967">
        <w:rPr>
          <w:snapToGrid/>
          <w:szCs w:val="22"/>
          <w:lang w:val="de-DE" w:eastAsia="de-DE"/>
        </w:rPr>
        <w:t>≥ 50 Jahre mit hohem Risiko für kardiovaskuläre</w:t>
      </w:r>
      <w:r w:rsidR="00521CB2" w:rsidRPr="00DE1967">
        <w:rPr>
          <w:snapToGrid/>
          <w:szCs w:val="22"/>
          <w:lang w:val="de-DE" w:eastAsia="de-DE"/>
        </w:rPr>
        <w:t xml:space="preserve"> </w:t>
      </w:r>
      <w:r w:rsidRPr="00DE1967">
        <w:rPr>
          <w:snapToGrid/>
          <w:szCs w:val="22"/>
          <w:lang w:val="de-DE" w:eastAsia="de-DE"/>
        </w:rPr>
        <w:t>Ereignisse gesammelt.</w:t>
      </w:r>
    </w:p>
    <w:p w:rsidR="00521CB2" w:rsidRPr="00DE1967" w:rsidRDefault="00521CB2"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Infektionen und parasitäre Erkrankungen</w:t>
      </w:r>
    </w:p>
    <w:p w:rsidR="001F6C53" w:rsidRPr="00DE1967" w:rsidRDefault="001F6C53" w:rsidP="0003742E">
      <w:pPr>
        <w:widowControl w:val="0"/>
        <w:tabs>
          <w:tab w:val="clear" w:pos="567"/>
          <w:tab w:val="left" w:pos="2268"/>
        </w:tabs>
        <w:autoSpaceDE w:val="0"/>
        <w:autoSpaceDN w:val="0"/>
        <w:adjustRightInd w:val="0"/>
        <w:spacing w:line="240" w:lineRule="auto"/>
        <w:ind w:left="2268" w:hanging="1428"/>
        <w:rPr>
          <w:snapToGrid/>
          <w:szCs w:val="22"/>
          <w:lang w:val="de-DE" w:eastAsia="de-DE"/>
        </w:rPr>
      </w:pPr>
      <w:r w:rsidRPr="00DE1967">
        <w:rPr>
          <w:snapToGrid/>
          <w:szCs w:val="22"/>
          <w:lang w:val="de-DE" w:eastAsia="de-DE"/>
        </w:rPr>
        <w:t>Gelegentlich:</w:t>
      </w:r>
      <w:r w:rsidR="00F75750" w:rsidRPr="00DE1967">
        <w:rPr>
          <w:snapToGrid/>
          <w:szCs w:val="22"/>
          <w:lang w:val="de-DE" w:eastAsia="de-DE"/>
        </w:rPr>
        <w:tab/>
      </w:r>
      <w:r w:rsidRPr="00DE1967">
        <w:rPr>
          <w:snapToGrid/>
          <w:szCs w:val="22"/>
          <w:lang w:val="de-DE" w:eastAsia="de-DE"/>
        </w:rPr>
        <w:t>Infektionen der oberen Atemwege,</w:t>
      </w:r>
      <w:r w:rsidR="00F75750" w:rsidRPr="00DE1967">
        <w:rPr>
          <w:snapToGrid/>
          <w:szCs w:val="22"/>
          <w:lang w:val="de-DE" w:eastAsia="de-DE"/>
        </w:rPr>
        <w:t xml:space="preserve"> </w:t>
      </w:r>
      <w:r w:rsidRPr="00DE1967">
        <w:rPr>
          <w:snapToGrid/>
          <w:szCs w:val="22"/>
          <w:lang w:val="de-DE" w:eastAsia="de-DE"/>
        </w:rPr>
        <w:t>Harnwegsinfektionen einschließlich Zystitis</w:t>
      </w:r>
    </w:p>
    <w:p w:rsidR="001F6C53" w:rsidRPr="00DE1967" w:rsidRDefault="00F75750"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 xml:space="preserve">Selten: </w:t>
      </w:r>
      <w:r w:rsidRPr="00DE1967">
        <w:rPr>
          <w:snapToGrid/>
          <w:szCs w:val="22"/>
          <w:lang w:val="de-DE" w:eastAsia="de-DE"/>
        </w:rPr>
        <w:tab/>
      </w:r>
      <w:r w:rsidR="001F6C53" w:rsidRPr="00DE1967">
        <w:rPr>
          <w:snapToGrid/>
          <w:szCs w:val="22"/>
          <w:lang w:val="de-DE" w:eastAsia="de-DE"/>
        </w:rPr>
        <w:t>Sepsis einschließlich tödlichen Ausgangs</w:t>
      </w:r>
      <w:r w:rsidR="001F6C53" w:rsidRPr="00DE1967">
        <w:rPr>
          <w:snapToGrid/>
          <w:szCs w:val="22"/>
          <w:vertAlign w:val="superscript"/>
          <w:lang w:val="de-DE" w:eastAsia="de-DE"/>
        </w:rPr>
        <w:t>3</w:t>
      </w:r>
    </w:p>
    <w:p w:rsidR="00F75750" w:rsidRPr="00DE1967" w:rsidRDefault="00F75750"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Blutes und des Lymphsystems</w:t>
      </w:r>
    </w:p>
    <w:p w:rsidR="001F6C53" w:rsidRPr="00DE1967" w:rsidRDefault="00F75750"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Gelegentlich:</w:t>
      </w:r>
      <w:r w:rsidRPr="00DE1967">
        <w:rPr>
          <w:snapToGrid/>
          <w:szCs w:val="22"/>
          <w:lang w:val="de-DE" w:eastAsia="de-DE"/>
        </w:rPr>
        <w:tab/>
      </w:r>
      <w:r w:rsidR="001F6C53" w:rsidRPr="00DE1967">
        <w:rPr>
          <w:snapToGrid/>
          <w:szCs w:val="22"/>
          <w:lang w:val="de-DE" w:eastAsia="de-DE"/>
        </w:rPr>
        <w:t>Anämie</w:t>
      </w:r>
    </w:p>
    <w:p w:rsidR="001F6C53" w:rsidRPr="00DE1967" w:rsidRDefault="00F75750"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 xml:space="preserve">Selten: </w:t>
      </w:r>
      <w:r w:rsidRPr="00DE1967">
        <w:rPr>
          <w:snapToGrid/>
          <w:szCs w:val="22"/>
          <w:lang w:val="de-DE" w:eastAsia="de-DE"/>
        </w:rPr>
        <w:tab/>
      </w:r>
      <w:proofErr w:type="spellStart"/>
      <w:r w:rsidR="001F6C53" w:rsidRPr="00DE1967">
        <w:rPr>
          <w:snapToGrid/>
          <w:szCs w:val="22"/>
          <w:lang w:val="de-DE" w:eastAsia="de-DE"/>
        </w:rPr>
        <w:t>Eosinophilie</w:t>
      </w:r>
      <w:proofErr w:type="spellEnd"/>
      <w:r w:rsidR="001F6C53" w:rsidRPr="00DE1967">
        <w:rPr>
          <w:snapToGrid/>
          <w:szCs w:val="22"/>
          <w:lang w:val="de-DE" w:eastAsia="de-DE"/>
        </w:rPr>
        <w:t xml:space="preserve">, </w:t>
      </w:r>
      <w:proofErr w:type="spellStart"/>
      <w:r w:rsidR="001F6C53" w:rsidRPr="00DE1967">
        <w:rPr>
          <w:snapToGrid/>
          <w:szCs w:val="22"/>
          <w:lang w:val="de-DE" w:eastAsia="de-DE"/>
        </w:rPr>
        <w:t>Thrombozytopenie</w:t>
      </w:r>
      <w:proofErr w:type="spellEnd"/>
    </w:p>
    <w:p w:rsidR="00F75750" w:rsidRPr="00DE1967" w:rsidRDefault="00F75750"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Immunsystems</w:t>
      </w:r>
    </w:p>
    <w:p w:rsidR="001F6C53" w:rsidRPr="00DE1967" w:rsidRDefault="00F75750"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 xml:space="preserve">Selten: </w:t>
      </w:r>
      <w:r w:rsidRPr="00DE1967">
        <w:rPr>
          <w:snapToGrid/>
          <w:szCs w:val="22"/>
          <w:lang w:val="de-DE" w:eastAsia="de-DE"/>
        </w:rPr>
        <w:tab/>
      </w:r>
      <w:r w:rsidR="001F6C53" w:rsidRPr="00DE1967">
        <w:rPr>
          <w:snapToGrid/>
          <w:szCs w:val="22"/>
          <w:lang w:val="de-DE" w:eastAsia="de-DE"/>
        </w:rPr>
        <w:t>Überempfindlichkeit, anaphylaktische</w:t>
      </w:r>
      <w:r w:rsidR="00515501" w:rsidRPr="00DE1967">
        <w:rPr>
          <w:snapToGrid/>
          <w:szCs w:val="22"/>
          <w:lang w:val="de-DE" w:eastAsia="de-DE"/>
        </w:rPr>
        <w:t xml:space="preserve"> </w:t>
      </w:r>
      <w:r w:rsidR="001F6C53" w:rsidRPr="00DE1967">
        <w:rPr>
          <w:snapToGrid/>
          <w:szCs w:val="22"/>
          <w:lang w:val="de-DE" w:eastAsia="de-DE"/>
        </w:rPr>
        <w:t>Reaktionen</w:t>
      </w:r>
    </w:p>
    <w:p w:rsidR="00515501" w:rsidRPr="00DE1967" w:rsidRDefault="00515501"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Stoffwechsel- und Ernährungsstörungen</w:t>
      </w:r>
    </w:p>
    <w:p w:rsidR="001F6C53" w:rsidRPr="00DE1967" w:rsidRDefault="00515501"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Gelegentlich:</w:t>
      </w:r>
      <w:r w:rsidRPr="00DE1967">
        <w:rPr>
          <w:snapToGrid/>
          <w:szCs w:val="22"/>
          <w:lang w:val="de-DE" w:eastAsia="de-DE"/>
        </w:rPr>
        <w:tab/>
      </w:r>
      <w:r w:rsidR="001F6C53" w:rsidRPr="00DE1967">
        <w:rPr>
          <w:snapToGrid/>
          <w:szCs w:val="22"/>
          <w:lang w:val="de-DE" w:eastAsia="de-DE"/>
        </w:rPr>
        <w:t>Hyperkaliämie</w:t>
      </w:r>
    </w:p>
    <w:p w:rsidR="001F6C53" w:rsidRPr="00DE1967" w:rsidRDefault="00515501"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 xml:space="preserve">Selten: </w:t>
      </w:r>
      <w:r w:rsidRPr="00DE1967">
        <w:rPr>
          <w:snapToGrid/>
          <w:szCs w:val="22"/>
          <w:lang w:val="de-DE" w:eastAsia="de-DE"/>
        </w:rPr>
        <w:tab/>
      </w:r>
      <w:r w:rsidR="001F6C53" w:rsidRPr="00DE1967">
        <w:rPr>
          <w:snapToGrid/>
          <w:szCs w:val="22"/>
          <w:lang w:val="de-DE" w:eastAsia="de-DE"/>
        </w:rPr>
        <w:t>Hypoglykämie (bei Patienten mit Diabetes</w:t>
      </w:r>
      <w:r w:rsidRPr="00DE1967">
        <w:rPr>
          <w:snapToGrid/>
          <w:szCs w:val="22"/>
          <w:lang w:val="de-DE" w:eastAsia="de-DE"/>
        </w:rPr>
        <w:t xml:space="preserve"> </w:t>
      </w:r>
      <w:r w:rsidR="001F6C53" w:rsidRPr="00DE1967">
        <w:rPr>
          <w:snapToGrid/>
          <w:szCs w:val="22"/>
          <w:lang w:val="de-DE" w:eastAsia="de-DE"/>
        </w:rPr>
        <w:t>mellitus)</w:t>
      </w:r>
    </w:p>
    <w:p w:rsidR="00515501" w:rsidRPr="00DE1967" w:rsidRDefault="00515501"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Herzerkrankungen</w:t>
      </w:r>
    </w:p>
    <w:p w:rsidR="001F6C53" w:rsidRPr="00DE1967" w:rsidRDefault="00515501"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Gelegentlich:</w:t>
      </w:r>
      <w:r w:rsidRPr="00DE1967">
        <w:rPr>
          <w:snapToGrid/>
          <w:szCs w:val="22"/>
          <w:lang w:val="de-DE" w:eastAsia="de-DE"/>
        </w:rPr>
        <w:tab/>
      </w:r>
      <w:r w:rsidR="001F6C53" w:rsidRPr="00DE1967">
        <w:rPr>
          <w:snapToGrid/>
          <w:szCs w:val="22"/>
          <w:lang w:val="de-DE" w:eastAsia="de-DE"/>
        </w:rPr>
        <w:t>Bradykardie</w:t>
      </w:r>
    </w:p>
    <w:p w:rsidR="00515501" w:rsidRPr="00DE1967" w:rsidRDefault="00515501"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Nervensystems</w:t>
      </w:r>
    </w:p>
    <w:p w:rsidR="001F6C53" w:rsidRPr="00DE1967" w:rsidRDefault="00515501"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 xml:space="preserve">Selten: </w:t>
      </w:r>
      <w:r w:rsidRPr="00DE1967">
        <w:rPr>
          <w:snapToGrid/>
          <w:szCs w:val="22"/>
          <w:lang w:val="de-DE" w:eastAsia="de-DE"/>
        </w:rPr>
        <w:tab/>
      </w:r>
      <w:r w:rsidR="001F6C53" w:rsidRPr="00DE1967">
        <w:rPr>
          <w:snapToGrid/>
          <w:szCs w:val="22"/>
          <w:lang w:val="de-DE" w:eastAsia="de-DE"/>
        </w:rPr>
        <w:t>Somnolenz</w:t>
      </w:r>
    </w:p>
    <w:p w:rsidR="00515501" w:rsidRPr="00DE1967" w:rsidRDefault="00515501"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der Atemwege, des Brustraums</w:t>
      </w:r>
      <w:r w:rsidR="00515501" w:rsidRPr="00DE1967">
        <w:rPr>
          <w:snapToGrid/>
          <w:szCs w:val="22"/>
          <w:lang w:val="de-DE" w:eastAsia="de-DE"/>
        </w:rPr>
        <w:t xml:space="preserve"> </w:t>
      </w:r>
      <w:r w:rsidRPr="00DE1967">
        <w:rPr>
          <w:snapToGrid/>
          <w:szCs w:val="22"/>
          <w:lang w:val="de-DE" w:eastAsia="de-DE"/>
        </w:rPr>
        <w:t>und Mediastinums</w:t>
      </w:r>
    </w:p>
    <w:p w:rsidR="001F6C53" w:rsidRPr="00DE1967" w:rsidRDefault="00515501"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Gelegentlich:</w:t>
      </w:r>
      <w:r w:rsidRPr="00DE1967">
        <w:rPr>
          <w:snapToGrid/>
          <w:szCs w:val="22"/>
          <w:lang w:val="de-DE" w:eastAsia="de-DE"/>
        </w:rPr>
        <w:tab/>
      </w:r>
      <w:r w:rsidR="001F6C53" w:rsidRPr="00DE1967">
        <w:rPr>
          <w:snapToGrid/>
          <w:szCs w:val="22"/>
          <w:lang w:val="de-DE" w:eastAsia="de-DE"/>
        </w:rPr>
        <w:t>Husten</w:t>
      </w:r>
    </w:p>
    <w:p w:rsidR="001F6C53" w:rsidRPr="00DE1967" w:rsidRDefault="00515501"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 xml:space="preserve">Sehr selten: </w:t>
      </w:r>
      <w:r w:rsidRPr="00DE1967">
        <w:rPr>
          <w:snapToGrid/>
          <w:szCs w:val="22"/>
          <w:lang w:val="de-DE" w:eastAsia="de-DE"/>
        </w:rPr>
        <w:tab/>
      </w:r>
      <w:r w:rsidR="001F6C53" w:rsidRPr="00DE1967">
        <w:rPr>
          <w:snapToGrid/>
          <w:szCs w:val="22"/>
          <w:lang w:val="de-DE" w:eastAsia="de-DE"/>
        </w:rPr>
        <w:t>interstitielle Lungenerkrankung</w:t>
      </w:r>
      <w:r w:rsidR="001F6C53" w:rsidRPr="00DE1967">
        <w:rPr>
          <w:snapToGrid/>
          <w:szCs w:val="22"/>
          <w:vertAlign w:val="superscript"/>
          <w:lang w:val="de-DE" w:eastAsia="de-DE"/>
        </w:rPr>
        <w:t>3</w:t>
      </w:r>
    </w:p>
    <w:p w:rsidR="00515501" w:rsidRPr="00DE1967" w:rsidRDefault="00515501"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Gastrointestinaltrakts</w:t>
      </w:r>
    </w:p>
    <w:p w:rsidR="001F6C53" w:rsidRPr="00DE1967" w:rsidRDefault="00515501"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Selten:</w:t>
      </w:r>
      <w:r w:rsidRPr="00DE1967">
        <w:rPr>
          <w:snapToGrid/>
          <w:szCs w:val="22"/>
          <w:lang w:val="de-DE" w:eastAsia="de-DE"/>
        </w:rPr>
        <w:tab/>
      </w:r>
      <w:r w:rsidR="001F6C53" w:rsidRPr="00DE1967">
        <w:rPr>
          <w:snapToGrid/>
          <w:szCs w:val="22"/>
          <w:lang w:val="de-DE" w:eastAsia="de-DE"/>
        </w:rPr>
        <w:t>Magenbeschwerden</w:t>
      </w:r>
    </w:p>
    <w:p w:rsidR="00515501" w:rsidRPr="00DE1967" w:rsidRDefault="00515501"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der Haut und des</w:t>
      </w:r>
      <w:r w:rsidR="00515501" w:rsidRPr="00DE1967">
        <w:rPr>
          <w:snapToGrid/>
          <w:szCs w:val="22"/>
          <w:lang w:val="de-DE" w:eastAsia="de-DE"/>
        </w:rPr>
        <w:t xml:space="preserve"> </w:t>
      </w:r>
      <w:r w:rsidRPr="00DE1967">
        <w:rPr>
          <w:snapToGrid/>
          <w:szCs w:val="22"/>
          <w:lang w:val="de-DE" w:eastAsia="de-DE"/>
        </w:rPr>
        <w:t>Unterhautzellgewebes</w:t>
      </w:r>
    </w:p>
    <w:p w:rsidR="001F6C53" w:rsidRPr="00DE1967" w:rsidRDefault="00515501" w:rsidP="0003742E">
      <w:pPr>
        <w:widowControl w:val="0"/>
        <w:tabs>
          <w:tab w:val="clear" w:pos="567"/>
          <w:tab w:val="left" w:pos="851"/>
          <w:tab w:val="left" w:pos="2268"/>
        </w:tabs>
        <w:autoSpaceDE w:val="0"/>
        <w:autoSpaceDN w:val="0"/>
        <w:adjustRightInd w:val="0"/>
        <w:spacing w:line="240" w:lineRule="auto"/>
        <w:ind w:left="2268" w:hanging="2268"/>
        <w:rPr>
          <w:snapToGrid/>
          <w:szCs w:val="22"/>
          <w:lang w:val="de-DE" w:eastAsia="de-DE"/>
        </w:rPr>
      </w:pPr>
      <w:r w:rsidRPr="00DE1967">
        <w:rPr>
          <w:snapToGrid/>
          <w:szCs w:val="22"/>
          <w:lang w:val="de-DE" w:eastAsia="de-DE"/>
        </w:rPr>
        <w:tab/>
      </w:r>
      <w:r w:rsidR="001F6C53" w:rsidRPr="00DE1967">
        <w:rPr>
          <w:snapToGrid/>
          <w:szCs w:val="22"/>
          <w:lang w:val="de-DE" w:eastAsia="de-DE"/>
        </w:rPr>
        <w:t>Selten:</w:t>
      </w:r>
      <w:r w:rsidRPr="00DE1967">
        <w:rPr>
          <w:snapToGrid/>
          <w:szCs w:val="22"/>
          <w:lang w:val="de-DE" w:eastAsia="de-DE"/>
        </w:rPr>
        <w:tab/>
      </w:r>
      <w:r w:rsidR="001F6C53" w:rsidRPr="00DE1967">
        <w:rPr>
          <w:snapToGrid/>
          <w:szCs w:val="22"/>
          <w:lang w:val="de-DE" w:eastAsia="de-DE"/>
        </w:rPr>
        <w:t>Ekzem, Arzneimittelexanthem, toxisches</w:t>
      </w:r>
      <w:r w:rsidRPr="00DE1967">
        <w:rPr>
          <w:snapToGrid/>
          <w:szCs w:val="22"/>
          <w:lang w:val="de-DE" w:eastAsia="de-DE"/>
        </w:rPr>
        <w:t xml:space="preserve"> </w:t>
      </w:r>
      <w:r w:rsidR="001F6C53" w:rsidRPr="00DE1967">
        <w:rPr>
          <w:snapToGrid/>
          <w:szCs w:val="22"/>
          <w:lang w:val="de-DE" w:eastAsia="de-DE"/>
        </w:rPr>
        <w:t>Exanthem</w:t>
      </w:r>
      <w:r w:rsidR="00023E2B" w:rsidRPr="00DE1967">
        <w:rPr>
          <w:snapToGrid/>
          <w:szCs w:val="22"/>
          <w:lang w:val="de-DE" w:eastAsia="de-DE"/>
        </w:rPr>
        <w:t xml:space="preserve"> </w:t>
      </w:r>
      <w:r w:rsidR="001F6C53" w:rsidRPr="00DE1967">
        <w:rPr>
          <w:snapToGrid/>
          <w:szCs w:val="22"/>
          <w:lang w:val="de-DE" w:eastAsia="de-DE"/>
        </w:rPr>
        <w:t>(Überempfindlichkeitsreaktion)</w:t>
      </w:r>
    </w:p>
    <w:p w:rsidR="00515501" w:rsidRPr="00DE1967" w:rsidRDefault="00515501"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Skelettmuskulatur-, Bindegewebs- und</w:t>
      </w:r>
      <w:r w:rsidR="00515501" w:rsidRPr="00DE1967">
        <w:rPr>
          <w:snapToGrid/>
          <w:szCs w:val="22"/>
          <w:lang w:val="de-DE" w:eastAsia="de-DE"/>
        </w:rPr>
        <w:t xml:space="preserve"> </w:t>
      </w:r>
      <w:r w:rsidRPr="00DE1967">
        <w:rPr>
          <w:snapToGrid/>
          <w:szCs w:val="22"/>
          <w:lang w:val="de-DE" w:eastAsia="de-DE"/>
        </w:rPr>
        <w:t>Knochenerkrankungen</w:t>
      </w:r>
    </w:p>
    <w:p w:rsidR="001F6C53" w:rsidRPr="00DE1967" w:rsidRDefault="00515501"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Selten:</w:t>
      </w:r>
      <w:r w:rsidRPr="00DE1967">
        <w:rPr>
          <w:snapToGrid/>
          <w:szCs w:val="22"/>
          <w:lang w:val="de-DE" w:eastAsia="de-DE"/>
        </w:rPr>
        <w:tab/>
      </w:r>
      <w:r w:rsidR="001F6C53" w:rsidRPr="00DE1967">
        <w:rPr>
          <w:snapToGrid/>
          <w:szCs w:val="22"/>
          <w:lang w:val="de-DE" w:eastAsia="de-DE"/>
        </w:rPr>
        <w:t>Arthrose, Sehnenschmerzen</w:t>
      </w:r>
    </w:p>
    <w:p w:rsidR="00515501" w:rsidRPr="00DE1967" w:rsidRDefault="00515501"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der Nieren und Harnwege</w:t>
      </w:r>
    </w:p>
    <w:p w:rsidR="001F6C53" w:rsidRPr="00DE1967" w:rsidRDefault="00515501"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 xml:space="preserve">Gelegentlich: </w:t>
      </w:r>
      <w:r w:rsidRPr="00DE1967">
        <w:rPr>
          <w:snapToGrid/>
          <w:szCs w:val="22"/>
          <w:lang w:val="de-DE" w:eastAsia="de-DE"/>
        </w:rPr>
        <w:tab/>
      </w:r>
      <w:r w:rsidR="001F6C53" w:rsidRPr="00DE1967">
        <w:rPr>
          <w:snapToGrid/>
          <w:szCs w:val="22"/>
          <w:lang w:val="de-DE" w:eastAsia="de-DE"/>
        </w:rPr>
        <w:t>Einschränkung der Nierenfunktion</w:t>
      </w:r>
      <w:r w:rsidRPr="00DE1967">
        <w:rPr>
          <w:snapToGrid/>
          <w:szCs w:val="22"/>
          <w:lang w:val="de-DE" w:eastAsia="de-DE"/>
        </w:rPr>
        <w:t xml:space="preserve"> </w:t>
      </w:r>
      <w:r w:rsidR="001F6C53" w:rsidRPr="00DE1967">
        <w:rPr>
          <w:snapToGrid/>
          <w:szCs w:val="22"/>
          <w:lang w:val="de-DE" w:eastAsia="de-DE"/>
        </w:rPr>
        <w:t>(einschließlich akuten Nierenversagens)</w:t>
      </w:r>
    </w:p>
    <w:p w:rsidR="00515501" w:rsidRPr="00DE1967" w:rsidRDefault="00515501"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Allgemeine Erkrankungen und Beschwerden am</w:t>
      </w:r>
      <w:r w:rsidR="00515501" w:rsidRPr="00DE1967">
        <w:rPr>
          <w:snapToGrid/>
          <w:szCs w:val="22"/>
          <w:lang w:val="de-DE" w:eastAsia="de-DE"/>
        </w:rPr>
        <w:t xml:space="preserve"> </w:t>
      </w:r>
      <w:r w:rsidRPr="00DE1967">
        <w:rPr>
          <w:snapToGrid/>
          <w:szCs w:val="22"/>
          <w:lang w:val="de-DE" w:eastAsia="de-DE"/>
        </w:rPr>
        <w:t>Verabreichungsort</w:t>
      </w:r>
    </w:p>
    <w:p w:rsidR="001F6C53" w:rsidRPr="00DE1967" w:rsidRDefault="00515501"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Gelegentlich:</w:t>
      </w:r>
      <w:r w:rsidRPr="00DE1967">
        <w:rPr>
          <w:snapToGrid/>
          <w:szCs w:val="22"/>
          <w:lang w:val="de-DE" w:eastAsia="de-DE"/>
        </w:rPr>
        <w:tab/>
      </w:r>
      <w:r w:rsidR="001F6C53" w:rsidRPr="00DE1967">
        <w:rPr>
          <w:snapToGrid/>
          <w:szCs w:val="22"/>
          <w:lang w:val="de-DE" w:eastAsia="de-DE"/>
        </w:rPr>
        <w:t>Asthenie</w:t>
      </w:r>
    </w:p>
    <w:p w:rsidR="00515501" w:rsidRPr="00DE1967" w:rsidRDefault="00515501"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Untersuchungen</w:t>
      </w:r>
    </w:p>
    <w:p w:rsidR="001F6C53" w:rsidRPr="00DE1967" w:rsidRDefault="00515501"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 xml:space="preserve">Selten: </w:t>
      </w:r>
      <w:r w:rsidRPr="00DE1967">
        <w:rPr>
          <w:snapToGrid/>
          <w:szCs w:val="22"/>
          <w:lang w:val="de-DE" w:eastAsia="de-DE"/>
        </w:rPr>
        <w:tab/>
      </w:r>
      <w:r w:rsidR="001F6C53" w:rsidRPr="00DE1967">
        <w:rPr>
          <w:snapToGrid/>
          <w:szCs w:val="22"/>
          <w:lang w:val="de-DE" w:eastAsia="de-DE"/>
        </w:rPr>
        <w:t>Abfall des Hämoglobinwertes</w:t>
      </w:r>
    </w:p>
    <w:p w:rsidR="00515501" w:rsidRPr="00DE1967" w:rsidRDefault="00515501" w:rsidP="0003742E">
      <w:pPr>
        <w:widowControl w:val="0"/>
        <w:tabs>
          <w:tab w:val="clear" w:pos="567"/>
          <w:tab w:val="left" w:pos="851"/>
          <w:tab w:val="left" w:pos="2268"/>
        </w:tabs>
        <w:autoSpaceDE w:val="0"/>
        <w:autoSpaceDN w:val="0"/>
        <w:adjustRightInd w:val="0"/>
        <w:spacing w:line="240" w:lineRule="auto"/>
        <w:rPr>
          <w:snapToGrid/>
          <w:szCs w:val="22"/>
          <w:lang w:val="de-DE" w:eastAsia="de-DE"/>
        </w:rPr>
      </w:pPr>
    </w:p>
    <w:p w:rsidR="001F6C53" w:rsidRPr="00DE1967" w:rsidRDefault="00515501"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3: </w:t>
      </w:r>
      <w:r w:rsidR="001F6C53" w:rsidRPr="00DE1967">
        <w:rPr>
          <w:snapToGrid/>
          <w:szCs w:val="22"/>
          <w:lang w:val="de-DE" w:eastAsia="de-DE"/>
        </w:rPr>
        <w:t>Für weitere Beschreibungen siehe Unterabschnitt „</w:t>
      </w:r>
      <w:r w:rsidR="001F6C53" w:rsidRPr="00DE1967">
        <w:rPr>
          <w:i/>
          <w:snapToGrid/>
          <w:szCs w:val="22"/>
          <w:lang w:val="de-DE" w:eastAsia="de-DE"/>
        </w:rPr>
        <w:t>Beschreibung ausgewählter Nebenwirkungen“</w:t>
      </w:r>
      <w:r w:rsidR="001F6C53" w:rsidRPr="00DE1967">
        <w:rPr>
          <w:snapToGrid/>
          <w:szCs w:val="22"/>
          <w:lang w:val="de-DE" w:eastAsia="de-DE"/>
        </w:rPr>
        <w:t>.</w:t>
      </w:r>
    </w:p>
    <w:p w:rsidR="00515501" w:rsidRPr="00DE1967" w:rsidRDefault="00515501"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Hydrochlorothiazid:</w:t>
      </w: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Hydrochlorothiazid kann eine Hypovolämie verursachen oder verstärken, welche zu einer</w:t>
      </w:r>
      <w:r w:rsidR="008A5139" w:rsidRPr="00DE1967">
        <w:rPr>
          <w:snapToGrid/>
          <w:szCs w:val="22"/>
          <w:lang w:val="de-DE" w:eastAsia="de-DE"/>
        </w:rPr>
        <w:t xml:space="preserve"> </w:t>
      </w:r>
      <w:r w:rsidRPr="00DE1967">
        <w:rPr>
          <w:snapToGrid/>
          <w:szCs w:val="22"/>
          <w:lang w:val="de-DE" w:eastAsia="de-DE"/>
        </w:rPr>
        <w:t>Elektrolytstörung führen kann (siehe Abschnitt 4.4).</w:t>
      </w:r>
    </w:p>
    <w:p w:rsidR="008A5139" w:rsidRPr="00DE1967" w:rsidRDefault="008A5139"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Folgende Nebenwirkungen nicht bekannter Häufigkeit wurden unter Monotherapie mit</w:t>
      </w:r>
      <w:r w:rsidR="008A5139" w:rsidRPr="00DE1967">
        <w:rPr>
          <w:snapToGrid/>
          <w:szCs w:val="22"/>
          <w:lang w:val="de-DE" w:eastAsia="de-DE"/>
        </w:rPr>
        <w:t xml:space="preserve"> </w:t>
      </w:r>
      <w:r w:rsidRPr="00DE1967">
        <w:rPr>
          <w:snapToGrid/>
          <w:szCs w:val="22"/>
          <w:lang w:val="de-DE" w:eastAsia="de-DE"/>
        </w:rPr>
        <w:t>Hydrochlorothiazid berichtet:</w:t>
      </w:r>
    </w:p>
    <w:p w:rsidR="008A5139" w:rsidRPr="00DE1967" w:rsidRDefault="008A5139"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Infektionen und parasitäre Erkrankungen</w:t>
      </w:r>
    </w:p>
    <w:p w:rsidR="001F6C53" w:rsidRPr="00DE1967" w:rsidRDefault="008A5139"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Nicht bekannt:</w:t>
      </w:r>
      <w:r w:rsidRPr="00DE1967">
        <w:rPr>
          <w:snapToGrid/>
          <w:szCs w:val="22"/>
          <w:lang w:val="de-DE" w:eastAsia="de-DE"/>
        </w:rPr>
        <w:tab/>
      </w:r>
      <w:r w:rsidR="001F6C53" w:rsidRPr="00DE1967">
        <w:rPr>
          <w:snapToGrid/>
          <w:szCs w:val="22"/>
          <w:lang w:val="de-DE" w:eastAsia="de-DE"/>
        </w:rPr>
        <w:t>Speicheldrüsenentzündung</w:t>
      </w:r>
    </w:p>
    <w:p w:rsidR="008A5139" w:rsidRPr="00DE1967" w:rsidRDefault="008A5139" w:rsidP="0003742E">
      <w:pPr>
        <w:widowControl w:val="0"/>
        <w:tabs>
          <w:tab w:val="clear" w:pos="567"/>
        </w:tabs>
        <w:autoSpaceDE w:val="0"/>
        <w:autoSpaceDN w:val="0"/>
        <w:adjustRightInd w:val="0"/>
        <w:spacing w:line="240" w:lineRule="auto"/>
        <w:rPr>
          <w:snapToGrid/>
          <w:szCs w:val="22"/>
          <w:lang w:val="de-DE" w:eastAsia="de-DE"/>
        </w:rPr>
      </w:pPr>
    </w:p>
    <w:p w:rsidR="007355CF" w:rsidRPr="00DE1967" w:rsidRDefault="007355CF" w:rsidP="007355CF">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Gutartige, bösartige und unspezifische Neubildungen (einschl. Zysten und Polypen)</w:t>
      </w:r>
    </w:p>
    <w:p w:rsidR="007355CF" w:rsidRPr="00DE1967" w:rsidRDefault="007355CF" w:rsidP="00DE1967">
      <w:pPr>
        <w:widowControl w:val="0"/>
        <w:tabs>
          <w:tab w:val="clear" w:pos="567"/>
          <w:tab w:val="left" w:pos="851"/>
          <w:tab w:val="left" w:pos="2268"/>
        </w:tabs>
        <w:autoSpaceDE w:val="0"/>
        <w:autoSpaceDN w:val="0"/>
        <w:adjustRightInd w:val="0"/>
        <w:spacing w:line="240" w:lineRule="auto"/>
        <w:ind w:left="2265" w:hanging="1545"/>
        <w:rPr>
          <w:snapToGrid/>
          <w:szCs w:val="22"/>
          <w:lang w:val="de-DE" w:eastAsia="de-DE"/>
        </w:rPr>
      </w:pPr>
      <w:r w:rsidRPr="00DE1967">
        <w:rPr>
          <w:snapToGrid/>
          <w:szCs w:val="22"/>
          <w:lang w:val="de-DE" w:eastAsia="de-DE"/>
        </w:rPr>
        <w:t xml:space="preserve">Nicht bekannt: </w:t>
      </w:r>
      <w:r w:rsidRPr="00DE1967">
        <w:rPr>
          <w:snapToGrid/>
          <w:szCs w:val="22"/>
          <w:lang w:val="de-DE" w:eastAsia="de-DE"/>
        </w:rPr>
        <w:tab/>
        <w:t>Nicht-melanozytärer Hautkrebs (Basalzellkarzinom und Plattenepithelkarzinom)</w:t>
      </w:r>
    </w:p>
    <w:p w:rsidR="007355CF" w:rsidRPr="00DE1967" w:rsidRDefault="007355CF" w:rsidP="00DE1967">
      <w:pPr>
        <w:widowControl w:val="0"/>
        <w:tabs>
          <w:tab w:val="clear" w:pos="567"/>
          <w:tab w:val="left" w:pos="851"/>
          <w:tab w:val="left" w:pos="2268"/>
        </w:tabs>
        <w:autoSpaceDE w:val="0"/>
        <w:autoSpaceDN w:val="0"/>
        <w:adjustRightInd w:val="0"/>
        <w:spacing w:line="240" w:lineRule="auto"/>
        <w:ind w:left="2265" w:hanging="1545"/>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Blutes und des Lymphsystems</w:t>
      </w:r>
    </w:p>
    <w:p w:rsidR="00E410D4" w:rsidRPr="00DE1967" w:rsidRDefault="00E410D4" w:rsidP="0003742E">
      <w:pPr>
        <w:widowControl w:val="0"/>
        <w:tabs>
          <w:tab w:val="clear" w:pos="567"/>
          <w:tab w:val="left" w:pos="851"/>
          <w:tab w:val="left" w:pos="2268"/>
        </w:tabs>
        <w:autoSpaceDE w:val="0"/>
        <w:autoSpaceDN w:val="0"/>
        <w:adjustRightInd w:val="0"/>
        <w:spacing w:line="240" w:lineRule="auto"/>
        <w:ind w:left="2265" w:hanging="1545"/>
        <w:rPr>
          <w:snapToGrid/>
          <w:szCs w:val="22"/>
          <w:lang w:val="de-DE" w:eastAsia="de-DE"/>
        </w:rPr>
      </w:pPr>
      <w:r w:rsidRPr="00DE1967">
        <w:rPr>
          <w:snapToGrid/>
          <w:szCs w:val="22"/>
          <w:lang w:val="de-DE" w:eastAsia="de-DE"/>
        </w:rPr>
        <w:t>Selten:</w:t>
      </w:r>
      <w:r w:rsidRPr="00DE1967">
        <w:rPr>
          <w:snapToGrid/>
          <w:szCs w:val="22"/>
          <w:lang w:val="de-DE" w:eastAsia="de-DE"/>
        </w:rPr>
        <w:tab/>
      </w:r>
      <w:proofErr w:type="spellStart"/>
      <w:r w:rsidRPr="00DE1967">
        <w:rPr>
          <w:szCs w:val="22"/>
          <w:lang w:val="de-DE"/>
        </w:rPr>
        <w:t>Thrombozytopenie</w:t>
      </w:r>
      <w:proofErr w:type="spellEnd"/>
      <w:r w:rsidRPr="00DE1967">
        <w:rPr>
          <w:szCs w:val="22"/>
          <w:lang w:val="de-DE"/>
        </w:rPr>
        <w:t xml:space="preserve"> (manchmal mit Purpura)</w:t>
      </w:r>
      <w:r w:rsidR="008A5139" w:rsidRPr="00DE1967">
        <w:rPr>
          <w:snapToGrid/>
          <w:szCs w:val="22"/>
          <w:lang w:val="de-DE" w:eastAsia="de-DE"/>
        </w:rPr>
        <w:tab/>
      </w:r>
    </w:p>
    <w:p w:rsidR="001F6C53" w:rsidRPr="00DE1967" w:rsidRDefault="001F6C53" w:rsidP="0003742E">
      <w:pPr>
        <w:widowControl w:val="0"/>
        <w:tabs>
          <w:tab w:val="clear" w:pos="567"/>
          <w:tab w:val="left" w:pos="851"/>
          <w:tab w:val="left" w:pos="2268"/>
        </w:tabs>
        <w:autoSpaceDE w:val="0"/>
        <w:autoSpaceDN w:val="0"/>
        <w:adjustRightInd w:val="0"/>
        <w:spacing w:line="240" w:lineRule="auto"/>
        <w:ind w:left="2265" w:hanging="1545"/>
        <w:rPr>
          <w:snapToGrid/>
          <w:szCs w:val="22"/>
          <w:lang w:val="de-DE" w:eastAsia="de-DE"/>
        </w:rPr>
      </w:pPr>
      <w:r w:rsidRPr="00DE1967">
        <w:rPr>
          <w:snapToGrid/>
          <w:szCs w:val="22"/>
          <w:lang w:val="de-DE" w:eastAsia="de-DE"/>
        </w:rPr>
        <w:t xml:space="preserve">Nicht bekannt: </w:t>
      </w:r>
      <w:r w:rsidR="008A5139" w:rsidRPr="00DE1967">
        <w:rPr>
          <w:snapToGrid/>
          <w:szCs w:val="22"/>
          <w:lang w:val="de-DE" w:eastAsia="de-DE"/>
        </w:rPr>
        <w:tab/>
      </w:r>
      <w:r w:rsidRPr="00DE1967">
        <w:rPr>
          <w:snapToGrid/>
          <w:szCs w:val="22"/>
          <w:lang w:val="de-DE" w:eastAsia="de-DE"/>
        </w:rPr>
        <w:t>aplastische Anämie, hämolytische Anämie,</w:t>
      </w:r>
      <w:r w:rsidR="008A5139" w:rsidRPr="00DE1967">
        <w:rPr>
          <w:snapToGrid/>
          <w:szCs w:val="22"/>
          <w:lang w:val="de-DE" w:eastAsia="de-DE"/>
        </w:rPr>
        <w:t xml:space="preserve"> </w:t>
      </w:r>
      <w:r w:rsidRPr="00DE1967">
        <w:rPr>
          <w:snapToGrid/>
          <w:szCs w:val="22"/>
          <w:lang w:val="de-DE" w:eastAsia="de-DE"/>
        </w:rPr>
        <w:t>Knochenmarkserkrankung, Leukopenie,</w:t>
      </w:r>
      <w:r w:rsidR="008A5139" w:rsidRPr="00DE1967">
        <w:rPr>
          <w:snapToGrid/>
          <w:szCs w:val="22"/>
          <w:lang w:val="de-DE" w:eastAsia="de-DE"/>
        </w:rPr>
        <w:t xml:space="preserve"> </w:t>
      </w:r>
      <w:r w:rsidRPr="00DE1967">
        <w:rPr>
          <w:snapToGrid/>
          <w:szCs w:val="22"/>
          <w:lang w:val="de-DE" w:eastAsia="de-DE"/>
        </w:rPr>
        <w:t>Neutropenie, Agranulozytose</w:t>
      </w:r>
    </w:p>
    <w:p w:rsidR="008A5139" w:rsidRPr="00DE1967" w:rsidRDefault="008A5139" w:rsidP="0003742E">
      <w:pPr>
        <w:widowControl w:val="0"/>
        <w:tabs>
          <w:tab w:val="clear" w:pos="567"/>
          <w:tab w:val="left" w:pos="851"/>
          <w:tab w:val="left" w:pos="2268"/>
        </w:tabs>
        <w:autoSpaceDE w:val="0"/>
        <w:autoSpaceDN w:val="0"/>
        <w:adjustRightInd w:val="0"/>
        <w:spacing w:line="240" w:lineRule="auto"/>
        <w:ind w:left="2265" w:hanging="1545"/>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Immunsystems</w:t>
      </w:r>
    </w:p>
    <w:p w:rsidR="001F6C53" w:rsidRPr="00DE1967" w:rsidRDefault="008A5139"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Nicht bekannt:</w:t>
      </w:r>
      <w:r w:rsidRPr="00DE1967">
        <w:rPr>
          <w:snapToGrid/>
          <w:szCs w:val="22"/>
          <w:lang w:val="de-DE" w:eastAsia="de-DE"/>
        </w:rPr>
        <w:tab/>
      </w:r>
      <w:r w:rsidR="001F6C53" w:rsidRPr="00DE1967">
        <w:rPr>
          <w:snapToGrid/>
          <w:szCs w:val="22"/>
          <w:lang w:val="de-DE" w:eastAsia="de-DE"/>
        </w:rPr>
        <w:t>anaphylaktische Reaktionen,</w:t>
      </w:r>
      <w:r w:rsidRPr="00DE1967">
        <w:rPr>
          <w:snapToGrid/>
          <w:szCs w:val="22"/>
          <w:lang w:val="de-DE" w:eastAsia="de-DE"/>
        </w:rPr>
        <w:t xml:space="preserve"> </w:t>
      </w:r>
      <w:r w:rsidR="001F6C53" w:rsidRPr="00DE1967">
        <w:rPr>
          <w:snapToGrid/>
          <w:szCs w:val="22"/>
          <w:lang w:val="de-DE" w:eastAsia="de-DE"/>
        </w:rPr>
        <w:t>Überempfindlichkeit</w:t>
      </w:r>
    </w:p>
    <w:p w:rsidR="008A5139" w:rsidRPr="00DE1967" w:rsidRDefault="008A5139"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Endokrine Erkrankungen</w:t>
      </w:r>
    </w:p>
    <w:p w:rsidR="001F6C53" w:rsidRPr="00DE1967" w:rsidRDefault="008A5139"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Nicht bekannt:</w:t>
      </w:r>
      <w:r w:rsidRPr="00DE1967">
        <w:rPr>
          <w:snapToGrid/>
          <w:szCs w:val="22"/>
          <w:lang w:val="de-DE" w:eastAsia="de-DE"/>
        </w:rPr>
        <w:tab/>
      </w:r>
      <w:r w:rsidR="001F6C53" w:rsidRPr="00DE1967">
        <w:rPr>
          <w:snapToGrid/>
          <w:szCs w:val="22"/>
          <w:lang w:val="de-DE" w:eastAsia="de-DE"/>
        </w:rPr>
        <w:t>inadäquate Einstellung eines Diabetes mellitus</w:t>
      </w:r>
    </w:p>
    <w:p w:rsidR="008A5139" w:rsidRPr="00DE1967" w:rsidRDefault="008A5139"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Stoffwechsel- und Ernährungsstörungen</w:t>
      </w:r>
    </w:p>
    <w:p w:rsidR="00E410D4" w:rsidRPr="00DE1967" w:rsidRDefault="00E410D4" w:rsidP="0003742E">
      <w:pPr>
        <w:widowControl w:val="0"/>
        <w:tabs>
          <w:tab w:val="clear" w:pos="567"/>
          <w:tab w:val="left" w:pos="851"/>
          <w:tab w:val="left" w:pos="2268"/>
        </w:tabs>
        <w:autoSpaceDE w:val="0"/>
        <w:autoSpaceDN w:val="0"/>
        <w:adjustRightInd w:val="0"/>
        <w:spacing w:line="240" w:lineRule="auto"/>
        <w:ind w:left="2268" w:hanging="1548"/>
        <w:rPr>
          <w:snapToGrid/>
          <w:szCs w:val="22"/>
          <w:lang w:val="de-DE" w:eastAsia="de-DE"/>
        </w:rPr>
      </w:pPr>
      <w:r w:rsidRPr="00DE1967">
        <w:rPr>
          <w:snapToGrid/>
          <w:szCs w:val="22"/>
          <w:lang w:val="de-DE" w:eastAsia="de-DE"/>
        </w:rPr>
        <w:t>Häufig:</w:t>
      </w:r>
      <w:r w:rsidRPr="00DE1967">
        <w:rPr>
          <w:snapToGrid/>
          <w:szCs w:val="22"/>
          <w:lang w:val="de-DE" w:eastAsia="de-DE"/>
        </w:rPr>
        <w:tab/>
      </w:r>
      <w:proofErr w:type="spellStart"/>
      <w:r w:rsidRPr="00DE1967">
        <w:rPr>
          <w:snapToGrid/>
          <w:szCs w:val="22"/>
          <w:lang w:val="de-DE" w:eastAsia="de-DE"/>
        </w:rPr>
        <w:t>Hypomagnesiämie</w:t>
      </w:r>
      <w:proofErr w:type="spellEnd"/>
    </w:p>
    <w:p w:rsidR="002246A6" w:rsidRPr="00DE1967" w:rsidRDefault="00E410D4" w:rsidP="0003742E">
      <w:pPr>
        <w:widowControl w:val="0"/>
        <w:tabs>
          <w:tab w:val="clear" w:pos="567"/>
          <w:tab w:val="left" w:pos="851"/>
          <w:tab w:val="left" w:pos="2268"/>
        </w:tabs>
        <w:autoSpaceDE w:val="0"/>
        <w:autoSpaceDN w:val="0"/>
        <w:adjustRightInd w:val="0"/>
        <w:spacing w:line="240" w:lineRule="auto"/>
        <w:ind w:left="2268" w:hanging="1548"/>
        <w:rPr>
          <w:snapToGrid/>
          <w:szCs w:val="22"/>
          <w:lang w:val="de-DE" w:eastAsia="de-DE"/>
        </w:rPr>
      </w:pPr>
      <w:r w:rsidRPr="00DE1967">
        <w:rPr>
          <w:snapToGrid/>
          <w:szCs w:val="22"/>
          <w:lang w:val="de-DE" w:eastAsia="de-DE"/>
        </w:rPr>
        <w:t>Selten:</w:t>
      </w:r>
      <w:r w:rsidRPr="00DE1967">
        <w:rPr>
          <w:snapToGrid/>
          <w:szCs w:val="22"/>
          <w:lang w:val="de-DE" w:eastAsia="de-DE"/>
        </w:rPr>
        <w:tab/>
      </w:r>
      <w:proofErr w:type="spellStart"/>
      <w:r w:rsidR="002246A6" w:rsidRPr="00DE1967">
        <w:rPr>
          <w:snapToGrid/>
          <w:szCs w:val="22"/>
          <w:lang w:val="de-DE" w:eastAsia="de-DE"/>
        </w:rPr>
        <w:t>Hyper</w:t>
      </w:r>
      <w:r w:rsidR="001958A3" w:rsidRPr="00DE1967">
        <w:rPr>
          <w:snapToGrid/>
          <w:szCs w:val="22"/>
          <w:lang w:val="de-DE" w:eastAsia="de-DE"/>
        </w:rPr>
        <w:t>c</w:t>
      </w:r>
      <w:r w:rsidR="002246A6" w:rsidRPr="00DE1967">
        <w:rPr>
          <w:snapToGrid/>
          <w:szCs w:val="22"/>
          <w:lang w:val="de-DE" w:eastAsia="de-DE"/>
        </w:rPr>
        <w:t>al</w:t>
      </w:r>
      <w:r w:rsidR="001958A3" w:rsidRPr="00DE1967">
        <w:rPr>
          <w:snapToGrid/>
          <w:szCs w:val="22"/>
          <w:lang w:val="de-DE" w:eastAsia="de-DE"/>
        </w:rPr>
        <w:t>c</w:t>
      </w:r>
      <w:r w:rsidR="002246A6" w:rsidRPr="00DE1967">
        <w:rPr>
          <w:snapToGrid/>
          <w:szCs w:val="22"/>
          <w:lang w:val="de-DE" w:eastAsia="de-DE"/>
        </w:rPr>
        <w:t>ämie</w:t>
      </w:r>
      <w:proofErr w:type="spellEnd"/>
    </w:p>
    <w:p w:rsidR="00E410D4" w:rsidRPr="00DE1967" w:rsidRDefault="002246A6" w:rsidP="0003742E">
      <w:pPr>
        <w:widowControl w:val="0"/>
        <w:tabs>
          <w:tab w:val="clear" w:pos="567"/>
          <w:tab w:val="left" w:pos="851"/>
          <w:tab w:val="left" w:pos="2268"/>
        </w:tabs>
        <w:autoSpaceDE w:val="0"/>
        <w:autoSpaceDN w:val="0"/>
        <w:adjustRightInd w:val="0"/>
        <w:spacing w:line="240" w:lineRule="auto"/>
        <w:ind w:left="2268" w:hanging="1548"/>
        <w:rPr>
          <w:snapToGrid/>
          <w:szCs w:val="22"/>
          <w:lang w:val="de-DE" w:eastAsia="de-DE"/>
        </w:rPr>
      </w:pPr>
      <w:r w:rsidRPr="00DE1967">
        <w:rPr>
          <w:snapToGrid/>
          <w:szCs w:val="22"/>
          <w:lang w:val="de-DE" w:eastAsia="de-DE"/>
        </w:rPr>
        <w:t>Sehr selten:</w:t>
      </w:r>
      <w:r w:rsidRPr="00DE1967">
        <w:rPr>
          <w:snapToGrid/>
          <w:szCs w:val="22"/>
          <w:lang w:val="de-DE" w:eastAsia="de-DE"/>
        </w:rPr>
        <w:tab/>
      </w:r>
      <w:proofErr w:type="spellStart"/>
      <w:r w:rsidRPr="00DE1967">
        <w:rPr>
          <w:snapToGrid/>
          <w:szCs w:val="22"/>
          <w:lang w:val="de-DE" w:eastAsia="de-DE"/>
        </w:rPr>
        <w:t>hypochlorämische</w:t>
      </w:r>
      <w:proofErr w:type="spellEnd"/>
      <w:r w:rsidRPr="00DE1967">
        <w:rPr>
          <w:snapToGrid/>
          <w:szCs w:val="22"/>
          <w:lang w:val="de-DE" w:eastAsia="de-DE"/>
        </w:rPr>
        <w:t xml:space="preserve"> Alkalose</w:t>
      </w:r>
      <w:r w:rsidR="008A5139" w:rsidRPr="00DE1967">
        <w:rPr>
          <w:snapToGrid/>
          <w:szCs w:val="22"/>
          <w:lang w:val="de-DE" w:eastAsia="de-DE"/>
        </w:rPr>
        <w:tab/>
      </w:r>
    </w:p>
    <w:p w:rsidR="001F6C53" w:rsidRPr="00DE1967" w:rsidRDefault="001F6C53" w:rsidP="0003742E">
      <w:pPr>
        <w:widowControl w:val="0"/>
        <w:tabs>
          <w:tab w:val="clear" w:pos="567"/>
          <w:tab w:val="left" w:pos="851"/>
          <w:tab w:val="left" w:pos="2268"/>
        </w:tabs>
        <w:autoSpaceDE w:val="0"/>
        <w:autoSpaceDN w:val="0"/>
        <w:adjustRightInd w:val="0"/>
        <w:spacing w:line="240" w:lineRule="auto"/>
        <w:ind w:left="2268" w:hanging="1548"/>
        <w:rPr>
          <w:snapToGrid/>
          <w:szCs w:val="22"/>
          <w:lang w:val="de-DE" w:eastAsia="de-DE"/>
        </w:rPr>
      </w:pPr>
      <w:r w:rsidRPr="00DE1967">
        <w:rPr>
          <w:snapToGrid/>
          <w:szCs w:val="22"/>
          <w:lang w:val="de-DE" w:eastAsia="de-DE"/>
        </w:rPr>
        <w:t xml:space="preserve">Nicht bekannt: </w:t>
      </w:r>
      <w:r w:rsidR="008A5139" w:rsidRPr="00DE1967">
        <w:rPr>
          <w:snapToGrid/>
          <w:szCs w:val="22"/>
          <w:lang w:val="de-DE" w:eastAsia="de-DE"/>
        </w:rPr>
        <w:tab/>
      </w:r>
      <w:r w:rsidRPr="00DE1967">
        <w:rPr>
          <w:snapToGrid/>
          <w:szCs w:val="22"/>
          <w:lang w:val="de-DE" w:eastAsia="de-DE"/>
        </w:rPr>
        <w:t>Anorexie, verminderter Appetit,</w:t>
      </w:r>
      <w:r w:rsidR="008A5139" w:rsidRPr="00DE1967">
        <w:rPr>
          <w:snapToGrid/>
          <w:szCs w:val="22"/>
          <w:lang w:val="de-DE" w:eastAsia="de-DE"/>
        </w:rPr>
        <w:t xml:space="preserve"> </w:t>
      </w:r>
      <w:r w:rsidRPr="00DE1967">
        <w:rPr>
          <w:snapToGrid/>
          <w:szCs w:val="22"/>
          <w:lang w:val="de-DE" w:eastAsia="de-DE"/>
        </w:rPr>
        <w:t>Elektrolytverschiebungen, Hypercholesterinämie,</w:t>
      </w:r>
      <w:r w:rsidR="00023E2B" w:rsidRPr="00DE1967">
        <w:rPr>
          <w:snapToGrid/>
          <w:szCs w:val="22"/>
          <w:lang w:val="de-DE" w:eastAsia="de-DE"/>
        </w:rPr>
        <w:t xml:space="preserve"> </w:t>
      </w:r>
      <w:r w:rsidRPr="00DE1967">
        <w:rPr>
          <w:snapToGrid/>
          <w:szCs w:val="22"/>
          <w:lang w:val="de-DE" w:eastAsia="de-DE"/>
        </w:rPr>
        <w:t>Hyperglykämie, Hypovolämie</w:t>
      </w:r>
    </w:p>
    <w:p w:rsidR="008A5139" w:rsidRPr="00DE1967" w:rsidRDefault="008A5139"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Psychiatrische Erkrankungen</w:t>
      </w:r>
    </w:p>
    <w:p w:rsidR="001F6C53" w:rsidRPr="00DE1967" w:rsidRDefault="008A5139"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Nicht bekannt:</w:t>
      </w:r>
      <w:r w:rsidRPr="00DE1967">
        <w:rPr>
          <w:snapToGrid/>
          <w:szCs w:val="22"/>
          <w:lang w:val="de-DE" w:eastAsia="de-DE"/>
        </w:rPr>
        <w:tab/>
      </w:r>
      <w:r w:rsidR="001F6C53" w:rsidRPr="00DE1967">
        <w:rPr>
          <w:snapToGrid/>
          <w:szCs w:val="22"/>
          <w:lang w:val="de-DE" w:eastAsia="de-DE"/>
        </w:rPr>
        <w:t>Ruhelosigkeit</w:t>
      </w:r>
    </w:p>
    <w:p w:rsidR="008A5139" w:rsidRPr="00DE1967" w:rsidRDefault="008A5139"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Nervensystems</w:t>
      </w:r>
    </w:p>
    <w:p w:rsidR="001E24C2" w:rsidRPr="00DE1967" w:rsidRDefault="001E24C2"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Selten:</w:t>
      </w:r>
      <w:r w:rsidRPr="00DE1967">
        <w:rPr>
          <w:snapToGrid/>
          <w:szCs w:val="22"/>
          <w:lang w:val="de-DE" w:eastAsia="de-DE"/>
        </w:rPr>
        <w:tab/>
        <w:t xml:space="preserve">Kopfschmerzen </w:t>
      </w:r>
      <w:r w:rsidR="008A5139" w:rsidRPr="00DE1967">
        <w:rPr>
          <w:snapToGrid/>
          <w:szCs w:val="22"/>
          <w:lang w:val="de-DE" w:eastAsia="de-DE"/>
        </w:rPr>
        <w:tab/>
      </w:r>
    </w:p>
    <w:p w:rsidR="001F6C53" w:rsidRPr="00DE1967" w:rsidRDefault="001F6C5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Nicht bekannt:</w:t>
      </w:r>
      <w:r w:rsidR="008A5139" w:rsidRPr="00DE1967">
        <w:rPr>
          <w:snapToGrid/>
          <w:szCs w:val="22"/>
          <w:lang w:val="de-DE" w:eastAsia="de-DE"/>
        </w:rPr>
        <w:tab/>
      </w:r>
      <w:r w:rsidRPr="00DE1967">
        <w:rPr>
          <w:snapToGrid/>
          <w:szCs w:val="22"/>
          <w:lang w:val="de-DE" w:eastAsia="de-DE"/>
        </w:rPr>
        <w:t>Benommenheit</w:t>
      </w:r>
    </w:p>
    <w:p w:rsidR="00871137" w:rsidRPr="00DE1967" w:rsidRDefault="00871137"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Augenerkrankungen</w:t>
      </w:r>
    </w:p>
    <w:p w:rsidR="001F6C53" w:rsidRPr="00DE1967" w:rsidRDefault="00871137" w:rsidP="00F054C4">
      <w:pPr>
        <w:widowControl w:val="0"/>
        <w:tabs>
          <w:tab w:val="clear" w:pos="567"/>
          <w:tab w:val="left" w:pos="851"/>
          <w:tab w:val="left" w:pos="2268"/>
        </w:tabs>
        <w:autoSpaceDE w:val="0"/>
        <w:autoSpaceDN w:val="0"/>
        <w:adjustRightInd w:val="0"/>
        <w:spacing w:line="240" w:lineRule="auto"/>
        <w:ind w:left="2160" w:hanging="1440"/>
        <w:rPr>
          <w:snapToGrid/>
          <w:szCs w:val="22"/>
          <w:lang w:val="de-DE" w:eastAsia="de-DE"/>
        </w:rPr>
      </w:pPr>
      <w:r w:rsidRPr="00DE1967">
        <w:rPr>
          <w:snapToGrid/>
          <w:szCs w:val="22"/>
          <w:lang w:val="de-DE" w:eastAsia="de-DE"/>
        </w:rPr>
        <w:tab/>
      </w:r>
      <w:r w:rsidR="001F6C53" w:rsidRPr="00DE1967">
        <w:rPr>
          <w:snapToGrid/>
          <w:szCs w:val="22"/>
          <w:lang w:val="de-DE" w:eastAsia="de-DE"/>
        </w:rPr>
        <w:t>Nicht bekannt:</w:t>
      </w:r>
      <w:r w:rsidRPr="00DE1967">
        <w:rPr>
          <w:snapToGrid/>
          <w:szCs w:val="22"/>
          <w:lang w:val="de-DE" w:eastAsia="de-DE"/>
        </w:rPr>
        <w:tab/>
      </w:r>
      <w:r w:rsidR="001F6C53" w:rsidRPr="00DE1967">
        <w:rPr>
          <w:snapToGrid/>
          <w:szCs w:val="22"/>
          <w:lang w:val="de-DE" w:eastAsia="de-DE"/>
        </w:rPr>
        <w:t>Gelbsehen</w:t>
      </w:r>
      <w:r w:rsidRPr="00DE1967">
        <w:rPr>
          <w:snapToGrid/>
          <w:szCs w:val="22"/>
          <w:lang w:val="de-DE" w:eastAsia="de-DE"/>
        </w:rPr>
        <w:t xml:space="preserve">, </w:t>
      </w:r>
      <w:r w:rsidR="005642B6" w:rsidRPr="005642B6">
        <w:rPr>
          <w:snapToGrid/>
          <w:szCs w:val="22"/>
          <w:lang w:val="de-DE" w:eastAsia="de-DE"/>
        </w:rPr>
        <w:t>Aderhauterguss</w:t>
      </w:r>
      <w:r w:rsidR="005642B6">
        <w:rPr>
          <w:snapToGrid/>
          <w:szCs w:val="22"/>
          <w:lang w:val="de-DE" w:eastAsia="de-DE"/>
        </w:rPr>
        <w:t>,</w:t>
      </w:r>
      <w:r w:rsidR="005642B6" w:rsidRPr="005642B6">
        <w:rPr>
          <w:snapToGrid/>
          <w:szCs w:val="22"/>
          <w:lang w:val="de-DE" w:eastAsia="de-DE"/>
        </w:rPr>
        <w:t xml:space="preserve"> </w:t>
      </w:r>
      <w:r w:rsidR="00E44CFF" w:rsidRPr="00DE1967">
        <w:rPr>
          <w:szCs w:val="22"/>
          <w:lang w:val="de-DE"/>
        </w:rPr>
        <w:t>akute Myopie</w:t>
      </w:r>
      <w:r w:rsidR="001062D3" w:rsidRPr="00DE1967">
        <w:rPr>
          <w:szCs w:val="22"/>
          <w:lang w:val="de-DE"/>
        </w:rPr>
        <w:t xml:space="preserve">, </w:t>
      </w:r>
      <w:r w:rsidRPr="00DE1967">
        <w:rPr>
          <w:szCs w:val="22"/>
          <w:lang w:val="de-DE"/>
        </w:rPr>
        <w:t xml:space="preserve">akutes </w:t>
      </w:r>
      <w:r w:rsidR="005642B6" w:rsidRPr="005642B6">
        <w:rPr>
          <w:szCs w:val="22"/>
          <w:lang w:val="de-DE"/>
        </w:rPr>
        <w:t>Winkelverschlussglaukom</w:t>
      </w:r>
    </w:p>
    <w:p w:rsidR="00871137" w:rsidRPr="00DE1967" w:rsidRDefault="00871137"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Gefäßerkrankungen</w:t>
      </w:r>
    </w:p>
    <w:p w:rsidR="001F6C53" w:rsidRPr="00DE1967" w:rsidRDefault="00871137"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Nicht bekannt:</w:t>
      </w:r>
      <w:r w:rsidRPr="00DE1967">
        <w:rPr>
          <w:snapToGrid/>
          <w:szCs w:val="22"/>
          <w:lang w:val="de-DE" w:eastAsia="de-DE"/>
        </w:rPr>
        <w:tab/>
      </w:r>
      <w:r w:rsidR="001F6C53" w:rsidRPr="00DE1967">
        <w:rPr>
          <w:snapToGrid/>
          <w:szCs w:val="22"/>
          <w:lang w:val="de-DE" w:eastAsia="de-DE"/>
        </w:rPr>
        <w:t>nekrotisierende Vaskulitis</w:t>
      </w:r>
    </w:p>
    <w:p w:rsidR="00871137" w:rsidRPr="00DE1967" w:rsidRDefault="00871137"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Gastrointestinaltrakts</w:t>
      </w:r>
    </w:p>
    <w:p w:rsidR="002246A6" w:rsidRPr="00DE1967" w:rsidRDefault="002246A6"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Häufig:</w:t>
      </w:r>
      <w:r w:rsidRPr="00DE1967">
        <w:rPr>
          <w:snapToGrid/>
          <w:szCs w:val="22"/>
          <w:lang w:val="de-DE" w:eastAsia="de-DE"/>
        </w:rPr>
        <w:tab/>
        <w:t>Übelkeit</w:t>
      </w:r>
      <w:r w:rsidR="00871137" w:rsidRPr="00DE1967">
        <w:rPr>
          <w:snapToGrid/>
          <w:szCs w:val="22"/>
          <w:lang w:val="de-DE" w:eastAsia="de-DE"/>
        </w:rPr>
        <w:tab/>
      </w:r>
    </w:p>
    <w:p w:rsidR="001F6C53" w:rsidRPr="00DE1967" w:rsidRDefault="001F6C5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Nicht bekannt:</w:t>
      </w:r>
      <w:r w:rsidR="00871137" w:rsidRPr="00DE1967">
        <w:rPr>
          <w:snapToGrid/>
          <w:szCs w:val="22"/>
          <w:lang w:val="de-DE" w:eastAsia="de-DE"/>
        </w:rPr>
        <w:tab/>
      </w:r>
      <w:r w:rsidRPr="00DE1967">
        <w:rPr>
          <w:snapToGrid/>
          <w:szCs w:val="22"/>
          <w:lang w:val="de-DE" w:eastAsia="de-DE"/>
        </w:rPr>
        <w:t>Pankreatitis, Magenbeschwerden</w:t>
      </w:r>
    </w:p>
    <w:p w:rsidR="00871137" w:rsidRPr="00DE1967" w:rsidRDefault="00871137"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Leber und Gallenerkrankungen</w:t>
      </w:r>
    </w:p>
    <w:p w:rsidR="001F6C53" w:rsidRPr="00DE1967" w:rsidRDefault="00871137"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Nicht bekannt:</w:t>
      </w:r>
      <w:r w:rsidRPr="00DE1967">
        <w:rPr>
          <w:snapToGrid/>
          <w:szCs w:val="22"/>
          <w:lang w:val="de-DE" w:eastAsia="de-DE"/>
        </w:rPr>
        <w:tab/>
      </w:r>
      <w:r w:rsidR="001F6C53" w:rsidRPr="00DE1967">
        <w:rPr>
          <w:snapToGrid/>
          <w:szCs w:val="22"/>
          <w:lang w:val="de-DE" w:eastAsia="de-DE"/>
        </w:rPr>
        <w:t>hepatozellulärer Ikterus, cholestatischer Ikterus</w:t>
      </w:r>
    </w:p>
    <w:p w:rsidR="00871137" w:rsidRPr="00DE1967" w:rsidRDefault="00871137"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der Haut und des</w:t>
      </w:r>
      <w:r w:rsidR="00871137" w:rsidRPr="00DE1967">
        <w:rPr>
          <w:snapToGrid/>
          <w:szCs w:val="22"/>
          <w:lang w:val="de-DE" w:eastAsia="de-DE"/>
        </w:rPr>
        <w:t xml:space="preserve"> </w:t>
      </w:r>
      <w:r w:rsidRPr="00DE1967">
        <w:rPr>
          <w:snapToGrid/>
          <w:szCs w:val="22"/>
          <w:lang w:val="de-DE" w:eastAsia="de-DE"/>
        </w:rPr>
        <w:t>Unterhautzellgewebes</w:t>
      </w:r>
    </w:p>
    <w:p w:rsidR="001F6C53" w:rsidRPr="00DE1967" w:rsidRDefault="00871137" w:rsidP="0003742E">
      <w:pPr>
        <w:widowControl w:val="0"/>
        <w:tabs>
          <w:tab w:val="clear" w:pos="567"/>
          <w:tab w:val="left" w:pos="851"/>
          <w:tab w:val="left" w:pos="2268"/>
        </w:tabs>
        <w:autoSpaceDE w:val="0"/>
        <w:autoSpaceDN w:val="0"/>
        <w:adjustRightInd w:val="0"/>
        <w:spacing w:line="240" w:lineRule="auto"/>
        <w:ind w:left="2265" w:hanging="1545"/>
        <w:rPr>
          <w:snapToGrid/>
          <w:szCs w:val="22"/>
          <w:lang w:val="de-DE" w:eastAsia="de-DE"/>
        </w:rPr>
      </w:pPr>
      <w:r w:rsidRPr="00DE1967">
        <w:rPr>
          <w:snapToGrid/>
          <w:szCs w:val="22"/>
          <w:lang w:val="de-DE" w:eastAsia="de-DE"/>
        </w:rPr>
        <w:tab/>
      </w:r>
      <w:r w:rsidR="001F6C53" w:rsidRPr="00DE1967">
        <w:rPr>
          <w:snapToGrid/>
          <w:szCs w:val="22"/>
          <w:lang w:val="de-DE" w:eastAsia="de-DE"/>
        </w:rPr>
        <w:t>Nicht bekannt:</w:t>
      </w:r>
      <w:r w:rsidRPr="00DE1967">
        <w:rPr>
          <w:snapToGrid/>
          <w:szCs w:val="22"/>
          <w:lang w:val="de-DE" w:eastAsia="de-DE"/>
        </w:rPr>
        <w:tab/>
      </w:r>
      <w:r w:rsidRPr="00DE1967">
        <w:rPr>
          <w:snapToGrid/>
          <w:szCs w:val="22"/>
          <w:lang w:val="de-DE" w:eastAsia="de-DE"/>
        </w:rPr>
        <w:tab/>
      </w:r>
      <w:r w:rsidR="001F6C53" w:rsidRPr="00DE1967">
        <w:rPr>
          <w:snapToGrid/>
          <w:szCs w:val="22"/>
          <w:lang w:val="de-DE" w:eastAsia="de-DE"/>
        </w:rPr>
        <w:t xml:space="preserve">Lupus-ähnliches Syndrom, </w:t>
      </w:r>
      <w:proofErr w:type="spellStart"/>
      <w:r w:rsidR="001F6C53" w:rsidRPr="00DE1967">
        <w:rPr>
          <w:snapToGrid/>
          <w:szCs w:val="22"/>
          <w:lang w:val="de-DE" w:eastAsia="de-DE"/>
        </w:rPr>
        <w:t>Photosensibilität</w:t>
      </w:r>
      <w:proofErr w:type="spellEnd"/>
      <w:r w:rsidR="001F6C53" w:rsidRPr="00DE1967">
        <w:rPr>
          <w:snapToGrid/>
          <w:szCs w:val="22"/>
          <w:lang w:val="de-DE" w:eastAsia="de-DE"/>
        </w:rPr>
        <w:t>,</w:t>
      </w:r>
      <w:r w:rsidRPr="00DE1967">
        <w:rPr>
          <w:snapToGrid/>
          <w:szCs w:val="22"/>
          <w:lang w:val="de-DE" w:eastAsia="de-DE"/>
        </w:rPr>
        <w:t xml:space="preserve"> </w:t>
      </w:r>
      <w:r w:rsidR="001F6C53" w:rsidRPr="00DE1967">
        <w:rPr>
          <w:snapToGrid/>
          <w:szCs w:val="22"/>
          <w:lang w:val="de-DE" w:eastAsia="de-DE"/>
        </w:rPr>
        <w:t xml:space="preserve">kutane Vaskulitis, toxische epidermale </w:t>
      </w:r>
      <w:proofErr w:type="spellStart"/>
      <w:r w:rsidR="001F6C53" w:rsidRPr="00DE1967">
        <w:rPr>
          <w:snapToGrid/>
          <w:szCs w:val="22"/>
          <w:lang w:val="de-DE" w:eastAsia="de-DE"/>
        </w:rPr>
        <w:t>Nekrolyse</w:t>
      </w:r>
      <w:proofErr w:type="spellEnd"/>
      <w:r w:rsidR="00FA03F2" w:rsidRPr="00DE1967">
        <w:rPr>
          <w:snapToGrid/>
          <w:szCs w:val="22"/>
          <w:lang w:val="de-DE" w:eastAsia="de-DE"/>
        </w:rPr>
        <w:t xml:space="preserve">, </w:t>
      </w:r>
      <w:r w:rsidR="00FA03F2" w:rsidRPr="00DE1967">
        <w:rPr>
          <w:szCs w:val="22"/>
          <w:lang w:val="de-DE"/>
        </w:rPr>
        <w:t>Erythema multiforme</w:t>
      </w:r>
    </w:p>
    <w:p w:rsidR="00871137" w:rsidRPr="00DE1967" w:rsidRDefault="00871137"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Skelettmuskulatur-, Bindegewebs- und</w:t>
      </w:r>
      <w:r w:rsidR="00871137" w:rsidRPr="00DE1967">
        <w:rPr>
          <w:snapToGrid/>
          <w:szCs w:val="22"/>
          <w:lang w:val="de-DE" w:eastAsia="de-DE"/>
        </w:rPr>
        <w:t xml:space="preserve"> </w:t>
      </w:r>
      <w:r w:rsidRPr="00DE1967">
        <w:rPr>
          <w:snapToGrid/>
          <w:szCs w:val="22"/>
          <w:lang w:val="de-DE" w:eastAsia="de-DE"/>
        </w:rPr>
        <w:t>Knochenerkrankungen</w:t>
      </w:r>
    </w:p>
    <w:p w:rsidR="001F6C53" w:rsidRPr="00DE1967" w:rsidRDefault="001F6C5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Nicht bekannt:</w:t>
      </w:r>
      <w:r w:rsidR="00871137" w:rsidRPr="00DE1967">
        <w:rPr>
          <w:snapToGrid/>
          <w:szCs w:val="22"/>
          <w:lang w:val="de-DE" w:eastAsia="de-DE"/>
        </w:rPr>
        <w:tab/>
      </w:r>
      <w:r w:rsidRPr="00DE1967">
        <w:rPr>
          <w:snapToGrid/>
          <w:szCs w:val="22"/>
          <w:lang w:val="de-DE" w:eastAsia="de-DE"/>
        </w:rPr>
        <w:t>Schwäche</w:t>
      </w:r>
    </w:p>
    <w:p w:rsidR="00871137" w:rsidRPr="00DE1967" w:rsidRDefault="00871137"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der Nieren und Harnwege</w:t>
      </w:r>
    </w:p>
    <w:p w:rsidR="001F6C53" w:rsidRPr="00DE1967" w:rsidRDefault="00871137"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 xml:space="preserve">Nicht bekannt: </w:t>
      </w:r>
      <w:r w:rsidRPr="00DE1967">
        <w:rPr>
          <w:snapToGrid/>
          <w:szCs w:val="22"/>
          <w:lang w:val="de-DE" w:eastAsia="de-DE"/>
        </w:rPr>
        <w:tab/>
      </w:r>
      <w:r w:rsidR="001F6C53" w:rsidRPr="00DE1967">
        <w:rPr>
          <w:snapToGrid/>
          <w:szCs w:val="22"/>
          <w:lang w:val="de-DE" w:eastAsia="de-DE"/>
        </w:rPr>
        <w:t>interstitielle Nephritis, Nierenfunktionsstörung,</w:t>
      </w:r>
      <w:r w:rsidRPr="00DE1967">
        <w:rPr>
          <w:snapToGrid/>
          <w:szCs w:val="22"/>
          <w:lang w:val="de-DE" w:eastAsia="de-DE"/>
        </w:rPr>
        <w:t xml:space="preserve"> </w:t>
      </w:r>
      <w:r w:rsidR="001F6C53" w:rsidRPr="00DE1967">
        <w:rPr>
          <w:snapToGrid/>
          <w:szCs w:val="22"/>
          <w:lang w:val="de-DE" w:eastAsia="de-DE"/>
        </w:rPr>
        <w:t>Glukosurie</w:t>
      </w:r>
    </w:p>
    <w:p w:rsidR="00871137" w:rsidRPr="00DE1967" w:rsidRDefault="00871137"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Allgemeine Erkrankungen und Beschwerden am</w:t>
      </w:r>
      <w:r w:rsidR="00871137" w:rsidRPr="00DE1967">
        <w:rPr>
          <w:snapToGrid/>
          <w:szCs w:val="22"/>
          <w:lang w:val="de-DE" w:eastAsia="de-DE"/>
        </w:rPr>
        <w:t xml:space="preserve"> </w:t>
      </w:r>
      <w:r w:rsidRPr="00DE1967">
        <w:rPr>
          <w:snapToGrid/>
          <w:szCs w:val="22"/>
          <w:lang w:val="de-DE" w:eastAsia="de-DE"/>
        </w:rPr>
        <w:t>Verabreichungsort</w:t>
      </w:r>
    </w:p>
    <w:p w:rsidR="001F6C53" w:rsidRPr="00DE1967" w:rsidRDefault="00871137"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Nicht bekannt:</w:t>
      </w:r>
      <w:r w:rsidRPr="00DE1967">
        <w:rPr>
          <w:snapToGrid/>
          <w:szCs w:val="22"/>
          <w:lang w:val="de-DE" w:eastAsia="de-DE"/>
        </w:rPr>
        <w:tab/>
      </w:r>
      <w:r w:rsidR="001F6C53" w:rsidRPr="00DE1967">
        <w:rPr>
          <w:snapToGrid/>
          <w:szCs w:val="22"/>
          <w:lang w:val="de-DE" w:eastAsia="de-DE"/>
        </w:rPr>
        <w:t>Pyrexie</w:t>
      </w:r>
    </w:p>
    <w:p w:rsidR="00871137" w:rsidRPr="00DE1967" w:rsidRDefault="00871137"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Untersuchungen</w:t>
      </w:r>
    </w:p>
    <w:p w:rsidR="001F6C53" w:rsidRPr="00DE1967" w:rsidRDefault="00871137"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r>
      <w:r w:rsidR="001F6C53" w:rsidRPr="00DE1967">
        <w:rPr>
          <w:snapToGrid/>
          <w:szCs w:val="22"/>
          <w:lang w:val="de-DE" w:eastAsia="de-DE"/>
        </w:rPr>
        <w:t>Nicht bekannt: erhöhte Triglyzeride</w:t>
      </w:r>
    </w:p>
    <w:p w:rsidR="00871137" w:rsidRPr="00DE1967" w:rsidRDefault="00871137"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Beschreibung ausgewählter Nebenwirkungen</w:t>
      </w:r>
    </w:p>
    <w:p w:rsidR="00871137" w:rsidRPr="00DE1967" w:rsidRDefault="00871137" w:rsidP="0003742E">
      <w:pPr>
        <w:widowControl w:val="0"/>
        <w:tabs>
          <w:tab w:val="clear" w:pos="567"/>
        </w:tabs>
        <w:autoSpaceDE w:val="0"/>
        <w:autoSpaceDN w:val="0"/>
        <w:adjustRightInd w:val="0"/>
        <w:spacing w:line="240" w:lineRule="auto"/>
        <w:rPr>
          <w:snapToGrid/>
          <w:szCs w:val="22"/>
          <w:u w:val="single"/>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Abnorme Leberfunktion/Einschränkung der Leberfunktion</w:t>
      </w: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Erfahrungen nach Markteinführung von Telmisartan zeigten, dass die meisten Fälle mit abnormer</w:t>
      </w:r>
      <w:r w:rsidR="00871137" w:rsidRPr="00DE1967">
        <w:rPr>
          <w:snapToGrid/>
          <w:szCs w:val="22"/>
          <w:lang w:val="de-DE" w:eastAsia="de-DE"/>
        </w:rPr>
        <w:t xml:space="preserve"> </w:t>
      </w:r>
      <w:r w:rsidRPr="00DE1967">
        <w:rPr>
          <w:snapToGrid/>
          <w:szCs w:val="22"/>
          <w:lang w:val="de-DE" w:eastAsia="de-DE"/>
        </w:rPr>
        <w:t>Leberfunktion/Einschränkung der Leberfunktion bei japanischen Patienten auftraten. Bei japanischen</w:t>
      </w:r>
      <w:r w:rsidR="00871137" w:rsidRPr="00DE1967">
        <w:rPr>
          <w:snapToGrid/>
          <w:szCs w:val="22"/>
          <w:lang w:val="de-DE" w:eastAsia="de-DE"/>
        </w:rPr>
        <w:t xml:space="preserve"> </w:t>
      </w:r>
      <w:r w:rsidRPr="00DE1967">
        <w:rPr>
          <w:snapToGrid/>
          <w:szCs w:val="22"/>
          <w:lang w:val="de-DE" w:eastAsia="de-DE"/>
        </w:rPr>
        <w:t>Patienten besteht eine höhere Wahrscheinlichkeit für das Auftreten dieser Nebenwirkungen.</w:t>
      </w:r>
    </w:p>
    <w:p w:rsidR="00871137" w:rsidRPr="00DE1967" w:rsidRDefault="00871137"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Sepsis</w:t>
      </w: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In der </w:t>
      </w:r>
      <w:proofErr w:type="spellStart"/>
      <w:r w:rsidRPr="00DE1967">
        <w:rPr>
          <w:snapToGrid/>
          <w:szCs w:val="22"/>
          <w:lang w:val="de-DE" w:eastAsia="de-DE"/>
        </w:rPr>
        <w:t>PRoFESS</w:t>
      </w:r>
      <w:proofErr w:type="spellEnd"/>
      <w:r w:rsidRPr="00DE1967">
        <w:rPr>
          <w:snapToGrid/>
          <w:szCs w:val="22"/>
          <w:lang w:val="de-DE" w:eastAsia="de-DE"/>
        </w:rPr>
        <w:t xml:space="preserve"> Studie wurde eine erhöhte Inzidenz an </w:t>
      </w:r>
      <w:proofErr w:type="spellStart"/>
      <w:r w:rsidRPr="00DE1967">
        <w:rPr>
          <w:snapToGrid/>
          <w:szCs w:val="22"/>
          <w:lang w:val="de-DE" w:eastAsia="de-DE"/>
        </w:rPr>
        <w:t>Sepsisfällen</w:t>
      </w:r>
      <w:proofErr w:type="spellEnd"/>
      <w:r w:rsidRPr="00DE1967">
        <w:rPr>
          <w:snapToGrid/>
          <w:szCs w:val="22"/>
          <w:lang w:val="de-DE" w:eastAsia="de-DE"/>
        </w:rPr>
        <w:t xml:space="preserve"> unter Telmisartan im Vergleich</w:t>
      </w:r>
      <w:r w:rsidR="00871137" w:rsidRPr="00DE1967">
        <w:rPr>
          <w:snapToGrid/>
          <w:szCs w:val="22"/>
          <w:lang w:val="de-DE" w:eastAsia="de-DE"/>
        </w:rPr>
        <w:t xml:space="preserve"> </w:t>
      </w:r>
      <w:r w:rsidRPr="00DE1967">
        <w:rPr>
          <w:snapToGrid/>
          <w:szCs w:val="22"/>
          <w:lang w:val="de-DE" w:eastAsia="de-DE"/>
        </w:rPr>
        <w:t>zu Placebo beobachtet. Das Ereignis könnte ein Zufallsbefund sein oder mit einem bisher unbekannten</w:t>
      </w:r>
      <w:r w:rsidR="00871137" w:rsidRPr="00DE1967">
        <w:rPr>
          <w:snapToGrid/>
          <w:szCs w:val="22"/>
          <w:lang w:val="de-DE" w:eastAsia="de-DE"/>
        </w:rPr>
        <w:t xml:space="preserve"> </w:t>
      </w:r>
      <w:r w:rsidRPr="00DE1967">
        <w:rPr>
          <w:snapToGrid/>
          <w:szCs w:val="22"/>
          <w:lang w:val="de-DE" w:eastAsia="de-DE"/>
        </w:rPr>
        <w:t>Wirkungsmechanismus in Zusammenhang stehen (siehe Abschnitt 5.1).</w:t>
      </w:r>
    </w:p>
    <w:p w:rsidR="00871137" w:rsidRPr="00DE1967" w:rsidRDefault="00871137" w:rsidP="0003742E">
      <w:pPr>
        <w:widowControl w:val="0"/>
        <w:tabs>
          <w:tab w:val="clear" w:pos="567"/>
        </w:tabs>
        <w:autoSpaceDE w:val="0"/>
        <w:autoSpaceDN w:val="0"/>
        <w:adjustRightInd w:val="0"/>
        <w:spacing w:line="240" w:lineRule="auto"/>
        <w:rPr>
          <w:snapToGrid/>
          <w:szCs w:val="22"/>
          <w:lang w:val="de-DE" w:eastAsia="de-DE"/>
        </w:rPr>
      </w:pPr>
    </w:p>
    <w:p w:rsidR="001F6C53" w:rsidRPr="00DE1967" w:rsidRDefault="001F6C5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Interstitielle Lungenerkrankung</w:t>
      </w:r>
    </w:p>
    <w:p w:rsidR="001F6C53" w:rsidRPr="00DE1967" w:rsidRDefault="001F6C5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Fälle von interstitieller Lungenerkrankung wurden nach Markteinführung in zeitlichem</w:t>
      </w:r>
      <w:r w:rsidR="00871137" w:rsidRPr="00DE1967">
        <w:rPr>
          <w:snapToGrid/>
          <w:szCs w:val="22"/>
          <w:lang w:val="de-DE" w:eastAsia="de-DE"/>
        </w:rPr>
        <w:t xml:space="preserve"> </w:t>
      </w:r>
      <w:r w:rsidRPr="00DE1967">
        <w:rPr>
          <w:snapToGrid/>
          <w:szCs w:val="22"/>
          <w:lang w:val="de-DE" w:eastAsia="de-DE"/>
        </w:rPr>
        <w:t>Zusammenhang mit der Einnahme von Telmisartan berichtet. Ein ursächlicher Zusammenhang wurde</w:t>
      </w:r>
      <w:r w:rsidR="00871137" w:rsidRPr="00DE1967">
        <w:rPr>
          <w:snapToGrid/>
          <w:szCs w:val="22"/>
          <w:lang w:val="de-DE" w:eastAsia="de-DE"/>
        </w:rPr>
        <w:t xml:space="preserve"> </w:t>
      </w:r>
      <w:r w:rsidRPr="00DE1967">
        <w:rPr>
          <w:snapToGrid/>
          <w:szCs w:val="22"/>
          <w:lang w:val="de-DE" w:eastAsia="de-DE"/>
        </w:rPr>
        <w:t>jedoch nicht bewiesen.</w:t>
      </w:r>
    </w:p>
    <w:p w:rsidR="007355CF" w:rsidRPr="00DE1967" w:rsidRDefault="007355CF" w:rsidP="0003742E">
      <w:pPr>
        <w:widowControl w:val="0"/>
        <w:tabs>
          <w:tab w:val="clear" w:pos="567"/>
        </w:tabs>
        <w:autoSpaceDE w:val="0"/>
        <w:autoSpaceDN w:val="0"/>
        <w:adjustRightInd w:val="0"/>
        <w:spacing w:line="240" w:lineRule="auto"/>
        <w:rPr>
          <w:snapToGrid/>
          <w:szCs w:val="22"/>
          <w:lang w:val="de-DE" w:eastAsia="de-DE"/>
        </w:rPr>
      </w:pPr>
    </w:p>
    <w:p w:rsidR="007355CF" w:rsidRPr="00DE1967" w:rsidRDefault="007355CF"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Nicht-melanozytärer Hautkrebs</w:t>
      </w:r>
    </w:p>
    <w:p w:rsidR="007355CF" w:rsidRPr="00DE1967" w:rsidRDefault="007355C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Auf der Grundlage der vorliegenden Daten aus epidemiologischen Studien wurde ein kumulativer dosisabhängiger Zusammenhang zwischen HCTZ und NMSC festgestellt (siehe auch Abschnitt 4.4 und 5.1 ).</w:t>
      </w:r>
    </w:p>
    <w:p w:rsidR="00871137" w:rsidRPr="00DE1967" w:rsidRDefault="00871137" w:rsidP="0003742E">
      <w:pPr>
        <w:widowControl w:val="0"/>
        <w:tabs>
          <w:tab w:val="clear" w:pos="567"/>
        </w:tabs>
        <w:autoSpaceDE w:val="0"/>
        <w:autoSpaceDN w:val="0"/>
        <w:adjustRightInd w:val="0"/>
        <w:spacing w:line="240" w:lineRule="auto"/>
        <w:rPr>
          <w:szCs w:val="22"/>
          <w:lang w:val="de-DE"/>
        </w:rPr>
      </w:pPr>
    </w:p>
    <w:p w:rsidR="00920248" w:rsidRPr="00DE1967" w:rsidRDefault="00647F08" w:rsidP="0003742E">
      <w:pPr>
        <w:widowControl w:val="0"/>
        <w:spacing w:line="240" w:lineRule="auto"/>
        <w:rPr>
          <w:noProof/>
          <w:szCs w:val="22"/>
          <w:u w:val="single"/>
          <w:lang w:val="de-DE"/>
        </w:rPr>
      </w:pPr>
      <w:r w:rsidRPr="00DE1967">
        <w:rPr>
          <w:noProof/>
          <w:szCs w:val="22"/>
          <w:u w:val="single"/>
          <w:lang w:val="de-DE"/>
        </w:rPr>
        <w:t>Meldung des Verdachts auf Nebenwirkungen</w:t>
      </w:r>
    </w:p>
    <w:p w:rsidR="00647F08" w:rsidRPr="00DE1967" w:rsidRDefault="00647F08" w:rsidP="0003742E">
      <w:pPr>
        <w:widowControl w:val="0"/>
        <w:spacing w:line="240" w:lineRule="auto"/>
        <w:rPr>
          <w:szCs w:val="22"/>
          <w:lang w:val="de-DE"/>
        </w:rPr>
      </w:pPr>
      <w:r w:rsidRPr="00DE1967">
        <w:rPr>
          <w:noProof/>
          <w:szCs w:val="22"/>
          <w:lang w:val="de-DE"/>
        </w:rPr>
        <w:t>Die Meldung des Verdachts auf Nebenwirkungen nach der Zulassung ist von großer Wichtigkeit.</w:t>
      </w:r>
      <w:r w:rsidRPr="00DE1967">
        <w:rPr>
          <w:szCs w:val="22"/>
          <w:lang w:val="de-DE"/>
        </w:rPr>
        <w:t xml:space="preserve"> </w:t>
      </w:r>
      <w:r w:rsidRPr="00DE1967">
        <w:rPr>
          <w:noProof/>
          <w:szCs w:val="22"/>
          <w:lang w:val="de-DE"/>
        </w:rPr>
        <w:t>Sie ermöglicht eine kontinuierliche Überwachung des Nutzen-Risiko-Verhältnisses des Arzneimittels.</w:t>
      </w:r>
      <w:r w:rsidRPr="00DE1967">
        <w:rPr>
          <w:szCs w:val="22"/>
          <w:lang w:val="de-DE"/>
        </w:rPr>
        <w:t xml:space="preserve"> Angehörige von Gesundheitsberufen</w:t>
      </w:r>
      <w:r w:rsidRPr="00DE1967">
        <w:rPr>
          <w:noProof/>
          <w:szCs w:val="22"/>
          <w:lang w:val="de-DE"/>
        </w:rPr>
        <w:t xml:space="preserve"> sind aufgefordert, jeden Verdachtsfall einer Nebenwirkung über das in </w:t>
      </w:r>
      <w:hyperlink r:id="rId11" w:history="1">
        <w:r w:rsidRPr="00DE1967">
          <w:rPr>
            <w:rStyle w:val="Hyperlink"/>
            <w:noProof/>
            <w:szCs w:val="22"/>
            <w:lang w:val="de-DE"/>
          </w:rPr>
          <w:t>Anhang V</w:t>
        </w:r>
      </w:hyperlink>
      <w:r w:rsidRPr="00DE1967">
        <w:rPr>
          <w:noProof/>
          <w:szCs w:val="22"/>
          <w:lang w:val="de-DE"/>
        </w:rPr>
        <w:t xml:space="preserve"> aufgeführte nationale Meldesystem anzuzeigen.</w:t>
      </w:r>
    </w:p>
    <w:p w:rsidR="00647F08" w:rsidRPr="00DE1967" w:rsidRDefault="00647F08" w:rsidP="0003742E">
      <w:pPr>
        <w:widowControl w:val="0"/>
        <w:tabs>
          <w:tab w:val="clear" w:pos="567"/>
        </w:tabs>
        <w:autoSpaceDE w:val="0"/>
        <w:autoSpaceDN w:val="0"/>
        <w:adjustRightInd w:val="0"/>
        <w:spacing w:line="240" w:lineRule="auto"/>
        <w:rPr>
          <w:szCs w:val="22"/>
          <w:lang w:val="de-DE"/>
        </w:rPr>
      </w:pPr>
    </w:p>
    <w:p w:rsidR="00637E20" w:rsidRPr="00DE1967" w:rsidRDefault="00637E20" w:rsidP="0003742E">
      <w:pPr>
        <w:widowControl w:val="0"/>
        <w:spacing w:line="240" w:lineRule="auto"/>
        <w:ind w:left="567" w:hanging="567"/>
        <w:outlineLvl w:val="0"/>
        <w:rPr>
          <w:noProof/>
          <w:szCs w:val="22"/>
          <w:lang w:val="de-DE"/>
        </w:rPr>
      </w:pPr>
      <w:r w:rsidRPr="00DE1967">
        <w:rPr>
          <w:b/>
          <w:noProof/>
          <w:szCs w:val="22"/>
          <w:lang w:val="de-DE"/>
        </w:rPr>
        <w:t>4.9</w:t>
      </w:r>
      <w:r w:rsidRPr="00DE1967">
        <w:rPr>
          <w:b/>
          <w:noProof/>
          <w:szCs w:val="22"/>
          <w:lang w:val="de-DE"/>
        </w:rPr>
        <w:tab/>
        <w:t>Überdosierung</w:t>
      </w:r>
    </w:p>
    <w:p w:rsidR="00637E20" w:rsidRPr="00DE1967" w:rsidRDefault="00637E20" w:rsidP="0003742E">
      <w:pPr>
        <w:widowControl w:val="0"/>
        <w:spacing w:line="240" w:lineRule="auto"/>
        <w:rPr>
          <w:szCs w:val="22"/>
          <w:lang w:val="de-DE"/>
        </w:rPr>
      </w:pPr>
    </w:p>
    <w:p w:rsidR="003527D9" w:rsidRPr="00DE1967" w:rsidRDefault="003527D9"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Zur Überdosierung beim Menschen liegen für Telmisartan begrenzte Erfahrungen vor. In welchem Ausmaß sich Hydrochlorothiazid durch Hämodialyse entfernen lässt, wurde nicht untersucht.</w:t>
      </w:r>
    </w:p>
    <w:p w:rsidR="003527D9" w:rsidRPr="00DE1967" w:rsidRDefault="003527D9" w:rsidP="0003742E">
      <w:pPr>
        <w:widowControl w:val="0"/>
        <w:tabs>
          <w:tab w:val="clear" w:pos="567"/>
        </w:tabs>
        <w:autoSpaceDE w:val="0"/>
        <w:autoSpaceDN w:val="0"/>
        <w:adjustRightInd w:val="0"/>
        <w:spacing w:line="240" w:lineRule="auto"/>
        <w:rPr>
          <w:snapToGrid/>
          <w:szCs w:val="22"/>
          <w:lang w:val="de-DE" w:eastAsia="de-DE"/>
        </w:rPr>
      </w:pPr>
    </w:p>
    <w:p w:rsidR="003527D9" w:rsidRPr="00DE1967" w:rsidRDefault="003527D9"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Symptome</w:t>
      </w:r>
    </w:p>
    <w:p w:rsidR="003527D9" w:rsidRPr="00DE1967" w:rsidRDefault="003527D9"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 markantesten Symptome einer Telmisartan-Überdosierung waren Hypotonie und Tachykardie; Bradykardie, Schwindelgefühl, Erbrechen, Erhöhung des Serumkreatinins und akutes Nierenversagen wurden ebenfalls berichtet. Eine Überdosierung mit Hydrochlorothiazid führt möglicherweise zu einem Elektrolytverlust (Hypokaliämie, </w:t>
      </w:r>
      <w:proofErr w:type="spellStart"/>
      <w:r w:rsidRPr="00DE1967">
        <w:rPr>
          <w:snapToGrid/>
          <w:szCs w:val="22"/>
          <w:lang w:val="de-DE" w:eastAsia="de-DE"/>
        </w:rPr>
        <w:t>Hypochlorämie</w:t>
      </w:r>
      <w:proofErr w:type="spellEnd"/>
      <w:r w:rsidRPr="00DE1967">
        <w:rPr>
          <w:snapToGrid/>
          <w:szCs w:val="22"/>
          <w:lang w:val="de-DE" w:eastAsia="de-DE"/>
        </w:rPr>
        <w:t xml:space="preserve">) und zu Hypovolämie infolge einer exzessiven Diurese. Die häufigsten Anzeichen und Symptome einer Überdosierung sind Übelkeit und Schläfrigkeit. Hypokaliämie kann zu Muskelkrämpfen führen und/oder Rhythmusstörungen verstärken, die im Zusammenhang mit der gleichzeitigen Gabe von </w:t>
      </w:r>
      <w:proofErr w:type="spellStart"/>
      <w:r w:rsidRPr="00DE1967">
        <w:rPr>
          <w:snapToGrid/>
          <w:szCs w:val="22"/>
          <w:lang w:val="de-DE" w:eastAsia="de-DE"/>
        </w:rPr>
        <w:t>Digitalisglykosiden</w:t>
      </w:r>
      <w:proofErr w:type="spellEnd"/>
      <w:r w:rsidRPr="00DE1967">
        <w:rPr>
          <w:snapToGrid/>
          <w:szCs w:val="22"/>
          <w:lang w:val="de-DE" w:eastAsia="de-DE"/>
        </w:rPr>
        <w:t xml:space="preserve"> oder bestimmten Antiarrhythmika auftreten.</w:t>
      </w:r>
    </w:p>
    <w:p w:rsidR="003527D9" w:rsidRPr="00DE1967" w:rsidRDefault="003527D9" w:rsidP="0003742E">
      <w:pPr>
        <w:widowControl w:val="0"/>
        <w:tabs>
          <w:tab w:val="clear" w:pos="567"/>
        </w:tabs>
        <w:autoSpaceDE w:val="0"/>
        <w:autoSpaceDN w:val="0"/>
        <w:adjustRightInd w:val="0"/>
        <w:spacing w:line="240" w:lineRule="auto"/>
        <w:rPr>
          <w:snapToGrid/>
          <w:szCs w:val="22"/>
          <w:lang w:val="de-DE" w:eastAsia="de-DE"/>
        </w:rPr>
      </w:pPr>
    </w:p>
    <w:p w:rsidR="003527D9" w:rsidRPr="00DE1967" w:rsidRDefault="003527D9"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Behandlung</w:t>
      </w:r>
    </w:p>
    <w:p w:rsidR="00637E20" w:rsidRPr="00DE1967" w:rsidRDefault="003527D9"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Telmisartan kann nicht durch Hämodialyse entfernt werden. Der Patient sollte sorgfältig überwacht werden und die Behandlung sollte symptomatisch und unterstützend sein. Die Behandlung hängt von der seit der Einnahme verstrichenen Zeit und vom Schweregrad der Symptome ab. Empfohlene Maßnahmen sind u. a. das Herbeiführen von Erbrechen und/oder Magenspülung. Die Gabe von Aktivkohle kann bei der Behandlung der Überdosierung nützlich sein. Serumelektrolyte und Kreatinin sollten häufig kontrolliert werden. Bei Auftreten einer Hypotonie sollte der Patient in Rückenlage gebracht und rasch eine Salz- und Volumensubstitution gegeben werden.</w:t>
      </w:r>
    </w:p>
    <w:p w:rsidR="003527D9" w:rsidRPr="00DE1967" w:rsidRDefault="003527D9" w:rsidP="0003742E">
      <w:pPr>
        <w:widowControl w:val="0"/>
        <w:tabs>
          <w:tab w:val="clear" w:pos="567"/>
        </w:tabs>
        <w:autoSpaceDE w:val="0"/>
        <w:autoSpaceDN w:val="0"/>
        <w:adjustRightInd w:val="0"/>
        <w:spacing w:line="240" w:lineRule="auto"/>
        <w:rPr>
          <w:szCs w:val="22"/>
          <w:lang w:val="de-DE"/>
        </w:rPr>
      </w:pPr>
    </w:p>
    <w:p w:rsidR="00637E20" w:rsidRPr="00DE1967" w:rsidRDefault="00637E20" w:rsidP="0003742E">
      <w:pPr>
        <w:widowControl w:val="0"/>
        <w:spacing w:line="240" w:lineRule="auto"/>
        <w:rPr>
          <w:szCs w:val="22"/>
          <w:lang w:val="de-DE"/>
        </w:rPr>
      </w:pPr>
    </w:p>
    <w:p w:rsidR="00637E20" w:rsidRPr="00DE1967" w:rsidRDefault="00637E20" w:rsidP="0003742E">
      <w:pPr>
        <w:widowControl w:val="0"/>
        <w:spacing w:line="240" w:lineRule="auto"/>
        <w:ind w:left="567" w:hanging="567"/>
        <w:rPr>
          <w:noProof/>
          <w:szCs w:val="22"/>
          <w:lang w:val="de-DE"/>
        </w:rPr>
      </w:pPr>
      <w:r w:rsidRPr="00DE1967">
        <w:rPr>
          <w:b/>
          <w:noProof/>
          <w:szCs w:val="22"/>
          <w:lang w:val="de-DE"/>
        </w:rPr>
        <w:t>5.</w:t>
      </w:r>
      <w:r w:rsidRPr="00DE1967">
        <w:rPr>
          <w:b/>
          <w:noProof/>
          <w:szCs w:val="22"/>
          <w:lang w:val="de-DE"/>
        </w:rPr>
        <w:tab/>
        <w:t>PHARMAKOLOGISCHE EIGENSCHAFTEN</w:t>
      </w:r>
    </w:p>
    <w:p w:rsidR="00637E20" w:rsidRPr="00DE1967" w:rsidRDefault="00637E20" w:rsidP="0003742E">
      <w:pPr>
        <w:widowControl w:val="0"/>
        <w:spacing w:line="240" w:lineRule="auto"/>
        <w:rPr>
          <w:szCs w:val="22"/>
          <w:lang w:val="de-DE"/>
        </w:rPr>
      </w:pPr>
    </w:p>
    <w:p w:rsidR="00637E20" w:rsidRPr="00DE1967" w:rsidRDefault="00CE0E67" w:rsidP="0003742E">
      <w:pPr>
        <w:widowControl w:val="0"/>
        <w:spacing w:line="240" w:lineRule="auto"/>
        <w:ind w:left="567" w:hanging="567"/>
        <w:outlineLvl w:val="0"/>
        <w:rPr>
          <w:noProof/>
          <w:szCs w:val="22"/>
          <w:lang w:val="de-DE"/>
        </w:rPr>
      </w:pPr>
      <w:r w:rsidRPr="00DE1967">
        <w:rPr>
          <w:b/>
          <w:noProof/>
          <w:szCs w:val="22"/>
          <w:lang w:val="de-DE"/>
        </w:rPr>
        <w:t>5.1</w:t>
      </w:r>
      <w:r w:rsidR="00637E20" w:rsidRPr="00DE1967">
        <w:rPr>
          <w:b/>
          <w:noProof/>
          <w:szCs w:val="22"/>
          <w:lang w:val="de-DE"/>
        </w:rPr>
        <w:tab/>
        <w:t>Pharmakodynamische Eigenschaften</w:t>
      </w:r>
    </w:p>
    <w:p w:rsidR="00637E20" w:rsidRPr="00DE1967" w:rsidRDefault="00637E20" w:rsidP="0003742E">
      <w:pPr>
        <w:widowControl w:val="0"/>
        <w:spacing w:line="240" w:lineRule="auto"/>
        <w:rPr>
          <w:szCs w:val="22"/>
          <w:lang w:val="de-DE"/>
        </w:rPr>
      </w:pPr>
    </w:p>
    <w:p w:rsidR="008D0B0F" w:rsidRPr="00DE1967" w:rsidRDefault="008D0B0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Pharmakotherapeutische Gruppe: </w:t>
      </w:r>
      <w:r w:rsidR="00F93262" w:rsidRPr="00DE1967">
        <w:rPr>
          <w:snapToGrid/>
          <w:szCs w:val="22"/>
          <w:lang w:val="de-DE" w:eastAsia="de-DE"/>
        </w:rPr>
        <w:t xml:space="preserve">Mittel mit Wirkung auf das </w:t>
      </w:r>
      <w:proofErr w:type="spellStart"/>
      <w:r w:rsidR="00F93262" w:rsidRPr="00DE1967">
        <w:rPr>
          <w:snapToGrid/>
          <w:szCs w:val="22"/>
          <w:lang w:val="de-DE" w:eastAsia="de-DE"/>
        </w:rPr>
        <w:t>Renin-Angiotensin-System;</w:t>
      </w:r>
      <w:r w:rsidRPr="00DE1967">
        <w:rPr>
          <w:snapToGrid/>
          <w:szCs w:val="22"/>
          <w:lang w:val="de-DE" w:eastAsia="de-DE"/>
        </w:rPr>
        <w:t>Angiotensin-II-Antagonisten</w:t>
      </w:r>
      <w:proofErr w:type="spellEnd"/>
      <w:r w:rsidRPr="00DE1967">
        <w:rPr>
          <w:snapToGrid/>
          <w:szCs w:val="22"/>
          <w:lang w:val="de-DE" w:eastAsia="de-DE"/>
        </w:rPr>
        <w:t xml:space="preserve"> und Diuretika, ATC-Code: C09DA07.</w:t>
      </w:r>
    </w:p>
    <w:p w:rsidR="008D0B0F" w:rsidRPr="00DE1967" w:rsidRDefault="008D0B0F" w:rsidP="0003742E">
      <w:pPr>
        <w:widowControl w:val="0"/>
        <w:tabs>
          <w:tab w:val="clear" w:pos="567"/>
        </w:tabs>
        <w:autoSpaceDE w:val="0"/>
        <w:autoSpaceDN w:val="0"/>
        <w:adjustRightInd w:val="0"/>
        <w:spacing w:line="240" w:lineRule="auto"/>
        <w:rPr>
          <w:snapToGrid/>
          <w:szCs w:val="22"/>
          <w:lang w:val="de-DE" w:eastAsia="de-DE"/>
        </w:rPr>
      </w:pPr>
    </w:p>
    <w:p w:rsidR="008D0B0F" w:rsidRPr="00DE1967" w:rsidRDefault="008D0B0F" w:rsidP="0003742E">
      <w:pPr>
        <w:widowControl w:val="0"/>
        <w:tabs>
          <w:tab w:val="clear" w:pos="567"/>
        </w:tabs>
        <w:autoSpaceDE w:val="0"/>
        <w:autoSpaceDN w:val="0"/>
        <w:adjustRightInd w:val="0"/>
        <w:spacing w:line="240" w:lineRule="auto"/>
        <w:rPr>
          <w:snapToGrid/>
          <w:szCs w:val="22"/>
          <w:lang w:val="de-DE" w:eastAsia="de-DE"/>
        </w:rPr>
      </w:pPr>
      <w:proofErr w:type="spellStart"/>
      <w:r w:rsidRPr="00DE1967">
        <w:rPr>
          <w:snapToGrid/>
          <w:szCs w:val="22"/>
          <w:lang w:val="de-DE" w:eastAsia="de-DE"/>
        </w:rPr>
        <w:t>Tolucombi</w:t>
      </w:r>
      <w:proofErr w:type="spellEnd"/>
      <w:r w:rsidRPr="00DE1967">
        <w:rPr>
          <w:snapToGrid/>
          <w:szCs w:val="22"/>
          <w:lang w:val="de-DE" w:eastAsia="de-DE"/>
        </w:rPr>
        <w:t xml:space="preserve"> ist eine Kombination aus einem Angiotensin-II-Rezeptor-Antagonisten, Telmisartan, und einem Thiaziddiuretikum, Hydrochlorothiazid. Die Kombination dieser Wirkstoffe weist eine additive antihypertensive Wirkung auf, der Blutdruck wird stärker gesenkt als durch jede einzelne Komponente allein. Die 1 x tägliche Gabe von </w:t>
      </w:r>
      <w:proofErr w:type="spellStart"/>
      <w:r w:rsidRPr="00DE1967">
        <w:rPr>
          <w:snapToGrid/>
          <w:szCs w:val="22"/>
          <w:lang w:val="de-DE" w:eastAsia="de-DE"/>
        </w:rPr>
        <w:t>Tolucombi</w:t>
      </w:r>
      <w:proofErr w:type="spellEnd"/>
      <w:r w:rsidRPr="00DE1967">
        <w:rPr>
          <w:snapToGrid/>
          <w:szCs w:val="22"/>
          <w:lang w:val="de-DE" w:eastAsia="de-DE"/>
        </w:rPr>
        <w:t xml:space="preserve"> führt zu einer wirksamen und gleichmäßigen</w:t>
      </w:r>
      <w:r w:rsidR="00F8185D" w:rsidRPr="00DE1967">
        <w:rPr>
          <w:snapToGrid/>
          <w:szCs w:val="22"/>
          <w:lang w:val="de-DE" w:eastAsia="de-DE"/>
        </w:rPr>
        <w:t xml:space="preserve"> </w:t>
      </w:r>
      <w:r w:rsidRPr="00DE1967">
        <w:rPr>
          <w:snapToGrid/>
          <w:szCs w:val="22"/>
          <w:lang w:val="de-DE" w:eastAsia="de-DE"/>
        </w:rPr>
        <w:t>Blutdrucksenkung über den therapeutischen Dosisbereich.</w:t>
      </w:r>
    </w:p>
    <w:p w:rsidR="00F8185D" w:rsidRPr="00DE1967" w:rsidRDefault="00F8185D" w:rsidP="0003742E">
      <w:pPr>
        <w:widowControl w:val="0"/>
        <w:tabs>
          <w:tab w:val="clear" w:pos="567"/>
        </w:tabs>
        <w:autoSpaceDE w:val="0"/>
        <w:autoSpaceDN w:val="0"/>
        <w:adjustRightInd w:val="0"/>
        <w:spacing w:line="240" w:lineRule="auto"/>
        <w:rPr>
          <w:snapToGrid/>
          <w:szCs w:val="22"/>
          <w:lang w:val="de-DE" w:eastAsia="de-DE"/>
        </w:rPr>
      </w:pPr>
    </w:p>
    <w:p w:rsidR="00FA03F2" w:rsidRPr="00DE1967" w:rsidRDefault="00FA03F2" w:rsidP="00854C15">
      <w:pPr>
        <w:keepLines/>
        <w:rPr>
          <w:szCs w:val="22"/>
          <w:u w:val="single"/>
          <w:lang w:val="de-DE"/>
        </w:rPr>
      </w:pPr>
      <w:r w:rsidRPr="00DE1967">
        <w:rPr>
          <w:szCs w:val="22"/>
          <w:u w:val="single"/>
          <w:lang w:val="de-DE"/>
        </w:rPr>
        <w:t>Wirkmechanismus</w:t>
      </w:r>
    </w:p>
    <w:p w:rsidR="008D0B0F" w:rsidRPr="00DE1967" w:rsidRDefault="008D0B0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Telmisartan ist ein oral wirksamer und spezifischer Angiotensin-II-Rezeptor Subtyp 1 (AT</w:t>
      </w:r>
      <w:r w:rsidRPr="00DE1967">
        <w:rPr>
          <w:snapToGrid/>
          <w:szCs w:val="22"/>
          <w:vertAlign w:val="subscript"/>
          <w:lang w:val="de-DE" w:eastAsia="de-DE"/>
        </w:rPr>
        <w:t>1</w:t>
      </w:r>
      <w:r w:rsidRPr="00DE1967">
        <w:rPr>
          <w:snapToGrid/>
          <w:szCs w:val="22"/>
          <w:lang w:val="de-DE" w:eastAsia="de-DE"/>
        </w:rPr>
        <w:t>)-Antagonist. Telmisartan verdrängt Angiotensin II mit sehr hoher Affinität von seiner Bindungsstelle</w:t>
      </w:r>
      <w:r w:rsidR="00F8185D" w:rsidRPr="00DE1967">
        <w:rPr>
          <w:snapToGrid/>
          <w:szCs w:val="22"/>
          <w:lang w:val="de-DE" w:eastAsia="de-DE"/>
        </w:rPr>
        <w:t xml:space="preserve"> </w:t>
      </w:r>
      <w:r w:rsidRPr="00DE1967">
        <w:rPr>
          <w:snapToGrid/>
          <w:szCs w:val="22"/>
          <w:lang w:val="de-DE" w:eastAsia="de-DE"/>
        </w:rPr>
        <w:t>am AT</w:t>
      </w:r>
      <w:r w:rsidRPr="00DE1967">
        <w:rPr>
          <w:snapToGrid/>
          <w:szCs w:val="22"/>
          <w:vertAlign w:val="subscript"/>
          <w:lang w:val="de-DE" w:eastAsia="de-DE"/>
        </w:rPr>
        <w:t>1</w:t>
      </w:r>
      <w:r w:rsidRPr="00DE1967">
        <w:rPr>
          <w:snapToGrid/>
          <w:szCs w:val="22"/>
          <w:lang w:val="de-DE" w:eastAsia="de-DE"/>
        </w:rPr>
        <w:t>-Rezeptor-Subtyp, der für die bekannten Wirkungen von Angiotensin II verantwortlich ist.</w:t>
      </w:r>
      <w:r w:rsidR="00F8185D" w:rsidRPr="00DE1967">
        <w:rPr>
          <w:snapToGrid/>
          <w:szCs w:val="22"/>
          <w:lang w:val="de-DE" w:eastAsia="de-DE"/>
        </w:rPr>
        <w:t xml:space="preserve"> </w:t>
      </w:r>
      <w:r w:rsidRPr="00DE1967">
        <w:rPr>
          <w:snapToGrid/>
          <w:szCs w:val="22"/>
          <w:lang w:val="de-DE" w:eastAsia="de-DE"/>
        </w:rPr>
        <w:t>Telmisartan zeigt keine partiell agonistische Aktivität am AT</w:t>
      </w:r>
      <w:r w:rsidRPr="00DE1967">
        <w:rPr>
          <w:snapToGrid/>
          <w:szCs w:val="22"/>
          <w:vertAlign w:val="subscript"/>
          <w:lang w:val="de-DE" w:eastAsia="de-DE"/>
        </w:rPr>
        <w:t>1</w:t>
      </w:r>
      <w:r w:rsidRPr="00DE1967">
        <w:rPr>
          <w:snapToGrid/>
          <w:szCs w:val="22"/>
          <w:lang w:val="de-DE" w:eastAsia="de-DE"/>
        </w:rPr>
        <w:t>-Rezeptor. Telmisartan bindet selektiv</w:t>
      </w:r>
      <w:r w:rsidR="00F8185D" w:rsidRPr="00DE1967">
        <w:rPr>
          <w:snapToGrid/>
          <w:szCs w:val="22"/>
          <w:lang w:val="de-DE" w:eastAsia="de-DE"/>
        </w:rPr>
        <w:t xml:space="preserve"> </w:t>
      </w:r>
      <w:r w:rsidRPr="00DE1967">
        <w:rPr>
          <w:snapToGrid/>
          <w:szCs w:val="22"/>
          <w:lang w:val="de-DE" w:eastAsia="de-DE"/>
        </w:rPr>
        <w:t>an den AT</w:t>
      </w:r>
      <w:r w:rsidRPr="00DE1967">
        <w:rPr>
          <w:snapToGrid/>
          <w:szCs w:val="22"/>
          <w:vertAlign w:val="subscript"/>
          <w:lang w:val="de-DE" w:eastAsia="de-DE"/>
        </w:rPr>
        <w:t>1</w:t>
      </w:r>
      <w:r w:rsidRPr="00DE1967">
        <w:rPr>
          <w:snapToGrid/>
          <w:szCs w:val="22"/>
          <w:lang w:val="de-DE" w:eastAsia="de-DE"/>
        </w:rPr>
        <w:t>-Rezeptor. Diese Bindung ist lange andauernd. Telmisartan zeigt keine Affinität zu anderen</w:t>
      </w:r>
      <w:r w:rsidR="00F8185D" w:rsidRPr="00DE1967">
        <w:rPr>
          <w:snapToGrid/>
          <w:szCs w:val="22"/>
          <w:lang w:val="de-DE" w:eastAsia="de-DE"/>
        </w:rPr>
        <w:t xml:space="preserve"> </w:t>
      </w:r>
      <w:r w:rsidRPr="00DE1967">
        <w:rPr>
          <w:snapToGrid/>
          <w:szCs w:val="22"/>
          <w:lang w:val="de-DE" w:eastAsia="de-DE"/>
        </w:rPr>
        <w:t>Rezeptoren, einschließlich AT</w:t>
      </w:r>
      <w:r w:rsidRPr="00DE1967">
        <w:rPr>
          <w:snapToGrid/>
          <w:szCs w:val="22"/>
          <w:vertAlign w:val="subscript"/>
          <w:lang w:val="de-DE" w:eastAsia="de-DE"/>
        </w:rPr>
        <w:t>2</w:t>
      </w:r>
      <w:r w:rsidRPr="00DE1967">
        <w:rPr>
          <w:snapToGrid/>
          <w:szCs w:val="22"/>
          <w:lang w:val="de-DE" w:eastAsia="de-DE"/>
        </w:rPr>
        <w:t>- und anderer, weniger charakterisierter AT-Rezeptoren. Die</w:t>
      </w:r>
      <w:r w:rsidR="007C1D08" w:rsidRPr="00DE1967">
        <w:rPr>
          <w:snapToGrid/>
          <w:szCs w:val="22"/>
          <w:lang w:val="de-DE" w:eastAsia="de-DE"/>
        </w:rPr>
        <w:t xml:space="preserve"> </w:t>
      </w:r>
      <w:r w:rsidRPr="00DE1967">
        <w:rPr>
          <w:snapToGrid/>
          <w:szCs w:val="22"/>
          <w:lang w:val="de-DE" w:eastAsia="de-DE"/>
        </w:rPr>
        <w:t>funktionelle Bedeutung dieser Rezeptoren ist</w:t>
      </w:r>
      <w:r w:rsidR="00F8185D" w:rsidRPr="00DE1967">
        <w:rPr>
          <w:snapToGrid/>
          <w:szCs w:val="22"/>
          <w:lang w:val="de-DE" w:eastAsia="de-DE"/>
        </w:rPr>
        <w:t xml:space="preserve"> </w:t>
      </w:r>
      <w:r w:rsidRPr="00DE1967">
        <w:rPr>
          <w:snapToGrid/>
          <w:szCs w:val="22"/>
          <w:lang w:val="de-DE" w:eastAsia="de-DE"/>
        </w:rPr>
        <w:t>ebenso wenig bekannt wie die Wirkung ihrer möglichen</w:t>
      </w:r>
      <w:r w:rsidR="00F8185D" w:rsidRPr="00DE1967">
        <w:rPr>
          <w:snapToGrid/>
          <w:szCs w:val="22"/>
          <w:lang w:val="de-DE" w:eastAsia="de-DE"/>
        </w:rPr>
        <w:t xml:space="preserve"> </w:t>
      </w:r>
      <w:r w:rsidRPr="00DE1967">
        <w:rPr>
          <w:snapToGrid/>
          <w:szCs w:val="22"/>
          <w:lang w:val="de-DE" w:eastAsia="de-DE"/>
        </w:rPr>
        <w:t>Überstimulierung durch Angiotensin II, dessen Spiegel durch Telmisartan erhöht wird. Plasma-</w:t>
      </w:r>
      <w:proofErr w:type="spellStart"/>
      <w:r w:rsidRPr="00DE1967">
        <w:rPr>
          <w:snapToGrid/>
          <w:szCs w:val="22"/>
          <w:lang w:val="de-DE" w:eastAsia="de-DE"/>
        </w:rPr>
        <w:t>Aldosteronspiegel</w:t>
      </w:r>
      <w:proofErr w:type="spellEnd"/>
      <w:r w:rsidRPr="00DE1967">
        <w:rPr>
          <w:snapToGrid/>
          <w:szCs w:val="22"/>
          <w:lang w:val="de-DE" w:eastAsia="de-DE"/>
        </w:rPr>
        <w:t xml:space="preserve"> werden durch Telmisartan gesenkt. Telmisartan hemmt weder humanes</w:t>
      </w:r>
      <w:r w:rsidR="00F8185D" w:rsidRPr="00DE1967">
        <w:rPr>
          <w:snapToGrid/>
          <w:szCs w:val="22"/>
          <w:lang w:val="de-DE" w:eastAsia="de-DE"/>
        </w:rPr>
        <w:t xml:space="preserve"> </w:t>
      </w:r>
      <w:proofErr w:type="spellStart"/>
      <w:r w:rsidRPr="00DE1967">
        <w:rPr>
          <w:snapToGrid/>
          <w:szCs w:val="22"/>
          <w:lang w:val="de-DE" w:eastAsia="de-DE"/>
        </w:rPr>
        <w:t>Plasmarenin</w:t>
      </w:r>
      <w:proofErr w:type="spellEnd"/>
      <w:r w:rsidRPr="00DE1967">
        <w:rPr>
          <w:snapToGrid/>
          <w:szCs w:val="22"/>
          <w:lang w:val="de-DE" w:eastAsia="de-DE"/>
        </w:rPr>
        <w:t xml:space="preserve"> noch blockiert es Ionenkanäle. Telmisartan hemmt nicht das Angiotensin-</w:t>
      </w:r>
      <w:proofErr w:type="spellStart"/>
      <w:r w:rsidRPr="00DE1967">
        <w:rPr>
          <w:snapToGrid/>
          <w:szCs w:val="22"/>
          <w:lang w:val="de-DE" w:eastAsia="de-DE"/>
        </w:rPr>
        <w:t>Converting</w:t>
      </w:r>
      <w:proofErr w:type="spellEnd"/>
      <w:r w:rsidRPr="00DE1967">
        <w:rPr>
          <w:snapToGrid/>
          <w:szCs w:val="22"/>
          <w:lang w:val="de-DE" w:eastAsia="de-DE"/>
        </w:rPr>
        <w:t>-Enzym (</w:t>
      </w:r>
      <w:proofErr w:type="spellStart"/>
      <w:r w:rsidRPr="00DE1967">
        <w:rPr>
          <w:snapToGrid/>
          <w:szCs w:val="22"/>
          <w:lang w:val="de-DE" w:eastAsia="de-DE"/>
        </w:rPr>
        <w:t>Kininase</w:t>
      </w:r>
      <w:proofErr w:type="spellEnd"/>
      <w:r w:rsidRPr="00DE1967">
        <w:rPr>
          <w:snapToGrid/>
          <w:szCs w:val="22"/>
          <w:lang w:val="de-DE" w:eastAsia="de-DE"/>
        </w:rPr>
        <w:t xml:space="preserve"> II), das Enzym, das auch Bradykinin abbaut. Daher ist keine Verstärkung der</w:t>
      </w:r>
      <w:r w:rsidR="00F8185D" w:rsidRPr="00DE1967">
        <w:rPr>
          <w:snapToGrid/>
          <w:szCs w:val="22"/>
          <w:lang w:val="de-DE" w:eastAsia="de-DE"/>
        </w:rPr>
        <w:t xml:space="preserve"> </w:t>
      </w:r>
      <w:r w:rsidRPr="00DE1967">
        <w:rPr>
          <w:snapToGrid/>
          <w:szCs w:val="22"/>
          <w:lang w:val="de-DE" w:eastAsia="de-DE"/>
        </w:rPr>
        <w:t>Bradykinin vermittelten unerwünschten Wirkungen zu erwarten.</w:t>
      </w:r>
    </w:p>
    <w:p w:rsidR="008D0B0F" w:rsidRPr="00DE1967" w:rsidRDefault="008D0B0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Eine Dosis von 80</w:t>
      </w:r>
      <w:r w:rsidR="00023E2B" w:rsidRPr="00DE1967">
        <w:rPr>
          <w:snapToGrid/>
          <w:szCs w:val="22"/>
          <w:lang w:val="de-DE" w:eastAsia="de-DE"/>
        </w:rPr>
        <w:t> mg</w:t>
      </w:r>
      <w:r w:rsidRPr="00DE1967">
        <w:rPr>
          <w:snapToGrid/>
          <w:szCs w:val="22"/>
          <w:lang w:val="de-DE" w:eastAsia="de-DE"/>
        </w:rPr>
        <w:t xml:space="preserve"> Telmisartan, die gesunden Probanden gegeben wurde, hemmt fast vollständig</w:t>
      </w:r>
      <w:r w:rsidR="00F8185D" w:rsidRPr="00DE1967">
        <w:rPr>
          <w:snapToGrid/>
          <w:szCs w:val="22"/>
          <w:lang w:val="de-DE" w:eastAsia="de-DE"/>
        </w:rPr>
        <w:t xml:space="preserve"> </w:t>
      </w:r>
      <w:r w:rsidRPr="00DE1967">
        <w:rPr>
          <w:snapToGrid/>
          <w:szCs w:val="22"/>
          <w:lang w:val="de-DE" w:eastAsia="de-DE"/>
        </w:rPr>
        <w:t>den durch Angiotensin II hervorgerufenen Blutdruckanstieg. Der inhibitorische Effekt wird über</w:t>
      </w:r>
      <w:r w:rsidR="00F8185D" w:rsidRPr="00DE1967">
        <w:rPr>
          <w:snapToGrid/>
          <w:szCs w:val="22"/>
          <w:lang w:val="de-DE" w:eastAsia="de-DE"/>
        </w:rPr>
        <w:t xml:space="preserve"> </w:t>
      </w:r>
      <w:r w:rsidRPr="00DE1967">
        <w:rPr>
          <w:snapToGrid/>
          <w:szCs w:val="22"/>
          <w:lang w:val="de-DE" w:eastAsia="de-DE"/>
        </w:rPr>
        <w:t>24</w:t>
      </w:r>
      <w:r w:rsidR="00F8185D" w:rsidRPr="00DE1967">
        <w:rPr>
          <w:snapToGrid/>
          <w:szCs w:val="22"/>
          <w:lang w:val="de-DE" w:eastAsia="de-DE"/>
        </w:rPr>
        <w:t> </w:t>
      </w:r>
      <w:r w:rsidRPr="00DE1967">
        <w:rPr>
          <w:snapToGrid/>
          <w:szCs w:val="22"/>
          <w:lang w:val="de-DE" w:eastAsia="de-DE"/>
        </w:rPr>
        <w:t>Stunden aufrechterhalten und ist auch nach 48</w:t>
      </w:r>
      <w:r w:rsidR="00F8185D" w:rsidRPr="00DE1967">
        <w:rPr>
          <w:snapToGrid/>
          <w:szCs w:val="22"/>
          <w:lang w:val="de-DE" w:eastAsia="de-DE"/>
        </w:rPr>
        <w:t> </w:t>
      </w:r>
      <w:r w:rsidRPr="00DE1967">
        <w:rPr>
          <w:snapToGrid/>
          <w:szCs w:val="22"/>
          <w:lang w:val="de-DE" w:eastAsia="de-DE"/>
        </w:rPr>
        <w:t>Stunden noch messbar.</w:t>
      </w:r>
    </w:p>
    <w:p w:rsidR="00F8185D" w:rsidRPr="00DE1967" w:rsidRDefault="00F8185D" w:rsidP="0003742E">
      <w:pPr>
        <w:widowControl w:val="0"/>
        <w:tabs>
          <w:tab w:val="clear" w:pos="567"/>
        </w:tabs>
        <w:autoSpaceDE w:val="0"/>
        <w:autoSpaceDN w:val="0"/>
        <w:adjustRightInd w:val="0"/>
        <w:spacing w:line="240" w:lineRule="auto"/>
        <w:rPr>
          <w:snapToGrid/>
          <w:szCs w:val="22"/>
          <w:lang w:val="de-DE" w:eastAsia="de-DE"/>
        </w:rPr>
      </w:pPr>
    </w:p>
    <w:p w:rsidR="00FA03F2" w:rsidRPr="00DE1967" w:rsidRDefault="00FA03F2" w:rsidP="00FA03F2">
      <w:pPr>
        <w:keepLines/>
        <w:rPr>
          <w:szCs w:val="22"/>
          <w:lang w:val="de-DE"/>
        </w:rPr>
      </w:pPr>
      <w:r w:rsidRPr="00DE1967">
        <w:rPr>
          <w:szCs w:val="22"/>
          <w:lang w:val="de-DE"/>
        </w:rPr>
        <w:t xml:space="preserve">Hydrochlorothiazid ist ein Thiaziddiuretikum. Der Mechanismus der antihypertensiven Wirkung der Thiaziddiuretika ist nicht vollständig bekannt. Thiazide beeinflussen die renalen tubulären Mechanismen der Elektrolytreabsorption, wobei sie die Natrium- und </w:t>
      </w:r>
      <w:proofErr w:type="spellStart"/>
      <w:r w:rsidRPr="00DE1967">
        <w:rPr>
          <w:szCs w:val="22"/>
          <w:lang w:val="de-DE"/>
        </w:rPr>
        <w:t>Chloridausscheidung</w:t>
      </w:r>
      <w:proofErr w:type="spellEnd"/>
      <w:r w:rsidRPr="00DE1967">
        <w:rPr>
          <w:szCs w:val="22"/>
          <w:lang w:val="de-DE"/>
        </w:rPr>
        <w:t xml:space="preserve"> in etwa gleichem Ausmaß erhöhen. Die diuretische Wirkung des Hydrochlorothiazids verringert das Plasmavolumen, erhöht die Plasma-Renin-Aktivität, erhöht die </w:t>
      </w:r>
      <w:proofErr w:type="spellStart"/>
      <w:r w:rsidRPr="00DE1967">
        <w:rPr>
          <w:szCs w:val="22"/>
          <w:lang w:val="de-DE"/>
        </w:rPr>
        <w:t>Aldosteronsekretion</w:t>
      </w:r>
      <w:proofErr w:type="spellEnd"/>
      <w:r w:rsidRPr="00DE1967">
        <w:rPr>
          <w:szCs w:val="22"/>
          <w:lang w:val="de-DE"/>
        </w:rPr>
        <w:t xml:space="preserve"> und infolgedessen den Kalium- und </w:t>
      </w:r>
      <w:proofErr w:type="spellStart"/>
      <w:r w:rsidRPr="00DE1967">
        <w:rPr>
          <w:szCs w:val="22"/>
          <w:lang w:val="de-DE"/>
        </w:rPr>
        <w:t>Bikarbonatverlust</w:t>
      </w:r>
      <w:proofErr w:type="spellEnd"/>
      <w:r w:rsidRPr="00DE1967">
        <w:rPr>
          <w:szCs w:val="22"/>
          <w:lang w:val="de-DE"/>
        </w:rPr>
        <w:t xml:space="preserve"> im Urin und senkt das Serumkalium. Vermutlich durch die Blockade des Renin-Angiotensin-Aldosteron-Systems kann die gleichzeitige Gabe von Telmisartan dem Kaliumverlust entgegenwirken, der mit diesen Diuretika in Zusammenhang steht. Mit Hydrochlorothiazid setzt die Diurese nach 2 Stunden ein, der maximale Effekt wird nach etwa 4 Stunden erreicht und die Wirkung hält etwa 6</w:t>
      </w:r>
      <w:r w:rsidRPr="00DE1967">
        <w:rPr>
          <w:szCs w:val="22"/>
          <w:lang w:val="de-DE"/>
        </w:rPr>
        <w:noBreakHyphen/>
        <w:t>12 Stunden an.</w:t>
      </w:r>
    </w:p>
    <w:p w:rsidR="00FA03F2" w:rsidRPr="00DE1967" w:rsidRDefault="00FA03F2" w:rsidP="00FA03F2">
      <w:pPr>
        <w:rPr>
          <w:szCs w:val="22"/>
          <w:lang w:val="de-DE"/>
        </w:rPr>
      </w:pPr>
    </w:p>
    <w:p w:rsidR="00FA03F2" w:rsidRPr="00DE1967" w:rsidRDefault="00FA03F2" w:rsidP="00854C15">
      <w:pPr>
        <w:keepNext/>
        <w:keepLines/>
        <w:rPr>
          <w:szCs w:val="22"/>
          <w:u w:val="single"/>
          <w:lang w:val="de-DE"/>
        </w:rPr>
      </w:pPr>
      <w:r w:rsidRPr="00DE1967">
        <w:rPr>
          <w:szCs w:val="22"/>
          <w:u w:val="single"/>
          <w:lang w:val="de-DE"/>
        </w:rPr>
        <w:t>Klinische Wirksamkeit und Sicherheit</w:t>
      </w:r>
    </w:p>
    <w:p w:rsidR="00FA03F2" w:rsidRPr="00DE1967" w:rsidRDefault="00FA03F2" w:rsidP="00854C15">
      <w:pPr>
        <w:keepNext/>
        <w:keepLines/>
        <w:rPr>
          <w:szCs w:val="22"/>
          <w:lang w:val="de-DE"/>
        </w:rPr>
      </w:pPr>
    </w:p>
    <w:p w:rsidR="00FA03F2" w:rsidRPr="00DE1967" w:rsidRDefault="00FA03F2" w:rsidP="00854C15">
      <w:pPr>
        <w:keepNext/>
        <w:rPr>
          <w:snapToGrid/>
          <w:szCs w:val="22"/>
          <w:lang w:val="de-DE" w:eastAsia="de-DE"/>
        </w:rPr>
      </w:pPr>
      <w:r w:rsidRPr="00DE1967">
        <w:rPr>
          <w:szCs w:val="22"/>
          <w:lang w:val="de-DE"/>
        </w:rPr>
        <w:t>Behandlung der essentiellen Hypertonie</w:t>
      </w:r>
    </w:p>
    <w:p w:rsidR="008D0B0F" w:rsidRPr="00DE1967" w:rsidRDefault="008D0B0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Nach der Initialgabe von Telmisartan tritt die antihypertensive Wirkung allmählich innerhalb von</w:t>
      </w:r>
      <w:r w:rsidR="00F8185D" w:rsidRPr="00DE1967">
        <w:rPr>
          <w:snapToGrid/>
          <w:szCs w:val="22"/>
          <w:lang w:val="de-DE" w:eastAsia="de-DE"/>
        </w:rPr>
        <w:t xml:space="preserve"> </w:t>
      </w:r>
      <w:r w:rsidRPr="00DE1967">
        <w:rPr>
          <w:snapToGrid/>
          <w:szCs w:val="22"/>
          <w:lang w:val="de-DE" w:eastAsia="de-DE"/>
        </w:rPr>
        <w:t>3</w:t>
      </w:r>
      <w:r w:rsidR="00F8185D" w:rsidRPr="00DE1967">
        <w:rPr>
          <w:snapToGrid/>
          <w:szCs w:val="22"/>
          <w:lang w:val="de-DE" w:eastAsia="de-DE"/>
        </w:rPr>
        <w:t> </w:t>
      </w:r>
      <w:r w:rsidRPr="00DE1967">
        <w:rPr>
          <w:snapToGrid/>
          <w:szCs w:val="22"/>
          <w:lang w:val="de-DE" w:eastAsia="de-DE"/>
        </w:rPr>
        <w:t>Stunden ein. Die maximale Blutdrucksenkung wird im Allgemeinen 4-8</w:t>
      </w:r>
      <w:r w:rsidR="00F8185D" w:rsidRPr="00DE1967">
        <w:rPr>
          <w:snapToGrid/>
          <w:szCs w:val="22"/>
          <w:lang w:val="de-DE" w:eastAsia="de-DE"/>
        </w:rPr>
        <w:t> </w:t>
      </w:r>
      <w:r w:rsidRPr="00DE1967">
        <w:rPr>
          <w:snapToGrid/>
          <w:szCs w:val="22"/>
          <w:lang w:val="de-DE" w:eastAsia="de-DE"/>
        </w:rPr>
        <w:t>Wochen nach</w:t>
      </w:r>
      <w:r w:rsidR="00F8185D" w:rsidRPr="00DE1967">
        <w:rPr>
          <w:snapToGrid/>
          <w:szCs w:val="22"/>
          <w:lang w:val="de-DE" w:eastAsia="de-DE"/>
        </w:rPr>
        <w:t xml:space="preserve"> </w:t>
      </w:r>
      <w:r w:rsidRPr="00DE1967">
        <w:rPr>
          <w:snapToGrid/>
          <w:szCs w:val="22"/>
          <w:lang w:val="de-DE" w:eastAsia="de-DE"/>
        </w:rPr>
        <w:t>Therapiebeginn erreicht und bei Langzeittherapie aufrecht erhalten. Die antihypertensive Wirkung hält</w:t>
      </w:r>
      <w:r w:rsidR="00F8185D" w:rsidRPr="00DE1967">
        <w:rPr>
          <w:snapToGrid/>
          <w:szCs w:val="22"/>
          <w:lang w:val="de-DE" w:eastAsia="de-DE"/>
        </w:rPr>
        <w:t xml:space="preserve"> </w:t>
      </w:r>
      <w:r w:rsidRPr="00DE1967">
        <w:rPr>
          <w:snapToGrid/>
          <w:szCs w:val="22"/>
          <w:lang w:val="de-DE" w:eastAsia="de-DE"/>
        </w:rPr>
        <w:t>konstant über 24</w:t>
      </w:r>
      <w:r w:rsidR="00F8185D" w:rsidRPr="00DE1967">
        <w:rPr>
          <w:snapToGrid/>
          <w:szCs w:val="22"/>
          <w:lang w:val="de-DE" w:eastAsia="de-DE"/>
        </w:rPr>
        <w:t> </w:t>
      </w:r>
      <w:r w:rsidRPr="00DE1967">
        <w:rPr>
          <w:snapToGrid/>
          <w:szCs w:val="22"/>
          <w:lang w:val="de-DE" w:eastAsia="de-DE"/>
        </w:rPr>
        <w:t>Stunden an. Wie durch ambulantes Blutdruckmonitoring festgestellt wurde, schließt</w:t>
      </w:r>
      <w:r w:rsidR="00F8185D" w:rsidRPr="00DE1967">
        <w:rPr>
          <w:snapToGrid/>
          <w:szCs w:val="22"/>
          <w:lang w:val="de-DE" w:eastAsia="de-DE"/>
        </w:rPr>
        <w:t xml:space="preserve"> </w:t>
      </w:r>
      <w:r w:rsidRPr="00DE1967">
        <w:rPr>
          <w:snapToGrid/>
          <w:szCs w:val="22"/>
          <w:lang w:val="de-DE" w:eastAsia="de-DE"/>
        </w:rPr>
        <w:t>dies auch die letzten 4</w:t>
      </w:r>
      <w:r w:rsidR="00F8185D" w:rsidRPr="00DE1967">
        <w:rPr>
          <w:snapToGrid/>
          <w:szCs w:val="22"/>
          <w:lang w:val="de-DE" w:eastAsia="de-DE"/>
        </w:rPr>
        <w:t> </w:t>
      </w:r>
      <w:r w:rsidRPr="00DE1967">
        <w:rPr>
          <w:snapToGrid/>
          <w:szCs w:val="22"/>
          <w:lang w:val="de-DE" w:eastAsia="de-DE"/>
        </w:rPr>
        <w:t>Stunden vor der nächsten Einnahme ein. Dies wird durch Messungen zum</w:t>
      </w:r>
      <w:r w:rsidR="00F8185D" w:rsidRPr="00DE1967">
        <w:rPr>
          <w:snapToGrid/>
          <w:szCs w:val="22"/>
          <w:lang w:val="de-DE" w:eastAsia="de-DE"/>
        </w:rPr>
        <w:t xml:space="preserve"> </w:t>
      </w:r>
      <w:r w:rsidRPr="00DE1967">
        <w:rPr>
          <w:snapToGrid/>
          <w:szCs w:val="22"/>
          <w:lang w:val="de-DE" w:eastAsia="de-DE"/>
        </w:rPr>
        <w:t>Zeitpunkt der maximalen Wirkung und unmittelbar vor der nächsten Dosis bestätigt (</w:t>
      </w:r>
      <w:proofErr w:type="spellStart"/>
      <w:r w:rsidRPr="00DE1967">
        <w:rPr>
          <w:snapToGrid/>
          <w:szCs w:val="22"/>
          <w:lang w:val="de-DE" w:eastAsia="de-DE"/>
        </w:rPr>
        <w:t>Trough</w:t>
      </w:r>
      <w:proofErr w:type="spellEnd"/>
      <w:r w:rsidRPr="00DE1967">
        <w:rPr>
          <w:snapToGrid/>
          <w:szCs w:val="22"/>
          <w:lang w:val="de-DE" w:eastAsia="de-DE"/>
        </w:rPr>
        <w:t>-</w:t>
      </w:r>
      <w:proofErr w:type="spellStart"/>
      <w:r w:rsidRPr="00DE1967">
        <w:rPr>
          <w:snapToGrid/>
          <w:szCs w:val="22"/>
          <w:lang w:val="de-DE" w:eastAsia="de-DE"/>
        </w:rPr>
        <w:t>to</w:t>
      </w:r>
      <w:proofErr w:type="spellEnd"/>
      <w:r w:rsidRPr="00DE1967">
        <w:rPr>
          <w:snapToGrid/>
          <w:szCs w:val="22"/>
          <w:lang w:val="de-DE" w:eastAsia="de-DE"/>
        </w:rPr>
        <w:t>-Peak-</w:t>
      </w:r>
      <w:proofErr w:type="spellStart"/>
      <w:r w:rsidRPr="00DE1967">
        <w:rPr>
          <w:snapToGrid/>
          <w:szCs w:val="22"/>
          <w:lang w:val="de-DE" w:eastAsia="de-DE"/>
        </w:rPr>
        <w:t>Ratios</w:t>
      </w:r>
      <w:proofErr w:type="spellEnd"/>
      <w:r w:rsidRPr="00DE1967">
        <w:rPr>
          <w:snapToGrid/>
          <w:szCs w:val="22"/>
          <w:lang w:val="de-DE" w:eastAsia="de-DE"/>
        </w:rPr>
        <w:t xml:space="preserve"> von einheitlich über 80</w:t>
      </w:r>
      <w:r w:rsidR="00F8185D" w:rsidRPr="00DE1967">
        <w:rPr>
          <w:snapToGrid/>
          <w:szCs w:val="22"/>
          <w:lang w:val="de-DE" w:eastAsia="de-DE"/>
        </w:rPr>
        <w:t> </w:t>
      </w:r>
      <w:r w:rsidRPr="00DE1967">
        <w:rPr>
          <w:snapToGrid/>
          <w:szCs w:val="22"/>
          <w:lang w:val="de-DE" w:eastAsia="de-DE"/>
        </w:rPr>
        <w:t>% nach Gabe von 40</w:t>
      </w:r>
      <w:r w:rsidR="00023E2B" w:rsidRPr="00DE1967">
        <w:rPr>
          <w:snapToGrid/>
          <w:szCs w:val="22"/>
          <w:lang w:val="de-DE" w:eastAsia="de-DE"/>
        </w:rPr>
        <w:t> mg</w:t>
      </w:r>
      <w:r w:rsidRPr="00DE1967">
        <w:rPr>
          <w:snapToGrid/>
          <w:szCs w:val="22"/>
          <w:lang w:val="de-DE" w:eastAsia="de-DE"/>
        </w:rPr>
        <w:t xml:space="preserve"> und 80</w:t>
      </w:r>
      <w:r w:rsidR="00023E2B" w:rsidRPr="00DE1967">
        <w:rPr>
          <w:snapToGrid/>
          <w:szCs w:val="22"/>
          <w:lang w:val="de-DE" w:eastAsia="de-DE"/>
        </w:rPr>
        <w:t> mg</w:t>
      </w:r>
      <w:r w:rsidRPr="00DE1967">
        <w:rPr>
          <w:snapToGrid/>
          <w:szCs w:val="22"/>
          <w:lang w:val="de-DE" w:eastAsia="de-DE"/>
        </w:rPr>
        <w:t xml:space="preserve"> Telmisartan in Placebo</w:t>
      </w:r>
      <w:r w:rsidR="00D75747" w:rsidRPr="00DE1967">
        <w:rPr>
          <w:snapToGrid/>
          <w:szCs w:val="22"/>
          <w:lang w:val="de-DE" w:eastAsia="de-DE"/>
        </w:rPr>
        <w:t>-</w:t>
      </w:r>
      <w:r w:rsidRPr="00DE1967">
        <w:rPr>
          <w:snapToGrid/>
          <w:szCs w:val="22"/>
          <w:lang w:val="de-DE" w:eastAsia="de-DE"/>
        </w:rPr>
        <w:t>kontrollierten</w:t>
      </w:r>
      <w:r w:rsidR="00F8185D" w:rsidRPr="00DE1967">
        <w:rPr>
          <w:snapToGrid/>
          <w:szCs w:val="22"/>
          <w:lang w:val="de-DE" w:eastAsia="de-DE"/>
        </w:rPr>
        <w:t xml:space="preserve"> </w:t>
      </w:r>
      <w:r w:rsidRPr="00DE1967">
        <w:rPr>
          <w:snapToGrid/>
          <w:szCs w:val="22"/>
          <w:lang w:val="de-DE" w:eastAsia="de-DE"/>
        </w:rPr>
        <w:t>klinischen Studien).</w:t>
      </w:r>
    </w:p>
    <w:p w:rsidR="00F8185D" w:rsidRPr="00DE1967" w:rsidRDefault="00F8185D" w:rsidP="0003742E">
      <w:pPr>
        <w:widowControl w:val="0"/>
        <w:tabs>
          <w:tab w:val="clear" w:pos="567"/>
        </w:tabs>
        <w:autoSpaceDE w:val="0"/>
        <w:autoSpaceDN w:val="0"/>
        <w:adjustRightInd w:val="0"/>
        <w:spacing w:line="240" w:lineRule="auto"/>
        <w:rPr>
          <w:snapToGrid/>
          <w:szCs w:val="22"/>
          <w:lang w:val="de-DE" w:eastAsia="de-DE"/>
        </w:rPr>
      </w:pPr>
    </w:p>
    <w:p w:rsidR="008D0B0F" w:rsidRPr="00DE1967" w:rsidRDefault="008D0B0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Telmisartan senkt bei Patienten mit Hypertonie sowohl den systolischen als auch den diastolischen</w:t>
      </w:r>
      <w:r w:rsidR="00F8185D" w:rsidRPr="00DE1967">
        <w:rPr>
          <w:snapToGrid/>
          <w:szCs w:val="22"/>
          <w:lang w:val="de-DE" w:eastAsia="de-DE"/>
        </w:rPr>
        <w:t xml:space="preserve"> </w:t>
      </w:r>
      <w:r w:rsidRPr="00DE1967">
        <w:rPr>
          <w:snapToGrid/>
          <w:szCs w:val="22"/>
          <w:lang w:val="de-DE" w:eastAsia="de-DE"/>
        </w:rPr>
        <w:t>Blutdruck, ohne die Pulsfrequenz zu beeinflussen. Die antihypertensive Wirkung von Telmisartan ist</w:t>
      </w:r>
      <w:r w:rsidR="00F8185D" w:rsidRPr="00DE1967">
        <w:rPr>
          <w:snapToGrid/>
          <w:szCs w:val="22"/>
          <w:lang w:val="de-DE" w:eastAsia="de-DE"/>
        </w:rPr>
        <w:t xml:space="preserve"> </w:t>
      </w:r>
      <w:r w:rsidRPr="00DE1967">
        <w:rPr>
          <w:snapToGrid/>
          <w:szCs w:val="22"/>
          <w:lang w:val="de-DE" w:eastAsia="de-DE"/>
        </w:rPr>
        <w:t>vergleichbar mit der Wirkung repräsentativer Vertreter anderer antihypertensiver Substanzklassen</w:t>
      </w:r>
      <w:r w:rsidR="00F8185D" w:rsidRPr="00DE1967">
        <w:rPr>
          <w:snapToGrid/>
          <w:szCs w:val="22"/>
          <w:lang w:val="de-DE" w:eastAsia="de-DE"/>
        </w:rPr>
        <w:t xml:space="preserve"> </w:t>
      </w:r>
      <w:r w:rsidRPr="00DE1967">
        <w:rPr>
          <w:snapToGrid/>
          <w:szCs w:val="22"/>
          <w:lang w:val="de-DE" w:eastAsia="de-DE"/>
        </w:rPr>
        <w:t>(dies wurde in klinischen Studien mit Amlodipin, Atenolol, Enalapril, Hydrochlorothiazid und</w:t>
      </w:r>
      <w:r w:rsidR="00F8185D" w:rsidRPr="00DE1967">
        <w:rPr>
          <w:snapToGrid/>
          <w:szCs w:val="22"/>
          <w:lang w:val="de-DE" w:eastAsia="de-DE"/>
        </w:rPr>
        <w:t xml:space="preserve"> </w:t>
      </w:r>
      <w:r w:rsidRPr="00DE1967">
        <w:rPr>
          <w:snapToGrid/>
          <w:szCs w:val="22"/>
          <w:lang w:val="de-DE" w:eastAsia="de-DE"/>
        </w:rPr>
        <w:t>Lisinopril im Vergleich mit Telmisartan gezeigt).</w:t>
      </w:r>
    </w:p>
    <w:p w:rsidR="00F8185D" w:rsidRPr="00DE1967" w:rsidRDefault="00F8185D" w:rsidP="0003742E">
      <w:pPr>
        <w:widowControl w:val="0"/>
        <w:tabs>
          <w:tab w:val="clear" w:pos="567"/>
        </w:tabs>
        <w:autoSpaceDE w:val="0"/>
        <w:autoSpaceDN w:val="0"/>
        <w:adjustRightInd w:val="0"/>
        <w:spacing w:line="240" w:lineRule="auto"/>
        <w:rPr>
          <w:snapToGrid/>
          <w:szCs w:val="22"/>
          <w:lang w:val="de-DE" w:eastAsia="de-DE"/>
        </w:rPr>
      </w:pPr>
    </w:p>
    <w:p w:rsidR="008D0B0F" w:rsidRPr="00DE1967" w:rsidRDefault="008D0B0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Nach abruptem Absetzen von Telmisartan kehrt der Blutdruck über einen Zeitraum von mehreren</w:t>
      </w:r>
      <w:r w:rsidR="00F8185D" w:rsidRPr="00DE1967">
        <w:rPr>
          <w:snapToGrid/>
          <w:szCs w:val="22"/>
          <w:lang w:val="de-DE" w:eastAsia="de-DE"/>
        </w:rPr>
        <w:t xml:space="preserve"> </w:t>
      </w:r>
      <w:r w:rsidRPr="00DE1967">
        <w:rPr>
          <w:snapToGrid/>
          <w:szCs w:val="22"/>
          <w:lang w:val="de-DE" w:eastAsia="de-DE"/>
        </w:rPr>
        <w:t>Tagen allmählich zu den Ausgangswerten vor der Behandlung zurück, ohne Anhaltspunkte für eine</w:t>
      </w:r>
      <w:r w:rsidR="00F8185D" w:rsidRPr="00DE1967">
        <w:rPr>
          <w:snapToGrid/>
          <w:szCs w:val="22"/>
          <w:lang w:val="de-DE" w:eastAsia="de-DE"/>
        </w:rPr>
        <w:t xml:space="preserve"> </w:t>
      </w:r>
      <w:r w:rsidRPr="00DE1967">
        <w:rPr>
          <w:snapToGrid/>
          <w:szCs w:val="22"/>
          <w:lang w:val="de-DE" w:eastAsia="de-DE"/>
        </w:rPr>
        <w:t>überschießende Blutdruckreaktion.</w:t>
      </w:r>
    </w:p>
    <w:p w:rsidR="008D0B0F" w:rsidRPr="00DE1967" w:rsidRDefault="008D0B0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Bei klinischen Prüfungen war im direkten Vergleich die Inzidenz von trockenem Husten bei Patienten,</w:t>
      </w:r>
      <w:r w:rsidR="00F8185D" w:rsidRPr="00DE1967">
        <w:rPr>
          <w:snapToGrid/>
          <w:szCs w:val="22"/>
          <w:lang w:val="de-DE" w:eastAsia="de-DE"/>
        </w:rPr>
        <w:t xml:space="preserve"> </w:t>
      </w:r>
      <w:r w:rsidRPr="00DE1967">
        <w:rPr>
          <w:snapToGrid/>
          <w:szCs w:val="22"/>
          <w:lang w:val="de-DE" w:eastAsia="de-DE"/>
        </w:rPr>
        <w:t>die mit Telmisartan behandelt wurden, signifikant seltener als bei Patienten, die mit Angiotensin-</w:t>
      </w:r>
      <w:proofErr w:type="spellStart"/>
      <w:r w:rsidRPr="00DE1967">
        <w:rPr>
          <w:snapToGrid/>
          <w:szCs w:val="22"/>
          <w:lang w:val="de-DE" w:eastAsia="de-DE"/>
        </w:rPr>
        <w:t>Converting</w:t>
      </w:r>
      <w:proofErr w:type="spellEnd"/>
      <w:r w:rsidRPr="00DE1967">
        <w:rPr>
          <w:snapToGrid/>
          <w:szCs w:val="22"/>
          <w:lang w:val="de-DE" w:eastAsia="de-DE"/>
        </w:rPr>
        <w:t>-Enzym-Inhibitoren behandelt wurden.</w:t>
      </w:r>
    </w:p>
    <w:p w:rsidR="00F8185D" w:rsidRPr="00DE1967" w:rsidRDefault="00F8185D" w:rsidP="0003742E">
      <w:pPr>
        <w:widowControl w:val="0"/>
        <w:tabs>
          <w:tab w:val="clear" w:pos="567"/>
        </w:tabs>
        <w:autoSpaceDE w:val="0"/>
        <w:autoSpaceDN w:val="0"/>
        <w:adjustRightInd w:val="0"/>
        <w:spacing w:line="240" w:lineRule="auto"/>
        <w:rPr>
          <w:snapToGrid/>
          <w:szCs w:val="22"/>
          <w:lang w:val="de-DE" w:eastAsia="de-DE"/>
        </w:rPr>
      </w:pP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Kardiovaskuläre Prävention</w:t>
      </w: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r w:rsidRPr="00DE1967">
        <w:rPr>
          <w:bCs/>
          <w:snapToGrid/>
          <w:szCs w:val="22"/>
          <w:lang w:val="de-DE" w:eastAsia="de-DE"/>
        </w:rPr>
        <w:t>ONTARGET</w:t>
      </w:r>
      <w:r w:rsidRPr="00DE1967">
        <w:rPr>
          <w:snapToGrid/>
          <w:szCs w:val="22"/>
          <w:lang w:val="de-DE" w:eastAsia="de-DE"/>
        </w:rPr>
        <w:t xml:space="preserve"> (</w:t>
      </w:r>
      <w:proofErr w:type="spellStart"/>
      <w:r w:rsidRPr="00DE1967">
        <w:rPr>
          <w:bCs/>
          <w:snapToGrid/>
          <w:szCs w:val="22"/>
          <w:lang w:val="de-DE" w:eastAsia="de-DE"/>
        </w:rPr>
        <w:t>ON</w:t>
      </w:r>
      <w:r w:rsidRPr="00DE1967">
        <w:rPr>
          <w:snapToGrid/>
          <w:szCs w:val="22"/>
          <w:lang w:val="de-DE" w:eastAsia="de-DE"/>
        </w:rPr>
        <w:t>going</w:t>
      </w:r>
      <w:proofErr w:type="spellEnd"/>
      <w:r w:rsidRPr="00DE1967">
        <w:rPr>
          <w:snapToGrid/>
          <w:szCs w:val="22"/>
          <w:lang w:val="de-DE" w:eastAsia="de-DE"/>
        </w:rPr>
        <w:t xml:space="preserve"> </w:t>
      </w:r>
      <w:r w:rsidRPr="00DE1967">
        <w:rPr>
          <w:bCs/>
          <w:snapToGrid/>
          <w:szCs w:val="22"/>
          <w:lang w:val="de-DE" w:eastAsia="de-DE"/>
        </w:rPr>
        <w:t>T</w:t>
      </w:r>
      <w:r w:rsidRPr="00DE1967">
        <w:rPr>
          <w:snapToGrid/>
          <w:szCs w:val="22"/>
          <w:lang w:val="de-DE" w:eastAsia="de-DE"/>
        </w:rPr>
        <w:t xml:space="preserve">elmisartan </w:t>
      </w:r>
      <w:r w:rsidRPr="00DE1967">
        <w:rPr>
          <w:bCs/>
          <w:snapToGrid/>
          <w:szCs w:val="22"/>
          <w:lang w:val="de-DE" w:eastAsia="de-DE"/>
        </w:rPr>
        <w:t>A</w:t>
      </w:r>
      <w:r w:rsidRPr="00DE1967">
        <w:rPr>
          <w:snapToGrid/>
          <w:szCs w:val="22"/>
          <w:lang w:val="de-DE" w:eastAsia="de-DE"/>
        </w:rPr>
        <w:t xml:space="preserve">lone and in </w:t>
      </w:r>
      <w:proofErr w:type="spellStart"/>
      <w:r w:rsidRPr="00DE1967">
        <w:rPr>
          <w:snapToGrid/>
          <w:szCs w:val="22"/>
          <w:lang w:val="de-DE" w:eastAsia="de-DE"/>
        </w:rPr>
        <w:t>Combination</w:t>
      </w:r>
      <w:proofErr w:type="spellEnd"/>
      <w:r w:rsidRPr="00DE1967">
        <w:rPr>
          <w:snapToGrid/>
          <w:szCs w:val="22"/>
          <w:lang w:val="de-DE" w:eastAsia="de-DE"/>
        </w:rPr>
        <w:t xml:space="preserve"> with </w:t>
      </w:r>
      <w:proofErr w:type="spellStart"/>
      <w:r w:rsidRPr="00DE1967">
        <w:rPr>
          <w:bCs/>
          <w:snapToGrid/>
          <w:szCs w:val="22"/>
          <w:lang w:val="de-DE" w:eastAsia="de-DE"/>
        </w:rPr>
        <w:t>R</w:t>
      </w:r>
      <w:r w:rsidRPr="00DE1967">
        <w:rPr>
          <w:snapToGrid/>
          <w:szCs w:val="22"/>
          <w:lang w:val="de-DE" w:eastAsia="de-DE"/>
        </w:rPr>
        <w:t>amipril</w:t>
      </w:r>
      <w:proofErr w:type="spellEnd"/>
      <w:r w:rsidRPr="00DE1967">
        <w:rPr>
          <w:snapToGrid/>
          <w:szCs w:val="22"/>
          <w:lang w:val="de-DE" w:eastAsia="de-DE"/>
        </w:rPr>
        <w:t xml:space="preserve"> </w:t>
      </w:r>
      <w:r w:rsidRPr="00DE1967">
        <w:rPr>
          <w:bCs/>
          <w:snapToGrid/>
          <w:szCs w:val="22"/>
          <w:lang w:val="de-DE" w:eastAsia="de-DE"/>
        </w:rPr>
        <w:t>G</w:t>
      </w:r>
      <w:r w:rsidRPr="00DE1967">
        <w:rPr>
          <w:snapToGrid/>
          <w:szCs w:val="22"/>
          <w:lang w:val="de-DE" w:eastAsia="de-DE"/>
        </w:rPr>
        <w:t xml:space="preserve">lobal </w:t>
      </w:r>
      <w:proofErr w:type="spellStart"/>
      <w:r w:rsidRPr="00DE1967">
        <w:rPr>
          <w:bCs/>
          <w:snapToGrid/>
          <w:szCs w:val="22"/>
          <w:lang w:val="de-DE" w:eastAsia="de-DE"/>
        </w:rPr>
        <w:t>E</w:t>
      </w:r>
      <w:r w:rsidRPr="00DE1967">
        <w:rPr>
          <w:snapToGrid/>
          <w:szCs w:val="22"/>
          <w:lang w:val="de-DE" w:eastAsia="de-DE"/>
        </w:rPr>
        <w:t>ndpoint</w:t>
      </w:r>
      <w:proofErr w:type="spellEnd"/>
      <w:r w:rsidRPr="00DE1967">
        <w:rPr>
          <w:snapToGrid/>
          <w:szCs w:val="22"/>
          <w:lang w:val="de-DE" w:eastAsia="de-DE"/>
        </w:rPr>
        <w:t xml:space="preserve"> </w:t>
      </w:r>
      <w:r w:rsidRPr="00DE1967">
        <w:rPr>
          <w:bCs/>
          <w:snapToGrid/>
          <w:szCs w:val="22"/>
          <w:lang w:val="de-DE" w:eastAsia="de-DE"/>
        </w:rPr>
        <w:t>T</w:t>
      </w:r>
      <w:r w:rsidRPr="00DE1967">
        <w:rPr>
          <w:snapToGrid/>
          <w:szCs w:val="22"/>
          <w:lang w:val="de-DE" w:eastAsia="de-DE"/>
        </w:rPr>
        <w:t xml:space="preserve">rial) verglich die Effekte von Telmisartan, </w:t>
      </w:r>
      <w:proofErr w:type="spellStart"/>
      <w:r w:rsidRPr="00DE1967">
        <w:rPr>
          <w:snapToGrid/>
          <w:szCs w:val="22"/>
          <w:lang w:val="de-DE" w:eastAsia="de-DE"/>
        </w:rPr>
        <w:t>Ramipril</w:t>
      </w:r>
      <w:proofErr w:type="spellEnd"/>
      <w:r w:rsidRPr="00DE1967">
        <w:rPr>
          <w:snapToGrid/>
          <w:szCs w:val="22"/>
          <w:lang w:val="de-DE" w:eastAsia="de-DE"/>
        </w:rPr>
        <w:t xml:space="preserve"> sowie der Kombination aus Telmisartan und </w:t>
      </w:r>
      <w:proofErr w:type="spellStart"/>
      <w:r w:rsidRPr="00DE1967">
        <w:rPr>
          <w:snapToGrid/>
          <w:szCs w:val="22"/>
          <w:lang w:val="de-DE" w:eastAsia="de-DE"/>
        </w:rPr>
        <w:t>Ramipril</w:t>
      </w:r>
      <w:proofErr w:type="spellEnd"/>
      <w:r w:rsidRPr="00DE1967">
        <w:rPr>
          <w:snapToGrid/>
          <w:szCs w:val="22"/>
          <w:lang w:val="de-DE" w:eastAsia="de-DE"/>
        </w:rPr>
        <w:t xml:space="preserve"> hinsichtlich des Auftretens kardiovaskulärer Ereignisse bei 25.620 Patienten im Alter von 55 Jahren oder älter mit einer Vorgeschichte von koronarer Herzerkrankung, Schlaganfall, TIA, peripherer arterieller Verschlusskrankheit oder Typ II Diabetes mellitus mit nachgewiesenen Endorganschäden (</w:t>
      </w:r>
      <w:r w:rsidR="00433771" w:rsidRPr="00DE1967">
        <w:rPr>
          <w:snapToGrid/>
          <w:szCs w:val="22"/>
          <w:lang w:val="de-DE" w:eastAsia="de-DE"/>
        </w:rPr>
        <w:t>z. B.</w:t>
      </w:r>
      <w:r w:rsidRPr="00DE1967">
        <w:rPr>
          <w:snapToGrid/>
          <w:szCs w:val="22"/>
          <w:lang w:val="de-DE" w:eastAsia="de-DE"/>
        </w:rPr>
        <w:t xml:space="preserve"> Retinopathie, linksventrikuläre Hypertrophie, Makro- oder Mikroalbuminurie), die eine Population mit einem Risiko für kardiovaskuläre Ereignisse darstellen.</w:t>
      </w: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 Patienten wurden zu jeweils einer der drei folgenden Behandlungsgruppen randomisiert und über einen Zeitraum von durchschnittlich 4,5 Jahren beobachtet: Telmisartan 80 mg (n = 8.542), </w:t>
      </w:r>
      <w:proofErr w:type="spellStart"/>
      <w:r w:rsidRPr="00DE1967">
        <w:rPr>
          <w:snapToGrid/>
          <w:szCs w:val="22"/>
          <w:lang w:val="de-DE" w:eastAsia="de-DE"/>
        </w:rPr>
        <w:t>Ramipril</w:t>
      </w:r>
      <w:proofErr w:type="spellEnd"/>
      <w:r w:rsidRPr="00DE1967">
        <w:rPr>
          <w:snapToGrid/>
          <w:szCs w:val="22"/>
          <w:lang w:val="de-DE" w:eastAsia="de-DE"/>
        </w:rPr>
        <w:t xml:space="preserve"> 10 mg (n = 8.576), bzw. die Kombinationstherapie aus Telmisartan 80 mg plus </w:t>
      </w:r>
      <w:proofErr w:type="spellStart"/>
      <w:r w:rsidRPr="00DE1967">
        <w:rPr>
          <w:snapToGrid/>
          <w:szCs w:val="22"/>
          <w:lang w:val="de-DE" w:eastAsia="de-DE"/>
        </w:rPr>
        <w:t>Ramipril</w:t>
      </w:r>
      <w:proofErr w:type="spellEnd"/>
      <w:r w:rsidRPr="00DE1967">
        <w:rPr>
          <w:snapToGrid/>
          <w:szCs w:val="22"/>
          <w:lang w:val="de-DE" w:eastAsia="de-DE"/>
        </w:rPr>
        <w:t xml:space="preserve"> 10 mg (n = 8.502).</w:t>
      </w: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Telmisartan war vergleichbar zu </w:t>
      </w:r>
      <w:proofErr w:type="spellStart"/>
      <w:r w:rsidRPr="00DE1967">
        <w:rPr>
          <w:snapToGrid/>
          <w:szCs w:val="22"/>
          <w:lang w:val="de-DE" w:eastAsia="de-DE"/>
        </w:rPr>
        <w:t>Ramipril</w:t>
      </w:r>
      <w:proofErr w:type="spellEnd"/>
      <w:r w:rsidRPr="00DE1967">
        <w:rPr>
          <w:snapToGrid/>
          <w:szCs w:val="22"/>
          <w:lang w:val="de-DE" w:eastAsia="de-DE"/>
        </w:rPr>
        <w:t xml:space="preserve"> hinsichtlich der Reduktion des kombinierten primären Endpunktes kardiovaskulärer Tod, nicht tödlicher Myokardinfarkt, nicht tödlicher Schlaganfall oder Krankenhauseinweisung wegen Herzinsuffizienz. Die Inzidenz des primären Endpunkts war in allen Behandlungsarmen ähnlich: Telmisartan (16,7 %) und </w:t>
      </w:r>
      <w:proofErr w:type="spellStart"/>
      <w:r w:rsidRPr="00DE1967">
        <w:rPr>
          <w:snapToGrid/>
          <w:szCs w:val="22"/>
          <w:lang w:val="de-DE" w:eastAsia="de-DE"/>
        </w:rPr>
        <w:t>Ramipril</w:t>
      </w:r>
      <w:proofErr w:type="spellEnd"/>
      <w:r w:rsidRPr="00DE1967">
        <w:rPr>
          <w:snapToGrid/>
          <w:szCs w:val="22"/>
          <w:lang w:val="de-DE" w:eastAsia="de-DE"/>
        </w:rPr>
        <w:t xml:space="preserve"> (16,5 %). Die Hazard-Ratio von Telmisartan gegenüber </w:t>
      </w:r>
      <w:proofErr w:type="spellStart"/>
      <w:r w:rsidRPr="00DE1967">
        <w:rPr>
          <w:snapToGrid/>
          <w:szCs w:val="22"/>
          <w:lang w:val="de-DE" w:eastAsia="de-DE"/>
        </w:rPr>
        <w:t>Ramipril</w:t>
      </w:r>
      <w:proofErr w:type="spellEnd"/>
      <w:r w:rsidRPr="00DE1967">
        <w:rPr>
          <w:snapToGrid/>
          <w:szCs w:val="22"/>
          <w:lang w:val="de-DE" w:eastAsia="de-DE"/>
        </w:rPr>
        <w:t xml:space="preserve"> lag bei 1,01 (97,5 %</w:t>
      </w:r>
      <w:r w:rsidRPr="00DE1967">
        <w:rPr>
          <w:snapToGrid/>
          <w:szCs w:val="22"/>
          <w:lang w:val="de-DE" w:eastAsia="de-DE"/>
        </w:rPr>
        <w:noBreakHyphen/>
        <w:t>Konfidenzintervall 0,93</w:t>
      </w:r>
      <w:r w:rsidRPr="00DE1967">
        <w:rPr>
          <w:snapToGrid/>
          <w:szCs w:val="22"/>
          <w:lang w:val="de-DE" w:eastAsia="de-DE"/>
        </w:rPr>
        <w:noBreakHyphen/>
        <w:t xml:space="preserve">1,10; p (Nicht-Unterlegenheit) = 0,0019 mit einer Grenze von 1,13). Die Gesamtmortalitätsrate war 11,6 % bei mit Telmisartan und 11,8 % bei mit </w:t>
      </w:r>
      <w:proofErr w:type="spellStart"/>
      <w:r w:rsidRPr="00DE1967">
        <w:rPr>
          <w:snapToGrid/>
          <w:szCs w:val="22"/>
          <w:lang w:val="de-DE" w:eastAsia="de-DE"/>
        </w:rPr>
        <w:t>Ramipril</w:t>
      </w:r>
      <w:proofErr w:type="spellEnd"/>
      <w:r w:rsidRPr="00DE1967">
        <w:rPr>
          <w:snapToGrid/>
          <w:szCs w:val="22"/>
          <w:lang w:val="de-DE" w:eastAsia="de-DE"/>
        </w:rPr>
        <w:t xml:space="preserve"> behandelten Patienten.</w:t>
      </w: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Telmisartan zeigte sich vergleichbar wirksam wie </w:t>
      </w:r>
      <w:proofErr w:type="spellStart"/>
      <w:r w:rsidRPr="00DE1967">
        <w:rPr>
          <w:snapToGrid/>
          <w:szCs w:val="22"/>
          <w:lang w:val="de-DE" w:eastAsia="de-DE"/>
        </w:rPr>
        <w:t>Ramipril</w:t>
      </w:r>
      <w:proofErr w:type="spellEnd"/>
      <w:r w:rsidRPr="00DE1967">
        <w:rPr>
          <w:snapToGrid/>
          <w:szCs w:val="22"/>
          <w:lang w:val="de-DE" w:eastAsia="de-DE"/>
        </w:rPr>
        <w:t xml:space="preserve"> im präspezifizierten sekundären Endpunkt kardiovaskulärer Tod, nicht tödlicher Myokardinfarkt und nicht tödlicher Schlaganfall [0,99 (97,5 %</w:t>
      </w:r>
      <w:r w:rsidRPr="00DE1967">
        <w:rPr>
          <w:snapToGrid/>
          <w:szCs w:val="22"/>
          <w:lang w:val="de-DE" w:eastAsia="de-DE"/>
        </w:rPr>
        <w:noBreakHyphen/>
        <w:t>Konfidenzintervall 0,90</w:t>
      </w:r>
      <w:r w:rsidRPr="00DE1967">
        <w:rPr>
          <w:snapToGrid/>
          <w:szCs w:val="22"/>
          <w:lang w:val="de-DE" w:eastAsia="de-DE"/>
        </w:rPr>
        <w:noBreakHyphen/>
        <w:t xml:space="preserve">1,08; p (Nicht-Unterlegenheit) = 0,0004)], dem primären Endpunkt der Referenzstudie HOPE (The </w:t>
      </w:r>
      <w:r w:rsidRPr="00DE1967">
        <w:rPr>
          <w:bCs/>
          <w:snapToGrid/>
          <w:szCs w:val="22"/>
          <w:lang w:val="de-DE" w:eastAsia="de-DE"/>
        </w:rPr>
        <w:t>H</w:t>
      </w:r>
      <w:r w:rsidRPr="00DE1967">
        <w:rPr>
          <w:snapToGrid/>
          <w:szCs w:val="22"/>
          <w:lang w:val="de-DE" w:eastAsia="de-DE"/>
        </w:rPr>
        <w:t xml:space="preserve">eart </w:t>
      </w:r>
      <w:r w:rsidRPr="00DE1967">
        <w:rPr>
          <w:bCs/>
          <w:snapToGrid/>
          <w:szCs w:val="22"/>
          <w:lang w:val="de-DE" w:eastAsia="de-DE"/>
        </w:rPr>
        <w:t>O</w:t>
      </w:r>
      <w:r w:rsidRPr="00DE1967">
        <w:rPr>
          <w:snapToGrid/>
          <w:szCs w:val="22"/>
          <w:lang w:val="de-DE" w:eastAsia="de-DE"/>
        </w:rPr>
        <w:t xml:space="preserve">utcomes </w:t>
      </w:r>
      <w:proofErr w:type="spellStart"/>
      <w:r w:rsidRPr="00DE1967">
        <w:rPr>
          <w:bCs/>
          <w:snapToGrid/>
          <w:szCs w:val="22"/>
          <w:lang w:val="de-DE" w:eastAsia="de-DE"/>
        </w:rPr>
        <w:t>P</w:t>
      </w:r>
      <w:r w:rsidRPr="00DE1967">
        <w:rPr>
          <w:snapToGrid/>
          <w:szCs w:val="22"/>
          <w:lang w:val="de-DE" w:eastAsia="de-DE"/>
        </w:rPr>
        <w:t>revention</w:t>
      </w:r>
      <w:proofErr w:type="spellEnd"/>
      <w:r w:rsidRPr="00DE1967">
        <w:rPr>
          <w:snapToGrid/>
          <w:szCs w:val="22"/>
          <w:lang w:val="de-DE" w:eastAsia="de-DE"/>
        </w:rPr>
        <w:t xml:space="preserve"> </w:t>
      </w:r>
      <w:r w:rsidRPr="00DE1967">
        <w:rPr>
          <w:bCs/>
          <w:snapToGrid/>
          <w:szCs w:val="22"/>
          <w:lang w:val="de-DE" w:eastAsia="de-DE"/>
        </w:rPr>
        <w:t>E</w:t>
      </w:r>
      <w:r w:rsidRPr="00DE1967">
        <w:rPr>
          <w:snapToGrid/>
          <w:szCs w:val="22"/>
          <w:lang w:val="de-DE" w:eastAsia="de-DE"/>
        </w:rPr>
        <w:t xml:space="preserve">valuation Study), in der die Wirksamkeit von </w:t>
      </w:r>
      <w:proofErr w:type="spellStart"/>
      <w:r w:rsidRPr="00DE1967">
        <w:rPr>
          <w:snapToGrid/>
          <w:szCs w:val="22"/>
          <w:lang w:val="de-DE" w:eastAsia="de-DE"/>
        </w:rPr>
        <w:t>Ramipril</w:t>
      </w:r>
      <w:proofErr w:type="spellEnd"/>
      <w:r w:rsidRPr="00DE1967">
        <w:rPr>
          <w:snapToGrid/>
          <w:szCs w:val="22"/>
          <w:lang w:val="de-DE" w:eastAsia="de-DE"/>
        </w:rPr>
        <w:t xml:space="preserve"> gegenüber Placebo untersucht wurde.</w:t>
      </w: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 TRANSCEND wurden Patienten mit ACE</w:t>
      </w:r>
      <w:r w:rsidRPr="00DE1967">
        <w:rPr>
          <w:snapToGrid/>
          <w:szCs w:val="22"/>
          <w:lang w:val="de-DE" w:eastAsia="de-DE"/>
        </w:rPr>
        <w:noBreakHyphen/>
        <w:t>Hemmer-Unverträglichkeit aber ansonsten ähnlichen Einschlusskriterien wie bei ONTARGET randomisiert: Telmisartan 80 mg (n = 2.954) oder Placebo (n = 2.972), beides zusätzlich zur Standardtherapie gegeben. Die mittlere Dauer der Nachbeobachtung war 4 Jahre und 8 Monate. Es konnte kein statistisch signifikanter Unterschied in der Inzidenz des primären kombinierten Endpunktes (kardiovaskulärer Tod, nicht tödlicher Myokardinfarkt, nicht tödlicher Schlaganfall oder Krankenhauseinweisung wegen Herzinsuffizienz) nachgewiesen werden: 15,7 % bei Telmisartan und 17,0 % bei Placebo mit einer Hazard-Ratio von 0,92 (95 %</w:t>
      </w:r>
      <w:r w:rsidRPr="00DE1967">
        <w:rPr>
          <w:snapToGrid/>
          <w:szCs w:val="22"/>
          <w:lang w:val="de-DE" w:eastAsia="de-DE"/>
        </w:rPr>
        <w:noBreakHyphen/>
        <w:t>Konfidenzintervall 0,81</w:t>
      </w:r>
      <w:r w:rsidRPr="00DE1967">
        <w:rPr>
          <w:snapToGrid/>
          <w:szCs w:val="22"/>
          <w:lang w:val="de-DE" w:eastAsia="de-DE"/>
        </w:rPr>
        <w:noBreakHyphen/>
        <w:t>1,05; p = 0,22). Im präspezifizierten kombinierten sekundären Endpunkt kardiovaskulärer Tod, nicht tödlicher Myokardinfarkt und nicht tödlicher Schlaganfall lag eine Evidenz für einen Vorteil von Telmisartan gegenüber Placebo vor [0,87 (95 %</w:t>
      </w:r>
      <w:r w:rsidRPr="00DE1967">
        <w:rPr>
          <w:snapToGrid/>
          <w:szCs w:val="22"/>
          <w:lang w:val="de-DE" w:eastAsia="de-DE"/>
        </w:rPr>
        <w:noBreakHyphen/>
        <w:t>Konfidenzintervall 0,76</w:t>
      </w:r>
      <w:r w:rsidRPr="00DE1967">
        <w:rPr>
          <w:snapToGrid/>
          <w:szCs w:val="22"/>
          <w:lang w:val="de-DE" w:eastAsia="de-DE"/>
        </w:rPr>
        <w:noBreakHyphen/>
        <w:t>1,00; p = 0,048)]. Es lag keine Evidenz hinsichtlich eines Vorteils bei der kardiovaskulären Mortalität vor (Hazard-Ratio 1,03; 95 %</w:t>
      </w:r>
      <w:r w:rsidRPr="00DE1967">
        <w:rPr>
          <w:snapToGrid/>
          <w:szCs w:val="22"/>
          <w:lang w:val="de-DE" w:eastAsia="de-DE"/>
        </w:rPr>
        <w:noBreakHyphen/>
        <w:t>Konfidenzintervall 0,85</w:t>
      </w:r>
      <w:r w:rsidRPr="00DE1967">
        <w:rPr>
          <w:snapToGrid/>
          <w:szCs w:val="22"/>
          <w:lang w:val="de-DE" w:eastAsia="de-DE"/>
        </w:rPr>
        <w:noBreakHyphen/>
        <w:t>1,24).</w:t>
      </w: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Husten und Angioödeme wurden weniger häufig bei mit Telmisartan behandelten als bei mit </w:t>
      </w:r>
      <w:proofErr w:type="spellStart"/>
      <w:r w:rsidRPr="00DE1967">
        <w:rPr>
          <w:snapToGrid/>
          <w:szCs w:val="22"/>
          <w:lang w:val="de-DE" w:eastAsia="de-DE"/>
        </w:rPr>
        <w:t>Ramipril</w:t>
      </w:r>
      <w:proofErr w:type="spellEnd"/>
      <w:r w:rsidRPr="00DE1967">
        <w:rPr>
          <w:snapToGrid/>
          <w:szCs w:val="22"/>
          <w:lang w:val="de-DE" w:eastAsia="de-DE"/>
        </w:rPr>
        <w:t xml:space="preserve"> behandelten Patienten berichtet, wohingegen Hypotonie häufiger bei der Behandlung mit Telmisartan berichtet wurde.</w:t>
      </w: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 Kombination aus Telmisartan und </w:t>
      </w:r>
      <w:proofErr w:type="spellStart"/>
      <w:r w:rsidRPr="00DE1967">
        <w:rPr>
          <w:snapToGrid/>
          <w:szCs w:val="22"/>
          <w:lang w:val="de-DE" w:eastAsia="de-DE"/>
        </w:rPr>
        <w:t>Ramipril</w:t>
      </w:r>
      <w:proofErr w:type="spellEnd"/>
      <w:r w:rsidRPr="00DE1967">
        <w:rPr>
          <w:snapToGrid/>
          <w:szCs w:val="22"/>
          <w:lang w:val="de-DE" w:eastAsia="de-DE"/>
        </w:rPr>
        <w:t xml:space="preserve"> brachte keinen weiteren Vorteil gegenüber einer Behandlung mit </w:t>
      </w:r>
      <w:proofErr w:type="spellStart"/>
      <w:r w:rsidRPr="00DE1967">
        <w:rPr>
          <w:snapToGrid/>
          <w:szCs w:val="22"/>
          <w:lang w:val="de-DE" w:eastAsia="de-DE"/>
        </w:rPr>
        <w:t>Ramipril</w:t>
      </w:r>
      <w:proofErr w:type="spellEnd"/>
      <w:r w:rsidRPr="00DE1967">
        <w:rPr>
          <w:snapToGrid/>
          <w:szCs w:val="22"/>
          <w:lang w:val="de-DE" w:eastAsia="de-DE"/>
        </w:rPr>
        <w:t xml:space="preserve"> oder mit Telmisartan allein. Die kardiovaskuläre Mortalität und die Gesamtmortalität waren numerisch höher bei der Kombination. Zusätzlich traten </w:t>
      </w:r>
      <w:proofErr w:type="spellStart"/>
      <w:r w:rsidRPr="00DE1967">
        <w:rPr>
          <w:snapToGrid/>
          <w:szCs w:val="22"/>
          <w:lang w:val="de-DE" w:eastAsia="de-DE"/>
        </w:rPr>
        <w:t>Hyperkalämie</w:t>
      </w:r>
      <w:proofErr w:type="spellEnd"/>
      <w:r w:rsidRPr="00DE1967">
        <w:rPr>
          <w:snapToGrid/>
          <w:szCs w:val="22"/>
          <w:lang w:val="de-DE" w:eastAsia="de-DE"/>
        </w:rPr>
        <w:t xml:space="preserve">, Nierenversagen, Hypotonie und Synkope im Kombinationstherapiearm deutlich häufiger auf. Daher wird eine Kombination aus Telmisartan und </w:t>
      </w:r>
      <w:proofErr w:type="spellStart"/>
      <w:r w:rsidRPr="00DE1967">
        <w:rPr>
          <w:snapToGrid/>
          <w:szCs w:val="22"/>
          <w:lang w:val="de-DE" w:eastAsia="de-DE"/>
        </w:rPr>
        <w:t>Ramipril</w:t>
      </w:r>
      <w:proofErr w:type="spellEnd"/>
      <w:r w:rsidRPr="00DE1967">
        <w:rPr>
          <w:snapToGrid/>
          <w:szCs w:val="22"/>
          <w:lang w:val="de-DE" w:eastAsia="de-DE"/>
        </w:rPr>
        <w:t xml:space="preserve"> in dieser Population nicht empfohlen.</w:t>
      </w:r>
    </w:p>
    <w:p w:rsidR="00E20511" w:rsidRPr="00DE1967" w:rsidRDefault="00E20511" w:rsidP="0003742E">
      <w:pPr>
        <w:widowControl w:val="0"/>
        <w:tabs>
          <w:tab w:val="clear" w:pos="567"/>
        </w:tabs>
        <w:autoSpaceDE w:val="0"/>
        <w:autoSpaceDN w:val="0"/>
        <w:adjustRightInd w:val="0"/>
        <w:spacing w:line="240" w:lineRule="auto"/>
        <w:rPr>
          <w:snapToGrid/>
          <w:szCs w:val="22"/>
          <w:lang w:val="de-DE" w:eastAsia="de-DE"/>
        </w:rPr>
      </w:pPr>
    </w:p>
    <w:p w:rsidR="008D0B0F" w:rsidRPr="00DE1967" w:rsidRDefault="008D0B0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In der </w:t>
      </w:r>
      <w:proofErr w:type="spellStart"/>
      <w:r w:rsidRPr="00DE1967">
        <w:rPr>
          <w:snapToGrid/>
          <w:szCs w:val="22"/>
          <w:lang w:val="de-DE" w:eastAsia="de-DE"/>
        </w:rPr>
        <w:t>PRoFESS</w:t>
      </w:r>
      <w:proofErr w:type="spellEnd"/>
      <w:r w:rsidRPr="00DE1967">
        <w:rPr>
          <w:snapToGrid/>
          <w:szCs w:val="22"/>
          <w:lang w:val="de-DE" w:eastAsia="de-DE"/>
        </w:rPr>
        <w:t xml:space="preserve"> Studie (</w:t>
      </w:r>
      <w:proofErr w:type="spellStart"/>
      <w:r w:rsidRPr="00DE1967">
        <w:rPr>
          <w:snapToGrid/>
          <w:szCs w:val="22"/>
          <w:lang w:val="de-DE" w:eastAsia="de-DE"/>
        </w:rPr>
        <w:t>Prevention</w:t>
      </w:r>
      <w:proofErr w:type="spellEnd"/>
      <w:r w:rsidRPr="00DE1967">
        <w:rPr>
          <w:snapToGrid/>
          <w:szCs w:val="22"/>
          <w:lang w:val="de-DE" w:eastAsia="de-DE"/>
        </w:rPr>
        <w:t xml:space="preserve"> Regimen For </w:t>
      </w:r>
      <w:proofErr w:type="spellStart"/>
      <w:r w:rsidRPr="00DE1967">
        <w:rPr>
          <w:snapToGrid/>
          <w:szCs w:val="22"/>
          <w:lang w:val="de-DE" w:eastAsia="de-DE"/>
        </w:rPr>
        <w:t>Effectively</w:t>
      </w:r>
      <w:proofErr w:type="spellEnd"/>
      <w:r w:rsidRPr="00DE1967">
        <w:rPr>
          <w:snapToGrid/>
          <w:szCs w:val="22"/>
          <w:lang w:val="de-DE" w:eastAsia="de-DE"/>
        </w:rPr>
        <w:t xml:space="preserve"> </w:t>
      </w:r>
      <w:proofErr w:type="spellStart"/>
      <w:r w:rsidRPr="00DE1967">
        <w:rPr>
          <w:snapToGrid/>
          <w:szCs w:val="22"/>
          <w:lang w:val="de-DE" w:eastAsia="de-DE"/>
        </w:rPr>
        <w:t>avoiding</w:t>
      </w:r>
      <w:proofErr w:type="spellEnd"/>
      <w:r w:rsidRPr="00DE1967">
        <w:rPr>
          <w:snapToGrid/>
          <w:szCs w:val="22"/>
          <w:lang w:val="de-DE" w:eastAsia="de-DE"/>
        </w:rPr>
        <w:t xml:space="preserve"> Second Strokes) wurde bei</w:t>
      </w:r>
      <w:r w:rsidR="00F8185D" w:rsidRPr="00DE1967">
        <w:rPr>
          <w:snapToGrid/>
          <w:szCs w:val="22"/>
          <w:lang w:val="de-DE" w:eastAsia="de-DE"/>
        </w:rPr>
        <w:t xml:space="preserve"> </w:t>
      </w:r>
      <w:r w:rsidRPr="00DE1967">
        <w:rPr>
          <w:snapToGrid/>
          <w:szCs w:val="22"/>
          <w:lang w:val="de-DE" w:eastAsia="de-DE"/>
        </w:rPr>
        <w:t>Patienten ≥ 50 Jahre die vor kurzem einen Schlaganfall erlitten hatten, eine erhöhte Inzidenz an</w:t>
      </w:r>
      <w:r w:rsidR="00F8185D" w:rsidRPr="00DE1967">
        <w:rPr>
          <w:snapToGrid/>
          <w:szCs w:val="22"/>
          <w:lang w:val="de-DE" w:eastAsia="de-DE"/>
        </w:rPr>
        <w:t xml:space="preserve"> </w:t>
      </w:r>
      <w:proofErr w:type="spellStart"/>
      <w:r w:rsidRPr="00DE1967">
        <w:rPr>
          <w:snapToGrid/>
          <w:szCs w:val="22"/>
          <w:lang w:val="de-DE" w:eastAsia="de-DE"/>
        </w:rPr>
        <w:t>Sepsisfällen</w:t>
      </w:r>
      <w:proofErr w:type="spellEnd"/>
      <w:r w:rsidRPr="00DE1967">
        <w:rPr>
          <w:snapToGrid/>
          <w:szCs w:val="22"/>
          <w:lang w:val="de-DE" w:eastAsia="de-DE"/>
        </w:rPr>
        <w:t xml:space="preserve"> unter Telmisartan im Vergleich zu Placebo bemerkt; 0,70</w:t>
      </w:r>
      <w:r w:rsidR="00F8185D" w:rsidRPr="00DE1967">
        <w:rPr>
          <w:snapToGrid/>
          <w:szCs w:val="22"/>
          <w:lang w:val="de-DE" w:eastAsia="de-DE"/>
        </w:rPr>
        <w:t> </w:t>
      </w:r>
      <w:r w:rsidRPr="00DE1967">
        <w:rPr>
          <w:snapToGrid/>
          <w:szCs w:val="22"/>
          <w:lang w:val="de-DE" w:eastAsia="de-DE"/>
        </w:rPr>
        <w:t>% gegenüber 0,49</w:t>
      </w:r>
      <w:r w:rsidR="00F8185D" w:rsidRPr="00DE1967">
        <w:rPr>
          <w:snapToGrid/>
          <w:szCs w:val="22"/>
          <w:lang w:val="de-DE" w:eastAsia="de-DE"/>
        </w:rPr>
        <w:t> </w:t>
      </w:r>
      <w:r w:rsidRPr="00DE1967">
        <w:rPr>
          <w:snapToGrid/>
          <w:szCs w:val="22"/>
          <w:lang w:val="de-DE" w:eastAsia="de-DE"/>
        </w:rPr>
        <w:t>% [RR 1,43</w:t>
      </w:r>
      <w:r w:rsidR="00D9419E" w:rsidRPr="00DE1967">
        <w:rPr>
          <w:snapToGrid/>
          <w:szCs w:val="22"/>
          <w:lang w:val="de-DE" w:eastAsia="de-DE"/>
        </w:rPr>
        <w:t xml:space="preserve"> </w:t>
      </w:r>
      <w:r w:rsidRPr="00DE1967">
        <w:rPr>
          <w:snapToGrid/>
          <w:szCs w:val="22"/>
          <w:lang w:val="de-DE" w:eastAsia="de-DE"/>
        </w:rPr>
        <w:t>(95</w:t>
      </w:r>
      <w:r w:rsidR="00F8185D" w:rsidRPr="00DE1967">
        <w:rPr>
          <w:snapToGrid/>
          <w:szCs w:val="22"/>
          <w:lang w:val="de-DE" w:eastAsia="de-DE"/>
        </w:rPr>
        <w:t> </w:t>
      </w:r>
      <w:r w:rsidRPr="00DE1967">
        <w:rPr>
          <w:snapToGrid/>
          <w:szCs w:val="22"/>
          <w:lang w:val="de-DE" w:eastAsia="de-DE"/>
        </w:rPr>
        <w:t>%-Konfidenzintervall</w:t>
      </w:r>
      <w:r w:rsidR="00F8185D" w:rsidRPr="00DE1967">
        <w:rPr>
          <w:snapToGrid/>
          <w:szCs w:val="22"/>
          <w:lang w:val="de-DE" w:eastAsia="de-DE"/>
        </w:rPr>
        <w:t xml:space="preserve"> </w:t>
      </w:r>
      <w:r w:rsidRPr="00DE1967">
        <w:rPr>
          <w:snapToGrid/>
          <w:szCs w:val="22"/>
          <w:lang w:val="de-DE" w:eastAsia="de-DE"/>
        </w:rPr>
        <w:t xml:space="preserve">1,00-2,06)]. Die Inzidenz an tödlichen </w:t>
      </w:r>
      <w:proofErr w:type="spellStart"/>
      <w:r w:rsidRPr="00DE1967">
        <w:rPr>
          <w:snapToGrid/>
          <w:szCs w:val="22"/>
          <w:lang w:val="de-DE" w:eastAsia="de-DE"/>
        </w:rPr>
        <w:t>Sepsisfällen</w:t>
      </w:r>
      <w:proofErr w:type="spellEnd"/>
      <w:r w:rsidRPr="00DE1967">
        <w:rPr>
          <w:snapToGrid/>
          <w:szCs w:val="22"/>
          <w:lang w:val="de-DE" w:eastAsia="de-DE"/>
        </w:rPr>
        <w:t xml:space="preserve"> war bei Patienten unter</w:t>
      </w:r>
      <w:r w:rsidR="00F8185D" w:rsidRPr="00DE1967">
        <w:rPr>
          <w:snapToGrid/>
          <w:szCs w:val="22"/>
          <w:lang w:val="de-DE" w:eastAsia="de-DE"/>
        </w:rPr>
        <w:t xml:space="preserve"> </w:t>
      </w:r>
      <w:r w:rsidRPr="00DE1967">
        <w:rPr>
          <w:snapToGrid/>
          <w:szCs w:val="22"/>
          <w:lang w:val="de-DE" w:eastAsia="de-DE"/>
        </w:rPr>
        <w:t>Telmisartan (0,33</w:t>
      </w:r>
      <w:r w:rsidR="00F8185D" w:rsidRPr="00DE1967">
        <w:rPr>
          <w:snapToGrid/>
          <w:szCs w:val="22"/>
          <w:lang w:val="de-DE" w:eastAsia="de-DE"/>
        </w:rPr>
        <w:t> </w:t>
      </w:r>
      <w:r w:rsidRPr="00DE1967">
        <w:rPr>
          <w:snapToGrid/>
          <w:szCs w:val="22"/>
          <w:lang w:val="de-DE" w:eastAsia="de-DE"/>
        </w:rPr>
        <w:t>%) im Vergleich zu Placebo (0,16</w:t>
      </w:r>
      <w:r w:rsidR="00F8185D" w:rsidRPr="00DE1967">
        <w:rPr>
          <w:snapToGrid/>
          <w:szCs w:val="22"/>
          <w:lang w:val="de-DE" w:eastAsia="de-DE"/>
        </w:rPr>
        <w:t> </w:t>
      </w:r>
      <w:r w:rsidRPr="00DE1967">
        <w:rPr>
          <w:snapToGrid/>
          <w:szCs w:val="22"/>
          <w:lang w:val="de-DE" w:eastAsia="de-DE"/>
        </w:rPr>
        <w:t>%) erhöht [RR 2,07 (95</w:t>
      </w:r>
      <w:r w:rsidR="00F8185D" w:rsidRPr="00DE1967">
        <w:rPr>
          <w:snapToGrid/>
          <w:szCs w:val="22"/>
          <w:lang w:val="de-DE" w:eastAsia="de-DE"/>
        </w:rPr>
        <w:t> </w:t>
      </w:r>
      <w:r w:rsidRPr="00DE1967">
        <w:rPr>
          <w:snapToGrid/>
          <w:szCs w:val="22"/>
          <w:lang w:val="de-DE" w:eastAsia="de-DE"/>
        </w:rPr>
        <w:t>%-Konfidenzintervall</w:t>
      </w:r>
      <w:r w:rsidR="00F8185D" w:rsidRPr="00DE1967">
        <w:rPr>
          <w:snapToGrid/>
          <w:szCs w:val="22"/>
          <w:lang w:val="de-DE" w:eastAsia="de-DE"/>
        </w:rPr>
        <w:t xml:space="preserve"> </w:t>
      </w:r>
      <w:r w:rsidRPr="00DE1967">
        <w:rPr>
          <w:snapToGrid/>
          <w:szCs w:val="22"/>
          <w:lang w:val="de-DE" w:eastAsia="de-DE"/>
        </w:rPr>
        <w:t xml:space="preserve">1,14-3,76)]. Die beobachtete erhöhte Inzidenzrate an </w:t>
      </w:r>
      <w:proofErr w:type="spellStart"/>
      <w:r w:rsidRPr="00DE1967">
        <w:rPr>
          <w:snapToGrid/>
          <w:szCs w:val="22"/>
          <w:lang w:val="de-DE" w:eastAsia="de-DE"/>
        </w:rPr>
        <w:t>Sepsisfällen</w:t>
      </w:r>
      <w:proofErr w:type="spellEnd"/>
      <w:r w:rsidRPr="00DE1967">
        <w:rPr>
          <w:snapToGrid/>
          <w:szCs w:val="22"/>
          <w:lang w:val="de-DE" w:eastAsia="de-DE"/>
        </w:rPr>
        <w:t xml:space="preserve"> unter Telmisartan könnte entweder</w:t>
      </w:r>
      <w:r w:rsidR="00F8185D" w:rsidRPr="00DE1967">
        <w:rPr>
          <w:snapToGrid/>
          <w:szCs w:val="22"/>
          <w:lang w:val="de-DE" w:eastAsia="de-DE"/>
        </w:rPr>
        <w:t xml:space="preserve"> </w:t>
      </w:r>
      <w:r w:rsidRPr="00DE1967">
        <w:rPr>
          <w:snapToGrid/>
          <w:szCs w:val="22"/>
          <w:lang w:val="de-DE" w:eastAsia="de-DE"/>
        </w:rPr>
        <w:t>ein Zufallsbefund sein oder mit einem bisher unbekannten Wirkungsmechanismus in Zusammenhang</w:t>
      </w:r>
      <w:r w:rsidR="00F8185D" w:rsidRPr="00DE1967">
        <w:rPr>
          <w:snapToGrid/>
          <w:szCs w:val="22"/>
          <w:lang w:val="de-DE" w:eastAsia="de-DE"/>
        </w:rPr>
        <w:t xml:space="preserve"> </w:t>
      </w:r>
      <w:r w:rsidRPr="00DE1967">
        <w:rPr>
          <w:snapToGrid/>
          <w:szCs w:val="22"/>
          <w:lang w:val="de-DE" w:eastAsia="de-DE"/>
        </w:rPr>
        <w:t>stehen.</w:t>
      </w:r>
    </w:p>
    <w:p w:rsidR="00F8185D" w:rsidRPr="00DE1967" w:rsidRDefault="00F8185D" w:rsidP="0003742E">
      <w:pPr>
        <w:widowControl w:val="0"/>
        <w:tabs>
          <w:tab w:val="clear" w:pos="567"/>
        </w:tabs>
        <w:autoSpaceDE w:val="0"/>
        <w:autoSpaceDN w:val="0"/>
        <w:adjustRightInd w:val="0"/>
        <w:spacing w:line="240" w:lineRule="auto"/>
        <w:rPr>
          <w:snapToGrid/>
          <w:szCs w:val="22"/>
          <w:lang w:val="de-DE" w:eastAsia="de-DE"/>
        </w:rPr>
      </w:pPr>
    </w:p>
    <w:p w:rsidR="00F37A1E" w:rsidRPr="00DE1967" w:rsidRDefault="00B37602" w:rsidP="00A62BF1">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 zwei großen randomisierten, kontrollierten Studien („ONTARGET” [</w:t>
      </w:r>
      <w:proofErr w:type="spellStart"/>
      <w:r w:rsidRPr="00DE1967">
        <w:rPr>
          <w:snapToGrid/>
          <w:szCs w:val="22"/>
          <w:lang w:val="de-DE" w:eastAsia="de-DE"/>
        </w:rPr>
        <w:t>ONgoing</w:t>
      </w:r>
      <w:proofErr w:type="spellEnd"/>
      <w:r w:rsidRPr="00DE1967">
        <w:rPr>
          <w:snapToGrid/>
          <w:szCs w:val="22"/>
          <w:lang w:val="de-DE" w:eastAsia="de-DE"/>
        </w:rPr>
        <w:t xml:space="preserve"> Telmisartan Alone and in </w:t>
      </w:r>
      <w:proofErr w:type="spellStart"/>
      <w:r w:rsidRPr="00DE1967">
        <w:rPr>
          <w:snapToGrid/>
          <w:szCs w:val="22"/>
          <w:lang w:val="de-DE" w:eastAsia="de-DE"/>
        </w:rPr>
        <w:t>combination</w:t>
      </w:r>
      <w:proofErr w:type="spellEnd"/>
      <w:r w:rsidRPr="00DE1967">
        <w:rPr>
          <w:snapToGrid/>
          <w:szCs w:val="22"/>
          <w:lang w:val="de-DE" w:eastAsia="de-DE"/>
        </w:rPr>
        <w:t xml:space="preserve"> with </w:t>
      </w:r>
      <w:proofErr w:type="spellStart"/>
      <w:r w:rsidRPr="00DE1967">
        <w:rPr>
          <w:snapToGrid/>
          <w:szCs w:val="22"/>
          <w:lang w:val="de-DE" w:eastAsia="de-DE"/>
        </w:rPr>
        <w:t>Ramipril</w:t>
      </w:r>
      <w:proofErr w:type="spellEnd"/>
      <w:r w:rsidRPr="00DE1967">
        <w:rPr>
          <w:snapToGrid/>
          <w:szCs w:val="22"/>
          <w:lang w:val="de-DE" w:eastAsia="de-DE"/>
        </w:rPr>
        <w:t xml:space="preserve"> Global </w:t>
      </w:r>
      <w:proofErr w:type="spellStart"/>
      <w:r w:rsidRPr="00DE1967">
        <w:rPr>
          <w:snapToGrid/>
          <w:szCs w:val="22"/>
          <w:lang w:val="de-DE" w:eastAsia="de-DE"/>
        </w:rPr>
        <w:t>Endpoint</w:t>
      </w:r>
      <w:proofErr w:type="spellEnd"/>
      <w:r w:rsidRPr="00DE1967">
        <w:rPr>
          <w:snapToGrid/>
          <w:szCs w:val="22"/>
          <w:lang w:val="de-DE" w:eastAsia="de-DE"/>
        </w:rPr>
        <w:t xml:space="preserve"> Trial] und „VA NEPHRON-D” [The </w:t>
      </w:r>
      <w:proofErr w:type="spellStart"/>
      <w:r w:rsidRPr="00DE1967">
        <w:rPr>
          <w:snapToGrid/>
          <w:szCs w:val="22"/>
          <w:lang w:val="de-DE" w:eastAsia="de-DE"/>
        </w:rPr>
        <w:t>Veterans</w:t>
      </w:r>
      <w:proofErr w:type="spellEnd"/>
      <w:r w:rsidRPr="00DE1967">
        <w:rPr>
          <w:snapToGrid/>
          <w:szCs w:val="22"/>
          <w:lang w:val="de-DE" w:eastAsia="de-DE"/>
        </w:rPr>
        <w:t xml:space="preserve"> Affairs </w:t>
      </w:r>
      <w:proofErr w:type="spellStart"/>
      <w:r w:rsidRPr="00DE1967">
        <w:rPr>
          <w:snapToGrid/>
          <w:szCs w:val="22"/>
          <w:lang w:val="de-DE" w:eastAsia="de-DE"/>
        </w:rPr>
        <w:t>Nephropathy</w:t>
      </w:r>
      <w:proofErr w:type="spellEnd"/>
      <w:r w:rsidRPr="00DE1967">
        <w:rPr>
          <w:snapToGrid/>
          <w:szCs w:val="22"/>
          <w:lang w:val="de-DE" w:eastAsia="de-DE"/>
        </w:rPr>
        <w:t xml:space="preserve"> in Diabetes]) wurde die gleichzeitige Anwendung eines ACE-Hemmers mit einem Angiotensin-II-Rezeptor-Antagonisten untersucht.</w:t>
      </w:r>
    </w:p>
    <w:p w:rsidR="00F37A1E" w:rsidRPr="00DE1967" w:rsidRDefault="00B37602" w:rsidP="00A62BF1">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 „ONTARGET“–Studie wurde bei Patienten mit einer kardiovaskulären oder einer </w:t>
      </w:r>
      <w:proofErr w:type="spellStart"/>
      <w:r w:rsidRPr="00DE1967">
        <w:rPr>
          <w:snapToGrid/>
          <w:szCs w:val="22"/>
          <w:lang w:val="de-DE" w:eastAsia="de-DE"/>
        </w:rPr>
        <w:t>zerebrovaskulären</w:t>
      </w:r>
      <w:proofErr w:type="spellEnd"/>
      <w:r w:rsidRPr="00DE1967">
        <w:rPr>
          <w:snapToGrid/>
          <w:szCs w:val="22"/>
          <w:lang w:val="de-DE" w:eastAsia="de-DE"/>
        </w:rPr>
        <w:t xml:space="preserve"> Erkrankung in der Vorgeschichte oder mit Diabetes mellitus Typ 2 mit nachgewiesenen Endorganschäden durchgeführt. Die „VA NEPHRON-D“-Studie wurde bei Patienten mit Diabetes mellitus Typ 2 und diabetischer Nephropathie durchgeführt.</w:t>
      </w:r>
    </w:p>
    <w:p w:rsidR="00F37A1E" w:rsidRPr="00DE1967" w:rsidRDefault="00B37602" w:rsidP="00A62BF1">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Diese Studien zeigten keinen signifikanten vorteilhaften Effekt auf renale und/oder kardiovaskuläre Endpunkte und Mortalität, während ein höheres Risiko für Hyperkaliämie, akute Nierenschädigung und/oder Hypotonie im Vergleich zur Monotherapie beobachtet wurde. Aufgrund vergleichbarer pharmakodynamischer Eigenschaften sind diese Ergebnisse auch auf andere ACE-Hemmer und Angiotensin-II-Rezeptor-Antagonisten übertragbar.</w:t>
      </w:r>
    </w:p>
    <w:p w:rsidR="00FA03F2" w:rsidRPr="00DE1967" w:rsidRDefault="00B37602" w:rsidP="00A62BF1">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Aus diesem Grund sollten ACE-Hemmer und Angiotensin-II-Rezeptor-Antagonisten bei Patienten mit diabetischer Nephropathie nicht gleichzeitig angewendet werden.</w:t>
      </w:r>
    </w:p>
    <w:p w:rsidR="00B37602" w:rsidRPr="00DE1967" w:rsidRDefault="00B37602" w:rsidP="00B37602">
      <w:pPr>
        <w:widowControl w:val="0"/>
        <w:tabs>
          <w:tab w:val="clear" w:pos="567"/>
        </w:tabs>
        <w:autoSpaceDE w:val="0"/>
        <w:autoSpaceDN w:val="0"/>
        <w:adjustRightInd w:val="0"/>
        <w:spacing w:line="240" w:lineRule="auto"/>
        <w:rPr>
          <w:iCs/>
          <w:snapToGrid/>
          <w:szCs w:val="22"/>
          <w:lang w:val="de-DE" w:eastAsia="de-DE"/>
        </w:rPr>
      </w:pPr>
      <w:r w:rsidRPr="00DE1967">
        <w:rPr>
          <w:iCs/>
          <w:snapToGrid/>
          <w:szCs w:val="22"/>
          <w:lang w:val="de-DE" w:eastAsia="de-DE"/>
        </w:rPr>
        <w:t>In der „ALTITUDE“-Studie (</w:t>
      </w:r>
      <w:proofErr w:type="spellStart"/>
      <w:r w:rsidRPr="00DE1967">
        <w:rPr>
          <w:iCs/>
          <w:snapToGrid/>
          <w:szCs w:val="22"/>
          <w:lang w:val="de-DE" w:eastAsia="de-DE"/>
        </w:rPr>
        <w:t>Aliskiren</w:t>
      </w:r>
      <w:proofErr w:type="spellEnd"/>
      <w:r w:rsidRPr="00DE1967">
        <w:rPr>
          <w:iCs/>
          <w:snapToGrid/>
          <w:szCs w:val="22"/>
          <w:lang w:val="de-DE" w:eastAsia="de-DE"/>
        </w:rPr>
        <w:t xml:space="preserve"> Trial in Type 2 Diabetes </w:t>
      </w:r>
      <w:proofErr w:type="spellStart"/>
      <w:r w:rsidRPr="00DE1967">
        <w:rPr>
          <w:iCs/>
          <w:snapToGrid/>
          <w:szCs w:val="22"/>
          <w:lang w:val="de-DE" w:eastAsia="de-DE"/>
        </w:rPr>
        <w:t>Using</w:t>
      </w:r>
      <w:proofErr w:type="spellEnd"/>
      <w:r w:rsidRPr="00DE1967">
        <w:rPr>
          <w:iCs/>
          <w:snapToGrid/>
          <w:szCs w:val="22"/>
          <w:lang w:val="de-DE" w:eastAsia="de-DE"/>
        </w:rPr>
        <w:t xml:space="preserve"> </w:t>
      </w:r>
      <w:proofErr w:type="spellStart"/>
      <w:r w:rsidRPr="00DE1967">
        <w:rPr>
          <w:iCs/>
          <w:snapToGrid/>
          <w:szCs w:val="22"/>
          <w:lang w:val="de-DE" w:eastAsia="de-DE"/>
        </w:rPr>
        <w:t>Cardiovascular</w:t>
      </w:r>
      <w:proofErr w:type="spellEnd"/>
      <w:r w:rsidRPr="00DE1967">
        <w:rPr>
          <w:iCs/>
          <w:snapToGrid/>
          <w:szCs w:val="22"/>
          <w:lang w:val="de-DE" w:eastAsia="de-DE"/>
        </w:rPr>
        <w:t xml:space="preserve"> and Renal Disease Endpoints) wurde untersucht, ob die Anwendung von </w:t>
      </w:r>
      <w:proofErr w:type="spellStart"/>
      <w:r w:rsidRPr="00DE1967">
        <w:rPr>
          <w:iCs/>
          <w:snapToGrid/>
          <w:szCs w:val="22"/>
          <w:lang w:val="de-DE" w:eastAsia="de-DE"/>
        </w:rPr>
        <w:t>Aliskiren</w:t>
      </w:r>
      <w:proofErr w:type="spellEnd"/>
      <w:r w:rsidRPr="00DE1967">
        <w:rPr>
          <w:iCs/>
          <w:snapToGrid/>
          <w:szCs w:val="22"/>
          <w:lang w:val="de-DE" w:eastAsia="de-DE"/>
        </w:rPr>
        <w:t xml:space="preserve"> zusätzlich zu einer Standardtherapie mit einem ACE-Hemmer oder Angiotensin-II-Rezeptor-Antagonisten bei Patienten mit Diabetes mellitus Typ 2 sowie chronischer Nierenerkrankung und/oder kardiovaskulärer Erkrankung einen Zusatznutzen hat.</w:t>
      </w:r>
      <w:r w:rsidRPr="00DE1967">
        <w:rPr>
          <w:snapToGrid/>
          <w:szCs w:val="22"/>
          <w:lang w:val="de-DE" w:eastAsia="de-DE"/>
        </w:rPr>
        <w:t xml:space="preserve"> </w:t>
      </w:r>
      <w:r w:rsidRPr="00DE1967">
        <w:rPr>
          <w:iCs/>
          <w:snapToGrid/>
          <w:szCs w:val="22"/>
          <w:lang w:val="de-DE" w:eastAsia="de-DE"/>
        </w:rPr>
        <w:t>Die Studie wurde wegen eines erhöhten Risikos unerwünschter Ereignisse vorzeitig beendet.</w:t>
      </w:r>
      <w:r w:rsidRPr="00DE1967">
        <w:rPr>
          <w:snapToGrid/>
          <w:szCs w:val="22"/>
          <w:lang w:val="de-DE" w:eastAsia="de-DE"/>
        </w:rPr>
        <w:t xml:space="preserve"> </w:t>
      </w:r>
      <w:r w:rsidRPr="00DE1967">
        <w:rPr>
          <w:iCs/>
          <w:snapToGrid/>
          <w:szCs w:val="22"/>
          <w:lang w:val="de-DE" w:eastAsia="de-DE"/>
        </w:rPr>
        <w:t xml:space="preserve">Sowohl kardiovaskuläre Todesfälle als auch Schlaganfälle traten in der </w:t>
      </w:r>
      <w:proofErr w:type="spellStart"/>
      <w:r w:rsidRPr="00DE1967">
        <w:rPr>
          <w:iCs/>
          <w:snapToGrid/>
          <w:szCs w:val="22"/>
          <w:lang w:val="de-DE" w:eastAsia="de-DE"/>
        </w:rPr>
        <w:t>Aliskiren</w:t>
      </w:r>
      <w:proofErr w:type="spellEnd"/>
      <w:r w:rsidRPr="00DE1967">
        <w:rPr>
          <w:iCs/>
          <w:snapToGrid/>
          <w:szCs w:val="22"/>
          <w:lang w:val="de-DE" w:eastAsia="de-DE"/>
        </w:rPr>
        <w:t>-Gruppe numerisch häufiger auf als in der Placebo-Gruppe, ebenso unerwünschte Ereignisse und besondere schwerwiegende unerwünschte Ereignisse (Hyperkaliämie, Hypotonie, Nierenfunktionsstörung).</w:t>
      </w:r>
    </w:p>
    <w:p w:rsidR="00B37602" w:rsidRPr="00DE1967" w:rsidRDefault="00B37602" w:rsidP="00B37602">
      <w:pPr>
        <w:widowControl w:val="0"/>
        <w:tabs>
          <w:tab w:val="clear" w:pos="567"/>
        </w:tabs>
        <w:autoSpaceDE w:val="0"/>
        <w:autoSpaceDN w:val="0"/>
        <w:adjustRightInd w:val="0"/>
        <w:spacing w:line="240" w:lineRule="auto"/>
        <w:rPr>
          <w:snapToGrid/>
          <w:szCs w:val="22"/>
          <w:lang w:val="de-DE" w:eastAsia="de-DE"/>
        </w:rPr>
      </w:pPr>
    </w:p>
    <w:p w:rsidR="008D0B0F" w:rsidRPr="00DE1967" w:rsidRDefault="008D0B0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Epidemiologische Untersuchungen haben gezeigt, dass die Langzeitbehandlung mit</w:t>
      </w:r>
      <w:r w:rsidR="00946DC2" w:rsidRPr="00DE1967">
        <w:rPr>
          <w:snapToGrid/>
          <w:szCs w:val="22"/>
          <w:lang w:val="de-DE" w:eastAsia="de-DE"/>
        </w:rPr>
        <w:t xml:space="preserve"> </w:t>
      </w:r>
      <w:r w:rsidRPr="00DE1967">
        <w:rPr>
          <w:snapToGrid/>
          <w:szCs w:val="22"/>
          <w:lang w:val="de-DE" w:eastAsia="de-DE"/>
        </w:rPr>
        <w:t>Hydrochlorothiazid das Risiko der kardiovaskulären Mortalität und Morbidität verringert.</w:t>
      </w:r>
    </w:p>
    <w:p w:rsidR="00946DC2" w:rsidRPr="00DE1967" w:rsidRDefault="00946DC2" w:rsidP="0003742E">
      <w:pPr>
        <w:widowControl w:val="0"/>
        <w:tabs>
          <w:tab w:val="clear" w:pos="567"/>
        </w:tabs>
        <w:autoSpaceDE w:val="0"/>
        <w:autoSpaceDN w:val="0"/>
        <w:adjustRightInd w:val="0"/>
        <w:spacing w:line="240" w:lineRule="auto"/>
        <w:rPr>
          <w:snapToGrid/>
          <w:szCs w:val="22"/>
          <w:lang w:val="de-DE" w:eastAsia="de-DE"/>
        </w:rPr>
      </w:pPr>
    </w:p>
    <w:p w:rsidR="00637E20" w:rsidRPr="00DE1967" w:rsidRDefault="008D0B0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Die Wirkungen der fixen Kombination Telmisartan/Hydrochlorothiazid auf Mortalität und</w:t>
      </w:r>
      <w:r w:rsidR="00946DC2" w:rsidRPr="00DE1967">
        <w:rPr>
          <w:snapToGrid/>
          <w:szCs w:val="22"/>
          <w:lang w:val="de-DE" w:eastAsia="de-DE"/>
        </w:rPr>
        <w:t xml:space="preserve"> </w:t>
      </w:r>
      <w:r w:rsidRPr="00DE1967">
        <w:rPr>
          <w:snapToGrid/>
          <w:szCs w:val="22"/>
          <w:lang w:val="de-DE" w:eastAsia="de-DE"/>
        </w:rPr>
        <w:t>kardiovaskuläre Morbidität sind derzeit nicht bekannt.</w:t>
      </w:r>
    </w:p>
    <w:p w:rsidR="00461465" w:rsidRPr="00DE1967" w:rsidRDefault="00461465" w:rsidP="0003742E">
      <w:pPr>
        <w:widowControl w:val="0"/>
        <w:tabs>
          <w:tab w:val="clear" w:pos="567"/>
        </w:tabs>
        <w:autoSpaceDE w:val="0"/>
        <w:autoSpaceDN w:val="0"/>
        <w:adjustRightInd w:val="0"/>
        <w:spacing w:line="240" w:lineRule="auto"/>
        <w:rPr>
          <w:snapToGrid/>
          <w:szCs w:val="22"/>
          <w:lang w:val="de-DE" w:eastAsia="de-DE"/>
        </w:rPr>
      </w:pPr>
    </w:p>
    <w:p w:rsidR="00865AC0" w:rsidRPr="00DE1967" w:rsidRDefault="00865AC0"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Nicht-melanozytärer Hautkrebs</w:t>
      </w:r>
    </w:p>
    <w:p w:rsidR="00461465" w:rsidRPr="00DE1967" w:rsidRDefault="00461465"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Auf der Grundlage der vorliegenden Daten aus epidemiologischen Studien wurde ein kumulativer dosisabhängiger Zusammenhang zwischen HCTZ und NMSC beobachtet. Eine Studie umfasste eine Grundgesamtheit aus 71 533 Fällen von BCC und 8 629 Fällen von SCC mit Kontrollgruppen von 1 430 833 bzw. 172 462 Personen. Eine hohe HCTZ-Dosierung (≥ 50 000 mg kumulativ) war assoziiert mit einer bereinigten Odds-Ratio von 1,29 (95 % Konfidenzintervall: 1,23-1,35) für BCC und 3,98 (95 % Konfidenzintervall: 3,68-4;31) für SCC. Sowohl bei BCC als auch bei SCC wurde eine eindeutige kumulative Dosis-Wirkungsbeziehung ermittelt. Eine weitere Studie ergab einen möglichen Zusammenhang zwischen Lippenkrebs (SCC) und der Exposition gegenüber HCTZ: 633 Fälle von Lippenkrebs wurden mittels eines risikoorientierten Stichprobenverfahrens mit einer Kontrollgruppe von 63 067 Personen abgeglichen. Es wurde eine kumulative Dosis-Wirkungsbeziehung mit einer bereinigten Odds-Ratio von 2,1 (95 % Konfidenzintervall: 1,7-2,6) festgestellt, die sich bei hoher Exposition (~ 25 000 mg) auf eine Odds-Ratio von 3,9 (3,0-4,9) und bei der höchsten kumulativen Dosis (~ 100,000 mg) auf eine Odds-Ratio von 7,7 (5,7-10,5) erhöhte (siehe auch Abschnitt 4.4).</w:t>
      </w:r>
    </w:p>
    <w:p w:rsidR="000F3718" w:rsidRPr="00DE1967" w:rsidRDefault="000F3718" w:rsidP="0003742E">
      <w:pPr>
        <w:widowControl w:val="0"/>
        <w:tabs>
          <w:tab w:val="clear" w:pos="567"/>
        </w:tabs>
        <w:autoSpaceDE w:val="0"/>
        <w:autoSpaceDN w:val="0"/>
        <w:adjustRightInd w:val="0"/>
        <w:spacing w:line="240" w:lineRule="auto"/>
        <w:rPr>
          <w:szCs w:val="22"/>
          <w:lang w:val="de-DE"/>
        </w:rPr>
      </w:pPr>
    </w:p>
    <w:p w:rsidR="00637E20" w:rsidRPr="00DE1967" w:rsidRDefault="00637E20" w:rsidP="0003742E">
      <w:pPr>
        <w:widowControl w:val="0"/>
        <w:spacing w:line="240" w:lineRule="auto"/>
        <w:ind w:left="567" w:hanging="567"/>
        <w:outlineLvl w:val="0"/>
        <w:rPr>
          <w:b/>
          <w:szCs w:val="22"/>
          <w:lang w:val="de-DE"/>
        </w:rPr>
      </w:pPr>
      <w:r w:rsidRPr="00DE1967">
        <w:rPr>
          <w:b/>
          <w:szCs w:val="22"/>
          <w:lang w:val="de-DE"/>
        </w:rPr>
        <w:t>5.2</w:t>
      </w:r>
      <w:r w:rsidRPr="00DE1967">
        <w:rPr>
          <w:b/>
          <w:szCs w:val="22"/>
          <w:lang w:val="de-DE"/>
        </w:rPr>
        <w:tab/>
      </w:r>
      <w:r w:rsidRPr="00DE1967">
        <w:rPr>
          <w:b/>
          <w:noProof/>
          <w:szCs w:val="22"/>
          <w:lang w:val="de-DE"/>
        </w:rPr>
        <w:t>Pharmakokinetische Eigenschaften</w:t>
      </w:r>
    </w:p>
    <w:p w:rsidR="00637E20" w:rsidRPr="00DE1967" w:rsidRDefault="00637E20" w:rsidP="0003742E">
      <w:pPr>
        <w:widowControl w:val="0"/>
        <w:spacing w:line="240" w:lineRule="auto"/>
        <w:ind w:left="567" w:hanging="567"/>
        <w:outlineLvl w:val="0"/>
        <w:rPr>
          <w:b/>
          <w:szCs w:val="22"/>
          <w:lang w:val="de-DE"/>
        </w:rPr>
      </w:pPr>
    </w:p>
    <w:p w:rsidR="00946DC2" w:rsidRPr="00DE1967" w:rsidRDefault="00946DC2"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Die gleichzeitige Anwendung von Hydrochlorothiazid und Telmisartan scheint die Pharmakokinetik der beiden Wirkstoffe bei gesunden Probanden nicht zu beeinflussen.</w:t>
      </w:r>
    </w:p>
    <w:p w:rsidR="00946DC2" w:rsidRPr="00DE1967" w:rsidRDefault="00946DC2" w:rsidP="0003742E">
      <w:pPr>
        <w:widowControl w:val="0"/>
        <w:tabs>
          <w:tab w:val="clear" w:pos="567"/>
        </w:tabs>
        <w:autoSpaceDE w:val="0"/>
        <w:autoSpaceDN w:val="0"/>
        <w:adjustRightInd w:val="0"/>
        <w:spacing w:line="240" w:lineRule="auto"/>
        <w:rPr>
          <w:b/>
          <w:szCs w:val="22"/>
          <w:lang w:val="de-DE"/>
        </w:rPr>
      </w:pPr>
    </w:p>
    <w:p w:rsidR="00637E20" w:rsidRPr="00DE1967" w:rsidRDefault="00637E20" w:rsidP="0003742E">
      <w:pPr>
        <w:widowControl w:val="0"/>
        <w:numPr>
          <w:ilvl w:val="12"/>
          <w:numId w:val="0"/>
        </w:numPr>
        <w:spacing w:line="240" w:lineRule="auto"/>
        <w:rPr>
          <w:noProof/>
          <w:szCs w:val="22"/>
          <w:u w:val="single"/>
          <w:lang w:val="de-DE"/>
        </w:rPr>
      </w:pPr>
      <w:r w:rsidRPr="00DE1967">
        <w:rPr>
          <w:noProof/>
          <w:szCs w:val="22"/>
          <w:u w:val="single"/>
          <w:lang w:val="de-DE"/>
        </w:rPr>
        <w:t>Resorption</w:t>
      </w:r>
    </w:p>
    <w:p w:rsidR="00946DC2" w:rsidRPr="00DE1967" w:rsidRDefault="00946DC2"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Telmisartan: Nach oraler Anwendung werden die maximalen Telmisartan-Konzentrationen nach 0,5-1,5 h erreicht. Die absolute Bioverfügbarkeit von Telmisartan 40</w:t>
      </w:r>
      <w:r w:rsidR="00023E2B" w:rsidRPr="00DE1967">
        <w:rPr>
          <w:snapToGrid/>
          <w:szCs w:val="22"/>
          <w:lang w:val="de-DE" w:eastAsia="de-DE"/>
        </w:rPr>
        <w:t> mg</w:t>
      </w:r>
      <w:r w:rsidRPr="00DE1967">
        <w:rPr>
          <w:snapToGrid/>
          <w:szCs w:val="22"/>
          <w:lang w:val="de-DE" w:eastAsia="de-DE"/>
        </w:rPr>
        <w:t xml:space="preserve"> und 160</w:t>
      </w:r>
      <w:r w:rsidR="00023E2B" w:rsidRPr="00DE1967">
        <w:rPr>
          <w:snapToGrid/>
          <w:szCs w:val="22"/>
          <w:lang w:val="de-DE" w:eastAsia="de-DE"/>
        </w:rPr>
        <w:t> mg</w:t>
      </w:r>
      <w:r w:rsidRPr="00DE1967">
        <w:rPr>
          <w:snapToGrid/>
          <w:szCs w:val="22"/>
          <w:lang w:val="de-DE" w:eastAsia="de-DE"/>
        </w:rPr>
        <w:t xml:space="preserve"> lag bei 42 % bzw. 58 %. Wird Telmisartan zusammen mit Nahrung eingenommen, so verringert sich die Bioverfügbarkeit von Telmisartan mit einer Abnahme der Fläche unter der Plasmakonzentration-Zeit-Kurve (AUC) von etwa 6 % bei der 40</w:t>
      </w:r>
      <w:r w:rsidR="00023E2B" w:rsidRPr="00DE1967">
        <w:rPr>
          <w:snapToGrid/>
          <w:szCs w:val="22"/>
          <w:lang w:val="de-DE" w:eastAsia="de-DE"/>
        </w:rPr>
        <w:t> mg</w:t>
      </w:r>
      <w:r w:rsidRPr="00DE1967">
        <w:rPr>
          <w:snapToGrid/>
          <w:szCs w:val="22"/>
          <w:lang w:val="de-DE" w:eastAsia="de-DE"/>
        </w:rPr>
        <w:t>-Tablette und etwa 19 % bei einer Dosis von 160</w:t>
      </w:r>
      <w:r w:rsidR="00023E2B" w:rsidRPr="00DE1967">
        <w:rPr>
          <w:snapToGrid/>
          <w:szCs w:val="22"/>
          <w:lang w:val="de-DE" w:eastAsia="de-DE"/>
        </w:rPr>
        <w:t> mg</w:t>
      </w:r>
      <w:r w:rsidRPr="00DE1967">
        <w:rPr>
          <w:snapToGrid/>
          <w:szCs w:val="22"/>
          <w:lang w:val="de-DE" w:eastAsia="de-DE"/>
        </w:rPr>
        <w:t>. Drei Stunden nach Einnahme sind die Plasmakonzentrationen ähnlich, unabhängig davon, ob Telmisartan nüchtern oder zusammen mit Nahrung eingenommen wurde. Diese geringe Abnahme der AUC lässt keine Reduktion der therapeutischen Wirksamkeit erwarten. Bei wiederholter Gabe von Telmisartan kommt es zu keiner signifikanten Kumulation im Plasma.</w:t>
      </w:r>
    </w:p>
    <w:p w:rsidR="00544F89" w:rsidRPr="00DE1967" w:rsidRDefault="00946DC2" w:rsidP="0003742E">
      <w:pPr>
        <w:widowControl w:val="0"/>
        <w:tabs>
          <w:tab w:val="clear" w:pos="567"/>
        </w:tabs>
        <w:autoSpaceDE w:val="0"/>
        <w:autoSpaceDN w:val="0"/>
        <w:adjustRightInd w:val="0"/>
        <w:spacing w:line="240" w:lineRule="auto"/>
        <w:rPr>
          <w:noProof/>
          <w:szCs w:val="22"/>
          <w:u w:val="single"/>
          <w:lang w:val="de-DE"/>
        </w:rPr>
      </w:pPr>
      <w:r w:rsidRPr="00DE1967">
        <w:rPr>
          <w:snapToGrid/>
          <w:szCs w:val="22"/>
          <w:lang w:val="de-DE" w:eastAsia="de-DE"/>
        </w:rPr>
        <w:t xml:space="preserve">Hydrochlorothiazid: Nach oraler Gabe von </w:t>
      </w:r>
      <w:proofErr w:type="spellStart"/>
      <w:r w:rsidRPr="00DE1967">
        <w:rPr>
          <w:szCs w:val="22"/>
          <w:lang w:val="de-DE"/>
        </w:rPr>
        <w:t>Tolucombi</w:t>
      </w:r>
      <w:proofErr w:type="spellEnd"/>
      <w:r w:rsidRPr="00DE1967">
        <w:rPr>
          <w:szCs w:val="22"/>
          <w:lang w:val="de-DE"/>
        </w:rPr>
        <w:t xml:space="preserve"> </w:t>
      </w:r>
      <w:r w:rsidRPr="00DE1967">
        <w:rPr>
          <w:snapToGrid/>
          <w:szCs w:val="22"/>
          <w:lang w:val="de-DE" w:eastAsia="de-DE"/>
        </w:rPr>
        <w:t>werden maximale Hydrochlorothiazid-Konzentrationen etwa 1,0-3,0 Stunden nach der Einnahme erreicht. Ausgehend von der kumulativen</w:t>
      </w:r>
      <w:r w:rsidR="00FC72A2" w:rsidRPr="00DE1967">
        <w:rPr>
          <w:snapToGrid/>
          <w:szCs w:val="22"/>
          <w:lang w:val="de-DE" w:eastAsia="de-DE"/>
        </w:rPr>
        <w:t xml:space="preserve"> </w:t>
      </w:r>
      <w:r w:rsidRPr="00DE1967">
        <w:rPr>
          <w:snapToGrid/>
          <w:szCs w:val="22"/>
          <w:lang w:val="de-DE" w:eastAsia="de-DE"/>
        </w:rPr>
        <w:t>renalen Ausscheidung von Hydrochlorothiazid lag die absolute Bioverfügbarkeit bei etwa 60 %.</w:t>
      </w:r>
    </w:p>
    <w:p w:rsidR="00946DC2" w:rsidRPr="00DE1967" w:rsidRDefault="00946DC2" w:rsidP="0003742E">
      <w:pPr>
        <w:widowControl w:val="0"/>
        <w:numPr>
          <w:ilvl w:val="12"/>
          <w:numId w:val="0"/>
        </w:numPr>
        <w:spacing w:line="240" w:lineRule="auto"/>
        <w:rPr>
          <w:noProof/>
          <w:szCs w:val="22"/>
          <w:u w:val="single"/>
          <w:lang w:val="de-DE"/>
        </w:rPr>
      </w:pPr>
    </w:p>
    <w:p w:rsidR="00637E20" w:rsidRPr="00DE1967" w:rsidRDefault="00946DC2" w:rsidP="0003742E">
      <w:pPr>
        <w:widowControl w:val="0"/>
        <w:numPr>
          <w:ilvl w:val="12"/>
          <w:numId w:val="0"/>
        </w:numPr>
        <w:spacing w:line="240" w:lineRule="auto"/>
        <w:rPr>
          <w:noProof/>
          <w:szCs w:val="22"/>
          <w:u w:val="single"/>
          <w:lang w:val="de-DE"/>
        </w:rPr>
      </w:pPr>
      <w:r w:rsidRPr="00DE1967">
        <w:rPr>
          <w:noProof/>
          <w:szCs w:val="22"/>
          <w:u w:val="single"/>
          <w:lang w:val="de-DE"/>
        </w:rPr>
        <w:t>Verteilung:</w:t>
      </w:r>
    </w:p>
    <w:p w:rsidR="00946DC2" w:rsidRPr="00DE1967" w:rsidRDefault="00946DC2"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Telmisartan wird stark an Plasmaproteine gebunden (&gt; 99,5 %), vor allem an Albumin und an saures α</w:t>
      </w:r>
      <w:r w:rsidRPr="00DE1967">
        <w:rPr>
          <w:snapToGrid/>
          <w:szCs w:val="22"/>
          <w:vertAlign w:val="subscript"/>
          <w:lang w:val="de-DE" w:eastAsia="de-DE"/>
        </w:rPr>
        <w:t>1</w:t>
      </w:r>
      <w:r w:rsidRPr="00DE1967">
        <w:rPr>
          <w:snapToGrid/>
          <w:szCs w:val="22"/>
          <w:lang w:val="de-DE" w:eastAsia="de-DE"/>
        </w:rPr>
        <w:t>-Glykoprotein. Das scheinbare Verteilungsvolumen von Telmisartan beträgt etwa 500 Liter, was auf eine zusätzliche Bindung im Gewebe hinweist.</w:t>
      </w:r>
    </w:p>
    <w:p w:rsidR="00946DC2" w:rsidRPr="00DE1967" w:rsidRDefault="00946DC2"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Hydrochlorothiazid ist im Plasma zu 68 % an Protein gebunden mit einem scheinbaren Verteilungsvolumen von 0,83–1,14 l/kg.</w:t>
      </w:r>
    </w:p>
    <w:p w:rsidR="00946DC2" w:rsidRPr="00DE1967" w:rsidRDefault="00946DC2" w:rsidP="0003742E">
      <w:pPr>
        <w:widowControl w:val="0"/>
        <w:tabs>
          <w:tab w:val="clear" w:pos="567"/>
        </w:tabs>
        <w:autoSpaceDE w:val="0"/>
        <w:autoSpaceDN w:val="0"/>
        <w:adjustRightInd w:val="0"/>
        <w:spacing w:line="240" w:lineRule="auto"/>
        <w:rPr>
          <w:snapToGrid/>
          <w:szCs w:val="22"/>
          <w:lang w:val="de-DE" w:eastAsia="de-DE"/>
        </w:rPr>
      </w:pPr>
    </w:p>
    <w:p w:rsidR="00637E20" w:rsidRPr="00DE1967" w:rsidRDefault="00637E20" w:rsidP="0003742E">
      <w:pPr>
        <w:widowControl w:val="0"/>
        <w:tabs>
          <w:tab w:val="clear" w:pos="567"/>
        </w:tabs>
        <w:autoSpaceDE w:val="0"/>
        <w:autoSpaceDN w:val="0"/>
        <w:adjustRightInd w:val="0"/>
        <w:spacing w:line="240" w:lineRule="auto"/>
        <w:rPr>
          <w:noProof/>
          <w:szCs w:val="22"/>
          <w:u w:val="single"/>
          <w:lang w:val="de-DE"/>
        </w:rPr>
      </w:pPr>
      <w:r w:rsidRPr="00DE1967">
        <w:rPr>
          <w:noProof/>
          <w:szCs w:val="22"/>
          <w:u w:val="single"/>
          <w:lang w:val="de-DE"/>
        </w:rPr>
        <w:t>Biotransformation</w:t>
      </w:r>
    </w:p>
    <w:p w:rsidR="00946DC2" w:rsidRPr="00DE1967" w:rsidRDefault="00946DC2"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Telmisartan wird über eine Konjugation zu einem pharmakologisch inaktiven </w:t>
      </w:r>
      <w:proofErr w:type="spellStart"/>
      <w:r w:rsidRPr="00DE1967">
        <w:rPr>
          <w:snapToGrid/>
          <w:szCs w:val="22"/>
          <w:lang w:val="de-DE" w:eastAsia="de-DE"/>
        </w:rPr>
        <w:t>Acylglucuronid</w:t>
      </w:r>
      <w:proofErr w:type="spellEnd"/>
      <w:r w:rsidRPr="00DE1967">
        <w:rPr>
          <w:snapToGrid/>
          <w:szCs w:val="22"/>
          <w:lang w:val="de-DE" w:eastAsia="de-DE"/>
        </w:rPr>
        <w:t xml:space="preserve"> metabolisiert. Das </w:t>
      </w:r>
      <w:proofErr w:type="spellStart"/>
      <w:r w:rsidRPr="00DE1967">
        <w:rPr>
          <w:snapToGrid/>
          <w:szCs w:val="22"/>
          <w:lang w:val="de-DE" w:eastAsia="de-DE"/>
        </w:rPr>
        <w:t>Glucuronid</w:t>
      </w:r>
      <w:proofErr w:type="spellEnd"/>
      <w:r w:rsidRPr="00DE1967">
        <w:rPr>
          <w:snapToGrid/>
          <w:szCs w:val="22"/>
          <w:lang w:val="de-DE" w:eastAsia="de-DE"/>
        </w:rPr>
        <w:t xml:space="preserve"> der Muttersubstanz ist der einzige Metabolit, der beim Menschen identifiziert wurde. Nach einer einzelnen Dosis von </w:t>
      </w:r>
      <w:r w:rsidRPr="00DE1967">
        <w:rPr>
          <w:snapToGrid/>
          <w:szCs w:val="22"/>
          <w:vertAlign w:val="superscript"/>
          <w:lang w:val="de-DE" w:eastAsia="de-DE"/>
        </w:rPr>
        <w:t>14</w:t>
      </w:r>
      <w:r w:rsidRPr="00DE1967">
        <w:rPr>
          <w:snapToGrid/>
          <w:szCs w:val="22"/>
          <w:lang w:val="de-DE" w:eastAsia="de-DE"/>
        </w:rPr>
        <w:t xml:space="preserve">C-markierten Telmisartan stellte das </w:t>
      </w:r>
      <w:proofErr w:type="spellStart"/>
      <w:r w:rsidRPr="00DE1967">
        <w:rPr>
          <w:snapToGrid/>
          <w:szCs w:val="22"/>
          <w:lang w:val="de-DE" w:eastAsia="de-DE"/>
        </w:rPr>
        <w:t>Glucuronid</w:t>
      </w:r>
      <w:proofErr w:type="spellEnd"/>
      <w:r w:rsidRPr="00DE1967">
        <w:rPr>
          <w:snapToGrid/>
          <w:szCs w:val="22"/>
          <w:lang w:val="de-DE" w:eastAsia="de-DE"/>
        </w:rPr>
        <w:t xml:space="preserve"> etwa 11 % der im Plasma gemessenen Radioaktivität dar. </w:t>
      </w:r>
      <w:proofErr w:type="spellStart"/>
      <w:r w:rsidRPr="00DE1967">
        <w:rPr>
          <w:snapToGrid/>
          <w:szCs w:val="22"/>
          <w:lang w:val="de-DE" w:eastAsia="de-DE"/>
        </w:rPr>
        <w:t>Cytochrom</w:t>
      </w:r>
      <w:proofErr w:type="spellEnd"/>
      <w:r w:rsidRPr="00DE1967">
        <w:rPr>
          <w:snapToGrid/>
          <w:szCs w:val="22"/>
          <w:lang w:val="de-DE" w:eastAsia="de-DE"/>
        </w:rPr>
        <w:t xml:space="preserve"> P450-Isoenzyme sind am Telmisartan-Stoffwechsel nicht beteiligt.</w:t>
      </w:r>
    </w:p>
    <w:p w:rsidR="00616958" w:rsidRPr="00DE1967" w:rsidRDefault="00946DC2" w:rsidP="0003742E">
      <w:pPr>
        <w:widowControl w:val="0"/>
        <w:numPr>
          <w:ilvl w:val="12"/>
          <w:numId w:val="0"/>
        </w:numPr>
        <w:spacing w:line="240" w:lineRule="auto"/>
        <w:rPr>
          <w:snapToGrid/>
          <w:szCs w:val="22"/>
          <w:lang w:val="de-DE" w:eastAsia="de-DE"/>
        </w:rPr>
      </w:pPr>
      <w:r w:rsidRPr="00DE1967">
        <w:rPr>
          <w:snapToGrid/>
          <w:szCs w:val="22"/>
          <w:lang w:val="de-DE" w:eastAsia="de-DE"/>
        </w:rPr>
        <w:t>Hydrochlorothiazid wird vom Menschen nicht metabolisiert.</w:t>
      </w:r>
    </w:p>
    <w:p w:rsidR="00616958" w:rsidRPr="00DE1967" w:rsidRDefault="00616958" w:rsidP="0003742E">
      <w:pPr>
        <w:widowControl w:val="0"/>
        <w:numPr>
          <w:ilvl w:val="12"/>
          <w:numId w:val="0"/>
        </w:numPr>
        <w:spacing w:line="240" w:lineRule="auto"/>
        <w:rPr>
          <w:snapToGrid/>
          <w:szCs w:val="22"/>
          <w:lang w:val="de-DE" w:eastAsia="de-DE"/>
        </w:rPr>
      </w:pPr>
    </w:p>
    <w:p w:rsidR="00637E20" w:rsidRPr="00DE1967" w:rsidRDefault="00637E20" w:rsidP="0003742E">
      <w:pPr>
        <w:widowControl w:val="0"/>
        <w:numPr>
          <w:ilvl w:val="12"/>
          <w:numId w:val="0"/>
        </w:numPr>
        <w:spacing w:line="240" w:lineRule="auto"/>
        <w:rPr>
          <w:noProof/>
          <w:szCs w:val="22"/>
          <w:u w:val="single"/>
          <w:lang w:val="de-DE"/>
        </w:rPr>
      </w:pPr>
      <w:r w:rsidRPr="00DE1967">
        <w:rPr>
          <w:noProof/>
          <w:szCs w:val="22"/>
          <w:u w:val="single"/>
          <w:lang w:val="de-DE"/>
        </w:rPr>
        <w:t>Elimination</w:t>
      </w:r>
    </w:p>
    <w:p w:rsidR="00616958" w:rsidRPr="00DE1967" w:rsidRDefault="00616958"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Telmisartan: Nach intravenöser oder oraler Gabe von </w:t>
      </w:r>
      <w:r w:rsidRPr="00DE1967">
        <w:rPr>
          <w:snapToGrid/>
          <w:szCs w:val="22"/>
          <w:vertAlign w:val="superscript"/>
          <w:lang w:val="de-DE" w:eastAsia="de-DE"/>
        </w:rPr>
        <w:t>14</w:t>
      </w:r>
      <w:r w:rsidRPr="00DE1967">
        <w:rPr>
          <w:snapToGrid/>
          <w:szCs w:val="22"/>
          <w:lang w:val="de-DE" w:eastAsia="de-DE"/>
        </w:rPr>
        <w:t>C-markiertem Telmisartan erfolgte die Ausscheidung des größten Teils der Dosis (&gt; 97 %) biliär mit den Faeces. Nur sehr geringe Mengen wurden im Urin gefunden. Die gesamte Plasma-Clearance von Telmisartan beträgt nach oraler Gabe &gt; 1.500 ml/min. Die terminale Eliminationshalbwertzeit betrug &gt; 20 Stunden.</w:t>
      </w:r>
    </w:p>
    <w:p w:rsidR="00616958" w:rsidRPr="00DE1967" w:rsidRDefault="00616958"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Hydrochlorothiazid wird fast vollständig als unveränderter Wirkstoff im Urin ausgeschieden. Etwa 60 % der oralen Dosis werden innerhalb von 48 Stunden ausgeschieden. Die renale Clearance beträgt etwa 250–300 ml/min. Die terminale Eliminationshalbwertzeit von Hydrochlorothiazid beträgt 10-15 Stunden.</w:t>
      </w:r>
    </w:p>
    <w:p w:rsidR="00616958" w:rsidRPr="00DE1967" w:rsidRDefault="00616958" w:rsidP="0003742E">
      <w:pPr>
        <w:widowControl w:val="0"/>
        <w:tabs>
          <w:tab w:val="clear" w:pos="567"/>
        </w:tabs>
        <w:autoSpaceDE w:val="0"/>
        <w:autoSpaceDN w:val="0"/>
        <w:adjustRightInd w:val="0"/>
        <w:spacing w:line="240" w:lineRule="auto"/>
        <w:rPr>
          <w:snapToGrid/>
          <w:szCs w:val="22"/>
          <w:lang w:val="de-DE" w:eastAsia="de-DE"/>
        </w:rPr>
      </w:pPr>
    </w:p>
    <w:p w:rsidR="00C842BE" w:rsidRPr="00DE1967" w:rsidRDefault="00C842BE" w:rsidP="00C842BE">
      <w:pPr>
        <w:rPr>
          <w:szCs w:val="22"/>
          <w:u w:val="single"/>
          <w:lang w:val="de-DE"/>
        </w:rPr>
      </w:pPr>
      <w:r w:rsidRPr="00DE1967">
        <w:rPr>
          <w:szCs w:val="22"/>
          <w:u w:val="single"/>
          <w:lang w:val="de-DE"/>
        </w:rPr>
        <w:t>Linearität/Nicht-Linearität</w:t>
      </w:r>
    </w:p>
    <w:p w:rsidR="00C842BE" w:rsidRPr="00DE1967" w:rsidRDefault="00C842BE" w:rsidP="00C842BE">
      <w:pPr>
        <w:rPr>
          <w:szCs w:val="22"/>
          <w:lang w:val="de-DE"/>
        </w:rPr>
      </w:pPr>
      <w:r w:rsidRPr="00DE1967">
        <w:rPr>
          <w:szCs w:val="22"/>
          <w:lang w:val="de-DE"/>
        </w:rPr>
        <w:t>Telmisartan: Die Pharmakokinetik von Telmisartan ist bei oraler Gabe von Dosen zwischen 20 und 160 mg nichtlinear, wobei es mit steigenden Dosen zu einem überproportionalen Anstieg der Plasmakonzentrationen (C</w:t>
      </w:r>
      <w:r w:rsidRPr="00DE1967">
        <w:rPr>
          <w:szCs w:val="22"/>
          <w:vertAlign w:val="subscript"/>
          <w:lang w:val="de-DE"/>
        </w:rPr>
        <w:t>max</w:t>
      </w:r>
      <w:r w:rsidRPr="00DE1967">
        <w:rPr>
          <w:szCs w:val="22"/>
          <w:lang w:val="de-DE"/>
        </w:rPr>
        <w:t xml:space="preserve"> und AUC) kommt.</w:t>
      </w:r>
    </w:p>
    <w:p w:rsidR="00C842BE" w:rsidRPr="00DE1967" w:rsidRDefault="00C842BE" w:rsidP="00C842BE">
      <w:pPr>
        <w:rPr>
          <w:szCs w:val="22"/>
          <w:lang w:val="de-DE"/>
        </w:rPr>
      </w:pPr>
      <w:r w:rsidRPr="00DE1967">
        <w:rPr>
          <w:szCs w:val="22"/>
          <w:lang w:val="de-DE"/>
        </w:rPr>
        <w:t>Hydrochlorothiazid zeigt eine lineare Pharmakokinetik.</w:t>
      </w:r>
    </w:p>
    <w:p w:rsidR="00C842BE" w:rsidRPr="00DE1967" w:rsidRDefault="00C842BE" w:rsidP="0003742E">
      <w:pPr>
        <w:widowControl w:val="0"/>
        <w:tabs>
          <w:tab w:val="clear" w:pos="567"/>
        </w:tabs>
        <w:autoSpaceDE w:val="0"/>
        <w:autoSpaceDN w:val="0"/>
        <w:adjustRightInd w:val="0"/>
        <w:spacing w:line="240" w:lineRule="auto"/>
        <w:rPr>
          <w:snapToGrid/>
          <w:szCs w:val="22"/>
          <w:lang w:val="de-DE" w:eastAsia="de-DE"/>
        </w:rPr>
      </w:pPr>
    </w:p>
    <w:p w:rsidR="00616958" w:rsidRPr="00DE1967" w:rsidRDefault="00616958"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Ältere Patienten</w:t>
      </w:r>
    </w:p>
    <w:p w:rsidR="00616958" w:rsidRPr="00DE1967" w:rsidRDefault="00616958"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Es bestehen keine Unterschiede in der Pharmakokinetik von Telmisartan zwischen älteren Patienten und Patienten unter 65 Jahren.</w:t>
      </w:r>
    </w:p>
    <w:p w:rsidR="00616958" w:rsidRPr="00DE1967" w:rsidRDefault="00616958" w:rsidP="0003742E">
      <w:pPr>
        <w:widowControl w:val="0"/>
        <w:tabs>
          <w:tab w:val="clear" w:pos="567"/>
        </w:tabs>
        <w:autoSpaceDE w:val="0"/>
        <w:autoSpaceDN w:val="0"/>
        <w:adjustRightInd w:val="0"/>
        <w:spacing w:line="240" w:lineRule="auto"/>
        <w:rPr>
          <w:snapToGrid/>
          <w:szCs w:val="22"/>
          <w:lang w:val="de-DE" w:eastAsia="de-DE"/>
        </w:rPr>
      </w:pPr>
    </w:p>
    <w:p w:rsidR="00616958" w:rsidRPr="00DE1967" w:rsidRDefault="00616958"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Geschlecht</w:t>
      </w:r>
    </w:p>
    <w:p w:rsidR="00616958" w:rsidRPr="00DE1967" w:rsidRDefault="00616958"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Die Plasmakonzentrationen von Telmisartan sind im Allgemeinen bei Frauen 2- bis 3-mal höher als bei Männern. In klinischen Studien zeigte sich bei Frauen jedoch kein signifikanter Anstieg der Blutdruckreaktion oder der Inzidenz einer orthostatischen Hypotonie. Eine Anpassung der Dosis ist nicht notwendig. Es kam zu einer tendenziell höheren Plasmakonzentration von Hydrochlorothiazid bei Frauen im Vergleich zu Männern. Dieses Ergebnis wird jedoch nicht als klinisch relevant betrachtet.</w:t>
      </w:r>
    </w:p>
    <w:p w:rsidR="00616958" w:rsidRPr="00DE1967" w:rsidRDefault="00616958" w:rsidP="0003742E">
      <w:pPr>
        <w:widowControl w:val="0"/>
        <w:tabs>
          <w:tab w:val="clear" w:pos="567"/>
        </w:tabs>
        <w:autoSpaceDE w:val="0"/>
        <w:autoSpaceDN w:val="0"/>
        <w:adjustRightInd w:val="0"/>
        <w:spacing w:line="240" w:lineRule="auto"/>
        <w:rPr>
          <w:snapToGrid/>
          <w:szCs w:val="22"/>
          <w:lang w:val="de-DE" w:eastAsia="de-DE"/>
        </w:rPr>
      </w:pPr>
    </w:p>
    <w:p w:rsidR="00616958" w:rsidRPr="00DE1967" w:rsidRDefault="00616958"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Eingeschränkte Nierenfunktion</w:t>
      </w:r>
    </w:p>
    <w:p w:rsidR="00616958" w:rsidRPr="00DE1967" w:rsidRDefault="00616958"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 renale Ausscheidung trägt nicht zur Telmisartan-Clearance bei. Ausgehend von der begrenzten Erfahrung bei Patienten mit leicht bis mäßig eingeschränkter Nierenfunktion (Kreatinin-Clearance 30-60 ml/min, Mittelwert ca. 50 ml/min) ist bei Patienten mit verminderter Nierenfunktion eine Dosisanpassung nicht erforderlich. Telmisartan lässt sich nicht mittels Hämodialyse aus dem Blut entfernen. Bei Patienten mit Beeinträchtigung der Nierenfunktion ist die Eliminationsrate von Hydrochlorothiazid herabgesetzt. In einer Studie an Patienten mit einer mittleren Kreatinin-Clearance von 90 ml/min war die Eliminationshalbwertzeit von Hydrochlorothiazid erhöht. Bei funktionell </w:t>
      </w:r>
      <w:proofErr w:type="spellStart"/>
      <w:r w:rsidRPr="00DE1967">
        <w:rPr>
          <w:snapToGrid/>
          <w:szCs w:val="22"/>
          <w:lang w:val="de-DE" w:eastAsia="de-DE"/>
        </w:rPr>
        <w:t>anephrischen</w:t>
      </w:r>
      <w:proofErr w:type="spellEnd"/>
      <w:r w:rsidRPr="00DE1967">
        <w:rPr>
          <w:snapToGrid/>
          <w:szCs w:val="22"/>
          <w:lang w:val="de-DE" w:eastAsia="de-DE"/>
        </w:rPr>
        <w:t xml:space="preserve"> Patienten beträgt die Eliminationshalbwertzeit etwa 34 Stunden.</w:t>
      </w:r>
    </w:p>
    <w:p w:rsidR="00616958" w:rsidRPr="00DE1967" w:rsidRDefault="00616958" w:rsidP="0003742E">
      <w:pPr>
        <w:widowControl w:val="0"/>
        <w:tabs>
          <w:tab w:val="clear" w:pos="567"/>
        </w:tabs>
        <w:autoSpaceDE w:val="0"/>
        <w:autoSpaceDN w:val="0"/>
        <w:adjustRightInd w:val="0"/>
        <w:spacing w:line="240" w:lineRule="auto"/>
        <w:rPr>
          <w:snapToGrid/>
          <w:szCs w:val="22"/>
          <w:lang w:val="de-DE" w:eastAsia="de-DE"/>
        </w:rPr>
      </w:pPr>
    </w:p>
    <w:p w:rsidR="00616958" w:rsidRPr="00DE1967" w:rsidRDefault="00616958"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Eingeschränkte Leberfunktion</w:t>
      </w:r>
    </w:p>
    <w:p w:rsidR="00616958" w:rsidRPr="00DE1967" w:rsidRDefault="00616958"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Pharmakokinetische Studien an Patienten mit Leberfunktionsstörungen zeigten einen Anstieg der absoluten Bioverfügbarkeit auf fast 100 %. Die Eliminationshalbwertzeit ist bei Patienten mit Leberfunktionsstörung nicht verändert.</w:t>
      </w:r>
    </w:p>
    <w:p w:rsidR="00616958" w:rsidRPr="00DE1967" w:rsidRDefault="00616958" w:rsidP="0003742E">
      <w:pPr>
        <w:widowControl w:val="0"/>
        <w:tabs>
          <w:tab w:val="clear" w:pos="567"/>
        </w:tabs>
        <w:autoSpaceDE w:val="0"/>
        <w:autoSpaceDN w:val="0"/>
        <w:adjustRightInd w:val="0"/>
        <w:spacing w:line="240" w:lineRule="auto"/>
        <w:rPr>
          <w:snapToGrid/>
          <w:szCs w:val="22"/>
          <w:lang w:val="de-DE" w:eastAsia="de-DE"/>
        </w:rPr>
      </w:pPr>
    </w:p>
    <w:p w:rsidR="00637E20" w:rsidRPr="00DE1967" w:rsidRDefault="00637E20" w:rsidP="0003742E">
      <w:pPr>
        <w:widowControl w:val="0"/>
        <w:tabs>
          <w:tab w:val="clear" w:pos="567"/>
        </w:tabs>
        <w:autoSpaceDE w:val="0"/>
        <w:autoSpaceDN w:val="0"/>
        <w:adjustRightInd w:val="0"/>
        <w:spacing w:line="240" w:lineRule="auto"/>
        <w:ind w:left="567" w:hanging="567"/>
        <w:rPr>
          <w:szCs w:val="22"/>
          <w:lang w:val="de-DE"/>
        </w:rPr>
      </w:pPr>
      <w:r w:rsidRPr="00DE1967">
        <w:rPr>
          <w:b/>
          <w:szCs w:val="22"/>
          <w:lang w:val="de-DE"/>
        </w:rPr>
        <w:t>5.3</w:t>
      </w:r>
      <w:r w:rsidRPr="00DE1967">
        <w:rPr>
          <w:b/>
          <w:szCs w:val="22"/>
          <w:lang w:val="de-DE"/>
        </w:rPr>
        <w:tab/>
      </w:r>
      <w:r w:rsidRPr="00DE1967">
        <w:rPr>
          <w:b/>
          <w:noProof/>
          <w:szCs w:val="22"/>
          <w:lang w:val="de-DE"/>
        </w:rPr>
        <w:t>Präklinische Daten zur Sicherheit</w:t>
      </w:r>
    </w:p>
    <w:p w:rsidR="00616958" w:rsidRPr="00DE1967" w:rsidRDefault="00616958" w:rsidP="0003742E">
      <w:pPr>
        <w:widowControl w:val="0"/>
        <w:tabs>
          <w:tab w:val="clear" w:pos="567"/>
        </w:tabs>
        <w:autoSpaceDE w:val="0"/>
        <w:autoSpaceDN w:val="0"/>
        <w:adjustRightInd w:val="0"/>
        <w:spacing w:line="240" w:lineRule="auto"/>
        <w:rPr>
          <w:snapToGrid/>
          <w:szCs w:val="22"/>
          <w:lang w:val="de-DE" w:eastAsia="de-DE"/>
        </w:rPr>
      </w:pPr>
    </w:p>
    <w:p w:rsidR="00616958" w:rsidRPr="00DE1967" w:rsidRDefault="00616958"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In präklinischen Studien zur Sicherheit mit gleichzeitiger Gabe von Telmisartan und Hydrochlorothiazid an </w:t>
      </w:r>
      <w:proofErr w:type="spellStart"/>
      <w:r w:rsidRPr="00DE1967">
        <w:rPr>
          <w:snapToGrid/>
          <w:szCs w:val="22"/>
          <w:lang w:val="de-DE" w:eastAsia="de-DE"/>
        </w:rPr>
        <w:t>normotonen</w:t>
      </w:r>
      <w:proofErr w:type="spellEnd"/>
      <w:r w:rsidRPr="00DE1967">
        <w:rPr>
          <w:snapToGrid/>
          <w:szCs w:val="22"/>
          <w:lang w:val="de-DE" w:eastAsia="de-DE"/>
        </w:rPr>
        <w:t xml:space="preserve"> Ratten und Hunden führten Dosen, die eine der humantherapeutischen Breite entsprechende Exposition darstellten, zu keinen Befunden, die nicht bereits mit der Gabe der einzelnen Wirkstoffe allein gefunden worden waren. Die beobachteten toxikologischen Befunde scheinen keine Bedeutung für die therapeutische Anwendung beim Menschen zu haben.</w:t>
      </w:r>
    </w:p>
    <w:p w:rsidR="00616958" w:rsidRPr="00DE1967" w:rsidRDefault="00616958" w:rsidP="0003742E">
      <w:pPr>
        <w:widowControl w:val="0"/>
        <w:tabs>
          <w:tab w:val="clear" w:pos="567"/>
        </w:tabs>
        <w:autoSpaceDE w:val="0"/>
        <w:autoSpaceDN w:val="0"/>
        <w:adjustRightInd w:val="0"/>
        <w:spacing w:line="240" w:lineRule="auto"/>
        <w:rPr>
          <w:snapToGrid/>
          <w:szCs w:val="22"/>
          <w:lang w:val="de-DE" w:eastAsia="de-DE"/>
        </w:rPr>
      </w:pPr>
    </w:p>
    <w:p w:rsidR="00616958" w:rsidRPr="00DE1967" w:rsidRDefault="00616958"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Toxikologische Ergebnisse, die auch aus präklinischen Studien mit Angiotensin-</w:t>
      </w:r>
      <w:proofErr w:type="spellStart"/>
      <w:r w:rsidRPr="00DE1967">
        <w:rPr>
          <w:snapToGrid/>
          <w:szCs w:val="22"/>
          <w:lang w:val="de-DE" w:eastAsia="de-DE"/>
        </w:rPr>
        <w:t>Converting</w:t>
      </w:r>
      <w:proofErr w:type="spellEnd"/>
      <w:r w:rsidRPr="00DE1967">
        <w:rPr>
          <w:snapToGrid/>
          <w:szCs w:val="22"/>
          <w:lang w:val="de-DE" w:eastAsia="de-DE"/>
        </w:rPr>
        <w:t xml:space="preserve">-Enzyme-Inhibitoren und Angiotensin-II-Rezeptor-Antagonisten hinreichend bekannt sind, waren: eine Abnahme der Erythrozyten-Parameter (Erythrozyten, Hämoglobin, Hämatokrit), Veränderungen in der renalen Hämodynamik (Anstieg von Serumharnstoff und Kreatinin), erhöhte Plasma-Renin-Aktivität, Hypertrophie/Hyperplasie der </w:t>
      </w:r>
      <w:proofErr w:type="spellStart"/>
      <w:r w:rsidRPr="00DE1967">
        <w:rPr>
          <w:snapToGrid/>
          <w:szCs w:val="22"/>
          <w:lang w:val="de-DE" w:eastAsia="de-DE"/>
        </w:rPr>
        <w:t>juxtaglomerulären</w:t>
      </w:r>
      <w:proofErr w:type="spellEnd"/>
      <w:r w:rsidRPr="00DE1967">
        <w:rPr>
          <w:snapToGrid/>
          <w:szCs w:val="22"/>
          <w:lang w:val="de-DE" w:eastAsia="de-DE"/>
        </w:rPr>
        <w:t xml:space="preserve"> Zellen und Schädigung der Magenschleimhaut. Die Magenläsionen konnten durch orale </w:t>
      </w:r>
      <w:r w:rsidR="00F93262" w:rsidRPr="00DE1967">
        <w:rPr>
          <w:snapToGrid/>
          <w:szCs w:val="22"/>
          <w:lang w:val="de-DE" w:eastAsia="de-DE"/>
        </w:rPr>
        <w:t xml:space="preserve">Natriumchlorid-Lösungszufuhr </w:t>
      </w:r>
      <w:r w:rsidRPr="00DE1967">
        <w:rPr>
          <w:snapToGrid/>
          <w:szCs w:val="22"/>
          <w:lang w:val="de-DE" w:eastAsia="de-DE"/>
        </w:rPr>
        <w:t>und Gruppenhaltung der Tiere vermieden/verbessert werden. Bei Hunden wurden renal-tubuläre Dilatation und Atrophie beobachtet. Diese Befunde werden im Zusammenhang mit der pharmakologischen Wirkung von Telmisartan gesehen.</w:t>
      </w:r>
    </w:p>
    <w:p w:rsidR="00616958" w:rsidRPr="00DE1967" w:rsidRDefault="00616958" w:rsidP="0003742E">
      <w:pPr>
        <w:widowControl w:val="0"/>
        <w:tabs>
          <w:tab w:val="clear" w:pos="567"/>
        </w:tabs>
        <w:autoSpaceDE w:val="0"/>
        <w:autoSpaceDN w:val="0"/>
        <w:adjustRightInd w:val="0"/>
        <w:spacing w:line="240" w:lineRule="auto"/>
        <w:rPr>
          <w:snapToGrid/>
          <w:szCs w:val="22"/>
          <w:lang w:val="de-DE" w:eastAsia="de-DE"/>
        </w:rPr>
      </w:pPr>
    </w:p>
    <w:p w:rsidR="00616958" w:rsidRPr="00DE1967" w:rsidRDefault="00616958"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Es liegen keine eindeutigen Hinweise auf eine teratogene Wirkung vor. Bei toxischen Dosierungen von Telmisartan wurde jedoch ein Effekt auf die postnatale Entwicklung der Nachkommen, wie niedrigeres Körpergewicht und verzögertes Öffnen der Augen, beobachtet.</w:t>
      </w:r>
    </w:p>
    <w:p w:rsidR="00616958" w:rsidRPr="00DE1967" w:rsidRDefault="00616958"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Für Telmisartan gibt es keine Hinweise auf Mutagenität und relevante </w:t>
      </w:r>
      <w:proofErr w:type="spellStart"/>
      <w:r w:rsidRPr="00DE1967">
        <w:rPr>
          <w:snapToGrid/>
          <w:szCs w:val="22"/>
          <w:lang w:val="de-DE" w:eastAsia="de-DE"/>
        </w:rPr>
        <w:t>klastogene</w:t>
      </w:r>
      <w:proofErr w:type="spellEnd"/>
      <w:r w:rsidRPr="00DE1967">
        <w:rPr>
          <w:snapToGrid/>
          <w:szCs w:val="22"/>
          <w:lang w:val="de-DE" w:eastAsia="de-DE"/>
        </w:rPr>
        <w:t xml:space="preserve"> Aktivität in </w:t>
      </w:r>
      <w:proofErr w:type="spellStart"/>
      <w:r w:rsidRPr="00DE1967">
        <w:rPr>
          <w:i/>
          <w:iCs/>
          <w:snapToGrid/>
          <w:szCs w:val="22"/>
          <w:lang w:val="de-DE" w:eastAsia="de-DE"/>
        </w:rPr>
        <w:t>In</w:t>
      </w:r>
      <w:proofErr w:type="spellEnd"/>
      <w:r w:rsidRPr="00DE1967">
        <w:rPr>
          <w:i/>
          <w:iCs/>
          <w:snapToGrid/>
          <w:szCs w:val="22"/>
          <w:lang w:val="de-DE" w:eastAsia="de-DE"/>
        </w:rPr>
        <w:t xml:space="preserve"> vitro-</w:t>
      </w:r>
      <w:r w:rsidRPr="00DE1967">
        <w:rPr>
          <w:snapToGrid/>
          <w:szCs w:val="22"/>
          <w:lang w:val="de-DE" w:eastAsia="de-DE"/>
        </w:rPr>
        <w:t>Untersuchungen und keinen Hinweis auf Kanzerogenität an Ratten und Mäusen. Untersuchungen mit Hydrochlorothiazid erbrachten in einigen Versuchsmodellen keine eindeutigen Hinweise auf eine genotoxische oder kanzerogene Wirkung. Ausgedehnte Erfahrungen mit Hydrochlorothiazid beim Menschen haben jedoch keinen Zusammenhang zwischen seiner Anwendung und der Zunahme an Neoplasien aufgezeigt.</w:t>
      </w:r>
    </w:p>
    <w:p w:rsidR="00207546" w:rsidRPr="00DE1967" w:rsidRDefault="00616958"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Bezüglich des </w:t>
      </w:r>
      <w:proofErr w:type="spellStart"/>
      <w:r w:rsidRPr="00DE1967">
        <w:rPr>
          <w:snapToGrid/>
          <w:szCs w:val="22"/>
          <w:lang w:val="de-DE" w:eastAsia="de-DE"/>
        </w:rPr>
        <w:t>fetotoxischen</w:t>
      </w:r>
      <w:proofErr w:type="spellEnd"/>
      <w:r w:rsidRPr="00DE1967">
        <w:rPr>
          <w:snapToGrid/>
          <w:szCs w:val="22"/>
          <w:lang w:val="de-DE" w:eastAsia="de-DE"/>
        </w:rPr>
        <w:t xml:space="preserve"> Potentials der Kombination von Telmisartan/Hydrochlorothiazid siehe</w:t>
      </w:r>
      <w:r w:rsidR="00D9419E" w:rsidRPr="00DE1967">
        <w:rPr>
          <w:snapToGrid/>
          <w:szCs w:val="22"/>
          <w:lang w:val="de-DE" w:eastAsia="de-DE"/>
        </w:rPr>
        <w:t xml:space="preserve"> </w:t>
      </w:r>
      <w:r w:rsidR="00207546" w:rsidRPr="00DE1967">
        <w:rPr>
          <w:snapToGrid/>
          <w:szCs w:val="22"/>
          <w:lang w:val="de-DE" w:eastAsia="de-DE"/>
        </w:rPr>
        <w:t>Abschnitt 4.6.</w:t>
      </w:r>
    </w:p>
    <w:p w:rsidR="00616958" w:rsidRPr="00DE1967" w:rsidRDefault="00616958" w:rsidP="0003742E">
      <w:pPr>
        <w:widowControl w:val="0"/>
        <w:spacing w:line="240" w:lineRule="auto"/>
        <w:rPr>
          <w:snapToGrid/>
          <w:szCs w:val="22"/>
          <w:lang w:val="de-DE" w:eastAsia="de-DE"/>
        </w:rPr>
      </w:pPr>
    </w:p>
    <w:p w:rsidR="00616958" w:rsidRPr="00DE1967" w:rsidRDefault="00616958" w:rsidP="0003742E">
      <w:pPr>
        <w:widowControl w:val="0"/>
        <w:spacing w:line="240" w:lineRule="auto"/>
        <w:rPr>
          <w:szCs w:val="22"/>
          <w:lang w:val="de-DE"/>
        </w:rPr>
      </w:pPr>
    </w:p>
    <w:p w:rsidR="00637E20" w:rsidRPr="00DE1967" w:rsidRDefault="00637E20" w:rsidP="0003742E">
      <w:pPr>
        <w:widowControl w:val="0"/>
        <w:spacing w:line="240" w:lineRule="auto"/>
        <w:ind w:left="567" w:hanging="567"/>
        <w:rPr>
          <w:b/>
          <w:szCs w:val="22"/>
          <w:lang w:val="de-DE"/>
        </w:rPr>
      </w:pPr>
      <w:r w:rsidRPr="00DE1967">
        <w:rPr>
          <w:b/>
          <w:szCs w:val="22"/>
          <w:lang w:val="de-DE"/>
        </w:rPr>
        <w:t>6.</w:t>
      </w:r>
      <w:r w:rsidRPr="00DE1967">
        <w:rPr>
          <w:b/>
          <w:szCs w:val="22"/>
          <w:lang w:val="de-DE"/>
        </w:rPr>
        <w:tab/>
      </w:r>
      <w:r w:rsidRPr="00DE1967">
        <w:rPr>
          <w:b/>
          <w:noProof/>
          <w:szCs w:val="22"/>
          <w:lang w:val="de-DE"/>
        </w:rPr>
        <w:t>PHARMAZEUTISCHE ANGABEN</w:t>
      </w:r>
    </w:p>
    <w:p w:rsidR="00637E20" w:rsidRPr="00DE1967" w:rsidRDefault="00637E20" w:rsidP="0003742E">
      <w:pPr>
        <w:widowControl w:val="0"/>
        <w:spacing w:line="240" w:lineRule="auto"/>
        <w:rPr>
          <w:szCs w:val="22"/>
          <w:lang w:val="de-DE"/>
        </w:rPr>
      </w:pPr>
    </w:p>
    <w:p w:rsidR="00637E20" w:rsidRPr="00DE1967" w:rsidRDefault="00637E20" w:rsidP="0003742E">
      <w:pPr>
        <w:widowControl w:val="0"/>
        <w:spacing w:line="240" w:lineRule="auto"/>
        <w:ind w:left="567" w:hanging="567"/>
        <w:outlineLvl w:val="0"/>
        <w:rPr>
          <w:szCs w:val="22"/>
          <w:lang w:val="de-DE"/>
        </w:rPr>
      </w:pPr>
      <w:r w:rsidRPr="00DE1967">
        <w:rPr>
          <w:b/>
          <w:szCs w:val="22"/>
          <w:lang w:val="de-DE"/>
        </w:rPr>
        <w:t>6.1</w:t>
      </w:r>
      <w:r w:rsidRPr="00DE1967">
        <w:rPr>
          <w:b/>
          <w:szCs w:val="22"/>
          <w:lang w:val="de-DE"/>
        </w:rPr>
        <w:tab/>
      </w:r>
      <w:r w:rsidRPr="00DE1967">
        <w:rPr>
          <w:b/>
          <w:noProof/>
          <w:szCs w:val="22"/>
          <w:lang w:val="de-DE"/>
        </w:rPr>
        <w:t>Liste der sonstigen Bestandteile</w:t>
      </w:r>
    </w:p>
    <w:p w:rsidR="00637E20" w:rsidRPr="00DE1967" w:rsidRDefault="00637E20" w:rsidP="0003742E">
      <w:pPr>
        <w:widowControl w:val="0"/>
        <w:spacing w:line="240" w:lineRule="auto"/>
        <w:rPr>
          <w:i/>
          <w:noProof/>
          <w:szCs w:val="22"/>
          <w:lang w:val="de-DE"/>
        </w:rPr>
      </w:pPr>
    </w:p>
    <w:p w:rsidR="00616958" w:rsidRPr="00DE1967" w:rsidRDefault="00616958" w:rsidP="0003742E">
      <w:pPr>
        <w:widowControl w:val="0"/>
        <w:tabs>
          <w:tab w:val="clear" w:pos="567"/>
        </w:tabs>
        <w:autoSpaceDE w:val="0"/>
        <w:autoSpaceDN w:val="0"/>
        <w:adjustRightInd w:val="0"/>
        <w:spacing w:line="240" w:lineRule="auto"/>
        <w:rPr>
          <w:snapToGrid/>
          <w:szCs w:val="22"/>
          <w:lang w:val="de-DE" w:eastAsia="de-DE"/>
        </w:rPr>
      </w:pPr>
      <w:proofErr w:type="spellStart"/>
      <w:r w:rsidRPr="00DE1967">
        <w:rPr>
          <w:snapToGrid/>
          <w:szCs w:val="22"/>
          <w:lang w:val="de-DE" w:eastAsia="de-DE"/>
        </w:rPr>
        <w:t>Hyprolose</w:t>
      </w:r>
      <w:proofErr w:type="spellEnd"/>
      <w:r w:rsidR="00CD000A" w:rsidRPr="00DE1967">
        <w:rPr>
          <w:snapToGrid/>
          <w:szCs w:val="22"/>
          <w:lang w:val="de-DE" w:eastAsia="de-DE"/>
        </w:rPr>
        <w:t xml:space="preserve"> (53,4–80,</w:t>
      </w:r>
      <w:r w:rsidR="00D51FF5" w:rsidRPr="00DE1967">
        <w:rPr>
          <w:snapToGrid/>
          <w:szCs w:val="22"/>
          <w:lang w:val="de-DE" w:eastAsia="de-DE"/>
        </w:rPr>
        <w:t xml:space="preserve">5 % </w:t>
      </w:r>
      <w:proofErr w:type="spellStart"/>
      <w:r w:rsidR="00D51FF5" w:rsidRPr="00DE1967">
        <w:rPr>
          <w:snapToGrid/>
          <w:szCs w:val="22"/>
          <w:lang w:val="de-DE" w:eastAsia="de-DE"/>
        </w:rPr>
        <w:t>Hydroxypropoxy</w:t>
      </w:r>
      <w:proofErr w:type="spellEnd"/>
      <w:r w:rsidR="00D51FF5" w:rsidRPr="00DE1967">
        <w:rPr>
          <w:snapToGrid/>
          <w:szCs w:val="22"/>
          <w:lang w:val="de-DE" w:eastAsia="de-DE"/>
        </w:rPr>
        <w:t>-</w:t>
      </w:r>
      <w:r w:rsidR="00CD000A" w:rsidRPr="00DE1967">
        <w:rPr>
          <w:snapToGrid/>
          <w:szCs w:val="22"/>
          <w:lang w:val="de-DE" w:eastAsia="de-DE"/>
        </w:rPr>
        <w:t>Gruppen)</w:t>
      </w:r>
    </w:p>
    <w:p w:rsidR="00616958" w:rsidRPr="00DE1967" w:rsidRDefault="00616958"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Lactose-Monohydrat</w:t>
      </w:r>
    </w:p>
    <w:p w:rsidR="00616958" w:rsidRPr="00DE1967" w:rsidRDefault="00616958"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Magnesiumstearat</w:t>
      </w:r>
      <w:r w:rsidR="004C5D00" w:rsidRPr="00DE1967">
        <w:rPr>
          <w:snapToGrid/>
          <w:szCs w:val="22"/>
          <w:lang w:val="de-DE" w:eastAsia="de-DE"/>
        </w:rPr>
        <w:t xml:space="preserve"> (</w:t>
      </w:r>
      <w:proofErr w:type="spellStart"/>
      <w:r w:rsidR="004C5D00" w:rsidRPr="00DE1967">
        <w:rPr>
          <w:snapToGrid/>
          <w:szCs w:val="22"/>
          <w:lang w:val="de-DE" w:eastAsia="de-DE"/>
        </w:rPr>
        <w:t>Ph.Eur</w:t>
      </w:r>
      <w:proofErr w:type="spellEnd"/>
      <w:r w:rsidR="004C5D00" w:rsidRPr="00DE1967">
        <w:rPr>
          <w:snapToGrid/>
          <w:szCs w:val="22"/>
          <w:lang w:val="de-DE" w:eastAsia="de-DE"/>
        </w:rPr>
        <w:t>.)</w:t>
      </w:r>
    </w:p>
    <w:p w:rsidR="00616958" w:rsidRPr="00DE1967" w:rsidRDefault="00616958" w:rsidP="0003742E">
      <w:pPr>
        <w:widowControl w:val="0"/>
        <w:tabs>
          <w:tab w:val="clear" w:pos="567"/>
        </w:tabs>
        <w:autoSpaceDE w:val="0"/>
        <w:autoSpaceDN w:val="0"/>
        <w:adjustRightInd w:val="0"/>
        <w:spacing w:line="240" w:lineRule="auto"/>
        <w:rPr>
          <w:snapToGrid/>
          <w:szCs w:val="22"/>
          <w:lang w:val="it-IT" w:eastAsia="de-DE"/>
        </w:rPr>
      </w:pPr>
      <w:r w:rsidRPr="00DE1967">
        <w:rPr>
          <w:snapToGrid/>
          <w:szCs w:val="22"/>
          <w:lang w:val="it-IT" w:eastAsia="de-DE"/>
        </w:rPr>
        <w:t>Mannitol</w:t>
      </w:r>
    </w:p>
    <w:p w:rsidR="00616958" w:rsidRPr="00DE1967" w:rsidRDefault="00616958" w:rsidP="0003742E">
      <w:pPr>
        <w:widowControl w:val="0"/>
        <w:tabs>
          <w:tab w:val="clear" w:pos="567"/>
        </w:tabs>
        <w:autoSpaceDE w:val="0"/>
        <w:autoSpaceDN w:val="0"/>
        <w:adjustRightInd w:val="0"/>
        <w:spacing w:line="240" w:lineRule="auto"/>
        <w:rPr>
          <w:snapToGrid/>
          <w:szCs w:val="22"/>
          <w:lang w:val="it-IT" w:eastAsia="de-DE"/>
        </w:rPr>
      </w:pPr>
      <w:proofErr w:type="spellStart"/>
      <w:r w:rsidRPr="00DE1967">
        <w:rPr>
          <w:snapToGrid/>
          <w:szCs w:val="22"/>
          <w:lang w:val="it-IT" w:eastAsia="de-DE"/>
        </w:rPr>
        <w:t>Meglumin</w:t>
      </w:r>
      <w:proofErr w:type="spellEnd"/>
    </w:p>
    <w:p w:rsidR="00616958" w:rsidRPr="00DE1967" w:rsidRDefault="00616958" w:rsidP="0003742E">
      <w:pPr>
        <w:widowControl w:val="0"/>
        <w:tabs>
          <w:tab w:val="clear" w:pos="567"/>
        </w:tabs>
        <w:autoSpaceDE w:val="0"/>
        <w:autoSpaceDN w:val="0"/>
        <w:adjustRightInd w:val="0"/>
        <w:spacing w:line="240" w:lineRule="auto"/>
        <w:rPr>
          <w:snapToGrid/>
          <w:szCs w:val="22"/>
          <w:lang w:val="it-IT" w:eastAsia="de-DE"/>
        </w:rPr>
      </w:pPr>
      <w:proofErr w:type="spellStart"/>
      <w:r w:rsidRPr="00DE1967">
        <w:rPr>
          <w:snapToGrid/>
          <w:szCs w:val="22"/>
          <w:lang w:val="it-IT" w:eastAsia="de-DE"/>
        </w:rPr>
        <w:t>Povidon</w:t>
      </w:r>
      <w:proofErr w:type="spellEnd"/>
      <w:r w:rsidRPr="00DE1967">
        <w:rPr>
          <w:snapToGrid/>
          <w:szCs w:val="22"/>
          <w:lang w:val="it-IT" w:eastAsia="de-DE"/>
        </w:rPr>
        <w:t xml:space="preserve"> (K</w:t>
      </w:r>
      <w:r w:rsidR="004C5D00" w:rsidRPr="00DE1967">
        <w:rPr>
          <w:snapToGrid/>
          <w:szCs w:val="22"/>
          <w:lang w:val="it-IT" w:eastAsia="de-DE"/>
        </w:rPr>
        <w:t>30</w:t>
      </w:r>
      <w:r w:rsidRPr="00DE1967">
        <w:rPr>
          <w:snapToGrid/>
          <w:szCs w:val="22"/>
          <w:lang w:val="it-IT" w:eastAsia="de-DE"/>
        </w:rPr>
        <w:t>)</w:t>
      </w:r>
    </w:p>
    <w:p w:rsidR="00616958" w:rsidRPr="00DE1967" w:rsidRDefault="00616958" w:rsidP="0003742E">
      <w:pPr>
        <w:widowControl w:val="0"/>
        <w:tabs>
          <w:tab w:val="clear" w:pos="567"/>
        </w:tabs>
        <w:autoSpaceDE w:val="0"/>
        <w:autoSpaceDN w:val="0"/>
        <w:adjustRightInd w:val="0"/>
        <w:spacing w:line="240" w:lineRule="auto"/>
        <w:rPr>
          <w:snapToGrid/>
          <w:szCs w:val="22"/>
          <w:lang w:val="it-IT" w:eastAsia="de-DE"/>
        </w:rPr>
      </w:pPr>
      <w:proofErr w:type="spellStart"/>
      <w:r w:rsidRPr="00DE1967">
        <w:rPr>
          <w:snapToGrid/>
          <w:szCs w:val="22"/>
          <w:lang w:val="it-IT" w:eastAsia="de-DE"/>
        </w:rPr>
        <w:t>Eisen</w:t>
      </w:r>
      <w:proofErr w:type="spellEnd"/>
      <w:r w:rsidRPr="00DE1967">
        <w:rPr>
          <w:snapToGrid/>
          <w:szCs w:val="22"/>
          <w:lang w:val="it-IT" w:eastAsia="de-DE"/>
        </w:rPr>
        <w:t>(III)-</w:t>
      </w:r>
      <w:proofErr w:type="spellStart"/>
      <w:r w:rsidRPr="00DE1967">
        <w:rPr>
          <w:snapToGrid/>
          <w:szCs w:val="22"/>
          <w:lang w:val="it-IT" w:eastAsia="de-DE"/>
        </w:rPr>
        <w:t>oxid</w:t>
      </w:r>
      <w:proofErr w:type="spellEnd"/>
      <w:r w:rsidR="004C5D00" w:rsidRPr="00DE1967">
        <w:rPr>
          <w:snapToGrid/>
          <w:szCs w:val="22"/>
          <w:lang w:val="it-IT" w:eastAsia="de-DE"/>
        </w:rPr>
        <w:t xml:space="preserve"> (E172)</w:t>
      </w:r>
    </w:p>
    <w:p w:rsidR="00EA076D" w:rsidRPr="00DE1967" w:rsidRDefault="00EA076D" w:rsidP="0003742E">
      <w:pPr>
        <w:widowControl w:val="0"/>
        <w:tabs>
          <w:tab w:val="clear" w:pos="567"/>
        </w:tabs>
        <w:autoSpaceDE w:val="0"/>
        <w:autoSpaceDN w:val="0"/>
        <w:adjustRightInd w:val="0"/>
        <w:spacing w:line="240" w:lineRule="auto"/>
        <w:rPr>
          <w:snapToGrid/>
          <w:szCs w:val="22"/>
          <w:lang w:val="it-IT" w:eastAsia="de-DE"/>
        </w:rPr>
      </w:pPr>
      <w:proofErr w:type="spellStart"/>
      <w:r w:rsidRPr="00DE1967">
        <w:rPr>
          <w:snapToGrid/>
          <w:szCs w:val="22"/>
          <w:lang w:val="it-IT" w:eastAsia="de-DE"/>
        </w:rPr>
        <w:t>Hochdisperses</w:t>
      </w:r>
      <w:proofErr w:type="spellEnd"/>
      <w:r w:rsidRPr="00DE1967">
        <w:rPr>
          <w:snapToGrid/>
          <w:szCs w:val="22"/>
          <w:lang w:val="it-IT" w:eastAsia="de-DE"/>
        </w:rPr>
        <w:t xml:space="preserve"> </w:t>
      </w:r>
      <w:proofErr w:type="spellStart"/>
      <w:r w:rsidRPr="00DE1967">
        <w:rPr>
          <w:snapToGrid/>
          <w:szCs w:val="22"/>
          <w:lang w:val="it-IT" w:eastAsia="de-DE"/>
        </w:rPr>
        <w:t>Siliciumdioxid</w:t>
      </w:r>
      <w:proofErr w:type="spellEnd"/>
    </w:p>
    <w:p w:rsidR="00616958" w:rsidRPr="00DE1967" w:rsidRDefault="00616958" w:rsidP="0003742E">
      <w:pPr>
        <w:widowControl w:val="0"/>
        <w:tabs>
          <w:tab w:val="clear" w:pos="567"/>
        </w:tabs>
        <w:autoSpaceDE w:val="0"/>
        <w:autoSpaceDN w:val="0"/>
        <w:adjustRightInd w:val="0"/>
        <w:spacing w:line="240" w:lineRule="auto"/>
        <w:rPr>
          <w:snapToGrid/>
          <w:szCs w:val="22"/>
          <w:lang w:val="it-IT" w:eastAsia="de-DE"/>
        </w:rPr>
      </w:pPr>
      <w:proofErr w:type="spellStart"/>
      <w:r w:rsidRPr="00DE1967">
        <w:rPr>
          <w:snapToGrid/>
          <w:szCs w:val="22"/>
          <w:lang w:val="it-IT" w:eastAsia="de-DE"/>
        </w:rPr>
        <w:t>Natriumhydroxid</w:t>
      </w:r>
      <w:proofErr w:type="spellEnd"/>
      <w:r w:rsidR="00EA076D" w:rsidRPr="00DE1967">
        <w:rPr>
          <w:snapToGrid/>
          <w:szCs w:val="22"/>
          <w:lang w:val="it-IT" w:eastAsia="de-DE"/>
        </w:rPr>
        <w:t xml:space="preserve"> (E524)</w:t>
      </w:r>
    </w:p>
    <w:p w:rsidR="00616958" w:rsidRPr="00DE1967" w:rsidRDefault="00EA076D" w:rsidP="0003742E">
      <w:pPr>
        <w:widowControl w:val="0"/>
        <w:tabs>
          <w:tab w:val="clear" w:pos="567"/>
        </w:tabs>
        <w:autoSpaceDE w:val="0"/>
        <w:autoSpaceDN w:val="0"/>
        <w:adjustRightInd w:val="0"/>
        <w:spacing w:line="240" w:lineRule="auto"/>
        <w:rPr>
          <w:snapToGrid/>
          <w:szCs w:val="22"/>
          <w:lang w:val="it-IT" w:eastAsia="de-DE"/>
        </w:rPr>
      </w:pPr>
      <w:proofErr w:type="spellStart"/>
      <w:r w:rsidRPr="00DE1967">
        <w:rPr>
          <w:snapToGrid/>
          <w:szCs w:val="22"/>
          <w:lang w:val="it-IT" w:eastAsia="de-DE"/>
        </w:rPr>
        <w:t>Natriumstearylfumarat</w:t>
      </w:r>
      <w:proofErr w:type="spellEnd"/>
      <w:r w:rsidR="004C5D00" w:rsidRPr="00DE1967">
        <w:rPr>
          <w:snapToGrid/>
          <w:szCs w:val="22"/>
          <w:lang w:val="it-IT" w:eastAsia="de-DE"/>
        </w:rPr>
        <w:t xml:space="preserve"> (</w:t>
      </w:r>
      <w:proofErr w:type="spellStart"/>
      <w:r w:rsidR="004C5D00" w:rsidRPr="00DE1967">
        <w:rPr>
          <w:snapToGrid/>
          <w:szCs w:val="22"/>
          <w:lang w:val="it-IT" w:eastAsia="de-DE"/>
        </w:rPr>
        <w:t>Ph.Eur</w:t>
      </w:r>
      <w:proofErr w:type="spellEnd"/>
      <w:r w:rsidR="004C5D00" w:rsidRPr="00DE1967">
        <w:rPr>
          <w:snapToGrid/>
          <w:szCs w:val="22"/>
          <w:lang w:val="it-IT" w:eastAsia="de-DE"/>
        </w:rPr>
        <w:t>.)</w:t>
      </w:r>
    </w:p>
    <w:p w:rsidR="00637E20" w:rsidRPr="00DE1967" w:rsidRDefault="00616958" w:rsidP="0003742E">
      <w:pPr>
        <w:widowControl w:val="0"/>
        <w:spacing w:line="240" w:lineRule="auto"/>
        <w:rPr>
          <w:snapToGrid/>
          <w:szCs w:val="22"/>
          <w:lang w:val="de-DE" w:eastAsia="de-DE"/>
        </w:rPr>
      </w:pPr>
      <w:r w:rsidRPr="00DE1967">
        <w:rPr>
          <w:snapToGrid/>
          <w:szCs w:val="22"/>
          <w:lang w:val="de-DE" w:eastAsia="de-DE"/>
        </w:rPr>
        <w:t>Sorbitol</w:t>
      </w:r>
      <w:r w:rsidR="0022089F" w:rsidRPr="00DE1967">
        <w:rPr>
          <w:snapToGrid/>
          <w:szCs w:val="22"/>
          <w:lang w:val="de-DE" w:eastAsia="de-DE"/>
        </w:rPr>
        <w:t xml:space="preserve"> (</w:t>
      </w:r>
      <w:proofErr w:type="spellStart"/>
      <w:r w:rsidR="0022089F" w:rsidRPr="00DE1967">
        <w:rPr>
          <w:snapToGrid/>
          <w:szCs w:val="22"/>
          <w:lang w:val="de-DE" w:eastAsia="de-DE"/>
        </w:rPr>
        <w:t>Ph.Eur</w:t>
      </w:r>
      <w:proofErr w:type="spellEnd"/>
      <w:r w:rsidR="0022089F" w:rsidRPr="00DE1967">
        <w:rPr>
          <w:snapToGrid/>
          <w:szCs w:val="22"/>
          <w:lang w:val="de-DE" w:eastAsia="de-DE"/>
        </w:rPr>
        <w:t>.)</w:t>
      </w:r>
      <w:r w:rsidR="00EA076D" w:rsidRPr="00DE1967">
        <w:rPr>
          <w:snapToGrid/>
          <w:szCs w:val="22"/>
          <w:lang w:val="de-DE" w:eastAsia="de-DE"/>
        </w:rPr>
        <w:t xml:space="preserve"> (E420)</w:t>
      </w:r>
    </w:p>
    <w:p w:rsidR="004C5D00" w:rsidRPr="00DE1967" w:rsidRDefault="004C5D00" w:rsidP="0003742E">
      <w:pPr>
        <w:widowControl w:val="0"/>
        <w:spacing w:line="240" w:lineRule="auto"/>
        <w:rPr>
          <w:szCs w:val="22"/>
          <w:lang w:val="de-DE"/>
        </w:rPr>
      </w:pPr>
    </w:p>
    <w:p w:rsidR="00637E20" w:rsidRPr="00DE1967" w:rsidRDefault="00637E20" w:rsidP="0003742E">
      <w:pPr>
        <w:widowControl w:val="0"/>
        <w:spacing w:line="240" w:lineRule="auto"/>
        <w:ind w:left="567" w:hanging="567"/>
        <w:outlineLvl w:val="0"/>
        <w:rPr>
          <w:szCs w:val="22"/>
          <w:lang w:val="de-DE"/>
        </w:rPr>
      </w:pPr>
      <w:r w:rsidRPr="00DE1967">
        <w:rPr>
          <w:b/>
          <w:szCs w:val="22"/>
          <w:lang w:val="de-DE"/>
        </w:rPr>
        <w:t>6.2</w:t>
      </w:r>
      <w:r w:rsidRPr="00DE1967">
        <w:rPr>
          <w:b/>
          <w:szCs w:val="22"/>
          <w:lang w:val="de-DE"/>
        </w:rPr>
        <w:tab/>
      </w:r>
      <w:r w:rsidRPr="00DE1967">
        <w:rPr>
          <w:b/>
          <w:noProof/>
          <w:szCs w:val="22"/>
          <w:lang w:val="de-DE"/>
        </w:rPr>
        <w:t>Inkompatibilitäten</w:t>
      </w:r>
    </w:p>
    <w:p w:rsidR="00637E20" w:rsidRPr="00DE1967" w:rsidRDefault="00637E20" w:rsidP="0003742E">
      <w:pPr>
        <w:widowControl w:val="0"/>
        <w:spacing w:line="240" w:lineRule="auto"/>
        <w:rPr>
          <w:szCs w:val="22"/>
          <w:lang w:val="de-DE"/>
        </w:rPr>
      </w:pPr>
    </w:p>
    <w:p w:rsidR="00544F89" w:rsidRPr="00DE1967" w:rsidRDefault="00637E20" w:rsidP="0003742E">
      <w:pPr>
        <w:widowControl w:val="0"/>
        <w:spacing w:line="240" w:lineRule="auto"/>
        <w:rPr>
          <w:noProof/>
          <w:szCs w:val="22"/>
          <w:lang w:val="de-DE"/>
        </w:rPr>
      </w:pPr>
      <w:r w:rsidRPr="00DE1967">
        <w:rPr>
          <w:noProof/>
          <w:szCs w:val="22"/>
          <w:lang w:val="de-DE"/>
        </w:rPr>
        <w:t>Nicht zutreffend.</w:t>
      </w:r>
    </w:p>
    <w:p w:rsidR="00637E20" w:rsidRPr="00DE1967" w:rsidRDefault="00637E20" w:rsidP="0003742E">
      <w:pPr>
        <w:widowControl w:val="0"/>
        <w:spacing w:line="240" w:lineRule="auto"/>
        <w:rPr>
          <w:szCs w:val="22"/>
          <w:lang w:val="de-DE"/>
        </w:rPr>
      </w:pPr>
    </w:p>
    <w:p w:rsidR="00637E20" w:rsidRPr="00DE1967" w:rsidRDefault="00637E20" w:rsidP="0003742E">
      <w:pPr>
        <w:widowControl w:val="0"/>
        <w:spacing w:line="240" w:lineRule="auto"/>
        <w:ind w:left="567" w:hanging="567"/>
        <w:outlineLvl w:val="0"/>
        <w:rPr>
          <w:szCs w:val="22"/>
          <w:lang w:val="de-DE"/>
        </w:rPr>
      </w:pPr>
      <w:r w:rsidRPr="00DE1967">
        <w:rPr>
          <w:b/>
          <w:szCs w:val="22"/>
          <w:lang w:val="de-DE"/>
        </w:rPr>
        <w:t>6.3</w:t>
      </w:r>
      <w:r w:rsidRPr="00DE1967">
        <w:rPr>
          <w:b/>
          <w:szCs w:val="22"/>
          <w:lang w:val="de-DE"/>
        </w:rPr>
        <w:tab/>
      </w:r>
      <w:r w:rsidRPr="00DE1967">
        <w:rPr>
          <w:b/>
          <w:noProof/>
          <w:szCs w:val="22"/>
          <w:lang w:val="de-DE"/>
        </w:rPr>
        <w:t>Dauer der Haltbarkeit</w:t>
      </w:r>
    </w:p>
    <w:p w:rsidR="00637E20" w:rsidRPr="00DE1967" w:rsidRDefault="00637E20" w:rsidP="0003742E">
      <w:pPr>
        <w:widowControl w:val="0"/>
        <w:spacing w:line="240" w:lineRule="auto"/>
        <w:rPr>
          <w:szCs w:val="22"/>
          <w:lang w:val="de-DE"/>
        </w:rPr>
      </w:pPr>
    </w:p>
    <w:p w:rsidR="00637E20" w:rsidRPr="00DE1967" w:rsidRDefault="00AE228F" w:rsidP="0003742E">
      <w:pPr>
        <w:widowControl w:val="0"/>
        <w:spacing w:line="240" w:lineRule="auto"/>
        <w:rPr>
          <w:szCs w:val="22"/>
          <w:lang w:val="de-DE"/>
        </w:rPr>
      </w:pPr>
      <w:r w:rsidRPr="00DE1967">
        <w:rPr>
          <w:szCs w:val="22"/>
          <w:lang w:val="de-DE"/>
        </w:rPr>
        <w:t xml:space="preserve">Blisterpackung (OPA/Al/PVC-Folie//Al-Folie): </w:t>
      </w:r>
      <w:r w:rsidR="00D819FB" w:rsidRPr="00DE1967">
        <w:rPr>
          <w:noProof/>
          <w:szCs w:val="22"/>
          <w:lang w:val="de-DE"/>
        </w:rPr>
        <w:t>3</w:t>
      </w:r>
      <w:r w:rsidR="00637E20" w:rsidRPr="00DE1967">
        <w:rPr>
          <w:noProof/>
          <w:szCs w:val="22"/>
          <w:lang w:val="de-DE"/>
        </w:rPr>
        <w:t xml:space="preserve"> Jahre</w:t>
      </w:r>
    </w:p>
    <w:p w:rsidR="00637E20" w:rsidRPr="00DE1967" w:rsidRDefault="00AE228F" w:rsidP="0003742E">
      <w:pPr>
        <w:widowControl w:val="0"/>
        <w:spacing w:line="240" w:lineRule="auto"/>
        <w:rPr>
          <w:szCs w:val="22"/>
          <w:lang w:val="de-DE"/>
        </w:rPr>
      </w:pPr>
      <w:r w:rsidRPr="00DE1967">
        <w:rPr>
          <w:szCs w:val="22"/>
          <w:lang w:val="de-DE"/>
        </w:rPr>
        <w:t>Blisterpackung (OPA/Al/PE-Folie mit Trockenmittel//Al-Folie): 2 Jahre</w:t>
      </w:r>
    </w:p>
    <w:p w:rsidR="00AE228F" w:rsidRPr="00DE1967" w:rsidRDefault="00AE228F" w:rsidP="0003742E">
      <w:pPr>
        <w:widowControl w:val="0"/>
        <w:spacing w:line="240" w:lineRule="auto"/>
        <w:rPr>
          <w:szCs w:val="22"/>
          <w:lang w:val="de-DE"/>
        </w:rPr>
      </w:pPr>
    </w:p>
    <w:p w:rsidR="00637E20" w:rsidRPr="00DE1967" w:rsidRDefault="00637E20" w:rsidP="0003742E">
      <w:pPr>
        <w:widowControl w:val="0"/>
        <w:spacing w:line="240" w:lineRule="auto"/>
        <w:ind w:left="567" w:hanging="567"/>
        <w:outlineLvl w:val="0"/>
        <w:rPr>
          <w:b/>
          <w:szCs w:val="22"/>
          <w:lang w:val="de-DE"/>
        </w:rPr>
      </w:pPr>
      <w:r w:rsidRPr="00DE1967">
        <w:rPr>
          <w:b/>
          <w:szCs w:val="22"/>
          <w:lang w:val="de-DE"/>
        </w:rPr>
        <w:t>6.4</w:t>
      </w:r>
      <w:r w:rsidRPr="00DE1967">
        <w:rPr>
          <w:b/>
          <w:szCs w:val="22"/>
          <w:lang w:val="de-DE"/>
        </w:rPr>
        <w:tab/>
      </w:r>
      <w:r w:rsidRPr="00DE1967">
        <w:rPr>
          <w:b/>
          <w:noProof/>
          <w:szCs w:val="22"/>
          <w:lang w:val="de-DE"/>
        </w:rPr>
        <w:t>Besondere Vorsichtsmaßnahmen für die Aufbewahrung</w:t>
      </w:r>
    </w:p>
    <w:p w:rsidR="00637E20" w:rsidRPr="00DE1967" w:rsidRDefault="00637E20" w:rsidP="0003742E">
      <w:pPr>
        <w:widowControl w:val="0"/>
        <w:spacing w:line="240" w:lineRule="auto"/>
        <w:ind w:left="567" w:hanging="567"/>
        <w:outlineLvl w:val="0"/>
        <w:rPr>
          <w:noProof/>
          <w:szCs w:val="22"/>
          <w:lang w:val="de-DE"/>
        </w:rPr>
      </w:pPr>
    </w:p>
    <w:p w:rsidR="00F323B2" w:rsidRPr="00DE1967" w:rsidRDefault="00207546"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Für dieses Arzneimittel sind bezüglich der Temperatur keine besonderen Lagerungsbedingungen erforderlich.</w:t>
      </w:r>
    </w:p>
    <w:p w:rsidR="00207546" w:rsidRPr="00DE1967" w:rsidRDefault="00207546"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 der Originalpackung aufbewahren, um den Inhalt vor Licht zu schützen.</w:t>
      </w:r>
    </w:p>
    <w:p w:rsidR="00021BCE" w:rsidRPr="00DE1967" w:rsidRDefault="00021BCE" w:rsidP="0003742E">
      <w:pPr>
        <w:widowControl w:val="0"/>
        <w:spacing w:line="240" w:lineRule="auto"/>
        <w:rPr>
          <w:szCs w:val="22"/>
          <w:lang w:val="de-DE"/>
        </w:rPr>
      </w:pPr>
    </w:p>
    <w:p w:rsidR="00544F89" w:rsidRPr="00DE1967" w:rsidRDefault="00637E20" w:rsidP="0003742E">
      <w:pPr>
        <w:widowControl w:val="0"/>
        <w:numPr>
          <w:ilvl w:val="1"/>
          <w:numId w:val="3"/>
        </w:numPr>
        <w:snapToGrid w:val="0"/>
        <w:spacing w:line="240" w:lineRule="auto"/>
        <w:outlineLvl w:val="0"/>
        <w:rPr>
          <w:b/>
          <w:noProof/>
          <w:szCs w:val="22"/>
          <w:lang w:val="de-DE"/>
        </w:rPr>
      </w:pPr>
      <w:r w:rsidRPr="00DE1967">
        <w:rPr>
          <w:b/>
          <w:noProof/>
          <w:szCs w:val="22"/>
          <w:lang w:val="de-DE"/>
        </w:rPr>
        <w:t>Art und Inhalt des Behältnisses</w:t>
      </w:r>
    </w:p>
    <w:p w:rsidR="00021BCE" w:rsidRPr="00DE1967" w:rsidRDefault="00021BCE" w:rsidP="0003742E">
      <w:pPr>
        <w:widowControl w:val="0"/>
        <w:snapToGrid w:val="0"/>
        <w:spacing w:line="240" w:lineRule="auto"/>
        <w:outlineLvl w:val="0"/>
        <w:rPr>
          <w:b/>
          <w:szCs w:val="22"/>
          <w:lang w:val="de-DE"/>
        </w:rPr>
      </w:pPr>
    </w:p>
    <w:p w:rsidR="00021BCE" w:rsidRPr="00DE1967" w:rsidRDefault="00207546" w:rsidP="0003742E">
      <w:pPr>
        <w:widowControl w:val="0"/>
        <w:tabs>
          <w:tab w:val="clear" w:pos="567"/>
        </w:tabs>
        <w:autoSpaceDE w:val="0"/>
        <w:autoSpaceDN w:val="0"/>
        <w:adjustRightInd w:val="0"/>
        <w:spacing w:line="240" w:lineRule="auto"/>
        <w:rPr>
          <w:szCs w:val="22"/>
          <w:lang w:val="de-DE"/>
        </w:rPr>
      </w:pPr>
      <w:r w:rsidRPr="00DE1967">
        <w:rPr>
          <w:szCs w:val="22"/>
          <w:lang w:val="de-DE"/>
        </w:rPr>
        <w:t>Blisterpackung (OPA/Al/PVC-Folie//Al-Folie):</w:t>
      </w:r>
      <w:r w:rsidR="00021BCE" w:rsidRPr="00DE1967">
        <w:rPr>
          <w:szCs w:val="22"/>
          <w:lang w:val="de-DE"/>
        </w:rPr>
        <w:t xml:space="preserve"> 14</w:t>
      </w:r>
      <w:r w:rsidR="00D355CE" w:rsidRPr="00DE1967">
        <w:rPr>
          <w:szCs w:val="22"/>
          <w:lang w:val="de-DE"/>
        </w:rPr>
        <w:t> x 1</w:t>
      </w:r>
      <w:r w:rsidR="00021BCE" w:rsidRPr="00DE1967">
        <w:rPr>
          <w:szCs w:val="22"/>
          <w:lang w:val="de-DE"/>
        </w:rPr>
        <w:t>, 28</w:t>
      </w:r>
      <w:r w:rsidR="00D355CE" w:rsidRPr="00DE1967">
        <w:rPr>
          <w:szCs w:val="22"/>
          <w:lang w:val="de-DE"/>
        </w:rPr>
        <w:t> x 1</w:t>
      </w:r>
      <w:r w:rsidR="00021BCE" w:rsidRPr="00DE1967">
        <w:rPr>
          <w:szCs w:val="22"/>
          <w:lang w:val="de-DE"/>
        </w:rPr>
        <w:t>, 30</w:t>
      </w:r>
      <w:r w:rsidR="00D355CE" w:rsidRPr="00DE1967">
        <w:rPr>
          <w:szCs w:val="22"/>
          <w:lang w:val="de-DE"/>
        </w:rPr>
        <w:t> x 1</w:t>
      </w:r>
      <w:r w:rsidR="00021BCE" w:rsidRPr="00DE1967">
        <w:rPr>
          <w:szCs w:val="22"/>
          <w:lang w:val="de-DE"/>
        </w:rPr>
        <w:t>, 56</w:t>
      </w:r>
      <w:r w:rsidR="00D355CE" w:rsidRPr="00DE1967">
        <w:rPr>
          <w:szCs w:val="22"/>
          <w:lang w:val="de-DE"/>
        </w:rPr>
        <w:t> x 1</w:t>
      </w:r>
      <w:r w:rsidR="00021BCE" w:rsidRPr="00DE1967">
        <w:rPr>
          <w:szCs w:val="22"/>
          <w:lang w:val="de-DE"/>
        </w:rPr>
        <w:t>, 60</w:t>
      </w:r>
      <w:r w:rsidR="00D355CE" w:rsidRPr="00DE1967">
        <w:rPr>
          <w:szCs w:val="22"/>
          <w:lang w:val="de-DE"/>
        </w:rPr>
        <w:t> x 1</w:t>
      </w:r>
      <w:r w:rsidR="00021BCE" w:rsidRPr="00DE1967">
        <w:rPr>
          <w:szCs w:val="22"/>
          <w:lang w:val="de-DE"/>
        </w:rPr>
        <w:t>, 84</w:t>
      </w:r>
      <w:r w:rsidR="00D355CE" w:rsidRPr="00DE1967">
        <w:rPr>
          <w:szCs w:val="22"/>
          <w:lang w:val="de-DE"/>
        </w:rPr>
        <w:t> x 1</w:t>
      </w:r>
      <w:r w:rsidR="00021BCE" w:rsidRPr="00DE1967">
        <w:rPr>
          <w:szCs w:val="22"/>
          <w:lang w:val="de-DE"/>
        </w:rPr>
        <w:t>, 90</w:t>
      </w:r>
      <w:r w:rsidR="00D355CE" w:rsidRPr="00DE1967">
        <w:rPr>
          <w:szCs w:val="22"/>
          <w:lang w:val="de-DE"/>
        </w:rPr>
        <w:t> x 1</w:t>
      </w:r>
      <w:r w:rsidR="00D9419E" w:rsidRPr="00DE1967">
        <w:rPr>
          <w:szCs w:val="22"/>
          <w:lang w:val="de-DE"/>
        </w:rPr>
        <w:t>,</w:t>
      </w:r>
      <w:r w:rsidR="00021BCE" w:rsidRPr="00DE1967">
        <w:rPr>
          <w:szCs w:val="22"/>
          <w:lang w:val="de-DE"/>
        </w:rPr>
        <w:t xml:space="preserve"> 98</w:t>
      </w:r>
      <w:r w:rsidR="00D355CE" w:rsidRPr="00DE1967">
        <w:rPr>
          <w:szCs w:val="22"/>
          <w:lang w:val="de-DE"/>
        </w:rPr>
        <w:t> x 1</w:t>
      </w:r>
      <w:r w:rsidR="00021BCE" w:rsidRPr="00DE1967">
        <w:rPr>
          <w:szCs w:val="22"/>
          <w:lang w:val="de-DE"/>
        </w:rPr>
        <w:t xml:space="preserve"> </w:t>
      </w:r>
      <w:r w:rsidR="00D9419E" w:rsidRPr="00DE1967">
        <w:rPr>
          <w:szCs w:val="22"/>
          <w:lang w:val="de-DE"/>
        </w:rPr>
        <w:t>und 100</w:t>
      </w:r>
      <w:r w:rsidR="00D355CE" w:rsidRPr="00DE1967">
        <w:rPr>
          <w:szCs w:val="22"/>
          <w:lang w:val="de-DE"/>
        </w:rPr>
        <w:t> x 1</w:t>
      </w:r>
      <w:r w:rsidR="00D9419E" w:rsidRPr="00DE1967">
        <w:rPr>
          <w:szCs w:val="22"/>
          <w:lang w:val="de-DE"/>
        </w:rPr>
        <w:t xml:space="preserve"> </w:t>
      </w:r>
      <w:r w:rsidR="00021BCE" w:rsidRPr="00DE1967">
        <w:rPr>
          <w:szCs w:val="22"/>
          <w:lang w:val="de-DE"/>
        </w:rPr>
        <w:t>Tablette in einer Faltschachtel.</w:t>
      </w:r>
    </w:p>
    <w:p w:rsidR="00021BCE" w:rsidRPr="00DE1967" w:rsidRDefault="00D60896" w:rsidP="0003742E">
      <w:pPr>
        <w:widowControl w:val="0"/>
        <w:autoSpaceDE w:val="0"/>
        <w:autoSpaceDN w:val="0"/>
        <w:adjustRightInd w:val="0"/>
        <w:spacing w:line="240" w:lineRule="auto"/>
        <w:rPr>
          <w:szCs w:val="22"/>
          <w:lang w:val="de-DE"/>
        </w:rPr>
      </w:pPr>
      <w:r w:rsidRPr="00DE1967">
        <w:rPr>
          <w:szCs w:val="22"/>
          <w:lang w:val="de-DE"/>
        </w:rPr>
        <w:t>Blisterpackung (OPA/Al/PE</w:t>
      </w:r>
      <w:r w:rsidR="00021BCE" w:rsidRPr="00DE1967">
        <w:rPr>
          <w:szCs w:val="22"/>
          <w:lang w:val="de-DE"/>
        </w:rPr>
        <w:t>-Folie mit Trockenmittel/</w:t>
      </w:r>
      <w:r w:rsidR="00D75747" w:rsidRPr="00DE1967">
        <w:rPr>
          <w:szCs w:val="22"/>
          <w:lang w:val="de-DE"/>
        </w:rPr>
        <w:t>/</w:t>
      </w:r>
      <w:r w:rsidR="00021BCE" w:rsidRPr="00DE1967">
        <w:rPr>
          <w:szCs w:val="22"/>
          <w:lang w:val="de-DE"/>
        </w:rPr>
        <w:t>Al-Folie): 14</w:t>
      </w:r>
      <w:r w:rsidR="000B144E" w:rsidRPr="00DE1967">
        <w:rPr>
          <w:szCs w:val="22"/>
          <w:lang w:val="de-DE"/>
        </w:rPr>
        <w:t> x 1</w:t>
      </w:r>
      <w:r w:rsidR="00021BCE" w:rsidRPr="00DE1967">
        <w:rPr>
          <w:szCs w:val="22"/>
          <w:lang w:val="de-DE"/>
        </w:rPr>
        <w:t xml:space="preserve"> und 98</w:t>
      </w:r>
      <w:r w:rsidR="000B144E" w:rsidRPr="00DE1967">
        <w:rPr>
          <w:szCs w:val="22"/>
          <w:lang w:val="de-DE"/>
        </w:rPr>
        <w:t> x 1</w:t>
      </w:r>
      <w:r w:rsidR="00021BCE" w:rsidRPr="00DE1967">
        <w:rPr>
          <w:szCs w:val="22"/>
          <w:lang w:val="de-DE"/>
        </w:rPr>
        <w:t xml:space="preserve"> Tablette in einer Faltschachtel.</w:t>
      </w:r>
    </w:p>
    <w:p w:rsidR="00021BCE" w:rsidRPr="00DE1967" w:rsidRDefault="00021BCE" w:rsidP="0003742E">
      <w:pPr>
        <w:widowControl w:val="0"/>
        <w:autoSpaceDE w:val="0"/>
        <w:autoSpaceDN w:val="0"/>
        <w:adjustRightInd w:val="0"/>
        <w:spacing w:line="240" w:lineRule="auto"/>
        <w:rPr>
          <w:szCs w:val="22"/>
          <w:lang w:val="de-DE"/>
        </w:rPr>
      </w:pPr>
    </w:p>
    <w:p w:rsidR="00637E20" w:rsidRPr="00DE1967" w:rsidRDefault="00637E20" w:rsidP="0003742E">
      <w:pPr>
        <w:widowControl w:val="0"/>
        <w:spacing w:line="240" w:lineRule="auto"/>
        <w:rPr>
          <w:szCs w:val="22"/>
          <w:lang w:val="de-DE"/>
        </w:rPr>
      </w:pPr>
      <w:r w:rsidRPr="00DE1967">
        <w:rPr>
          <w:szCs w:val="22"/>
          <w:lang w:val="de-DE"/>
        </w:rPr>
        <w:t>Es werden möglicherweise nicht alle Packungs</w:t>
      </w:r>
      <w:r w:rsidR="00021BCE" w:rsidRPr="00DE1967">
        <w:rPr>
          <w:szCs w:val="22"/>
          <w:lang w:val="de-DE"/>
        </w:rPr>
        <w:t>größen in den Verkehr gebracht.</w:t>
      </w:r>
    </w:p>
    <w:p w:rsidR="00637E20" w:rsidRPr="00DE1967" w:rsidRDefault="00637E20" w:rsidP="0003742E">
      <w:pPr>
        <w:widowControl w:val="0"/>
        <w:spacing w:line="240" w:lineRule="auto"/>
        <w:rPr>
          <w:szCs w:val="22"/>
          <w:lang w:val="de-DE"/>
        </w:rPr>
      </w:pPr>
    </w:p>
    <w:p w:rsidR="00544F89" w:rsidRPr="00DE1967" w:rsidRDefault="00637E20" w:rsidP="0003742E">
      <w:pPr>
        <w:widowControl w:val="0"/>
        <w:spacing w:line="240" w:lineRule="auto"/>
        <w:ind w:left="567" w:hanging="567"/>
        <w:outlineLvl w:val="0"/>
        <w:rPr>
          <w:b/>
          <w:noProof/>
          <w:szCs w:val="22"/>
          <w:lang w:val="de-DE"/>
        </w:rPr>
      </w:pPr>
      <w:bookmarkStart w:id="1" w:name="OLE_LINK1"/>
      <w:r w:rsidRPr="00DE1967">
        <w:rPr>
          <w:b/>
          <w:szCs w:val="22"/>
          <w:lang w:val="de-DE"/>
        </w:rPr>
        <w:t>6.6</w:t>
      </w:r>
      <w:r w:rsidRPr="00DE1967">
        <w:rPr>
          <w:b/>
          <w:szCs w:val="22"/>
          <w:lang w:val="de-DE"/>
        </w:rPr>
        <w:tab/>
      </w:r>
      <w:r w:rsidRPr="00DE1967">
        <w:rPr>
          <w:b/>
          <w:noProof/>
          <w:szCs w:val="22"/>
          <w:lang w:val="de-DE"/>
        </w:rPr>
        <w:t>Besondere Vorsichtsmaßnahmen für die Beseitigung</w:t>
      </w:r>
    </w:p>
    <w:bookmarkEnd w:id="1"/>
    <w:p w:rsidR="00637E20" w:rsidRPr="00DE1967" w:rsidRDefault="00637E20" w:rsidP="0003742E">
      <w:pPr>
        <w:widowControl w:val="0"/>
        <w:spacing w:line="240" w:lineRule="auto"/>
        <w:rPr>
          <w:szCs w:val="22"/>
          <w:lang w:val="de-DE"/>
        </w:rPr>
      </w:pPr>
    </w:p>
    <w:p w:rsidR="00637E20" w:rsidRPr="00DE1967" w:rsidRDefault="00637E20" w:rsidP="0003742E">
      <w:pPr>
        <w:widowControl w:val="0"/>
        <w:spacing w:line="240" w:lineRule="auto"/>
        <w:rPr>
          <w:szCs w:val="22"/>
          <w:lang w:val="de-DE"/>
        </w:rPr>
      </w:pPr>
      <w:r w:rsidRPr="00DE1967">
        <w:rPr>
          <w:noProof/>
          <w:szCs w:val="22"/>
          <w:lang w:val="de-DE"/>
        </w:rPr>
        <w:t>Keine besonderen Anforderungen</w:t>
      </w:r>
      <w:r w:rsidR="00021BCE" w:rsidRPr="00DE1967">
        <w:rPr>
          <w:noProof/>
          <w:szCs w:val="22"/>
          <w:lang w:val="de-DE"/>
        </w:rPr>
        <w:t>.</w:t>
      </w:r>
    </w:p>
    <w:p w:rsidR="00637E20" w:rsidRPr="00DE1967" w:rsidRDefault="00637E20" w:rsidP="0003742E">
      <w:pPr>
        <w:widowControl w:val="0"/>
        <w:spacing w:line="240" w:lineRule="auto"/>
        <w:rPr>
          <w:szCs w:val="22"/>
          <w:lang w:val="de-DE"/>
        </w:rPr>
      </w:pPr>
    </w:p>
    <w:p w:rsidR="00637E20" w:rsidRPr="00DE1967" w:rsidRDefault="00637E20" w:rsidP="0003742E">
      <w:pPr>
        <w:widowControl w:val="0"/>
        <w:spacing w:line="240" w:lineRule="auto"/>
        <w:rPr>
          <w:szCs w:val="22"/>
          <w:lang w:val="de-DE"/>
        </w:rPr>
      </w:pPr>
    </w:p>
    <w:p w:rsidR="00637E20" w:rsidRPr="00DE1967" w:rsidRDefault="00637E20" w:rsidP="0003742E">
      <w:pPr>
        <w:widowControl w:val="0"/>
        <w:spacing w:line="240" w:lineRule="auto"/>
        <w:ind w:left="567" w:hanging="567"/>
        <w:rPr>
          <w:szCs w:val="22"/>
          <w:lang w:val="de-DE"/>
        </w:rPr>
      </w:pPr>
      <w:r w:rsidRPr="00DE1967">
        <w:rPr>
          <w:b/>
          <w:szCs w:val="22"/>
          <w:lang w:val="de-DE"/>
        </w:rPr>
        <w:t>7.</w:t>
      </w:r>
      <w:r w:rsidRPr="00DE1967">
        <w:rPr>
          <w:b/>
          <w:szCs w:val="22"/>
          <w:lang w:val="de-DE"/>
        </w:rPr>
        <w:tab/>
      </w:r>
      <w:r w:rsidRPr="00DE1967">
        <w:rPr>
          <w:b/>
          <w:noProof/>
          <w:szCs w:val="22"/>
          <w:lang w:val="de-DE"/>
        </w:rPr>
        <w:t>INHABER DER ZULASSUNG</w:t>
      </w:r>
    </w:p>
    <w:p w:rsidR="00637E20" w:rsidRPr="00DE1967" w:rsidRDefault="00637E20" w:rsidP="0003742E">
      <w:pPr>
        <w:widowControl w:val="0"/>
        <w:spacing w:line="240" w:lineRule="auto"/>
        <w:rPr>
          <w:szCs w:val="22"/>
          <w:lang w:val="de-DE"/>
        </w:rPr>
      </w:pPr>
    </w:p>
    <w:p w:rsidR="00021BCE" w:rsidRPr="00DE1967" w:rsidRDefault="00021BCE" w:rsidP="0003742E">
      <w:pPr>
        <w:widowControl w:val="0"/>
        <w:spacing w:line="240" w:lineRule="auto"/>
        <w:rPr>
          <w:szCs w:val="22"/>
          <w:lang w:val="de-DE"/>
        </w:rPr>
      </w:pPr>
      <w:r w:rsidRPr="00DE1967">
        <w:rPr>
          <w:szCs w:val="22"/>
          <w:lang w:val="de-DE"/>
        </w:rPr>
        <w:t xml:space="preserve">KRKA, d.d., Novo mesto, </w:t>
      </w:r>
      <w:proofErr w:type="spellStart"/>
      <w:r w:rsidRPr="00DE1967">
        <w:rPr>
          <w:szCs w:val="22"/>
          <w:lang w:val="de-DE"/>
        </w:rPr>
        <w:t>Šmarješka</w:t>
      </w:r>
      <w:proofErr w:type="spellEnd"/>
      <w:r w:rsidRPr="00DE1967">
        <w:rPr>
          <w:szCs w:val="22"/>
          <w:lang w:val="de-DE"/>
        </w:rPr>
        <w:t xml:space="preserve"> </w:t>
      </w:r>
      <w:proofErr w:type="spellStart"/>
      <w:r w:rsidRPr="00DE1967">
        <w:rPr>
          <w:szCs w:val="22"/>
          <w:lang w:val="de-DE"/>
        </w:rPr>
        <w:t>cesta</w:t>
      </w:r>
      <w:proofErr w:type="spellEnd"/>
      <w:r w:rsidRPr="00DE1967">
        <w:rPr>
          <w:szCs w:val="22"/>
          <w:lang w:val="de-DE"/>
        </w:rPr>
        <w:t xml:space="preserve"> 6, 8501 Novo mesto, Slowenien</w:t>
      </w:r>
    </w:p>
    <w:p w:rsidR="00637E20" w:rsidRPr="00DE1967" w:rsidRDefault="00637E20" w:rsidP="0003742E">
      <w:pPr>
        <w:widowControl w:val="0"/>
        <w:spacing w:line="240" w:lineRule="auto"/>
        <w:rPr>
          <w:szCs w:val="22"/>
          <w:lang w:val="de-DE"/>
        </w:rPr>
      </w:pPr>
    </w:p>
    <w:p w:rsidR="00637E20" w:rsidRPr="00DE1967" w:rsidRDefault="00637E20" w:rsidP="0003742E">
      <w:pPr>
        <w:widowControl w:val="0"/>
        <w:spacing w:line="240" w:lineRule="auto"/>
        <w:rPr>
          <w:szCs w:val="22"/>
          <w:lang w:val="de-DE"/>
        </w:rPr>
      </w:pPr>
    </w:p>
    <w:p w:rsidR="00544F89" w:rsidRPr="00DE1967" w:rsidRDefault="00637E20" w:rsidP="0003742E">
      <w:pPr>
        <w:widowControl w:val="0"/>
        <w:spacing w:line="240" w:lineRule="auto"/>
        <w:ind w:left="567" w:hanging="567"/>
        <w:rPr>
          <w:b/>
          <w:noProof/>
          <w:szCs w:val="22"/>
          <w:lang w:val="de-DE"/>
        </w:rPr>
      </w:pPr>
      <w:r w:rsidRPr="00DE1967">
        <w:rPr>
          <w:b/>
          <w:szCs w:val="22"/>
          <w:lang w:val="de-DE"/>
        </w:rPr>
        <w:t>8.</w:t>
      </w:r>
      <w:r w:rsidRPr="00DE1967">
        <w:rPr>
          <w:b/>
          <w:szCs w:val="22"/>
          <w:lang w:val="de-DE"/>
        </w:rPr>
        <w:tab/>
      </w:r>
      <w:r w:rsidRPr="00DE1967">
        <w:rPr>
          <w:b/>
          <w:noProof/>
          <w:szCs w:val="22"/>
          <w:lang w:val="de-DE"/>
        </w:rPr>
        <w:t>ZULASSUNGSNUMMER(N)</w:t>
      </w:r>
    </w:p>
    <w:p w:rsidR="00544F89" w:rsidRPr="00DE1967" w:rsidRDefault="00544F89" w:rsidP="0003742E">
      <w:pPr>
        <w:widowControl w:val="0"/>
        <w:spacing w:line="240" w:lineRule="auto"/>
        <w:ind w:left="567" w:hanging="567"/>
        <w:rPr>
          <w:b/>
          <w:noProof/>
          <w:szCs w:val="22"/>
          <w:lang w:val="de-DE"/>
        </w:rPr>
      </w:pPr>
    </w:p>
    <w:p w:rsidR="00C842BE" w:rsidRPr="00DE1967" w:rsidRDefault="00C842BE" w:rsidP="00854C15">
      <w:pPr>
        <w:widowControl w:val="0"/>
        <w:spacing w:line="240" w:lineRule="auto"/>
        <w:rPr>
          <w:noProof/>
          <w:szCs w:val="22"/>
          <w:u w:val="single"/>
          <w:lang w:val="de-DE"/>
        </w:rPr>
      </w:pPr>
      <w:r w:rsidRPr="00DE1967">
        <w:rPr>
          <w:noProof/>
          <w:szCs w:val="22"/>
          <w:u w:val="single"/>
          <w:lang w:val="de-DE"/>
        </w:rPr>
        <w:t>Tolucombi 40 mg/12.5 mg Tabletten</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EU/1/13/821/001</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EU/1/13/821/002</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EU/1/13/821/003</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EU/1/13/821/004</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EU/1/13/821/005</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EU/1/13/821/006</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EU/1/13/821/007</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EU/1/13/821/008</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EU/1/13/821/009</w:t>
      </w:r>
    </w:p>
    <w:p w:rsidR="00D9419E" w:rsidRPr="00DE1967" w:rsidRDefault="00D9419E"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EU/1/13/821/010</w:t>
      </w:r>
    </w:p>
    <w:p w:rsidR="00D9419E" w:rsidRPr="00DE1967" w:rsidRDefault="00D9419E"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EU/1/13/821/031</w:t>
      </w:r>
    </w:p>
    <w:p w:rsidR="00637E20" w:rsidRPr="00DE1967" w:rsidRDefault="00637E20" w:rsidP="0003742E">
      <w:pPr>
        <w:widowControl w:val="0"/>
        <w:spacing w:line="240" w:lineRule="auto"/>
        <w:rPr>
          <w:szCs w:val="22"/>
          <w:lang w:val="fr-FR"/>
        </w:rPr>
      </w:pPr>
    </w:p>
    <w:p w:rsidR="00C842BE" w:rsidRPr="00DE1967" w:rsidRDefault="00C842BE" w:rsidP="00C842BE">
      <w:pPr>
        <w:widowControl w:val="0"/>
        <w:spacing w:line="240" w:lineRule="auto"/>
        <w:rPr>
          <w:noProof/>
          <w:szCs w:val="22"/>
          <w:u w:val="single"/>
          <w:lang w:val="fr-FR"/>
        </w:rPr>
      </w:pPr>
      <w:r w:rsidRPr="00DE1967">
        <w:rPr>
          <w:noProof/>
          <w:szCs w:val="22"/>
          <w:u w:val="single"/>
          <w:lang w:val="fr-FR"/>
        </w:rPr>
        <w:t>Tolucombi 80 mg/12.5 mg Tabletten</w:t>
      </w:r>
    </w:p>
    <w:p w:rsidR="00C842BE" w:rsidRPr="00DE1967" w:rsidRDefault="00C842BE" w:rsidP="00C842BE">
      <w:pPr>
        <w:widowControl w:val="0"/>
        <w:tabs>
          <w:tab w:val="clear" w:pos="567"/>
        </w:tabs>
        <w:spacing w:line="240" w:lineRule="auto"/>
        <w:rPr>
          <w:rFonts w:eastAsia="Calibri"/>
          <w:szCs w:val="22"/>
          <w:lang w:val="fr-FR"/>
        </w:rPr>
      </w:pPr>
      <w:r w:rsidRPr="00DE1967">
        <w:rPr>
          <w:rFonts w:eastAsia="Calibri"/>
          <w:szCs w:val="22"/>
          <w:lang w:val="fr-FR"/>
        </w:rPr>
        <w:t>EU/1/13/821/011</w:t>
      </w:r>
    </w:p>
    <w:p w:rsidR="00C842BE" w:rsidRPr="00DE1967" w:rsidRDefault="00C842BE" w:rsidP="00C842BE">
      <w:pPr>
        <w:widowControl w:val="0"/>
        <w:tabs>
          <w:tab w:val="clear" w:pos="567"/>
        </w:tabs>
        <w:spacing w:line="240" w:lineRule="auto"/>
        <w:rPr>
          <w:rFonts w:eastAsia="Calibri"/>
          <w:szCs w:val="22"/>
          <w:lang w:val="fr-FR"/>
        </w:rPr>
      </w:pPr>
      <w:r w:rsidRPr="00DE1967">
        <w:rPr>
          <w:rFonts w:eastAsia="Calibri"/>
          <w:szCs w:val="22"/>
          <w:lang w:val="fr-FR"/>
        </w:rPr>
        <w:t>EU/1/13/821/012</w:t>
      </w:r>
    </w:p>
    <w:p w:rsidR="00C842BE" w:rsidRPr="00DE1967" w:rsidRDefault="00C842BE" w:rsidP="00C842BE">
      <w:pPr>
        <w:widowControl w:val="0"/>
        <w:tabs>
          <w:tab w:val="clear" w:pos="567"/>
        </w:tabs>
        <w:spacing w:line="240" w:lineRule="auto"/>
        <w:rPr>
          <w:rFonts w:eastAsia="Calibri"/>
          <w:szCs w:val="22"/>
          <w:lang w:val="fr-FR"/>
        </w:rPr>
      </w:pPr>
      <w:r w:rsidRPr="00DE1967">
        <w:rPr>
          <w:rFonts w:eastAsia="Calibri"/>
          <w:szCs w:val="22"/>
          <w:lang w:val="fr-FR"/>
        </w:rPr>
        <w:t>EU/1/13/821/013</w:t>
      </w:r>
    </w:p>
    <w:p w:rsidR="00C842BE" w:rsidRPr="00DE1967" w:rsidRDefault="00C842BE" w:rsidP="00C842BE">
      <w:pPr>
        <w:widowControl w:val="0"/>
        <w:tabs>
          <w:tab w:val="clear" w:pos="567"/>
        </w:tabs>
        <w:spacing w:line="240" w:lineRule="auto"/>
        <w:rPr>
          <w:rFonts w:eastAsia="Calibri"/>
          <w:szCs w:val="22"/>
          <w:lang w:val="fr-FR"/>
        </w:rPr>
      </w:pPr>
      <w:r w:rsidRPr="00DE1967">
        <w:rPr>
          <w:rFonts w:eastAsia="Calibri"/>
          <w:szCs w:val="22"/>
          <w:lang w:val="fr-FR"/>
        </w:rPr>
        <w:t>EU/1/13/821/014</w:t>
      </w:r>
    </w:p>
    <w:p w:rsidR="00C842BE" w:rsidRPr="00DE1967" w:rsidRDefault="00C842BE" w:rsidP="00C842BE">
      <w:pPr>
        <w:widowControl w:val="0"/>
        <w:tabs>
          <w:tab w:val="clear" w:pos="567"/>
        </w:tabs>
        <w:spacing w:line="240" w:lineRule="auto"/>
        <w:rPr>
          <w:rFonts w:eastAsia="Calibri"/>
          <w:szCs w:val="22"/>
          <w:lang w:val="fr-FR"/>
        </w:rPr>
      </w:pPr>
      <w:r w:rsidRPr="00DE1967">
        <w:rPr>
          <w:rFonts w:eastAsia="Calibri"/>
          <w:szCs w:val="22"/>
          <w:lang w:val="fr-FR"/>
        </w:rPr>
        <w:t>EU/1/13/821/015</w:t>
      </w:r>
    </w:p>
    <w:p w:rsidR="00C842BE" w:rsidRPr="00DE1967" w:rsidRDefault="00C842BE" w:rsidP="00C842BE">
      <w:pPr>
        <w:widowControl w:val="0"/>
        <w:tabs>
          <w:tab w:val="clear" w:pos="567"/>
        </w:tabs>
        <w:spacing w:line="240" w:lineRule="auto"/>
        <w:rPr>
          <w:rFonts w:eastAsia="Calibri"/>
          <w:szCs w:val="22"/>
          <w:lang w:val="fr-FR"/>
        </w:rPr>
      </w:pPr>
      <w:r w:rsidRPr="00DE1967">
        <w:rPr>
          <w:rFonts w:eastAsia="Calibri"/>
          <w:szCs w:val="22"/>
          <w:lang w:val="fr-FR"/>
        </w:rPr>
        <w:t>EU/1/13/821/016</w:t>
      </w:r>
    </w:p>
    <w:p w:rsidR="00C842BE" w:rsidRPr="00DE1967" w:rsidRDefault="00C842BE" w:rsidP="00C842BE">
      <w:pPr>
        <w:widowControl w:val="0"/>
        <w:tabs>
          <w:tab w:val="clear" w:pos="567"/>
        </w:tabs>
        <w:spacing w:line="240" w:lineRule="auto"/>
        <w:rPr>
          <w:rFonts w:eastAsia="Calibri"/>
          <w:szCs w:val="22"/>
          <w:lang w:val="fr-FR"/>
        </w:rPr>
      </w:pPr>
      <w:r w:rsidRPr="00DE1967">
        <w:rPr>
          <w:rFonts w:eastAsia="Calibri"/>
          <w:szCs w:val="22"/>
          <w:lang w:val="fr-FR"/>
        </w:rPr>
        <w:t>EU/1/13/821/017</w:t>
      </w:r>
    </w:p>
    <w:p w:rsidR="00C842BE" w:rsidRPr="00DE1967" w:rsidRDefault="00C842BE" w:rsidP="00C842BE">
      <w:pPr>
        <w:widowControl w:val="0"/>
        <w:tabs>
          <w:tab w:val="clear" w:pos="567"/>
        </w:tabs>
        <w:spacing w:line="240" w:lineRule="auto"/>
        <w:rPr>
          <w:rFonts w:eastAsia="Calibri"/>
          <w:szCs w:val="22"/>
          <w:lang w:val="fr-FR"/>
        </w:rPr>
      </w:pPr>
      <w:r w:rsidRPr="00DE1967">
        <w:rPr>
          <w:rFonts w:eastAsia="Calibri"/>
          <w:szCs w:val="22"/>
          <w:lang w:val="fr-FR"/>
        </w:rPr>
        <w:t>EU/1/13/821/018</w:t>
      </w:r>
    </w:p>
    <w:p w:rsidR="00C842BE" w:rsidRPr="00DE1967" w:rsidRDefault="00C842BE" w:rsidP="00C842BE">
      <w:pPr>
        <w:widowControl w:val="0"/>
        <w:tabs>
          <w:tab w:val="clear" w:pos="567"/>
        </w:tabs>
        <w:spacing w:line="240" w:lineRule="auto"/>
        <w:rPr>
          <w:rFonts w:eastAsia="Calibri"/>
          <w:szCs w:val="22"/>
          <w:lang w:val="fr-FR"/>
        </w:rPr>
      </w:pPr>
      <w:r w:rsidRPr="00DE1967">
        <w:rPr>
          <w:rFonts w:eastAsia="Calibri"/>
          <w:szCs w:val="22"/>
          <w:lang w:val="fr-FR"/>
        </w:rPr>
        <w:t>EU/1/13/821/019</w:t>
      </w:r>
    </w:p>
    <w:p w:rsidR="00C842BE" w:rsidRPr="00DE1967" w:rsidRDefault="00C842BE" w:rsidP="00C842BE">
      <w:pPr>
        <w:widowControl w:val="0"/>
        <w:tabs>
          <w:tab w:val="clear" w:pos="567"/>
        </w:tabs>
        <w:spacing w:line="240" w:lineRule="auto"/>
        <w:rPr>
          <w:rFonts w:eastAsia="Calibri"/>
          <w:szCs w:val="22"/>
          <w:lang w:val="fr-FR"/>
        </w:rPr>
      </w:pPr>
      <w:r w:rsidRPr="00DE1967">
        <w:rPr>
          <w:rFonts w:eastAsia="Calibri"/>
          <w:szCs w:val="22"/>
          <w:lang w:val="fr-FR"/>
        </w:rPr>
        <w:t>EU/1/13/821/020</w:t>
      </w:r>
    </w:p>
    <w:p w:rsidR="00C842BE" w:rsidRPr="00DE1967" w:rsidRDefault="00C842BE" w:rsidP="00C842BE">
      <w:pPr>
        <w:widowControl w:val="0"/>
        <w:tabs>
          <w:tab w:val="clear" w:pos="567"/>
        </w:tabs>
        <w:spacing w:line="240" w:lineRule="auto"/>
        <w:rPr>
          <w:rFonts w:eastAsia="Calibri"/>
          <w:szCs w:val="22"/>
          <w:lang w:val="fr-FR"/>
        </w:rPr>
      </w:pPr>
      <w:r w:rsidRPr="00DE1967">
        <w:rPr>
          <w:rFonts w:eastAsia="Calibri"/>
          <w:szCs w:val="22"/>
          <w:lang w:val="fr-FR"/>
        </w:rPr>
        <w:t>EU/1/13/821/032</w:t>
      </w:r>
    </w:p>
    <w:p w:rsidR="00C842BE" w:rsidRPr="00DE1967" w:rsidRDefault="00C842BE" w:rsidP="0003742E">
      <w:pPr>
        <w:widowControl w:val="0"/>
        <w:spacing w:line="240" w:lineRule="auto"/>
        <w:rPr>
          <w:szCs w:val="22"/>
          <w:lang w:val="fr-FR"/>
        </w:rPr>
      </w:pPr>
    </w:p>
    <w:p w:rsidR="00637E20" w:rsidRPr="00DE1967" w:rsidRDefault="00637E20" w:rsidP="0003742E">
      <w:pPr>
        <w:widowControl w:val="0"/>
        <w:spacing w:line="240" w:lineRule="auto"/>
        <w:rPr>
          <w:szCs w:val="22"/>
          <w:lang w:val="fr-FR"/>
        </w:rPr>
      </w:pPr>
    </w:p>
    <w:p w:rsidR="00637E20" w:rsidRPr="00DE1967" w:rsidRDefault="00637E20" w:rsidP="0003742E">
      <w:pPr>
        <w:widowControl w:val="0"/>
        <w:spacing w:line="240" w:lineRule="auto"/>
        <w:ind w:left="567" w:hanging="567"/>
        <w:rPr>
          <w:szCs w:val="22"/>
          <w:lang w:val="de-DE"/>
        </w:rPr>
      </w:pPr>
      <w:r w:rsidRPr="00DE1967">
        <w:rPr>
          <w:b/>
          <w:szCs w:val="22"/>
          <w:lang w:val="de-DE"/>
        </w:rPr>
        <w:t>9.</w:t>
      </w:r>
      <w:r w:rsidRPr="00DE1967">
        <w:rPr>
          <w:b/>
          <w:szCs w:val="22"/>
          <w:lang w:val="de-DE"/>
        </w:rPr>
        <w:tab/>
      </w:r>
      <w:r w:rsidRPr="00DE1967">
        <w:rPr>
          <w:b/>
          <w:noProof/>
          <w:szCs w:val="22"/>
          <w:lang w:val="de-DE"/>
        </w:rPr>
        <w:t>DATUM DER ERTEILUNG DER ZULASSUNG/VERLÄNGERUNG DER ZULASSUNG</w:t>
      </w:r>
    </w:p>
    <w:p w:rsidR="00637E20" w:rsidRPr="00DE1967" w:rsidRDefault="00637E20" w:rsidP="0003742E">
      <w:pPr>
        <w:widowControl w:val="0"/>
        <w:spacing w:line="240" w:lineRule="auto"/>
        <w:rPr>
          <w:i/>
          <w:szCs w:val="22"/>
          <w:lang w:val="de-DE"/>
        </w:rPr>
      </w:pPr>
    </w:p>
    <w:p w:rsidR="00371F9F" w:rsidRPr="00DE1967" w:rsidRDefault="00371F9F" w:rsidP="0003742E">
      <w:pPr>
        <w:widowControl w:val="0"/>
        <w:spacing w:line="240" w:lineRule="auto"/>
        <w:rPr>
          <w:noProof/>
          <w:szCs w:val="22"/>
          <w:lang w:val="de-DE"/>
        </w:rPr>
      </w:pPr>
      <w:r w:rsidRPr="00DE1967">
        <w:rPr>
          <w:noProof/>
          <w:szCs w:val="22"/>
          <w:lang w:val="de-DE"/>
        </w:rPr>
        <w:t>Datum der Erteilung der Zulassung: 13. </w:t>
      </w:r>
      <w:r w:rsidRPr="00DE1967">
        <w:rPr>
          <w:rStyle w:val="hps"/>
          <w:color w:val="333333"/>
          <w:szCs w:val="22"/>
          <w:lang w:val="de-DE"/>
        </w:rPr>
        <w:t>März</w:t>
      </w:r>
      <w:r w:rsidRPr="00DE1967">
        <w:rPr>
          <w:noProof/>
          <w:szCs w:val="22"/>
          <w:lang w:val="de-DE"/>
        </w:rPr>
        <w:t xml:space="preserve"> 2013</w:t>
      </w:r>
    </w:p>
    <w:p w:rsidR="00637E20" w:rsidRPr="00DE1967" w:rsidRDefault="008319DC" w:rsidP="0003742E">
      <w:pPr>
        <w:widowControl w:val="0"/>
        <w:spacing w:line="240" w:lineRule="auto"/>
        <w:rPr>
          <w:lang w:val="de-DE"/>
        </w:rPr>
      </w:pPr>
      <w:r w:rsidRPr="00DE1967">
        <w:rPr>
          <w:lang w:val="de-DE"/>
        </w:rPr>
        <w:t>Datum der letzten Verlängerung der Zulassung:</w:t>
      </w:r>
      <w:r w:rsidR="002C6B89" w:rsidRPr="00DE1967">
        <w:rPr>
          <w:lang w:val="de-DE"/>
        </w:rPr>
        <w:t xml:space="preserve"> 08. Januar 2018</w:t>
      </w:r>
    </w:p>
    <w:p w:rsidR="008319DC" w:rsidRPr="00DE1967" w:rsidRDefault="008319DC" w:rsidP="0003742E">
      <w:pPr>
        <w:widowControl w:val="0"/>
        <w:spacing w:line="240" w:lineRule="auto"/>
        <w:rPr>
          <w:i/>
          <w:szCs w:val="22"/>
          <w:lang w:val="de-DE"/>
        </w:rPr>
      </w:pPr>
    </w:p>
    <w:p w:rsidR="00637E20" w:rsidRPr="00DE1967" w:rsidRDefault="00637E20" w:rsidP="0003742E">
      <w:pPr>
        <w:widowControl w:val="0"/>
        <w:spacing w:line="240" w:lineRule="auto"/>
        <w:rPr>
          <w:szCs w:val="22"/>
          <w:lang w:val="de-DE"/>
        </w:rPr>
      </w:pPr>
    </w:p>
    <w:p w:rsidR="00637E20" w:rsidRPr="00DE1967" w:rsidRDefault="00637E20" w:rsidP="0003742E">
      <w:pPr>
        <w:widowControl w:val="0"/>
        <w:spacing w:line="240" w:lineRule="auto"/>
        <w:ind w:left="567" w:hanging="567"/>
        <w:rPr>
          <w:b/>
          <w:szCs w:val="22"/>
          <w:lang w:val="de-DE"/>
        </w:rPr>
      </w:pPr>
      <w:r w:rsidRPr="00DE1967">
        <w:rPr>
          <w:b/>
          <w:szCs w:val="22"/>
          <w:lang w:val="de-DE"/>
        </w:rPr>
        <w:t>10.</w:t>
      </w:r>
      <w:r w:rsidRPr="00DE1967">
        <w:rPr>
          <w:b/>
          <w:szCs w:val="22"/>
          <w:lang w:val="de-DE"/>
        </w:rPr>
        <w:tab/>
      </w:r>
      <w:r w:rsidRPr="00DE1967">
        <w:rPr>
          <w:b/>
          <w:noProof/>
          <w:szCs w:val="22"/>
          <w:lang w:val="de-DE"/>
        </w:rPr>
        <w:t>STAND DER INFORMATION</w:t>
      </w:r>
    </w:p>
    <w:p w:rsidR="00637E20" w:rsidRPr="00DE1967" w:rsidRDefault="00637E20" w:rsidP="0003742E">
      <w:pPr>
        <w:widowControl w:val="0"/>
        <w:spacing w:line="240" w:lineRule="auto"/>
        <w:rPr>
          <w:szCs w:val="22"/>
          <w:lang w:val="de-DE"/>
        </w:rPr>
      </w:pPr>
    </w:p>
    <w:p w:rsidR="00D9419E" w:rsidRPr="00DE1967" w:rsidRDefault="00D9419E" w:rsidP="0003742E">
      <w:pPr>
        <w:widowControl w:val="0"/>
        <w:spacing w:line="240" w:lineRule="auto"/>
        <w:rPr>
          <w:szCs w:val="22"/>
          <w:lang w:val="de-DE"/>
        </w:rPr>
      </w:pPr>
    </w:p>
    <w:p w:rsidR="00637E20" w:rsidRPr="00DE1967" w:rsidRDefault="00637E20" w:rsidP="0003742E">
      <w:pPr>
        <w:widowControl w:val="0"/>
        <w:numPr>
          <w:ilvl w:val="12"/>
          <w:numId w:val="0"/>
        </w:numPr>
        <w:spacing w:line="240" w:lineRule="auto"/>
        <w:ind w:right="-2"/>
        <w:rPr>
          <w:i/>
          <w:szCs w:val="22"/>
          <w:lang w:val="de-DE"/>
        </w:rPr>
      </w:pPr>
    </w:p>
    <w:p w:rsidR="00637E20" w:rsidRPr="00DE1967" w:rsidRDefault="00637E20" w:rsidP="0003742E">
      <w:pPr>
        <w:widowControl w:val="0"/>
        <w:numPr>
          <w:ilvl w:val="12"/>
          <w:numId w:val="0"/>
        </w:numPr>
        <w:spacing w:line="240" w:lineRule="auto"/>
        <w:ind w:right="-2"/>
        <w:rPr>
          <w:szCs w:val="22"/>
          <w:lang w:val="de-DE"/>
        </w:rPr>
      </w:pPr>
      <w:r w:rsidRPr="00DE1967">
        <w:rPr>
          <w:noProof/>
          <w:szCs w:val="22"/>
          <w:lang w:val="de-DE"/>
        </w:rPr>
        <w:t xml:space="preserve">Ausführliche Informationen zu diesem Arzneimittel sind auf den Internetseiten der Europäischen Arzneimittel-Agentur </w:t>
      </w:r>
      <w:hyperlink r:id="rId12" w:history="1">
        <w:r w:rsidRPr="00DE1967">
          <w:rPr>
            <w:rStyle w:val="Hyperlink"/>
            <w:noProof/>
            <w:szCs w:val="22"/>
            <w:lang w:val="de-DE"/>
          </w:rPr>
          <w:t>http://www.ema.europa.eu</w:t>
        </w:r>
      </w:hyperlink>
      <w:r w:rsidRPr="00DE1967">
        <w:rPr>
          <w:noProof/>
          <w:szCs w:val="22"/>
          <w:lang w:val="de-DE"/>
        </w:rPr>
        <w:t>/ verfügbar.</w:t>
      </w:r>
    </w:p>
    <w:p w:rsidR="00A34C33" w:rsidRPr="00DE1967" w:rsidRDefault="00637E20" w:rsidP="00C842BE">
      <w:pPr>
        <w:widowControl w:val="0"/>
        <w:spacing w:line="240" w:lineRule="auto"/>
        <w:rPr>
          <w:szCs w:val="22"/>
          <w:lang w:val="de-DE"/>
        </w:rPr>
      </w:pPr>
      <w:r w:rsidRPr="00DE1967">
        <w:rPr>
          <w:b/>
          <w:szCs w:val="22"/>
          <w:lang w:val="de-DE"/>
        </w:rPr>
        <w:br w:type="page"/>
      </w:r>
      <w:r w:rsidR="00A34C33" w:rsidRPr="00DE1967">
        <w:rPr>
          <w:b/>
          <w:szCs w:val="22"/>
          <w:lang w:val="de-DE"/>
        </w:rPr>
        <w:t>1.</w:t>
      </w:r>
      <w:r w:rsidR="00A34C33" w:rsidRPr="00DE1967">
        <w:rPr>
          <w:b/>
          <w:szCs w:val="22"/>
          <w:lang w:val="de-DE"/>
        </w:rPr>
        <w:tab/>
      </w:r>
      <w:r w:rsidR="00A34C33" w:rsidRPr="00DE1967">
        <w:rPr>
          <w:b/>
          <w:noProof/>
          <w:szCs w:val="22"/>
          <w:lang w:val="de-DE"/>
        </w:rPr>
        <w:t>BEZEICHNUNG DES ARZNEIMITTELS</w:t>
      </w:r>
    </w:p>
    <w:p w:rsidR="00A34C33" w:rsidRPr="00DE1967" w:rsidRDefault="00A34C33" w:rsidP="0003742E">
      <w:pPr>
        <w:widowControl w:val="0"/>
        <w:spacing w:line="240" w:lineRule="auto"/>
        <w:rPr>
          <w:i/>
          <w:szCs w:val="22"/>
          <w:lang w:val="de-DE"/>
        </w:rPr>
      </w:pPr>
    </w:p>
    <w:p w:rsidR="00A34C33" w:rsidRPr="00DE1967" w:rsidRDefault="00A34C33" w:rsidP="0003742E">
      <w:pPr>
        <w:widowControl w:val="0"/>
        <w:spacing w:line="240" w:lineRule="auto"/>
        <w:rPr>
          <w:noProof/>
          <w:szCs w:val="22"/>
          <w:lang w:val="de-DE"/>
        </w:rPr>
      </w:pPr>
      <w:r w:rsidRPr="00DE1967">
        <w:rPr>
          <w:noProof/>
          <w:szCs w:val="22"/>
          <w:lang w:val="de-DE"/>
        </w:rPr>
        <w:t>Tolucombi 80</w:t>
      </w:r>
      <w:r w:rsidR="00023E2B" w:rsidRPr="00DE1967">
        <w:rPr>
          <w:noProof/>
          <w:szCs w:val="22"/>
          <w:lang w:val="de-DE"/>
        </w:rPr>
        <w:t> mg</w:t>
      </w:r>
      <w:r w:rsidRPr="00DE1967">
        <w:rPr>
          <w:noProof/>
          <w:szCs w:val="22"/>
          <w:lang w:val="de-DE"/>
        </w:rPr>
        <w:t>/</w:t>
      </w:r>
      <w:r w:rsidR="00F709BF" w:rsidRPr="00DE1967">
        <w:rPr>
          <w:noProof/>
          <w:szCs w:val="22"/>
          <w:lang w:val="de-DE"/>
        </w:rPr>
        <w:t>25</w:t>
      </w:r>
      <w:r w:rsidR="00023E2B" w:rsidRPr="00DE1967">
        <w:rPr>
          <w:noProof/>
          <w:szCs w:val="22"/>
          <w:lang w:val="de-DE"/>
        </w:rPr>
        <w:t> mg</w:t>
      </w:r>
      <w:r w:rsidRPr="00DE1967">
        <w:rPr>
          <w:noProof/>
          <w:szCs w:val="22"/>
          <w:lang w:val="de-DE"/>
        </w:rPr>
        <w:t xml:space="preserve"> Tabletten</w:t>
      </w:r>
    </w:p>
    <w:p w:rsidR="00A34C33" w:rsidRPr="00DE1967" w:rsidRDefault="00A34C33" w:rsidP="0003742E">
      <w:pPr>
        <w:widowControl w:val="0"/>
        <w:spacing w:line="240" w:lineRule="auto"/>
        <w:rPr>
          <w:i/>
          <w:szCs w:val="22"/>
          <w:lang w:val="de-DE"/>
        </w:rPr>
      </w:pPr>
    </w:p>
    <w:p w:rsidR="00A34C33" w:rsidRPr="00DE1967" w:rsidRDefault="00A34C33" w:rsidP="0003742E">
      <w:pPr>
        <w:pStyle w:val="EMEAEnBodyText"/>
        <w:widowControl w:val="0"/>
        <w:autoSpaceDE w:val="0"/>
        <w:autoSpaceDN w:val="0"/>
        <w:adjustRightInd w:val="0"/>
        <w:spacing w:before="0" w:after="0"/>
        <w:rPr>
          <w:i/>
          <w:szCs w:val="22"/>
          <w:lang w:val="de-DE"/>
        </w:rPr>
      </w:pPr>
    </w:p>
    <w:p w:rsidR="00A34C33" w:rsidRPr="00DE1967" w:rsidRDefault="00A34C33" w:rsidP="0003742E">
      <w:pPr>
        <w:widowControl w:val="0"/>
        <w:spacing w:line="240" w:lineRule="auto"/>
        <w:rPr>
          <w:szCs w:val="22"/>
          <w:lang w:val="de-DE"/>
        </w:rPr>
      </w:pPr>
      <w:r w:rsidRPr="00DE1967">
        <w:rPr>
          <w:b/>
          <w:szCs w:val="22"/>
          <w:lang w:val="de-DE"/>
        </w:rPr>
        <w:t>2.</w:t>
      </w:r>
      <w:r w:rsidRPr="00DE1967">
        <w:rPr>
          <w:b/>
          <w:szCs w:val="22"/>
          <w:lang w:val="de-DE"/>
        </w:rPr>
        <w:tab/>
      </w:r>
      <w:r w:rsidRPr="00DE1967">
        <w:rPr>
          <w:b/>
          <w:noProof/>
          <w:szCs w:val="22"/>
          <w:lang w:val="de-DE"/>
        </w:rPr>
        <w:t>QUALITATIVE UND QUANTITATIVE ZUSAMMENSETZUNG</w:t>
      </w:r>
    </w:p>
    <w:p w:rsidR="00544F89" w:rsidRPr="00DE1967" w:rsidRDefault="00544F89" w:rsidP="0003742E">
      <w:pPr>
        <w:pStyle w:val="EMEAEnBodyText"/>
        <w:widowControl w:val="0"/>
        <w:autoSpaceDE w:val="0"/>
        <w:autoSpaceDN w:val="0"/>
        <w:adjustRightInd w:val="0"/>
        <w:spacing w:before="0" w:after="0"/>
        <w:rPr>
          <w:szCs w:val="22"/>
          <w:lang w:val="de-DE"/>
        </w:rPr>
      </w:pPr>
    </w:p>
    <w:p w:rsidR="00A34C33" w:rsidRPr="00DE1967" w:rsidRDefault="00A34C33" w:rsidP="0003742E">
      <w:pPr>
        <w:pStyle w:val="EMEAEnBodyText"/>
        <w:widowControl w:val="0"/>
        <w:autoSpaceDE w:val="0"/>
        <w:autoSpaceDN w:val="0"/>
        <w:adjustRightInd w:val="0"/>
        <w:spacing w:before="0" w:after="0"/>
        <w:rPr>
          <w:szCs w:val="22"/>
          <w:lang w:val="de-DE"/>
        </w:rPr>
      </w:pPr>
      <w:r w:rsidRPr="00DE1967">
        <w:rPr>
          <w:szCs w:val="22"/>
          <w:lang w:val="de-DE"/>
        </w:rPr>
        <w:t>Jede Tablette enthält 80</w:t>
      </w:r>
      <w:r w:rsidR="00023E2B" w:rsidRPr="00DE1967">
        <w:rPr>
          <w:szCs w:val="22"/>
          <w:lang w:val="de-DE"/>
        </w:rPr>
        <w:t> mg</w:t>
      </w:r>
      <w:r w:rsidRPr="00DE1967">
        <w:rPr>
          <w:szCs w:val="22"/>
          <w:lang w:val="de-DE"/>
        </w:rPr>
        <w:t xml:space="preserve"> Telmisartan </w:t>
      </w:r>
      <w:r w:rsidR="00306D41" w:rsidRPr="00DE1967">
        <w:rPr>
          <w:szCs w:val="22"/>
          <w:lang w:val="de-DE"/>
        </w:rPr>
        <w:t>und</w:t>
      </w:r>
      <w:r w:rsidRPr="00DE1967">
        <w:rPr>
          <w:szCs w:val="22"/>
          <w:lang w:val="de-DE"/>
        </w:rPr>
        <w:t xml:space="preserve"> 25</w:t>
      </w:r>
      <w:r w:rsidR="00023E2B" w:rsidRPr="00DE1967">
        <w:rPr>
          <w:szCs w:val="22"/>
          <w:lang w:val="de-DE"/>
        </w:rPr>
        <w:t> mg</w:t>
      </w:r>
      <w:r w:rsidRPr="00DE1967">
        <w:rPr>
          <w:szCs w:val="22"/>
          <w:lang w:val="de-DE"/>
        </w:rPr>
        <w:t xml:space="preserve"> Hydrochlorothiazid.</w:t>
      </w:r>
    </w:p>
    <w:p w:rsidR="00A34C33" w:rsidRPr="00DE1967" w:rsidRDefault="00A34C33" w:rsidP="0003742E">
      <w:pPr>
        <w:widowControl w:val="0"/>
        <w:spacing w:line="240" w:lineRule="auto"/>
        <w:rPr>
          <w:b/>
          <w:szCs w:val="22"/>
          <w:lang w:val="de-DE"/>
        </w:rPr>
      </w:pPr>
    </w:p>
    <w:p w:rsidR="00306D41" w:rsidRPr="00DE1967" w:rsidRDefault="00306D41" w:rsidP="0003742E">
      <w:pPr>
        <w:pStyle w:val="EMEAEnBodyText"/>
        <w:widowControl w:val="0"/>
        <w:autoSpaceDE w:val="0"/>
        <w:autoSpaceDN w:val="0"/>
        <w:adjustRightInd w:val="0"/>
        <w:spacing w:before="0" w:after="0"/>
        <w:rPr>
          <w:noProof/>
          <w:szCs w:val="22"/>
          <w:u w:val="single"/>
          <w:lang w:val="de-DE"/>
        </w:rPr>
      </w:pPr>
      <w:r w:rsidRPr="00DE1967">
        <w:rPr>
          <w:noProof/>
          <w:szCs w:val="22"/>
          <w:u w:val="single"/>
          <w:lang w:val="de-DE"/>
        </w:rPr>
        <w:t>Sonstige Bestandteil</w:t>
      </w:r>
      <w:r w:rsidR="00397ADE" w:rsidRPr="00DE1967">
        <w:rPr>
          <w:noProof/>
          <w:szCs w:val="22"/>
          <w:u w:val="single"/>
          <w:lang w:val="de-DE"/>
        </w:rPr>
        <w:t>e</w:t>
      </w:r>
      <w:r w:rsidRPr="00DE1967">
        <w:rPr>
          <w:noProof/>
          <w:szCs w:val="22"/>
          <w:u w:val="single"/>
          <w:lang w:val="de-DE"/>
        </w:rPr>
        <w:t xml:space="preserve"> mit bekannter Wirkung</w:t>
      </w:r>
    </w:p>
    <w:p w:rsidR="00A34C33" w:rsidRPr="00DE1967" w:rsidRDefault="00A34C33" w:rsidP="0003742E">
      <w:pPr>
        <w:pStyle w:val="EMEAEnBodyText"/>
        <w:widowControl w:val="0"/>
        <w:autoSpaceDE w:val="0"/>
        <w:autoSpaceDN w:val="0"/>
        <w:adjustRightInd w:val="0"/>
        <w:spacing w:before="0" w:after="0"/>
        <w:rPr>
          <w:bCs/>
          <w:noProof/>
          <w:szCs w:val="22"/>
          <w:lang w:val="de-DE"/>
        </w:rPr>
      </w:pPr>
      <w:r w:rsidRPr="00DE1967">
        <w:rPr>
          <w:bCs/>
          <w:noProof/>
          <w:szCs w:val="22"/>
          <w:lang w:val="de-DE"/>
        </w:rPr>
        <w:t>Jede Tablette enthält 114</w:t>
      </w:r>
      <w:r w:rsidR="00023E2B" w:rsidRPr="00DE1967">
        <w:rPr>
          <w:bCs/>
          <w:noProof/>
          <w:szCs w:val="22"/>
          <w:lang w:val="de-DE"/>
        </w:rPr>
        <w:t> mg</w:t>
      </w:r>
      <w:r w:rsidRPr="00DE1967">
        <w:rPr>
          <w:bCs/>
          <w:noProof/>
          <w:szCs w:val="22"/>
          <w:lang w:val="de-DE"/>
        </w:rPr>
        <w:t xml:space="preserve"> Lactose (als Monohydrat) und 294,08</w:t>
      </w:r>
      <w:r w:rsidR="00023E2B" w:rsidRPr="00DE1967">
        <w:rPr>
          <w:bCs/>
          <w:noProof/>
          <w:szCs w:val="22"/>
          <w:lang w:val="de-DE"/>
        </w:rPr>
        <w:t> mg</w:t>
      </w:r>
      <w:r w:rsidRPr="00DE1967">
        <w:rPr>
          <w:bCs/>
          <w:noProof/>
          <w:szCs w:val="22"/>
          <w:lang w:val="de-DE"/>
        </w:rPr>
        <w:t xml:space="preserve"> Sorbitol (E420).</w:t>
      </w:r>
    </w:p>
    <w:p w:rsidR="00A34C33" w:rsidRPr="00DE1967" w:rsidRDefault="00A34C33" w:rsidP="0003742E">
      <w:pPr>
        <w:pStyle w:val="EMEAEnBodyText"/>
        <w:widowControl w:val="0"/>
        <w:autoSpaceDE w:val="0"/>
        <w:autoSpaceDN w:val="0"/>
        <w:adjustRightInd w:val="0"/>
        <w:spacing w:before="0" w:after="0"/>
        <w:rPr>
          <w:szCs w:val="22"/>
          <w:lang w:val="de-DE"/>
        </w:rPr>
      </w:pPr>
    </w:p>
    <w:p w:rsidR="00A34C33" w:rsidRPr="00DE1967" w:rsidRDefault="00A34C33" w:rsidP="0003742E">
      <w:pPr>
        <w:widowControl w:val="0"/>
        <w:spacing w:line="240" w:lineRule="auto"/>
        <w:outlineLvl w:val="0"/>
        <w:rPr>
          <w:szCs w:val="22"/>
          <w:lang w:val="de-DE"/>
        </w:rPr>
      </w:pPr>
      <w:r w:rsidRPr="00DE1967">
        <w:rPr>
          <w:noProof/>
          <w:szCs w:val="22"/>
          <w:lang w:val="de-DE"/>
        </w:rPr>
        <w:t>Vollständige Auflistung der sonstigen Bestandteile, siehe Abschnitt 6.1.</w:t>
      </w:r>
    </w:p>
    <w:p w:rsidR="00A34C33" w:rsidRPr="00DE1967" w:rsidRDefault="00A34C33" w:rsidP="0003742E">
      <w:pPr>
        <w:widowControl w:val="0"/>
        <w:spacing w:line="240" w:lineRule="auto"/>
        <w:rPr>
          <w:szCs w:val="22"/>
          <w:lang w:val="de-DE"/>
        </w:rPr>
      </w:pPr>
    </w:p>
    <w:p w:rsidR="00A34C33" w:rsidRPr="00DE1967" w:rsidRDefault="00A34C33" w:rsidP="0003742E">
      <w:pPr>
        <w:widowControl w:val="0"/>
        <w:spacing w:line="240" w:lineRule="auto"/>
        <w:rPr>
          <w:szCs w:val="22"/>
          <w:lang w:val="de-DE"/>
        </w:rPr>
      </w:pPr>
    </w:p>
    <w:p w:rsidR="00A34C33" w:rsidRPr="00DE1967" w:rsidRDefault="00A34C33" w:rsidP="0003742E">
      <w:pPr>
        <w:widowControl w:val="0"/>
        <w:spacing w:line="240" w:lineRule="auto"/>
        <w:ind w:left="567" w:hanging="567"/>
        <w:rPr>
          <w:caps/>
          <w:szCs w:val="22"/>
          <w:lang w:val="de-DE"/>
        </w:rPr>
      </w:pPr>
      <w:r w:rsidRPr="00DE1967">
        <w:rPr>
          <w:b/>
          <w:szCs w:val="22"/>
          <w:lang w:val="de-DE"/>
        </w:rPr>
        <w:t>3.</w:t>
      </w:r>
      <w:r w:rsidRPr="00DE1967">
        <w:rPr>
          <w:b/>
          <w:szCs w:val="22"/>
          <w:lang w:val="de-DE"/>
        </w:rPr>
        <w:tab/>
      </w:r>
      <w:r w:rsidRPr="00DE1967">
        <w:rPr>
          <w:b/>
          <w:noProof/>
          <w:szCs w:val="22"/>
          <w:lang w:val="de-DE"/>
        </w:rPr>
        <w:t>DARREICHUNGSFORM</w:t>
      </w:r>
    </w:p>
    <w:p w:rsidR="00A34C33" w:rsidRPr="00DE1967" w:rsidRDefault="00A34C33" w:rsidP="0003742E">
      <w:pPr>
        <w:widowControl w:val="0"/>
        <w:autoSpaceDE w:val="0"/>
        <w:autoSpaceDN w:val="0"/>
        <w:adjustRightInd w:val="0"/>
        <w:spacing w:line="240" w:lineRule="auto"/>
        <w:jc w:val="both"/>
        <w:rPr>
          <w:szCs w:val="22"/>
          <w:lang w:val="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Tablette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F709BF" w:rsidRPr="00DE1967" w:rsidRDefault="00306D41" w:rsidP="0003742E">
      <w:pPr>
        <w:widowControl w:val="0"/>
        <w:tabs>
          <w:tab w:val="clear" w:pos="567"/>
        </w:tabs>
        <w:autoSpaceDE w:val="0"/>
        <w:autoSpaceDN w:val="0"/>
        <w:adjustRightInd w:val="0"/>
        <w:spacing w:line="240" w:lineRule="auto"/>
        <w:rPr>
          <w:szCs w:val="22"/>
          <w:lang w:val="de-DE"/>
        </w:rPr>
      </w:pPr>
      <w:r w:rsidRPr="00DE1967">
        <w:rPr>
          <w:snapToGrid/>
          <w:szCs w:val="22"/>
          <w:lang w:val="de-DE" w:eastAsia="de-DE"/>
        </w:rPr>
        <w:t>Auf einer Seite weiße</w:t>
      </w:r>
      <w:r w:rsidR="00F709BF" w:rsidRPr="00DE1967">
        <w:rPr>
          <w:snapToGrid/>
          <w:szCs w:val="22"/>
          <w:lang w:val="de-DE" w:eastAsia="de-DE"/>
        </w:rPr>
        <w:t xml:space="preserve"> bis gelb-</w:t>
      </w:r>
      <w:r w:rsidRPr="00DE1967">
        <w:rPr>
          <w:snapToGrid/>
          <w:szCs w:val="22"/>
          <w:lang w:val="de-DE" w:eastAsia="de-DE"/>
        </w:rPr>
        <w:t>weiße</w:t>
      </w:r>
      <w:r w:rsidR="00F323B2" w:rsidRPr="00DE1967">
        <w:rPr>
          <w:snapToGrid/>
          <w:szCs w:val="22"/>
          <w:lang w:val="de-DE" w:eastAsia="de-DE"/>
        </w:rPr>
        <w:t xml:space="preserve"> </w:t>
      </w:r>
      <w:r w:rsidR="00F709BF" w:rsidRPr="00DE1967">
        <w:rPr>
          <w:snapToGrid/>
          <w:szCs w:val="22"/>
          <w:lang w:val="de-DE" w:eastAsia="de-DE"/>
        </w:rPr>
        <w:t xml:space="preserve">und </w:t>
      </w:r>
      <w:r w:rsidRPr="00DE1967">
        <w:rPr>
          <w:snapToGrid/>
          <w:szCs w:val="22"/>
          <w:lang w:val="de-DE" w:eastAsia="de-DE"/>
        </w:rPr>
        <w:t xml:space="preserve">auf der anderen Seite </w:t>
      </w:r>
      <w:r w:rsidR="00F709BF" w:rsidRPr="00DE1967">
        <w:rPr>
          <w:snapToGrid/>
          <w:szCs w:val="22"/>
          <w:lang w:val="de-DE" w:eastAsia="de-DE"/>
        </w:rPr>
        <w:t>gelb marmoriert</w:t>
      </w:r>
      <w:r w:rsidRPr="00DE1967">
        <w:rPr>
          <w:snapToGrid/>
          <w:szCs w:val="22"/>
          <w:lang w:val="de-DE" w:eastAsia="de-DE"/>
        </w:rPr>
        <w:t>e</w:t>
      </w:r>
      <w:r w:rsidR="00F709BF" w:rsidRPr="00DE1967">
        <w:rPr>
          <w:snapToGrid/>
          <w:szCs w:val="22"/>
          <w:lang w:val="de-DE" w:eastAsia="de-DE"/>
        </w:rPr>
        <w:t xml:space="preserve"> ovale, aus zwei Schichten</w:t>
      </w:r>
      <w:r w:rsidR="00F323B2" w:rsidRPr="00DE1967">
        <w:rPr>
          <w:snapToGrid/>
          <w:szCs w:val="22"/>
          <w:lang w:val="de-DE" w:eastAsia="de-DE"/>
        </w:rPr>
        <w:t xml:space="preserve"> </w:t>
      </w:r>
      <w:r w:rsidRPr="00DE1967">
        <w:rPr>
          <w:snapToGrid/>
          <w:szCs w:val="22"/>
          <w:lang w:val="de-DE" w:eastAsia="de-DE"/>
        </w:rPr>
        <w:t xml:space="preserve">bestehende bikonvexe </w:t>
      </w:r>
      <w:r w:rsidR="00F709BF" w:rsidRPr="00DE1967">
        <w:rPr>
          <w:snapToGrid/>
          <w:szCs w:val="22"/>
          <w:lang w:val="de-DE" w:eastAsia="de-DE"/>
        </w:rPr>
        <w:t>Tablette</w:t>
      </w:r>
      <w:r w:rsidRPr="00DE1967">
        <w:rPr>
          <w:snapToGrid/>
          <w:szCs w:val="22"/>
          <w:lang w:val="de-DE" w:eastAsia="de-DE"/>
        </w:rPr>
        <w:t xml:space="preserve">; die Größe der Tablette ist </w:t>
      </w:r>
      <w:r w:rsidR="00F709BF" w:rsidRPr="00DE1967">
        <w:rPr>
          <w:snapToGrid/>
          <w:szCs w:val="22"/>
          <w:lang w:val="de-DE" w:eastAsia="de-DE"/>
        </w:rPr>
        <w:t>18 mm x 9</w:t>
      </w:r>
      <w:r w:rsidR="00137CCD" w:rsidRPr="00DE1967">
        <w:rPr>
          <w:snapToGrid/>
          <w:szCs w:val="22"/>
          <w:lang w:val="de-DE" w:eastAsia="de-DE"/>
        </w:rPr>
        <w:t> </w:t>
      </w:r>
      <w:r w:rsidR="00F709BF" w:rsidRPr="00DE1967">
        <w:rPr>
          <w:snapToGrid/>
          <w:szCs w:val="22"/>
          <w:lang w:val="de-DE" w:eastAsia="de-DE"/>
        </w:rPr>
        <w:t>mm.</w:t>
      </w:r>
    </w:p>
    <w:p w:rsidR="00A34C33" w:rsidRPr="00DE1967" w:rsidRDefault="00A34C33" w:rsidP="0003742E">
      <w:pPr>
        <w:widowControl w:val="0"/>
        <w:autoSpaceDE w:val="0"/>
        <w:autoSpaceDN w:val="0"/>
        <w:adjustRightInd w:val="0"/>
        <w:spacing w:line="240" w:lineRule="auto"/>
        <w:jc w:val="both"/>
        <w:rPr>
          <w:szCs w:val="22"/>
          <w:lang w:val="de-DE"/>
        </w:rPr>
      </w:pPr>
    </w:p>
    <w:p w:rsidR="00A34C33" w:rsidRPr="00DE1967" w:rsidRDefault="00A34C33" w:rsidP="0003742E">
      <w:pPr>
        <w:widowControl w:val="0"/>
        <w:spacing w:line="240" w:lineRule="auto"/>
        <w:rPr>
          <w:szCs w:val="22"/>
          <w:lang w:val="de-DE"/>
        </w:rPr>
      </w:pPr>
    </w:p>
    <w:p w:rsidR="00A34C33" w:rsidRPr="00DE1967" w:rsidRDefault="00A34C33" w:rsidP="0003742E">
      <w:pPr>
        <w:widowControl w:val="0"/>
        <w:spacing w:line="240" w:lineRule="auto"/>
        <w:ind w:left="567" w:hanging="567"/>
        <w:rPr>
          <w:caps/>
          <w:szCs w:val="22"/>
          <w:lang w:val="de-DE"/>
        </w:rPr>
      </w:pPr>
      <w:r w:rsidRPr="00DE1967">
        <w:rPr>
          <w:b/>
          <w:caps/>
          <w:szCs w:val="22"/>
          <w:lang w:val="de-DE"/>
        </w:rPr>
        <w:t>4.</w:t>
      </w:r>
      <w:r w:rsidRPr="00DE1967">
        <w:rPr>
          <w:b/>
          <w:caps/>
          <w:szCs w:val="22"/>
          <w:lang w:val="de-DE"/>
        </w:rPr>
        <w:tab/>
      </w:r>
      <w:r w:rsidRPr="00DE1967">
        <w:rPr>
          <w:b/>
          <w:caps/>
          <w:noProof/>
          <w:szCs w:val="22"/>
          <w:lang w:val="de-DE"/>
        </w:rPr>
        <w:t>KLINISCHE ANGABEN</w:t>
      </w:r>
    </w:p>
    <w:p w:rsidR="00A34C33" w:rsidRPr="00DE1967" w:rsidRDefault="00A34C33" w:rsidP="0003742E">
      <w:pPr>
        <w:widowControl w:val="0"/>
        <w:spacing w:line="240" w:lineRule="auto"/>
        <w:rPr>
          <w:szCs w:val="22"/>
          <w:lang w:val="de-DE"/>
        </w:rPr>
      </w:pPr>
    </w:p>
    <w:p w:rsidR="00A34C33" w:rsidRPr="00DE1967" w:rsidRDefault="00A34C33" w:rsidP="0003742E">
      <w:pPr>
        <w:widowControl w:val="0"/>
        <w:spacing w:line="240" w:lineRule="auto"/>
        <w:ind w:left="567" w:hanging="567"/>
        <w:outlineLvl w:val="0"/>
        <w:rPr>
          <w:szCs w:val="22"/>
          <w:lang w:val="de-DE"/>
        </w:rPr>
      </w:pPr>
      <w:r w:rsidRPr="00DE1967">
        <w:rPr>
          <w:b/>
          <w:szCs w:val="22"/>
          <w:lang w:val="de-DE"/>
        </w:rPr>
        <w:t>4.1</w:t>
      </w:r>
      <w:r w:rsidRPr="00DE1967">
        <w:rPr>
          <w:b/>
          <w:szCs w:val="22"/>
          <w:lang w:val="de-DE"/>
        </w:rPr>
        <w:tab/>
      </w:r>
      <w:r w:rsidRPr="00DE1967">
        <w:rPr>
          <w:b/>
          <w:noProof/>
          <w:szCs w:val="22"/>
          <w:lang w:val="de-DE"/>
        </w:rPr>
        <w:t>Anwendungsgebiete</w:t>
      </w:r>
    </w:p>
    <w:p w:rsidR="00A34C33" w:rsidRPr="00DE1967" w:rsidRDefault="00A34C33" w:rsidP="0003742E">
      <w:pPr>
        <w:widowControl w:val="0"/>
        <w:spacing w:line="240" w:lineRule="auto"/>
        <w:rPr>
          <w:szCs w:val="22"/>
          <w:lang w:val="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Behandlung der essentiellen Hypertonie.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F709B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 fixe Dosiskombination </w:t>
      </w:r>
      <w:r w:rsidRPr="00DE1967">
        <w:rPr>
          <w:noProof/>
          <w:szCs w:val="22"/>
          <w:lang w:val="de-DE"/>
        </w:rPr>
        <w:t xml:space="preserve">Tolucombi </w:t>
      </w:r>
      <w:r w:rsidRPr="00DE1967">
        <w:rPr>
          <w:snapToGrid/>
          <w:szCs w:val="22"/>
          <w:lang w:val="de-DE" w:eastAsia="de-DE"/>
        </w:rPr>
        <w:t>(80</w:t>
      </w:r>
      <w:r w:rsidR="00023E2B" w:rsidRPr="00DE1967">
        <w:rPr>
          <w:snapToGrid/>
          <w:szCs w:val="22"/>
          <w:lang w:val="de-DE" w:eastAsia="de-DE"/>
        </w:rPr>
        <w:t> mg</w:t>
      </w:r>
      <w:r w:rsidRPr="00DE1967">
        <w:rPr>
          <w:snapToGrid/>
          <w:szCs w:val="22"/>
          <w:lang w:val="de-DE" w:eastAsia="de-DE"/>
        </w:rPr>
        <w:t xml:space="preserve"> Telmisartan/25</w:t>
      </w:r>
      <w:r w:rsidR="00023E2B" w:rsidRPr="00DE1967">
        <w:rPr>
          <w:snapToGrid/>
          <w:szCs w:val="22"/>
          <w:lang w:val="de-DE" w:eastAsia="de-DE"/>
        </w:rPr>
        <w:t> mg</w:t>
      </w:r>
      <w:r w:rsidRPr="00DE1967">
        <w:rPr>
          <w:snapToGrid/>
          <w:szCs w:val="22"/>
          <w:lang w:val="de-DE" w:eastAsia="de-DE"/>
        </w:rPr>
        <w:t xml:space="preserve"> Hydrochlorothiazid) ist bei Erwachsenen indiziert, deren Blutdruck mit </w:t>
      </w:r>
      <w:r w:rsidRPr="00DE1967">
        <w:rPr>
          <w:noProof/>
          <w:szCs w:val="22"/>
          <w:lang w:val="de-DE"/>
        </w:rPr>
        <w:t xml:space="preserve">Tolucombi </w:t>
      </w:r>
      <w:r w:rsidRPr="00DE1967">
        <w:rPr>
          <w:snapToGrid/>
          <w:szCs w:val="22"/>
          <w:lang w:val="de-DE" w:eastAsia="de-DE"/>
        </w:rPr>
        <w:t>80</w:t>
      </w:r>
      <w:r w:rsidR="00023E2B" w:rsidRPr="00DE1967">
        <w:rPr>
          <w:snapToGrid/>
          <w:szCs w:val="22"/>
          <w:lang w:val="de-DE" w:eastAsia="de-DE"/>
        </w:rPr>
        <w:t> mg</w:t>
      </w:r>
      <w:r w:rsidRPr="00DE1967">
        <w:rPr>
          <w:snapToGrid/>
          <w:szCs w:val="22"/>
          <w:lang w:val="de-DE" w:eastAsia="de-DE"/>
        </w:rPr>
        <w:t>/12,5</w:t>
      </w:r>
      <w:r w:rsidR="00023E2B" w:rsidRPr="00DE1967">
        <w:rPr>
          <w:snapToGrid/>
          <w:szCs w:val="22"/>
          <w:lang w:val="de-DE" w:eastAsia="de-DE"/>
        </w:rPr>
        <w:t> mg</w:t>
      </w:r>
      <w:r w:rsidRPr="00DE1967">
        <w:rPr>
          <w:snapToGrid/>
          <w:szCs w:val="22"/>
          <w:lang w:val="de-DE" w:eastAsia="de-DE"/>
        </w:rPr>
        <w:t xml:space="preserve"> (80</w:t>
      </w:r>
      <w:r w:rsidR="00023E2B" w:rsidRPr="00DE1967">
        <w:rPr>
          <w:snapToGrid/>
          <w:szCs w:val="22"/>
          <w:lang w:val="de-DE" w:eastAsia="de-DE"/>
        </w:rPr>
        <w:t> mg</w:t>
      </w:r>
      <w:r w:rsidRPr="00DE1967">
        <w:rPr>
          <w:snapToGrid/>
          <w:szCs w:val="22"/>
          <w:lang w:val="de-DE" w:eastAsia="de-DE"/>
        </w:rPr>
        <w:t xml:space="preserve"> Telmisartan/12,5</w:t>
      </w:r>
      <w:r w:rsidR="00023E2B" w:rsidRPr="00DE1967">
        <w:rPr>
          <w:snapToGrid/>
          <w:szCs w:val="22"/>
          <w:lang w:val="de-DE" w:eastAsia="de-DE"/>
        </w:rPr>
        <w:t> mg</w:t>
      </w:r>
      <w:r w:rsidRPr="00DE1967">
        <w:rPr>
          <w:snapToGrid/>
          <w:szCs w:val="22"/>
          <w:lang w:val="de-DE" w:eastAsia="de-DE"/>
        </w:rPr>
        <w:t xml:space="preserve"> Hydrochlorothiazid) nicht ausreichend kontrolliert ist, oder Erwachsenen, die zuvor mit den Einzelbestandteilen Telmisartan und Hydrochlorothiazid stabil eingestellt wurden.</w:t>
      </w:r>
    </w:p>
    <w:p w:rsidR="00F709BF" w:rsidRPr="00DE1967" w:rsidRDefault="00F709BF" w:rsidP="0003742E">
      <w:pPr>
        <w:widowControl w:val="0"/>
        <w:tabs>
          <w:tab w:val="clear" w:pos="567"/>
        </w:tabs>
        <w:autoSpaceDE w:val="0"/>
        <w:autoSpaceDN w:val="0"/>
        <w:adjustRightInd w:val="0"/>
        <w:spacing w:line="240" w:lineRule="auto"/>
        <w:rPr>
          <w:szCs w:val="22"/>
          <w:lang w:val="de-DE"/>
        </w:rPr>
      </w:pPr>
    </w:p>
    <w:p w:rsidR="00A34C33" w:rsidRPr="00DE1967" w:rsidRDefault="008D12CF" w:rsidP="0003742E">
      <w:pPr>
        <w:widowControl w:val="0"/>
        <w:tabs>
          <w:tab w:val="clear" w:pos="567"/>
        </w:tabs>
        <w:snapToGrid w:val="0"/>
        <w:spacing w:line="240" w:lineRule="auto"/>
        <w:ind w:left="567" w:hanging="567"/>
        <w:outlineLvl w:val="0"/>
        <w:rPr>
          <w:b/>
          <w:szCs w:val="22"/>
          <w:lang w:val="de-DE"/>
        </w:rPr>
      </w:pPr>
      <w:r w:rsidRPr="00DE1967">
        <w:rPr>
          <w:b/>
          <w:noProof/>
          <w:szCs w:val="22"/>
          <w:lang w:val="de-DE"/>
        </w:rPr>
        <w:t>4.2</w:t>
      </w:r>
      <w:r w:rsidRPr="00DE1967">
        <w:rPr>
          <w:b/>
          <w:noProof/>
          <w:szCs w:val="22"/>
          <w:lang w:val="de-DE"/>
        </w:rPr>
        <w:tab/>
      </w:r>
      <w:r w:rsidR="00A34C33" w:rsidRPr="00DE1967">
        <w:rPr>
          <w:b/>
          <w:noProof/>
          <w:szCs w:val="22"/>
          <w:lang w:val="de-DE"/>
        </w:rPr>
        <w:t>Dosierung und Art der Anwendung</w:t>
      </w:r>
    </w:p>
    <w:p w:rsidR="00A34C33" w:rsidRPr="00DE1967" w:rsidRDefault="00A34C33" w:rsidP="0003742E">
      <w:pPr>
        <w:widowControl w:val="0"/>
        <w:spacing w:line="240" w:lineRule="auto"/>
        <w:rPr>
          <w:b/>
          <w:i/>
          <w:szCs w:val="22"/>
          <w:lang w:val="de-DE"/>
        </w:rPr>
      </w:pPr>
    </w:p>
    <w:p w:rsidR="00A34C33" w:rsidRPr="00DE1967" w:rsidRDefault="00A34C33" w:rsidP="0003742E">
      <w:pPr>
        <w:widowControl w:val="0"/>
        <w:spacing w:line="240" w:lineRule="auto"/>
        <w:rPr>
          <w:szCs w:val="22"/>
          <w:u w:val="single"/>
          <w:lang w:val="de-DE"/>
        </w:rPr>
      </w:pPr>
      <w:r w:rsidRPr="00DE1967">
        <w:rPr>
          <w:noProof/>
          <w:szCs w:val="22"/>
          <w:u w:val="single"/>
          <w:lang w:val="de-DE"/>
        </w:rPr>
        <w:t>Dosierung</w:t>
      </w:r>
    </w:p>
    <w:p w:rsidR="00A34C33" w:rsidRPr="00DE1967" w:rsidRDefault="00A34C33" w:rsidP="0003742E">
      <w:pPr>
        <w:widowControl w:val="0"/>
        <w:autoSpaceDE w:val="0"/>
        <w:autoSpaceDN w:val="0"/>
        <w:adjustRightInd w:val="0"/>
        <w:spacing w:line="240" w:lineRule="auto"/>
        <w:jc w:val="both"/>
        <w:rPr>
          <w:szCs w:val="22"/>
          <w:lang w:val="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roofErr w:type="spellStart"/>
      <w:r w:rsidRPr="00DE1967">
        <w:rPr>
          <w:snapToGrid/>
          <w:szCs w:val="22"/>
          <w:lang w:val="de-DE" w:eastAsia="de-DE"/>
        </w:rPr>
        <w:t>Tolucombi</w:t>
      </w:r>
      <w:proofErr w:type="spellEnd"/>
      <w:r w:rsidRPr="00DE1967">
        <w:rPr>
          <w:snapToGrid/>
          <w:szCs w:val="22"/>
          <w:lang w:val="de-DE" w:eastAsia="de-DE"/>
        </w:rPr>
        <w:t xml:space="preserve"> sollte von Patienten eingenommen werden, deren Blutdruck mit Telmisartan allein nicht ausreichend kontrolliert ist. Eine individuelle Dosistitration mit jeder Einzelkomponente wird vor der Umstellung auf die fixe Dosiskombination empfohlen. Falls klinisch angemessen, kann ein direkter Wechsel von der Monotherapie zur fixen Kombination in Betracht gezogen werden.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F709BF"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proofErr w:type="spellStart"/>
      <w:r w:rsidRPr="00DE1967">
        <w:rPr>
          <w:snapToGrid/>
          <w:szCs w:val="22"/>
          <w:lang w:val="de-DE" w:eastAsia="de-DE"/>
        </w:rPr>
        <w:t>Tolucombi</w:t>
      </w:r>
      <w:proofErr w:type="spellEnd"/>
      <w:r w:rsidRPr="00DE1967">
        <w:rPr>
          <w:snapToGrid/>
          <w:szCs w:val="22"/>
          <w:lang w:val="de-DE" w:eastAsia="de-DE"/>
        </w:rPr>
        <w:t xml:space="preserve"> 80</w:t>
      </w:r>
      <w:r w:rsidR="00023E2B" w:rsidRPr="00DE1967">
        <w:rPr>
          <w:snapToGrid/>
          <w:szCs w:val="22"/>
          <w:lang w:val="de-DE" w:eastAsia="de-DE"/>
        </w:rPr>
        <w:t> mg</w:t>
      </w:r>
      <w:r w:rsidRPr="00DE1967">
        <w:rPr>
          <w:snapToGrid/>
          <w:szCs w:val="22"/>
          <w:lang w:val="de-DE" w:eastAsia="de-DE"/>
        </w:rPr>
        <w:t>/25</w:t>
      </w:r>
      <w:r w:rsidR="00023E2B" w:rsidRPr="00DE1967">
        <w:rPr>
          <w:szCs w:val="22"/>
          <w:lang w:val="de-DE"/>
        </w:rPr>
        <w:t> mg</w:t>
      </w:r>
      <w:r w:rsidRPr="00DE1967">
        <w:rPr>
          <w:snapToGrid/>
          <w:szCs w:val="22"/>
          <w:lang w:val="de-DE" w:eastAsia="de-DE"/>
        </w:rPr>
        <w:t xml:space="preserve"> kann 1 x täglich bei Patienten gegeben werden, deren Blutdruck mit </w:t>
      </w:r>
      <w:proofErr w:type="spellStart"/>
      <w:r w:rsidRPr="00DE1967">
        <w:rPr>
          <w:snapToGrid/>
          <w:szCs w:val="22"/>
          <w:lang w:val="de-DE" w:eastAsia="de-DE"/>
        </w:rPr>
        <w:t>Tolucombi</w:t>
      </w:r>
      <w:proofErr w:type="spellEnd"/>
      <w:r w:rsidRPr="00DE1967">
        <w:rPr>
          <w:snapToGrid/>
          <w:szCs w:val="22"/>
          <w:lang w:val="de-DE" w:eastAsia="de-DE"/>
        </w:rPr>
        <w:t xml:space="preserve"> 80</w:t>
      </w:r>
      <w:r w:rsidR="00023E2B" w:rsidRPr="00DE1967">
        <w:rPr>
          <w:snapToGrid/>
          <w:szCs w:val="22"/>
          <w:lang w:val="de-DE" w:eastAsia="de-DE"/>
        </w:rPr>
        <w:t> mg</w:t>
      </w:r>
      <w:r w:rsidRPr="00DE1967">
        <w:rPr>
          <w:snapToGrid/>
          <w:szCs w:val="22"/>
          <w:lang w:val="de-DE" w:eastAsia="de-DE"/>
        </w:rPr>
        <w:t>/12,5</w:t>
      </w:r>
      <w:r w:rsidR="00023E2B" w:rsidRPr="00DE1967">
        <w:rPr>
          <w:snapToGrid/>
          <w:szCs w:val="22"/>
          <w:lang w:val="de-DE" w:eastAsia="de-DE"/>
        </w:rPr>
        <w:t> mg</w:t>
      </w:r>
      <w:r w:rsidRPr="00DE1967">
        <w:rPr>
          <w:snapToGrid/>
          <w:szCs w:val="22"/>
          <w:lang w:val="de-DE" w:eastAsia="de-DE"/>
        </w:rPr>
        <w:t xml:space="preserve"> nicht ausreichend kontrolliert ist, oder Patienten, die zuvor mit den Einzelbestandteilen Telmisartan und Hydrochlorothiazid stabil eingestellt wurden.</w:t>
      </w:r>
    </w:p>
    <w:p w:rsidR="00A34C33" w:rsidRPr="00DE1967" w:rsidRDefault="00A34C33" w:rsidP="0003742E">
      <w:pPr>
        <w:widowControl w:val="0"/>
        <w:tabs>
          <w:tab w:val="clear" w:pos="567"/>
        </w:tabs>
        <w:autoSpaceDE w:val="0"/>
        <w:autoSpaceDN w:val="0"/>
        <w:adjustRightInd w:val="0"/>
        <w:spacing w:line="240" w:lineRule="auto"/>
        <w:rPr>
          <w:i/>
          <w:iCs/>
          <w:snapToGrid/>
          <w:szCs w:val="22"/>
          <w:lang w:val="de-DE" w:eastAsia="de-DE"/>
        </w:rPr>
      </w:pPr>
    </w:p>
    <w:p w:rsidR="00F709BF" w:rsidRPr="00DE1967" w:rsidRDefault="00F709BF" w:rsidP="0003742E">
      <w:pPr>
        <w:widowControl w:val="0"/>
        <w:tabs>
          <w:tab w:val="clear" w:pos="567"/>
        </w:tabs>
        <w:autoSpaceDE w:val="0"/>
        <w:autoSpaceDN w:val="0"/>
        <w:adjustRightInd w:val="0"/>
        <w:spacing w:line="240" w:lineRule="auto"/>
        <w:rPr>
          <w:snapToGrid/>
          <w:szCs w:val="22"/>
          <w:lang w:val="de-DE" w:eastAsia="de-DE"/>
        </w:rPr>
      </w:pPr>
      <w:proofErr w:type="spellStart"/>
      <w:r w:rsidRPr="00DE1967">
        <w:rPr>
          <w:snapToGrid/>
          <w:szCs w:val="22"/>
          <w:lang w:val="de-DE" w:eastAsia="de-DE"/>
        </w:rPr>
        <w:t>Tolucombi</w:t>
      </w:r>
      <w:proofErr w:type="spellEnd"/>
      <w:r w:rsidRPr="00DE1967">
        <w:rPr>
          <w:snapToGrid/>
          <w:szCs w:val="22"/>
          <w:lang w:val="de-DE" w:eastAsia="de-DE"/>
        </w:rPr>
        <w:t xml:space="preserve"> ist auch in den Dosiskombinationen 40</w:t>
      </w:r>
      <w:r w:rsidR="00023E2B" w:rsidRPr="00DE1967">
        <w:rPr>
          <w:snapToGrid/>
          <w:szCs w:val="22"/>
          <w:lang w:val="de-DE" w:eastAsia="de-DE"/>
        </w:rPr>
        <w:t> mg</w:t>
      </w:r>
      <w:r w:rsidRPr="00DE1967">
        <w:rPr>
          <w:snapToGrid/>
          <w:szCs w:val="22"/>
          <w:lang w:val="de-DE" w:eastAsia="de-DE"/>
        </w:rPr>
        <w:t>/12,5</w:t>
      </w:r>
      <w:r w:rsidR="00023E2B" w:rsidRPr="00DE1967">
        <w:rPr>
          <w:snapToGrid/>
          <w:szCs w:val="22"/>
          <w:lang w:val="de-DE" w:eastAsia="de-DE"/>
        </w:rPr>
        <w:t> mg</w:t>
      </w:r>
      <w:r w:rsidRPr="00DE1967">
        <w:rPr>
          <w:snapToGrid/>
          <w:szCs w:val="22"/>
          <w:lang w:val="de-DE" w:eastAsia="de-DE"/>
        </w:rPr>
        <w:t xml:space="preserve"> und 80</w:t>
      </w:r>
      <w:r w:rsidR="00023E2B" w:rsidRPr="00DE1967">
        <w:rPr>
          <w:snapToGrid/>
          <w:szCs w:val="22"/>
          <w:lang w:val="de-DE" w:eastAsia="de-DE"/>
        </w:rPr>
        <w:t> mg</w:t>
      </w:r>
      <w:r w:rsidRPr="00DE1967">
        <w:rPr>
          <w:snapToGrid/>
          <w:szCs w:val="22"/>
          <w:lang w:val="de-DE" w:eastAsia="de-DE"/>
        </w:rPr>
        <w:t>/12,5</w:t>
      </w:r>
      <w:r w:rsidR="00023E2B" w:rsidRPr="00DE1967">
        <w:rPr>
          <w:snapToGrid/>
          <w:szCs w:val="22"/>
          <w:lang w:val="de-DE" w:eastAsia="de-DE"/>
        </w:rPr>
        <w:t> mg</w:t>
      </w:r>
      <w:r w:rsidRPr="00DE1967">
        <w:rPr>
          <w:snapToGrid/>
          <w:szCs w:val="22"/>
          <w:lang w:val="de-DE" w:eastAsia="de-DE"/>
        </w:rPr>
        <w:t xml:space="preserve"> erhältlich.</w:t>
      </w:r>
    </w:p>
    <w:p w:rsidR="00F709BF" w:rsidRPr="00DE1967" w:rsidRDefault="00F709BF" w:rsidP="0003742E">
      <w:pPr>
        <w:widowControl w:val="0"/>
        <w:tabs>
          <w:tab w:val="clear" w:pos="567"/>
        </w:tabs>
        <w:autoSpaceDE w:val="0"/>
        <w:autoSpaceDN w:val="0"/>
        <w:adjustRightInd w:val="0"/>
        <w:spacing w:line="240" w:lineRule="auto"/>
        <w:rPr>
          <w:i/>
          <w:iCs/>
          <w:snapToGrid/>
          <w:szCs w:val="22"/>
          <w:lang w:val="de-DE" w:eastAsia="de-DE"/>
        </w:rPr>
      </w:pPr>
    </w:p>
    <w:p w:rsidR="00A34C33" w:rsidRPr="00DE1967" w:rsidRDefault="00C842BE" w:rsidP="0003742E">
      <w:pPr>
        <w:widowControl w:val="0"/>
        <w:tabs>
          <w:tab w:val="clear" w:pos="567"/>
        </w:tabs>
        <w:autoSpaceDE w:val="0"/>
        <w:autoSpaceDN w:val="0"/>
        <w:adjustRightInd w:val="0"/>
        <w:spacing w:line="240" w:lineRule="auto"/>
        <w:rPr>
          <w:i/>
          <w:snapToGrid/>
          <w:szCs w:val="22"/>
          <w:lang w:val="de-DE" w:eastAsia="de-DE"/>
        </w:rPr>
      </w:pPr>
      <w:r w:rsidRPr="00DE1967">
        <w:rPr>
          <w:snapToGrid/>
          <w:szCs w:val="22"/>
          <w:lang w:val="de-DE" w:eastAsia="de-DE"/>
        </w:rPr>
        <w:t>E</w:t>
      </w:r>
      <w:r w:rsidR="00A34C33" w:rsidRPr="00DE1967">
        <w:rPr>
          <w:snapToGrid/>
          <w:szCs w:val="22"/>
          <w:lang w:val="de-DE" w:eastAsia="de-DE"/>
        </w:rPr>
        <w:t>ingeschränkte Nierenfunktion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Eine regelmäßige Überprüfung der Nierenfunktion wird empfohlen (siehe Abschnitt 4.4).</w:t>
      </w:r>
    </w:p>
    <w:p w:rsidR="00460D9E" w:rsidRPr="00DE1967" w:rsidRDefault="00460D9E"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C842BE" w:rsidP="0003742E">
      <w:pPr>
        <w:widowControl w:val="0"/>
        <w:tabs>
          <w:tab w:val="clear" w:pos="567"/>
        </w:tabs>
        <w:autoSpaceDE w:val="0"/>
        <w:autoSpaceDN w:val="0"/>
        <w:adjustRightInd w:val="0"/>
        <w:spacing w:line="240" w:lineRule="auto"/>
        <w:rPr>
          <w:i/>
          <w:snapToGrid/>
          <w:szCs w:val="22"/>
          <w:lang w:val="de-DE" w:eastAsia="de-DE"/>
        </w:rPr>
      </w:pPr>
      <w:r w:rsidRPr="00DE1967">
        <w:rPr>
          <w:snapToGrid/>
          <w:szCs w:val="22"/>
          <w:lang w:val="de-DE" w:eastAsia="de-DE"/>
        </w:rPr>
        <w:t>E</w:t>
      </w:r>
      <w:r w:rsidR="00A34C33" w:rsidRPr="00DE1967">
        <w:rPr>
          <w:snapToGrid/>
          <w:szCs w:val="22"/>
          <w:lang w:val="de-DE" w:eastAsia="de-DE"/>
        </w:rPr>
        <w:t>ingeschränkte Leberfunktion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Bei Patienten mit leicht bis mäßig eingeschränkter Leberfunktion sollte die Dosierung die 1 x tägliche Gabe von </w:t>
      </w:r>
      <w:proofErr w:type="spellStart"/>
      <w:r w:rsidRPr="00DE1967">
        <w:rPr>
          <w:snapToGrid/>
          <w:szCs w:val="22"/>
          <w:lang w:val="de-DE" w:eastAsia="de-DE"/>
        </w:rPr>
        <w:t>Tolucombi</w:t>
      </w:r>
      <w:proofErr w:type="spellEnd"/>
      <w:r w:rsidRPr="00DE1967">
        <w:rPr>
          <w:snapToGrid/>
          <w:szCs w:val="22"/>
          <w:lang w:val="de-DE" w:eastAsia="de-DE"/>
        </w:rPr>
        <w:t xml:space="preserve"> 40</w:t>
      </w:r>
      <w:r w:rsidR="00023E2B" w:rsidRPr="00DE1967">
        <w:rPr>
          <w:snapToGrid/>
          <w:szCs w:val="22"/>
          <w:lang w:val="de-DE" w:eastAsia="de-DE"/>
        </w:rPr>
        <w:t> mg</w:t>
      </w:r>
      <w:r w:rsidRPr="00DE1967">
        <w:rPr>
          <w:snapToGrid/>
          <w:szCs w:val="22"/>
          <w:lang w:val="de-DE" w:eastAsia="de-DE"/>
        </w:rPr>
        <w:t>/12,5</w:t>
      </w:r>
      <w:r w:rsidR="00023E2B" w:rsidRPr="00DE1967">
        <w:rPr>
          <w:snapToGrid/>
          <w:szCs w:val="22"/>
          <w:lang w:val="de-DE" w:eastAsia="de-DE"/>
        </w:rPr>
        <w:t> mg</w:t>
      </w:r>
      <w:r w:rsidRPr="00DE1967">
        <w:rPr>
          <w:snapToGrid/>
          <w:szCs w:val="22"/>
          <w:lang w:val="de-DE" w:eastAsia="de-DE"/>
        </w:rPr>
        <w:t xml:space="preserve"> nicht überschreiten. </w:t>
      </w:r>
      <w:proofErr w:type="spellStart"/>
      <w:r w:rsidRPr="00DE1967">
        <w:rPr>
          <w:snapToGrid/>
          <w:szCs w:val="22"/>
          <w:lang w:val="de-DE" w:eastAsia="de-DE"/>
        </w:rPr>
        <w:t>Tolucombi</w:t>
      </w:r>
      <w:proofErr w:type="spellEnd"/>
      <w:r w:rsidRPr="00DE1967">
        <w:rPr>
          <w:snapToGrid/>
          <w:szCs w:val="22"/>
          <w:lang w:val="de-DE" w:eastAsia="de-DE"/>
        </w:rPr>
        <w:t xml:space="preserve"> ist bei Patienten mit schweren Leberschäden nicht angezeigt. Thiazide sollten bei Patienten mit Leberfunktionsstörungen mit Vorsicht angewendet werden (siehe Abschnitt 4.4).</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Ältere Patienten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Eine Anpassung der Dosis ist nicht notwendig.</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i/>
          <w:snapToGrid/>
          <w:szCs w:val="22"/>
          <w:lang w:val="de-DE" w:eastAsia="de-DE"/>
        </w:rPr>
      </w:pPr>
      <w:r w:rsidRPr="00DE1967">
        <w:rPr>
          <w:i/>
          <w:snapToGrid/>
          <w:szCs w:val="22"/>
          <w:lang w:val="de-DE" w:eastAsia="de-DE"/>
        </w:rPr>
        <w:t>Kinder und Jugendliche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 Sicherheit und Wirksamkeit von </w:t>
      </w:r>
      <w:proofErr w:type="spellStart"/>
      <w:r w:rsidRPr="00DE1967">
        <w:rPr>
          <w:snapToGrid/>
          <w:szCs w:val="22"/>
          <w:lang w:val="de-DE" w:eastAsia="de-DE"/>
        </w:rPr>
        <w:t>Tolucombi</w:t>
      </w:r>
      <w:proofErr w:type="spellEnd"/>
      <w:r w:rsidRPr="00DE1967">
        <w:rPr>
          <w:snapToGrid/>
          <w:szCs w:val="22"/>
          <w:lang w:val="de-DE" w:eastAsia="de-DE"/>
        </w:rPr>
        <w:t xml:space="preserve"> bei Kindern und Jugendlichen unter 18 Jahren ist nicht erwiesen. Es liegen keine Daten vor.</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Art der Anwendung</w:t>
      </w: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roofErr w:type="spellStart"/>
      <w:r w:rsidRPr="00DE1967">
        <w:rPr>
          <w:snapToGrid/>
          <w:szCs w:val="22"/>
          <w:lang w:val="de-DE" w:eastAsia="de-DE"/>
        </w:rPr>
        <w:t>Tolucombi</w:t>
      </w:r>
      <w:proofErr w:type="spellEnd"/>
      <w:r w:rsidRPr="00DE1967">
        <w:rPr>
          <w:snapToGrid/>
          <w:szCs w:val="22"/>
          <w:lang w:val="de-DE" w:eastAsia="de-DE"/>
        </w:rPr>
        <w:t xml:space="preserve"> Tabletten sind für die 1 x tägliche orale Anwendung vorgesehen und sollten mit Flüssigkeit zu oder unabhängig von den Mahlzeiten eingenommen werden.</w:t>
      </w:r>
    </w:p>
    <w:p w:rsidR="00A34C33" w:rsidRPr="00DE1967" w:rsidRDefault="00A34C33" w:rsidP="0003742E">
      <w:pPr>
        <w:widowControl w:val="0"/>
        <w:tabs>
          <w:tab w:val="clear" w:pos="567"/>
        </w:tabs>
        <w:autoSpaceDE w:val="0"/>
        <w:autoSpaceDN w:val="0"/>
        <w:adjustRightInd w:val="0"/>
        <w:spacing w:line="240" w:lineRule="auto"/>
        <w:rPr>
          <w:i/>
          <w:iCs/>
          <w:snapToGrid/>
          <w:szCs w:val="22"/>
          <w:lang w:val="de-DE" w:eastAsia="de-DE"/>
        </w:rPr>
      </w:pPr>
    </w:p>
    <w:p w:rsidR="00A34C33" w:rsidRPr="00DE1967" w:rsidRDefault="00A34C33" w:rsidP="0003742E">
      <w:pPr>
        <w:widowControl w:val="0"/>
        <w:spacing w:line="240" w:lineRule="auto"/>
        <w:ind w:left="567" w:hanging="567"/>
        <w:rPr>
          <w:szCs w:val="22"/>
          <w:lang w:val="de-DE"/>
        </w:rPr>
      </w:pPr>
      <w:r w:rsidRPr="00DE1967">
        <w:rPr>
          <w:b/>
          <w:szCs w:val="22"/>
          <w:lang w:val="de-DE"/>
        </w:rPr>
        <w:t>4.3</w:t>
      </w:r>
      <w:r w:rsidRPr="00DE1967">
        <w:rPr>
          <w:b/>
          <w:szCs w:val="22"/>
          <w:lang w:val="de-DE"/>
        </w:rPr>
        <w:tab/>
      </w:r>
      <w:r w:rsidRPr="00DE1967">
        <w:rPr>
          <w:b/>
          <w:noProof/>
          <w:szCs w:val="22"/>
          <w:lang w:val="de-DE"/>
        </w:rPr>
        <w:t>Gegenanzeigen</w:t>
      </w:r>
    </w:p>
    <w:p w:rsidR="00A34C33" w:rsidRPr="00DE1967" w:rsidRDefault="00A34C33" w:rsidP="0003742E">
      <w:pPr>
        <w:widowControl w:val="0"/>
        <w:spacing w:line="240" w:lineRule="auto"/>
        <w:rPr>
          <w:szCs w:val="22"/>
          <w:lang w:val="de-DE"/>
        </w:rPr>
      </w:pPr>
    </w:p>
    <w:p w:rsidR="00A34C33" w:rsidRPr="00DE1967" w:rsidRDefault="00A34C33"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Überempfindlichkeit gegen die Wirkstoffe oder einen der in Abschnitt 6.1 genannten sonstigen Bestandteile</w:t>
      </w:r>
    </w:p>
    <w:p w:rsidR="00A34C33" w:rsidRPr="00DE1967" w:rsidRDefault="00A34C33"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Überempfindlichkeit gegen andere Sulfonamid-Derivate (da Hydrochlorothiazid ein Sulfonamid-Derivat ist)</w:t>
      </w:r>
    </w:p>
    <w:p w:rsidR="00A34C33" w:rsidRPr="00DE1967" w:rsidRDefault="00A34C33"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Zweites und drittes Schwangerschaftsdrittel (siehe Abschnitte 4.4 und 4.6)</w:t>
      </w:r>
    </w:p>
    <w:p w:rsidR="00A34C33" w:rsidRPr="00DE1967" w:rsidRDefault="00A34C33"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Cholestase und obstruktive Gallenfunktionsstörung</w:t>
      </w:r>
    </w:p>
    <w:p w:rsidR="00A34C33" w:rsidRPr="00DE1967" w:rsidRDefault="00A34C33"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Schwere Leberfunktionsstörung</w:t>
      </w:r>
    </w:p>
    <w:p w:rsidR="00A34C33" w:rsidRPr="00DE1967" w:rsidRDefault="00A34C33"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Schwere Nierenschäden (Kreatinin-Clearance &lt; 30 ml/min)</w:t>
      </w:r>
    </w:p>
    <w:p w:rsidR="00A34C33" w:rsidRPr="00DE1967" w:rsidRDefault="00A34C33" w:rsidP="0003742E">
      <w:pPr>
        <w:widowControl w:val="0"/>
        <w:numPr>
          <w:ilvl w:val="0"/>
          <w:numId w:val="7"/>
        </w:numPr>
        <w:tabs>
          <w:tab w:val="clear" w:pos="567"/>
        </w:tabs>
        <w:spacing w:line="240" w:lineRule="auto"/>
        <w:ind w:left="567" w:hanging="567"/>
        <w:rPr>
          <w:szCs w:val="22"/>
          <w:lang w:val="de-DE"/>
        </w:rPr>
      </w:pPr>
      <w:r w:rsidRPr="00DE1967">
        <w:rPr>
          <w:snapToGrid/>
          <w:szCs w:val="22"/>
          <w:lang w:val="de-DE" w:eastAsia="de-DE"/>
        </w:rPr>
        <w:t>Refraktäre Hypokaliämie, Hyper</w:t>
      </w:r>
      <w:r w:rsidR="00137CCD" w:rsidRPr="00DE1967">
        <w:rPr>
          <w:snapToGrid/>
          <w:szCs w:val="22"/>
          <w:lang w:val="de-DE" w:eastAsia="de-DE"/>
        </w:rPr>
        <w:t>k</w:t>
      </w:r>
      <w:r w:rsidRPr="00DE1967">
        <w:rPr>
          <w:snapToGrid/>
          <w:szCs w:val="22"/>
          <w:lang w:val="de-DE" w:eastAsia="de-DE"/>
        </w:rPr>
        <w:t>al</w:t>
      </w:r>
      <w:r w:rsidR="00137CCD" w:rsidRPr="00DE1967">
        <w:rPr>
          <w:snapToGrid/>
          <w:szCs w:val="22"/>
          <w:lang w:val="de-DE" w:eastAsia="de-DE"/>
        </w:rPr>
        <w:t>z</w:t>
      </w:r>
      <w:r w:rsidRPr="00DE1967">
        <w:rPr>
          <w:snapToGrid/>
          <w:szCs w:val="22"/>
          <w:lang w:val="de-DE" w:eastAsia="de-DE"/>
        </w:rPr>
        <w:t>ämie</w:t>
      </w:r>
    </w:p>
    <w:p w:rsidR="00A34C33" w:rsidRPr="00DE1967" w:rsidRDefault="00A34C33" w:rsidP="0003742E">
      <w:pPr>
        <w:widowControl w:val="0"/>
        <w:spacing w:line="240" w:lineRule="auto"/>
        <w:rPr>
          <w:szCs w:val="22"/>
          <w:lang w:val="de-DE"/>
        </w:rPr>
      </w:pPr>
    </w:p>
    <w:p w:rsidR="00460D9E" w:rsidRPr="00DE1967" w:rsidRDefault="00460D9E" w:rsidP="0003742E">
      <w:pPr>
        <w:widowControl w:val="0"/>
        <w:spacing w:line="240" w:lineRule="auto"/>
        <w:rPr>
          <w:noProof/>
          <w:szCs w:val="22"/>
          <w:lang w:val="de-DE"/>
        </w:rPr>
      </w:pPr>
      <w:r w:rsidRPr="00DE1967">
        <w:rPr>
          <w:szCs w:val="22"/>
          <w:lang w:val="de-DE"/>
        </w:rPr>
        <w:t xml:space="preserve">Die gleichzeitige Anwendung von </w:t>
      </w:r>
      <w:proofErr w:type="spellStart"/>
      <w:r w:rsidR="00D62CA5" w:rsidRPr="00DE1967">
        <w:rPr>
          <w:szCs w:val="22"/>
          <w:lang w:val="de-DE"/>
        </w:rPr>
        <w:t>Tolucombi</w:t>
      </w:r>
      <w:proofErr w:type="spellEnd"/>
      <w:r w:rsidRPr="00DE1967">
        <w:rPr>
          <w:szCs w:val="22"/>
          <w:lang w:val="de-DE"/>
        </w:rPr>
        <w:t xml:space="preserve"> </w:t>
      </w:r>
      <w:r w:rsidR="00D62CA5" w:rsidRPr="00DE1967">
        <w:rPr>
          <w:szCs w:val="22"/>
          <w:lang w:val="de-DE"/>
        </w:rPr>
        <w:t>mit</w:t>
      </w:r>
      <w:r w:rsidRPr="00DE1967">
        <w:rPr>
          <w:szCs w:val="22"/>
          <w:lang w:val="de-DE"/>
        </w:rPr>
        <w:t xml:space="preserve"> </w:t>
      </w:r>
      <w:proofErr w:type="spellStart"/>
      <w:r w:rsidRPr="00DE1967">
        <w:rPr>
          <w:szCs w:val="22"/>
          <w:lang w:val="de-DE"/>
        </w:rPr>
        <w:t>Aliskiren</w:t>
      </w:r>
      <w:proofErr w:type="spellEnd"/>
      <w:r w:rsidR="00D62CA5" w:rsidRPr="00DE1967">
        <w:rPr>
          <w:szCs w:val="22"/>
          <w:lang w:val="de-DE"/>
        </w:rPr>
        <w:t>-haltigen Arzneimitteln</w:t>
      </w:r>
      <w:r w:rsidRPr="00DE1967">
        <w:rPr>
          <w:szCs w:val="22"/>
          <w:lang w:val="de-DE"/>
        </w:rPr>
        <w:t xml:space="preserve"> ist bei Patienten mit Diabetes mellitus oder eingeschränkter Nierenfunktion (GFR &lt; 60 ml/min/1,73 m</w:t>
      </w:r>
      <w:r w:rsidRPr="00DE1967">
        <w:rPr>
          <w:szCs w:val="22"/>
          <w:vertAlign w:val="superscript"/>
          <w:lang w:val="de-DE"/>
        </w:rPr>
        <w:t>2</w:t>
      </w:r>
      <w:r w:rsidRPr="00DE1967">
        <w:rPr>
          <w:szCs w:val="22"/>
          <w:lang w:val="de-DE"/>
        </w:rPr>
        <w:t>) kontraindiziert (siehe Abschnitte 4.5</w:t>
      </w:r>
      <w:r w:rsidR="00D62CA5" w:rsidRPr="00DE1967">
        <w:rPr>
          <w:szCs w:val="22"/>
          <w:lang w:val="de-DE"/>
        </w:rPr>
        <w:t xml:space="preserve"> und 5.1</w:t>
      </w:r>
      <w:r w:rsidRPr="00DE1967">
        <w:rPr>
          <w:szCs w:val="22"/>
          <w:lang w:val="de-DE"/>
        </w:rPr>
        <w:t>).</w:t>
      </w:r>
    </w:p>
    <w:p w:rsidR="00460D9E" w:rsidRPr="00DE1967" w:rsidRDefault="00460D9E" w:rsidP="0003742E">
      <w:pPr>
        <w:widowControl w:val="0"/>
        <w:spacing w:line="240" w:lineRule="auto"/>
        <w:rPr>
          <w:szCs w:val="22"/>
          <w:lang w:val="de-DE"/>
        </w:rPr>
      </w:pPr>
    </w:p>
    <w:p w:rsidR="00A34C33" w:rsidRPr="00DE1967" w:rsidRDefault="00A34C33" w:rsidP="0003742E">
      <w:pPr>
        <w:widowControl w:val="0"/>
        <w:spacing w:line="240" w:lineRule="auto"/>
        <w:ind w:left="567" w:hanging="567"/>
        <w:rPr>
          <w:b/>
          <w:szCs w:val="22"/>
          <w:lang w:val="de-DE"/>
        </w:rPr>
      </w:pPr>
      <w:r w:rsidRPr="00DE1967">
        <w:rPr>
          <w:b/>
          <w:szCs w:val="22"/>
          <w:lang w:val="de-DE"/>
        </w:rPr>
        <w:t>4.4</w:t>
      </w:r>
      <w:r w:rsidRPr="00DE1967">
        <w:rPr>
          <w:b/>
          <w:szCs w:val="22"/>
          <w:lang w:val="de-DE"/>
        </w:rPr>
        <w:tab/>
      </w:r>
      <w:r w:rsidRPr="00DE1967">
        <w:rPr>
          <w:b/>
          <w:noProof/>
          <w:szCs w:val="22"/>
          <w:lang w:val="de-DE"/>
        </w:rPr>
        <w:t>Besondere Warnhinweise und Vorsichtsmaßnahmen für die Anwendung</w:t>
      </w:r>
    </w:p>
    <w:p w:rsidR="00A34C33" w:rsidRPr="00DE1967" w:rsidRDefault="00A34C33" w:rsidP="0003742E">
      <w:pPr>
        <w:widowControl w:val="0"/>
        <w:spacing w:line="240" w:lineRule="auto"/>
        <w:ind w:left="567" w:hanging="567"/>
        <w:rPr>
          <w:b/>
          <w:szCs w:val="22"/>
          <w:lang w:val="de-DE"/>
        </w:rPr>
      </w:pPr>
    </w:p>
    <w:p w:rsidR="00544F89"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Schwangerschaft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Eine Angiotensin-II-Rezeptor-Antagonisten-Therapie darf nicht während einer Schwangerschaft begonnen werden. Bei Patientinnen mit Schwangerschaftswunsch sollte eine Umstellung auf eine alternative antihypertensive Behandlung mit bewährtem Sicherheitsprofil für Schwangere erfolgen – es sei denn, eine Fortführung der Behandlung mit Angiotensin-II-Rezeptor-Antagonisten ist zwingend erforderlich. Wird eine Schwangerschaft festgestellt, ist die Behandlung mit Angiotensin-II-Rezeptor-Antagonisten unverzüglich zu beenden und, wenn erforderlich, eine alternative Therapie zu beginnen (siehe Abschnitte 4.3 und 4.6).</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Eingeschränkte Leberfunktion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Da Telmisartan überwiegend über die Galle ausgeschieden wird, sollte </w:t>
      </w:r>
      <w:proofErr w:type="spellStart"/>
      <w:r w:rsidRPr="00DE1967">
        <w:rPr>
          <w:snapToGrid/>
          <w:szCs w:val="22"/>
          <w:lang w:val="de-DE" w:eastAsia="de-DE"/>
        </w:rPr>
        <w:t>Tolucombi</w:t>
      </w:r>
      <w:proofErr w:type="spellEnd"/>
      <w:r w:rsidRPr="00DE1967">
        <w:rPr>
          <w:snapToGrid/>
          <w:szCs w:val="22"/>
          <w:lang w:val="de-DE" w:eastAsia="de-DE"/>
        </w:rPr>
        <w:t xml:space="preserve"> nicht bei Patienten mit Cholestase, obstruktiver Gallenfunktionsstörung oder schwerer Leberinsuffizienz angewendet werden (siehe Abschnitt 4.3). Bei diesen Patienten kann eine eingeschränkte hepatische Clearance für Telmisartan erwartet werden.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Zusätzlich sollte </w:t>
      </w:r>
      <w:proofErr w:type="spellStart"/>
      <w:r w:rsidRPr="00DE1967">
        <w:rPr>
          <w:snapToGrid/>
          <w:szCs w:val="22"/>
          <w:lang w:val="de-DE" w:eastAsia="de-DE"/>
        </w:rPr>
        <w:t>Tolucombi</w:t>
      </w:r>
      <w:proofErr w:type="spellEnd"/>
      <w:r w:rsidRPr="00DE1967">
        <w:rPr>
          <w:snapToGrid/>
          <w:szCs w:val="22"/>
          <w:lang w:val="de-DE" w:eastAsia="de-DE"/>
        </w:rPr>
        <w:t xml:space="preserve"> bei Patienten mit Leberfunktionsstörung oder progressiver Lebererkrankung mit Vorsicht angewandt werden, da bereits geringfügige Änderungen im Flüssigkeits- und Elektrolythaushalt ein Leberkoma auslösen können. Es liegen keine klinischen Erfahrungen mit </w:t>
      </w:r>
      <w:proofErr w:type="spellStart"/>
      <w:r w:rsidRPr="00DE1967">
        <w:rPr>
          <w:snapToGrid/>
          <w:szCs w:val="22"/>
          <w:lang w:val="de-DE" w:eastAsia="de-DE"/>
        </w:rPr>
        <w:t>Tolucombi</w:t>
      </w:r>
      <w:proofErr w:type="spellEnd"/>
      <w:r w:rsidRPr="00DE1967">
        <w:rPr>
          <w:snapToGrid/>
          <w:szCs w:val="22"/>
          <w:lang w:val="de-DE" w:eastAsia="de-DE"/>
        </w:rPr>
        <w:t xml:space="preserve"> bei Patienten mit Leberfunktionsstörung vor.</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proofErr w:type="spellStart"/>
      <w:r w:rsidRPr="00DE1967">
        <w:rPr>
          <w:snapToGrid/>
          <w:szCs w:val="22"/>
          <w:u w:val="single"/>
          <w:lang w:val="de-DE" w:eastAsia="de-DE"/>
        </w:rPr>
        <w:t>Renovaskuläre</w:t>
      </w:r>
      <w:proofErr w:type="spellEnd"/>
      <w:r w:rsidRPr="00DE1967">
        <w:rPr>
          <w:snapToGrid/>
          <w:szCs w:val="22"/>
          <w:u w:val="single"/>
          <w:lang w:val="de-DE" w:eastAsia="de-DE"/>
        </w:rPr>
        <w:t xml:space="preserve"> Hypertonie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Bei Patienten mit bilateraler Nierenarterienstenose oder Stenose der Nierenarterie bei einer einzelnen funktionsfähigen Niere besteht ein erhöhtes Risiko einer schweren Hypotonie oder einer Niereninsuffizienz bei einer Behandlung mit Arzneimitteln, die das Renin-Angiotensin-Aldosteron-System beeinflussen.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Eingeschränkte Nierenfunktion und Nierentransplantation</w:t>
      </w:r>
    </w:p>
    <w:p w:rsidR="00306D41" w:rsidRPr="00DE1967" w:rsidRDefault="00306D41" w:rsidP="0003742E">
      <w:pPr>
        <w:widowControl w:val="0"/>
        <w:tabs>
          <w:tab w:val="clear" w:pos="567"/>
        </w:tabs>
        <w:autoSpaceDE w:val="0"/>
        <w:autoSpaceDN w:val="0"/>
        <w:adjustRightInd w:val="0"/>
        <w:spacing w:line="240" w:lineRule="auto"/>
        <w:rPr>
          <w:snapToGrid/>
          <w:szCs w:val="22"/>
          <w:lang w:val="de-DE" w:eastAsia="de-DE"/>
        </w:rPr>
      </w:pPr>
      <w:proofErr w:type="spellStart"/>
      <w:r w:rsidRPr="00DE1967">
        <w:rPr>
          <w:snapToGrid/>
          <w:szCs w:val="22"/>
          <w:lang w:val="de-DE" w:eastAsia="de-DE"/>
        </w:rPr>
        <w:t>Tolucombi</w:t>
      </w:r>
      <w:proofErr w:type="spellEnd"/>
      <w:r w:rsidRPr="00DE1967">
        <w:rPr>
          <w:snapToGrid/>
          <w:szCs w:val="22"/>
          <w:lang w:val="de-DE" w:eastAsia="de-DE"/>
        </w:rPr>
        <w:t xml:space="preserve"> </w:t>
      </w:r>
      <w:r w:rsidR="00C842BE" w:rsidRPr="00DE1967">
        <w:rPr>
          <w:snapToGrid/>
          <w:szCs w:val="22"/>
          <w:lang w:val="de-DE" w:eastAsia="de-DE"/>
        </w:rPr>
        <w:t xml:space="preserve">darf </w:t>
      </w:r>
      <w:r w:rsidRPr="00DE1967">
        <w:rPr>
          <w:snapToGrid/>
          <w:szCs w:val="22"/>
          <w:lang w:val="de-DE" w:eastAsia="de-DE"/>
        </w:rPr>
        <w:t>nicht bei Patienten mit schwerer Nierenfunktionsstörung (Kreatinin</w:t>
      </w:r>
      <w:r w:rsidRPr="00DE1967">
        <w:rPr>
          <w:snapToGrid/>
          <w:szCs w:val="22"/>
          <w:lang w:val="de-DE" w:eastAsia="de-DE"/>
        </w:rPr>
        <w:noBreakHyphen/>
        <w:t xml:space="preserve">Clearance &lt; 30 ml/min) (siehe Abschnitt 4.3) angewandt werden. Es liegen keine Erfahrungen zur Anwendung von </w:t>
      </w:r>
      <w:proofErr w:type="spellStart"/>
      <w:r w:rsidRPr="00DE1967">
        <w:rPr>
          <w:snapToGrid/>
          <w:szCs w:val="22"/>
          <w:lang w:val="de-DE" w:eastAsia="de-DE"/>
        </w:rPr>
        <w:t>Tolucombi</w:t>
      </w:r>
      <w:proofErr w:type="spellEnd"/>
      <w:r w:rsidRPr="00DE1967">
        <w:rPr>
          <w:snapToGrid/>
          <w:szCs w:val="22"/>
          <w:lang w:val="de-DE" w:eastAsia="de-DE"/>
        </w:rPr>
        <w:t xml:space="preserve"> bei Patienten mit einer kurz zurückliegenden Nierentransplantation vor. Die Erfahrungen mit </w:t>
      </w:r>
      <w:proofErr w:type="spellStart"/>
      <w:r w:rsidRPr="00DE1967">
        <w:rPr>
          <w:snapToGrid/>
          <w:szCs w:val="22"/>
          <w:lang w:val="de-DE" w:eastAsia="de-DE"/>
        </w:rPr>
        <w:t>Tolucombi</w:t>
      </w:r>
      <w:proofErr w:type="spellEnd"/>
      <w:r w:rsidRPr="00DE1967">
        <w:rPr>
          <w:snapToGrid/>
          <w:szCs w:val="22"/>
          <w:lang w:val="de-DE" w:eastAsia="de-DE"/>
        </w:rPr>
        <w:t xml:space="preserve"> bei Patienten mit leichten bis mittelschweren Nierenfunktionsstörungen sind begrenzt, daher wird eine regelmäßige Kontrolle der Kalium-, Kreatinin- und Harnsäure-Serumspiegel empfohlen. Eine mit Thiaziddiuretika einhergehende Azotämie kann bei Patienten mit Nierenfunktionsstörungen auftreten.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Intravaskuläre Hypovolämie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Eine symptomatische Hypotonie kann, insbesondere nach der ersten Dosis, bei Patienten auftreten, bei denen ein Volumen- und/oder Natriummangel aufgrund einer hochdosierten </w:t>
      </w:r>
      <w:proofErr w:type="spellStart"/>
      <w:r w:rsidRPr="00DE1967">
        <w:rPr>
          <w:snapToGrid/>
          <w:szCs w:val="22"/>
          <w:lang w:val="de-DE" w:eastAsia="de-DE"/>
        </w:rPr>
        <w:t>Diuretikabehandlung</w:t>
      </w:r>
      <w:proofErr w:type="spellEnd"/>
      <w:r w:rsidRPr="00DE1967">
        <w:rPr>
          <w:snapToGrid/>
          <w:szCs w:val="22"/>
          <w:lang w:val="de-DE" w:eastAsia="de-DE"/>
        </w:rPr>
        <w:t xml:space="preserve">, salzarmer Kost, Durchfall oder Erbrechen vorliegt. Solche Umstände sind vor der Anwendung von </w:t>
      </w:r>
      <w:proofErr w:type="spellStart"/>
      <w:r w:rsidRPr="00DE1967">
        <w:rPr>
          <w:snapToGrid/>
          <w:szCs w:val="22"/>
          <w:lang w:val="de-DE" w:eastAsia="de-DE"/>
        </w:rPr>
        <w:t>Tolucombi</w:t>
      </w:r>
      <w:proofErr w:type="spellEnd"/>
      <w:r w:rsidRPr="00DE1967">
        <w:rPr>
          <w:snapToGrid/>
          <w:szCs w:val="22"/>
          <w:lang w:val="de-DE" w:eastAsia="de-DE"/>
        </w:rPr>
        <w:t xml:space="preserve"> auszugleichen.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Duale Blockade des Renin-Angiotensin-Aldosteron-Systems</w:t>
      </w:r>
      <w:r w:rsidR="00D62CA5" w:rsidRPr="00DE1967">
        <w:rPr>
          <w:snapToGrid/>
          <w:szCs w:val="22"/>
          <w:u w:val="single"/>
          <w:lang w:val="de-DE" w:eastAsia="de-DE"/>
        </w:rPr>
        <w:t xml:space="preserve"> (RAAS)</w:t>
      </w:r>
    </w:p>
    <w:p w:rsidR="00D62CA5" w:rsidRPr="00DE1967" w:rsidRDefault="00D62CA5" w:rsidP="00D62CA5">
      <w:pPr>
        <w:widowControl w:val="0"/>
        <w:autoSpaceDE w:val="0"/>
        <w:autoSpaceDN w:val="0"/>
        <w:adjustRightInd w:val="0"/>
        <w:spacing w:line="240" w:lineRule="auto"/>
        <w:rPr>
          <w:lang w:val="de-DE" w:eastAsia="de-DE"/>
        </w:rPr>
      </w:pPr>
      <w:r w:rsidRPr="00DE1967">
        <w:rPr>
          <w:lang w:val="de-DE" w:eastAsia="de-DE"/>
        </w:rPr>
        <w:t xml:space="preserve">Es gibt Belege dafür, dass die gleichzeitige Anwendung von ACE-Hemmern, Angiotensin-II-Rezeptor-Antagonisten oder </w:t>
      </w:r>
      <w:proofErr w:type="spellStart"/>
      <w:r w:rsidRPr="00DE1967">
        <w:rPr>
          <w:lang w:val="de-DE" w:eastAsia="de-DE"/>
        </w:rPr>
        <w:t>Aliskiren</w:t>
      </w:r>
      <w:proofErr w:type="spellEnd"/>
      <w:r w:rsidRPr="00DE1967">
        <w:rPr>
          <w:lang w:val="de-DE" w:eastAsia="de-DE"/>
        </w:rPr>
        <w:t xml:space="preserve"> das Risiko für Hypotonie, Hyperkaliämie und eine Abnahme der Nierenfunktion (einschließlich eines akuten Nierenversagens) erhöht. Eine duale Blockade des RAAS durch die gleichzeitige Anwendung von ACE-Hemmern, Angiotensin-II-Rezeptor-Antagonisten oder </w:t>
      </w:r>
      <w:proofErr w:type="spellStart"/>
      <w:r w:rsidRPr="00DE1967">
        <w:rPr>
          <w:lang w:val="de-DE" w:eastAsia="de-DE"/>
        </w:rPr>
        <w:t>Aliskiren</w:t>
      </w:r>
      <w:proofErr w:type="spellEnd"/>
      <w:r w:rsidRPr="00DE1967">
        <w:rPr>
          <w:lang w:val="de-DE" w:eastAsia="de-DE"/>
        </w:rPr>
        <w:t xml:space="preserve"> wird deshalb nicht empfohlen (siehe Abschnitte 4.5 und 5.1).</w:t>
      </w:r>
    </w:p>
    <w:p w:rsidR="00D62CA5" w:rsidRPr="00DE1967" w:rsidRDefault="00D62CA5" w:rsidP="00D62CA5">
      <w:pPr>
        <w:widowControl w:val="0"/>
        <w:autoSpaceDE w:val="0"/>
        <w:autoSpaceDN w:val="0"/>
        <w:adjustRightInd w:val="0"/>
        <w:spacing w:line="240" w:lineRule="auto"/>
        <w:rPr>
          <w:lang w:val="de-DE" w:eastAsia="de-DE"/>
        </w:rPr>
      </w:pPr>
      <w:r w:rsidRPr="00DE1967">
        <w:rPr>
          <w:lang w:val="de-DE" w:eastAsia="de-DE"/>
        </w:rPr>
        <w:t>Wenn die Therapie mit einer dualen Blockade als absolut notwendig erachtet wird, sollte dies nur unter Aufsicht eines Spezialisten und unter Durchführung engmaschiger Kontrollen von Nierenfunktion, Elektrolytwerten und Blutdruck erfolgen.</w:t>
      </w:r>
    </w:p>
    <w:p w:rsidR="00A34C33" w:rsidRPr="00DE1967" w:rsidRDefault="00D62CA5" w:rsidP="0003742E">
      <w:pPr>
        <w:widowControl w:val="0"/>
        <w:tabs>
          <w:tab w:val="clear" w:pos="567"/>
        </w:tabs>
        <w:autoSpaceDE w:val="0"/>
        <w:autoSpaceDN w:val="0"/>
        <w:adjustRightInd w:val="0"/>
        <w:spacing w:line="240" w:lineRule="auto"/>
        <w:rPr>
          <w:snapToGrid/>
          <w:szCs w:val="22"/>
          <w:lang w:val="de-DE" w:eastAsia="de-DE"/>
        </w:rPr>
      </w:pPr>
      <w:r w:rsidRPr="00DE1967">
        <w:rPr>
          <w:lang w:val="de-DE" w:eastAsia="de-DE"/>
        </w:rPr>
        <w:t>ACE-Hemmer und Angiotensin-II-Rezeptor-Antagonisten sollten bei Patienten mit diabetischer Nephropathie nicht gleichzeitig angewendet werden.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Andere Umstände mit Stimulation des Renin-Angiotensin-Aldosteron-Systems</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Bei Patienten, deren Gefäßtonus und Nierenfunktion im Wesentlichen von der Aktivität des Renin-Angiotensin-Aldosteron-Systems abhängen (</w:t>
      </w:r>
      <w:r w:rsidR="00433771" w:rsidRPr="00DE1967">
        <w:rPr>
          <w:snapToGrid/>
          <w:szCs w:val="22"/>
          <w:lang w:val="de-DE" w:eastAsia="de-DE"/>
        </w:rPr>
        <w:t>z. B.</w:t>
      </w:r>
      <w:r w:rsidRPr="00DE1967">
        <w:rPr>
          <w:snapToGrid/>
          <w:szCs w:val="22"/>
          <w:lang w:val="de-DE" w:eastAsia="de-DE"/>
        </w:rPr>
        <w:t xml:space="preserve"> Patienten mit schwerer Herzinsuffizienz oder zugrundeliegender Nierenerkrankung, einschließlich Nierenarterienstenose), wurde eine Behandlung mit Arzneimitteln, die dieses System beeinflussen, mit akuter Hypotonie, </w:t>
      </w:r>
      <w:proofErr w:type="spellStart"/>
      <w:r w:rsidRPr="00DE1967">
        <w:rPr>
          <w:snapToGrid/>
          <w:szCs w:val="22"/>
          <w:lang w:val="de-DE" w:eastAsia="de-DE"/>
        </w:rPr>
        <w:t>Hyperazotämie</w:t>
      </w:r>
      <w:proofErr w:type="spellEnd"/>
      <w:r w:rsidRPr="00DE1967">
        <w:rPr>
          <w:snapToGrid/>
          <w:szCs w:val="22"/>
          <w:lang w:val="de-DE" w:eastAsia="de-DE"/>
        </w:rPr>
        <w:t>, Oligurie oder in seltenen Fällen akutem Nierenversagen in Verbindung gebracht (siehe Abschnitt 4.8).</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 xml:space="preserve">Primärer </w:t>
      </w:r>
      <w:proofErr w:type="spellStart"/>
      <w:r w:rsidRPr="00DE1967">
        <w:rPr>
          <w:snapToGrid/>
          <w:szCs w:val="22"/>
          <w:u w:val="single"/>
          <w:lang w:val="de-DE" w:eastAsia="de-DE"/>
        </w:rPr>
        <w:t>Aldosteronismus</w:t>
      </w:r>
      <w:proofErr w:type="spellEnd"/>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Patienten mit primärem </w:t>
      </w:r>
      <w:proofErr w:type="spellStart"/>
      <w:r w:rsidRPr="00DE1967">
        <w:rPr>
          <w:snapToGrid/>
          <w:szCs w:val="22"/>
          <w:lang w:val="de-DE" w:eastAsia="de-DE"/>
        </w:rPr>
        <w:t>Aldosteronismus</w:t>
      </w:r>
      <w:proofErr w:type="spellEnd"/>
      <w:r w:rsidRPr="00DE1967">
        <w:rPr>
          <w:snapToGrid/>
          <w:szCs w:val="22"/>
          <w:lang w:val="de-DE" w:eastAsia="de-DE"/>
        </w:rPr>
        <w:t xml:space="preserve"> sprechen im Allgemeinen nicht auf Antihypertonika an, deren Wirkung auf der Hemmung des Renin-Angiotensin-Systems beruht. Daher wird die Anwendung von </w:t>
      </w:r>
      <w:proofErr w:type="spellStart"/>
      <w:r w:rsidRPr="00DE1967">
        <w:rPr>
          <w:snapToGrid/>
          <w:szCs w:val="22"/>
          <w:lang w:val="de-DE" w:eastAsia="de-DE"/>
        </w:rPr>
        <w:t>Tolucombi</w:t>
      </w:r>
      <w:proofErr w:type="spellEnd"/>
      <w:r w:rsidRPr="00DE1967">
        <w:rPr>
          <w:snapToGrid/>
          <w:szCs w:val="22"/>
          <w:lang w:val="de-DE" w:eastAsia="de-DE"/>
        </w:rPr>
        <w:t xml:space="preserve"> nicht empfohlen.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 xml:space="preserve">Aorten- und </w:t>
      </w:r>
      <w:proofErr w:type="spellStart"/>
      <w:r w:rsidRPr="00DE1967">
        <w:rPr>
          <w:snapToGrid/>
          <w:szCs w:val="22"/>
          <w:u w:val="single"/>
          <w:lang w:val="de-DE" w:eastAsia="de-DE"/>
        </w:rPr>
        <w:t>Mitralklappenstenose</w:t>
      </w:r>
      <w:proofErr w:type="spellEnd"/>
      <w:r w:rsidRPr="00DE1967">
        <w:rPr>
          <w:snapToGrid/>
          <w:szCs w:val="22"/>
          <w:u w:val="single"/>
          <w:lang w:val="de-DE" w:eastAsia="de-DE"/>
        </w:rPr>
        <w:t>, obstruktive hypertrophe Kardiomyopathie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Wie bei anderen Vasodilatatoren ist bei Patienten mit Aorten- oder </w:t>
      </w:r>
      <w:proofErr w:type="spellStart"/>
      <w:r w:rsidRPr="00DE1967">
        <w:rPr>
          <w:snapToGrid/>
          <w:szCs w:val="22"/>
          <w:lang w:val="de-DE" w:eastAsia="de-DE"/>
        </w:rPr>
        <w:t>Mitralklappenstenose</w:t>
      </w:r>
      <w:proofErr w:type="spellEnd"/>
      <w:r w:rsidRPr="00DE1967">
        <w:rPr>
          <w:snapToGrid/>
          <w:szCs w:val="22"/>
          <w:lang w:val="de-DE" w:eastAsia="de-DE"/>
        </w:rPr>
        <w:t xml:space="preserve"> oder obstruktiver hypertropher Kardiomyopathie besondere Vorsicht angezeigt.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Metabolische und endokrine Wirkungen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 Behandlung mit </w:t>
      </w:r>
      <w:proofErr w:type="spellStart"/>
      <w:r w:rsidRPr="00DE1967">
        <w:rPr>
          <w:snapToGrid/>
          <w:szCs w:val="22"/>
          <w:lang w:val="de-DE" w:eastAsia="de-DE"/>
        </w:rPr>
        <w:t>Thiaziden</w:t>
      </w:r>
      <w:proofErr w:type="spellEnd"/>
      <w:r w:rsidRPr="00DE1967">
        <w:rPr>
          <w:snapToGrid/>
          <w:szCs w:val="22"/>
          <w:lang w:val="de-DE" w:eastAsia="de-DE"/>
        </w:rPr>
        <w:t xml:space="preserve"> kann die Glucose-Toleranz beeinträchtigen. Bei Diabetikern kann unter einer Behandlung mit Insulin oder Antidiabetika sowie mit Telmisartan eine Hypoglykämie auftreten. Eine Überwachung des Blutzuckers sollte daher bei diesen Patienten in Betracht gezogen werden; eine Dosisanpassung von Insulin oder Antidiabetika kann erforderlich sein. Ein latenter Diabetes mellitus kann sich unter der Behandlung mit </w:t>
      </w:r>
      <w:proofErr w:type="spellStart"/>
      <w:r w:rsidRPr="00DE1967">
        <w:rPr>
          <w:snapToGrid/>
          <w:szCs w:val="22"/>
          <w:lang w:val="de-DE" w:eastAsia="de-DE"/>
        </w:rPr>
        <w:t>Thiaziden</w:t>
      </w:r>
      <w:proofErr w:type="spellEnd"/>
      <w:r w:rsidRPr="00DE1967">
        <w:rPr>
          <w:snapToGrid/>
          <w:szCs w:val="22"/>
          <w:lang w:val="de-DE" w:eastAsia="de-DE"/>
        </w:rPr>
        <w:t xml:space="preserve"> manifestieren.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544F89"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Ein Anstieg der Cholesterin- und </w:t>
      </w:r>
      <w:proofErr w:type="spellStart"/>
      <w:r w:rsidRPr="00DE1967">
        <w:rPr>
          <w:snapToGrid/>
          <w:szCs w:val="22"/>
          <w:lang w:val="de-DE" w:eastAsia="de-DE"/>
        </w:rPr>
        <w:t>Triglyzeridspiegel</w:t>
      </w:r>
      <w:proofErr w:type="spellEnd"/>
      <w:r w:rsidRPr="00DE1967">
        <w:rPr>
          <w:snapToGrid/>
          <w:szCs w:val="22"/>
          <w:lang w:val="de-DE" w:eastAsia="de-DE"/>
        </w:rPr>
        <w:t xml:space="preserve"> wurde mit der diuretischen </w:t>
      </w:r>
      <w:proofErr w:type="spellStart"/>
      <w:r w:rsidRPr="00DE1967">
        <w:rPr>
          <w:snapToGrid/>
          <w:szCs w:val="22"/>
          <w:lang w:val="de-DE" w:eastAsia="de-DE"/>
        </w:rPr>
        <w:t>Thiazid</w:t>
      </w:r>
      <w:proofErr w:type="spellEnd"/>
      <w:r w:rsidRPr="00DE1967">
        <w:rPr>
          <w:snapToGrid/>
          <w:szCs w:val="22"/>
          <w:lang w:val="de-DE" w:eastAsia="de-DE"/>
        </w:rPr>
        <w:t xml:space="preserve">-Therapie in Zusammenhang gebracht; jedoch wurden nur geringe oder keine Wirkungen bei der in </w:t>
      </w:r>
      <w:proofErr w:type="spellStart"/>
      <w:r w:rsidRPr="00DE1967">
        <w:rPr>
          <w:snapToGrid/>
          <w:szCs w:val="22"/>
          <w:lang w:val="de-DE" w:eastAsia="de-DE"/>
        </w:rPr>
        <w:t>Tolucombi</w:t>
      </w:r>
      <w:proofErr w:type="spellEnd"/>
      <w:r w:rsidRPr="00DE1967">
        <w:rPr>
          <w:snapToGrid/>
          <w:szCs w:val="22"/>
          <w:lang w:val="de-DE" w:eastAsia="de-DE"/>
        </w:rPr>
        <w:t xml:space="preserve"> enthaltenen Dosis von 12,5</w:t>
      </w:r>
      <w:r w:rsidR="00023E2B" w:rsidRPr="00DE1967">
        <w:rPr>
          <w:snapToGrid/>
          <w:szCs w:val="22"/>
          <w:lang w:val="de-DE" w:eastAsia="de-DE"/>
        </w:rPr>
        <w:t> mg</w:t>
      </w:r>
      <w:r w:rsidRPr="00DE1967">
        <w:rPr>
          <w:snapToGrid/>
          <w:szCs w:val="22"/>
          <w:lang w:val="de-DE" w:eastAsia="de-DE"/>
        </w:rPr>
        <w:t xml:space="preserve"> berichtet.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Bei einigen Patienten kann es unter </w:t>
      </w:r>
      <w:proofErr w:type="spellStart"/>
      <w:r w:rsidRPr="00DE1967">
        <w:rPr>
          <w:snapToGrid/>
          <w:szCs w:val="22"/>
          <w:lang w:val="de-DE" w:eastAsia="de-DE"/>
        </w:rPr>
        <w:t>Thiazid</w:t>
      </w:r>
      <w:proofErr w:type="spellEnd"/>
      <w:r w:rsidRPr="00DE1967">
        <w:rPr>
          <w:snapToGrid/>
          <w:szCs w:val="22"/>
          <w:lang w:val="de-DE" w:eastAsia="de-DE"/>
        </w:rPr>
        <w:t>-Therapie zu einer Hyperurikämie kommen oder ein Gichtanfall ausgelöst werden.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Elektrolytstörungen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Wie bei allen Patienten, die mit Diuretika behandelt werden, sollte in regelmäßigen Abständen die Bestimmung der Serumelektrolyte erfolgen.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Thiazide, einschließlich Hydrochlorothiazid, können Flüssigkeits- oder Elektrolytstörungen verursachen (einschließlich Hypokaliämie, Hyponatriämie und </w:t>
      </w:r>
      <w:proofErr w:type="spellStart"/>
      <w:r w:rsidRPr="00DE1967">
        <w:rPr>
          <w:snapToGrid/>
          <w:szCs w:val="22"/>
          <w:lang w:val="de-DE" w:eastAsia="de-DE"/>
        </w:rPr>
        <w:t>hypochlorämischer</w:t>
      </w:r>
      <w:proofErr w:type="spellEnd"/>
      <w:r w:rsidRPr="00DE1967">
        <w:rPr>
          <w:snapToGrid/>
          <w:szCs w:val="22"/>
          <w:lang w:val="de-DE" w:eastAsia="de-DE"/>
        </w:rPr>
        <w:t xml:space="preserve"> Alkalose). Warnende Anzeichen von Flüssigkeits- oder Elektrolytstörung sind Mundtrockenheit, Durst, Asthenie, Lethargie, Schläfrigkeit, Unruhe, Muskelschmerzen oder -krämpfe, Muskelermüdung, Hypotonie, Oligurie, Tachykardie und gastrointestinale Störungen, wie Übelkeit oder Erbrechen (siehe Abschnitt 4.8).</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7C3A45" w:rsidP="0003742E">
      <w:pPr>
        <w:widowControl w:val="0"/>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t>
      </w:r>
      <w:r w:rsidR="00A34C33" w:rsidRPr="00DE1967">
        <w:rPr>
          <w:snapToGrid/>
          <w:szCs w:val="22"/>
          <w:lang w:val="de-DE" w:eastAsia="de-DE"/>
        </w:rPr>
        <w:tab/>
        <w:t>Hypokaliämie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Obwohl es bei der Einnahme von Thiaziddiuretika zu Hypokaliämie kommen kann, kann die gleichzeitige Behandlung mit Telmisartan die Diuretika bedingte Hypokaliämie verringern. Ein größeres Risiko einer Hypokaliämie besteht bei Patienten mit Leberzirrhose, bei Patienten unter forcierter Diurese, bei Patienten mit unzureichender oraler Elektrolytaufnahme und bei Patienten unter einer begleitenden Behandlung mit Kortikosteroiden oder </w:t>
      </w:r>
      <w:proofErr w:type="spellStart"/>
      <w:r w:rsidRPr="00DE1967">
        <w:rPr>
          <w:snapToGrid/>
          <w:szCs w:val="22"/>
          <w:lang w:val="de-DE" w:eastAsia="de-DE"/>
        </w:rPr>
        <w:t>adrenocorticotropem</w:t>
      </w:r>
      <w:proofErr w:type="spellEnd"/>
      <w:r w:rsidRPr="00DE1967">
        <w:rPr>
          <w:snapToGrid/>
          <w:szCs w:val="22"/>
          <w:lang w:val="de-DE" w:eastAsia="de-DE"/>
        </w:rPr>
        <w:t xml:space="preserve"> Hormon (ACTH) (siehe Abschnitt 4.5).</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834B6B" w:rsidP="0003742E">
      <w:pPr>
        <w:widowControl w:val="0"/>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t>
      </w:r>
      <w:r w:rsidR="00A34C33" w:rsidRPr="00DE1967">
        <w:rPr>
          <w:snapToGrid/>
          <w:szCs w:val="22"/>
          <w:lang w:val="de-DE" w:eastAsia="de-DE"/>
        </w:rPr>
        <w:tab/>
        <w:t>Hyperkaliämie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Umgekehrt kann es aufgrund des Antagonismus der Angiotensin-II-Rezeptoren (AT</w:t>
      </w:r>
      <w:r w:rsidRPr="00DE1967">
        <w:rPr>
          <w:snapToGrid/>
          <w:szCs w:val="22"/>
          <w:vertAlign w:val="subscript"/>
          <w:lang w:val="de-DE" w:eastAsia="de-DE"/>
        </w:rPr>
        <w:t>1</w:t>
      </w:r>
      <w:r w:rsidRPr="00DE1967">
        <w:rPr>
          <w:snapToGrid/>
          <w:szCs w:val="22"/>
          <w:lang w:val="de-DE" w:eastAsia="de-DE"/>
        </w:rPr>
        <w:t xml:space="preserve">) durch die Telmisartan-Komponente in </w:t>
      </w:r>
      <w:proofErr w:type="spellStart"/>
      <w:r w:rsidRPr="00DE1967">
        <w:rPr>
          <w:snapToGrid/>
          <w:szCs w:val="22"/>
          <w:lang w:val="de-DE" w:eastAsia="de-DE"/>
        </w:rPr>
        <w:t>Tolucombi</w:t>
      </w:r>
      <w:proofErr w:type="spellEnd"/>
      <w:r w:rsidRPr="00DE1967">
        <w:rPr>
          <w:snapToGrid/>
          <w:szCs w:val="22"/>
          <w:lang w:val="de-DE" w:eastAsia="de-DE"/>
        </w:rPr>
        <w:t xml:space="preserve"> zu einer Hyperkaliämie kommen. Eine klinisch relevante Hyperkaliämie wurde mit </w:t>
      </w:r>
      <w:proofErr w:type="spellStart"/>
      <w:r w:rsidRPr="00DE1967">
        <w:rPr>
          <w:snapToGrid/>
          <w:szCs w:val="22"/>
          <w:lang w:val="de-DE" w:eastAsia="de-DE"/>
        </w:rPr>
        <w:t>Tolucombi</w:t>
      </w:r>
      <w:proofErr w:type="spellEnd"/>
      <w:r w:rsidRPr="00DE1967">
        <w:rPr>
          <w:snapToGrid/>
          <w:szCs w:val="22"/>
          <w:lang w:val="de-DE" w:eastAsia="de-DE"/>
        </w:rPr>
        <w:t xml:space="preserve"> zwar nicht berichtet, Risikofaktoren für die Entstehung einer Hyperkaliämie umfassen jedoch unter anderem Niereninsuffizienz und/oder Herzinsuffizienz und Diabetes mellitus. Kaliumsparende Diuretika, Kaliumpräparate oder kaliumhaltige Salzersatzpräparate sollten nur mit Vorsicht mit </w:t>
      </w:r>
      <w:proofErr w:type="spellStart"/>
      <w:r w:rsidRPr="00DE1967">
        <w:rPr>
          <w:snapToGrid/>
          <w:szCs w:val="22"/>
          <w:lang w:val="de-DE" w:eastAsia="de-DE"/>
        </w:rPr>
        <w:t>Tolucombi</w:t>
      </w:r>
      <w:proofErr w:type="spellEnd"/>
      <w:r w:rsidRPr="00DE1967">
        <w:rPr>
          <w:snapToGrid/>
          <w:szCs w:val="22"/>
          <w:lang w:val="de-DE" w:eastAsia="de-DE"/>
        </w:rPr>
        <w:t xml:space="preserve"> zusammen gegeben werden (siehe Abschnitt 4.5).</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834B6B" w:rsidP="0003742E">
      <w:pPr>
        <w:widowControl w:val="0"/>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t>
      </w:r>
      <w:r w:rsidR="00A34C33" w:rsidRPr="00DE1967">
        <w:rPr>
          <w:snapToGrid/>
          <w:szCs w:val="22"/>
          <w:lang w:val="de-DE" w:eastAsia="de-DE"/>
        </w:rPr>
        <w:tab/>
        <w:t xml:space="preserve">Hyponatriämie und </w:t>
      </w:r>
      <w:proofErr w:type="spellStart"/>
      <w:r w:rsidR="00A34C33" w:rsidRPr="00DE1967">
        <w:rPr>
          <w:snapToGrid/>
          <w:szCs w:val="22"/>
          <w:lang w:val="de-DE" w:eastAsia="de-DE"/>
        </w:rPr>
        <w:t>hypochlorämische</w:t>
      </w:r>
      <w:proofErr w:type="spellEnd"/>
      <w:r w:rsidR="00A34C33" w:rsidRPr="00DE1967">
        <w:rPr>
          <w:snapToGrid/>
          <w:szCs w:val="22"/>
          <w:lang w:val="de-DE" w:eastAsia="de-DE"/>
        </w:rPr>
        <w:t xml:space="preserve"> Alkalose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Es gibt keine Hinweise dafür, dass </w:t>
      </w:r>
      <w:proofErr w:type="spellStart"/>
      <w:r w:rsidRPr="00DE1967">
        <w:rPr>
          <w:snapToGrid/>
          <w:szCs w:val="22"/>
          <w:lang w:val="de-DE" w:eastAsia="de-DE"/>
        </w:rPr>
        <w:t>Tolucombi</w:t>
      </w:r>
      <w:proofErr w:type="spellEnd"/>
      <w:r w:rsidRPr="00DE1967">
        <w:rPr>
          <w:snapToGrid/>
          <w:szCs w:val="22"/>
          <w:lang w:val="de-DE" w:eastAsia="de-DE"/>
        </w:rPr>
        <w:t xml:space="preserve"> eine durch Diuretika hervorgerufene Hyponatriämie verringern oder verhindern könnte. Der </w:t>
      </w:r>
      <w:proofErr w:type="spellStart"/>
      <w:r w:rsidRPr="00DE1967">
        <w:rPr>
          <w:snapToGrid/>
          <w:szCs w:val="22"/>
          <w:lang w:val="de-DE" w:eastAsia="de-DE"/>
        </w:rPr>
        <w:t>Chloridmangel</w:t>
      </w:r>
      <w:proofErr w:type="spellEnd"/>
      <w:r w:rsidRPr="00DE1967">
        <w:rPr>
          <w:snapToGrid/>
          <w:szCs w:val="22"/>
          <w:lang w:val="de-DE" w:eastAsia="de-DE"/>
        </w:rPr>
        <w:t xml:space="preserve"> ist meist gering und bedarf normalerweise keiner Behandlung.</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834B6B" w:rsidP="0003742E">
      <w:pPr>
        <w:widowControl w:val="0"/>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t>
      </w:r>
      <w:r w:rsidR="00A34C33" w:rsidRPr="00DE1967">
        <w:rPr>
          <w:snapToGrid/>
          <w:szCs w:val="22"/>
          <w:lang w:val="de-DE" w:eastAsia="de-DE"/>
        </w:rPr>
        <w:tab/>
      </w:r>
      <w:proofErr w:type="spellStart"/>
      <w:r w:rsidR="00A34C33" w:rsidRPr="00DE1967">
        <w:rPr>
          <w:snapToGrid/>
          <w:szCs w:val="22"/>
          <w:lang w:val="de-DE" w:eastAsia="de-DE"/>
        </w:rPr>
        <w:t>Hyper</w:t>
      </w:r>
      <w:r w:rsidR="001958A3" w:rsidRPr="00DE1967">
        <w:rPr>
          <w:snapToGrid/>
          <w:szCs w:val="22"/>
          <w:lang w:val="de-DE" w:eastAsia="de-DE"/>
        </w:rPr>
        <w:t>c</w:t>
      </w:r>
      <w:r w:rsidR="00A34C33" w:rsidRPr="00DE1967">
        <w:rPr>
          <w:snapToGrid/>
          <w:szCs w:val="22"/>
          <w:lang w:val="de-DE" w:eastAsia="de-DE"/>
        </w:rPr>
        <w:t>al</w:t>
      </w:r>
      <w:r w:rsidR="001958A3" w:rsidRPr="00DE1967">
        <w:rPr>
          <w:snapToGrid/>
          <w:szCs w:val="22"/>
          <w:lang w:val="de-DE" w:eastAsia="de-DE"/>
        </w:rPr>
        <w:t>c</w:t>
      </w:r>
      <w:r w:rsidR="00A34C33" w:rsidRPr="00DE1967">
        <w:rPr>
          <w:snapToGrid/>
          <w:szCs w:val="22"/>
          <w:lang w:val="de-DE" w:eastAsia="de-DE"/>
        </w:rPr>
        <w:t>ämie</w:t>
      </w:r>
      <w:proofErr w:type="spellEnd"/>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Thiazide können die Ausscheidung von </w:t>
      </w:r>
      <w:r w:rsidR="001958A3" w:rsidRPr="00DE1967">
        <w:rPr>
          <w:snapToGrid/>
          <w:szCs w:val="22"/>
          <w:lang w:val="de-DE" w:eastAsia="de-DE"/>
        </w:rPr>
        <w:t>C</w:t>
      </w:r>
      <w:r w:rsidRPr="00DE1967">
        <w:rPr>
          <w:snapToGrid/>
          <w:szCs w:val="22"/>
          <w:lang w:val="de-DE" w:eastAsia="de-DE"/>
        </w:rPr>
        <w:t>al</w:t>
      </w:r>
      <w:r w:rsidR="001958A3" w:rsidRPr="00DE1967">
        <w:rPr>
          <w:snapToGrid/>
          <w:szCs w:val="22"/>
          <w:lang w:val="de-DE" w:eastAsia="de-DE"/>
        </w:rPr>
        <w:t>c</w:t>
      </w:r>
      <w:r w:rsidRPr="00DE1967">
        <w:rPr>
          <w:snapToGrid/>
          <w:szCs w:val="22"/>
          <w:lang w:val="de-DE" w:eastAsia="de-DE"/>
        </w:rPr>
        <w:t>ium mit dem Urin verringern und zu einer zeitweise auftretenden leichten Erhöhung des Serum</w:t>
      </w:r>
      <w:r w:rsidR="001958A3" w:rsidRPr="00DE1967">
        <w:rPr>
          <w:snapToGrid/>
          <w:szCs w:val="22"/>
          <w:lang w:val="de-DE" w:eastAsia="de-DE"/>
        </w:rPr>
        <w:t>c</w:t>
      </w:r>
      <w:r w:rsidRPr="00DE1967">
        <w:rPr>
          <w:snapToGrid/>
          <w:szCs w:val="22"/>
          <w:lang w:val="de-DE" w:eastAsia="de-DE"/>
        </w:rPr>
        <w:t>al</w:t>
      </w:r>
      <w:r w:rsidR="001958A3" w:rsidRPr="00DE1967">
        <w:rPr>
          <w:snapToGrid/>
          <w:szCs w:val="22"/>
          <w:lang w:val="de-DE" w:eastAsia="de-DE"/>
        </w:rPr>
        <w:t>c</w:t>
      </w:r>
      <w:r w:rsidRPr="00DE1967">
        <w:rPr>
          <w:snapToGrid/>
          <w:szCs w:val="22"/>
          <w:lang w:val="de-DE" w:eastAsia="de-DE"/>
        </w:rPr>
        <w:t xml:space="preserve">iums führen, auch wenn keine anderen Störungen des </w:t>
      </w:r>
      <w:r w:rsidR="001958A3" w:rsidRPr="00DE1967">
        <w:rPr>
          <w:snapToGrid/>
          <w:szCs w:val="22"/>
          <w:lang w:val="de-DE" w:eastAsia="de-DE"/>
        </w:rPr>
        <w:t>C</w:t>
      </w:r>
      <w:r w:rsidRPr="00DE1967">
        <w:rPr>
          <w:snapToGrid/>
          <w:szCs w:val="22"/>
          <w:lang w:val="de-DE" w:eastAsia="de-DE"/>
        </w:rPr>
        <w:t>al</w:t>
      </w:r>
      <w:r w:rsidR="001958A3" w:rsidRPr="00DE1967">
        <w:rPr>
          <w:snapToGrid/>
          <w:szCs w:val="22"/>
          <w:lang w:val="de-DE" w:eastAsia="de-DE"/>
        </w:rPr>
        <w:t>c</w:t>
      </w:r>
      <w:r w:rsidRPr="00DE1967">
        <w:rPr>
          <w:snapToGrid/>
          <w:szCs w:val="22"/>
          <w:lang w:val="de-DE" w:eastAsia="de-DE"/>
        </w:rPr>
        <w:t xml:space="preserve">iumstoffwechsels bekannt sind. Eine deutliche </w:t>
      </w:r>
      <w:proofErr w:type="spellStart"/>
      <w:r w:rsidRPr="00DE1967">
        <w:rPr>
          <w:snapToGrid/>
          <w:szCs w:val="22"/>
          <w:lang w:val="de-DE" w:eastAsia="de-DE"/>
        </w:rPr>
        <w:t>Hyper</w:t>
      </w:r>
      <w:r w:rsidR="001958A3" w:rsidRPr="00DE1967">
        <w:rPr>
          <w:snapToGrid/>
          <w:szCs w:val="22"/>
          <w:lang w:val="de-DE" w:eastAsia="de-DE"/>
        </w:rPr>
        <w:t>c</w:t>
      </w:r>
      <w:r w:rsidRPr="00DE1967">
        <w:rPr>
          <w:snapToGrid/>
          <w:szCs w:val="22"/>
          <w:lang w:val="de-DE" w:eastAsia="de-DE"/>
        </w:rPr>
        <w:t>al</w:t>
      </w:r>
      <w:r w:rsidR="001958A3" w:rsidRPr="00DE1967">
        <w:rPr>
          <w:snapToGrid/>
          <w:szCs w:val="22"/>
          <w:lang w:val="de-DE" w:eastAsia="de-DE"/>
        </w:rPr>
        <w:t>c</w:t>
      </w:r>
      <w:r w:rsidRPr="00DE1967">
        <w:rPr>
          <w:snapToGrid/>
          <w:szCs w:val="22"/>
          <w:lang w:val="de-DE" w:eastAsia="de-DE"/>
        </w:rPr>
        <w:t>ämie</w:t>
      </w:r>
      <w:proofErr w:type="spellEnd"/>
      <w:r w:rsidRPr="00DE1967">
        <w:rPr>
          <w:snapToGrid/>
          <w:szCs w:val="22"/>
          <w:lang w:val="de-DE" w:eastAsia="de-DE"/>
        </w:rPr>
        <w:t xml:space="preserve"> kann ein Hinweis auf einen versteckten </w:t>
      </w:r>
      <w:proofErr w:type="spellStart"/>
      <w:r w:rsidRPr="00DE1967">
        <w:rPr>
          <w:snapToGrid/>
          <w:szCs w:val="22"/>
          <w:lang w:val="de-DE" w:eastAsia="de-DE"/>
        </w:rPr>
        <w:t>Hyperparathyroidismus</w:t>
      </w:r>
      <w:proofErr w:type="spellEnd"/>
      <w:r w:rsidRPr="00DE1967">
        <w:rPr>
          <w:snapToGrid/>
          <w:szCs w:val="22"/>
          <w:lang w:val="de-DE" w:eastAsia="de-DE"/>
        </w:rPr>
        <w:t xml:space="preserve"> sein. Thiazide sollten vor der Durchführung einer Funktionsprüfung der Nebenschilddrüse abgesetzt werden.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834B6B" w:rsidP="0003742E">
      <w:pPr>
        <w:widowControl w:val="0"/>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t>
      </w:r>
      <w:r w:rsidR="00A34C33" w:rsidRPr="00DE1967">
        <w:rPr>
          <w:snapToGrid/>
          <w:szCs w:val="22"/>
          <w:lang w:val="de-DE" w:eastAsia="de-DE"/>
        </w:rPr>
        <w:tab/>
      </w:r>
      <w:proofErr w:type="spellStart"/>
      <w:r w:rsidR="00A34C33" w:rsidRPr="00DE1967">
        <w:rPr>
          <w:snapToGrid/>
          <w:szCs w:val="22"/>
          <w:lang w:val="de-DE" w:eastAsia="de-DE"/>
        </w:rPr>
        <w:t>Hypomagnesiämie</w:t>
      </w:r>
      <w:proofErr w:type="spellEnd"/>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Thiazide erhöhen nachweislich die Magnesiumausscheidung im Urin, was zu einer </w:t>
      </w:r>
      <w:proofErr w:type="spellStart"/>
      <w:r w:rsidRPr="00DE1967">
        <w:rPr>
          <w:snapToGrid/>
          <w:szCs w:val="22"/>
          <w:lang w:val="de-DE" w:eastAsia="de-DE"/>
        </w:rPr>
        <w:t>Hypomagnesiämie</w:t>
      </w:r>
      <w:proofErr w:type="spellEnd"/>
      <w:r w:rsidRPr="00DE1967">
        <w:rPr>
          <w:snapToGrid/>
          <w:szCs w:val="22"/>
          <w:lang w:val="de-DE" w:eastAsia="de-DE"/>
        </w:rPr>
        <w:t xml:space="preserve"> führen kann (siehe Abschnitt 4.5).</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Lactose</w:t>
      </w:r>
      <w:r w:rsidR="00461465" w:rsidRPr="00DE1967">
        <w:rPr>
          <w:snapToGrid/>
          <w:szCs w:val="22"/>
          <w:u w:val="single"/>
          <w:lang w:val="de-DE" w:eastAsia="de-DE"/>
        </w:rPr>
        <w:t>, Sorbitol und Natrium</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Dieses Arzneimittel enthält Lactose. Patienten mit der seltenen hereditären </w:t>
      </w:r>
      <w:proofErr w:type="spellStart"/>
      <w:r w:rsidRPr="00DE1967">
        <w:rPr>
          <w:snapToGrid/>
          <w:szCs w:val="22"/>
          <w:lang w:val="de-DE" w:eastAsia="de-DE"/>
        </w:rPr>
        <w:t>hereditären</w:t>
      </w:r>
      <w:proofErr w:type="spellEnd"/>
      <w:r w:rsidRPr="00DE1967">
        <w:rPr>
          <w:snapToGrid/>
          <w:szCs w:val="22"/>
          <w:lang w:val="de-DE" w:eastAsia="de-DE"/>
        </w:rPr>
        <w:t xml:space="preserve"> Galactose-Intoleranz, </w:t>
      </w:r>
      <w:r w:rsidR="00461465" w:rsidRPr="00DE1967">
        <w:rPr>
          <w:snapToGrid/>
          <w:szCs w:val="22"/>
          <w:lang w:val="de-DE" w:eastAsia="de-DE"/>
        </w:rPr>
        <w:t xml:space="preserve">völligem </w:t>
      </w:r>
      <w:r w:rsidRPr="00DE1967">
        <w:rPr>
          <w:snapToGrid/>
          <w:szCs w:val="22"/>
          <w:lang w:val="de-DE" w:eastAsia="de-DE"/>
        </w:rPr>
        <w:t>Lactase-Mangel oder Glucose-Galactose-Malabsorption sollten dieses Arzneimittel nicht einnehmen.</w:t>
      </w:r>
    </w:p>
    <w:p w:rsidR="00461465" w:rsidRPr="00DE1967" w:rsidRDefault="00461465" w:rsidP="0003742E">
      <w:pPr>
        <w:widowControl w:val="0"/>
        <w:tabs>
          <w:tab w:val="clear" w:pos="567"/>
        </w:tabs>
        <w:autoSpaceDE w:val="0"/>
        <w:autoSpaceDN w:val="0"/>
        <w:adjustRightInd w:val="0"/>
        <w:spacing w:line="240" w:lineRule="auto"/>
        <w:rPr>
          <w:snapToGrid/>
          <w:szCs w:val="22"/>
          <w:lang w:val="de-DE" w:eastAsia="de-DE"/>
        </w:rPr>
      </w:pPr>
    </w:p>
    <w:p w:rsidR="00461465" w:rsidRPr="00DE1967" w:rsidRDefault="00461465" w:rsidP="00461465">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Dieses Arzneimittel enthält </w:t>
      </w:r>
      <w:r w:rsidR="0064536E" w:rsidRPr="00DE1967">
        <w:rPr>
          <w:snapToGrid/>
          <w:szCs w:val="22"/>
          <w:lang w:val="de-DE" w:eastAsia="de-DE"/>
        </w:rPr>
        <w:t>294,08  mg Sorbitol pro Tablette entsprechend 5 mg/kg/Tag, bei einem Körpergewicht von 58,8 kg</w:t>
      </w:r>
      <w:r w:rsidRPr="00DE1967">
        <w:rPr>
          <w:snapToGrid/>
          <w:szCs w:val="22"/>
          <w:lang w:val="de-DE" w:eastAsia="de-DE"/>
        </w:rPr>
        <w:t xml:space="preserve">. Die additive Wirkung gleichzeitig angewendeter Sorbitol (oder Fructose) -haltiger Arzneimittel und die Einnahme von Sorbitol (oder Fructose) über die Nahrung ist zu berücksichtigen. Der </w:t>
      </w:r>
      <w:proofErr w:type="spellStart"/>
      <w:r w:rsidRPr="00DE1967">
        <w:rPr>
          <w:snapToGrid/>
          <w:szCs w:val="22"/>
          <w:lang w:val="de-DE" w:eastAsia="de-DE"/>
        </w:rPr>
        <w:t>Sorbitolgehalt</w:t>
      </w:r>
      <w:proofErr w:type="spellEnd"/>
      <w:r w:rsidRPr="00DE1967">
        <w:rPr>
          <w:snapToGrid/>
          <w:szCs w:val="22"/>
          <w:lang w:val="de-DE" w:eastAsia="de-DE"/>
        </w:rPr>
        <w:t xml:space="preserve"> oral angewendeter Arzneimittel kann die Bioverfügbarkeit von anderen gleichzeitig oral angewendeten Arzneimitteln beeinflussen.</w:t>
      </w:r>
      <w:r w:rsidR="0064536E" w:rsidRPr="00DE1967">
        <w:rPr>
          <w:snapToGrid/>
          <w:szCs w:val="22"/>
          <w:lang w:val="de-DE" w:eastAsia="de-DE"/>
        </w:rPr>
        <w:t xml:space="preserve"> Patienten mit einem Körpergewicht von 58,8 kg oder weniger und mit hereditärer </w:t>
      </w:r>
      <w:proofErr w:type="spellStart"/>
      <w:r w:rsidR="0064536E" w:rsidRPr="00DE1967">
        <w:rPr>
          <w:snapToGrid/>
          <w:szCs w:val="22"/>
          <w:lang w:val="de-DE" w:eastAsia="de-DE"/>
        </w:rPr>
        <w:t>Fructoseintoleranz</w:t>
      </w:r>
      <w:proofErr w:type="spellEnd"/>
      <w:r w:rsidR="0064536E" w:rsidRPr="00DE1967">
        <w:rPr>
          <w:snapToGrid/>
          <w:szCs w:val="22"/>
          <w:lang w:val="de-DE" w:eastAsia="de-DE"/>
        </w:rPr>
        <w:t xml:space="preserve"> (HFI) dürfen dieses Arzneimittel nicht einnehmen.</w:t>
      </w:r>
    </w:p>
    <w:p w:rsidR="00461465" w:rsidRPr="00DE1967" w:rsidRDefault="00461465" w:rsidP="00461465">
      <w:pPr>
        <w:widowControl w:val="0"/>
        <w:tabs>
          <w:tab w:val="clear" w:pos="567"/>
        </w:tabs>
        <w:autoSpaceDE w:val="0"/>
        <w:autoSpaceDN w:val="0"/>
        <w:adjustRightInd w:val="0"/>
        <w:spacing w:line="240" w:lineRule="auto"/>
        <w:rPr>
          <w:snapToGrid/>
          <w:szCs w:val="22"/>
          <w:lang w:val="de-DE" w:eastAsia="de-DE"/>
        </w:rPr>
      </w:pPr>
    </w:p>
    <w:p w:rsidR="00461465" w:rsidRPr="00DE1967" w:rsidRDefault="00461465"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Dieses Arzneimittel enthält weniger als 1 mmol Natrium (23 mg) pro Tablette, d.</w:t>
      </w:r>
      <w:r w:rsidR="0064536E" w:rsidRPr="00DE1967">
        <w:rPr>
          <w:snapToGrid/>
          <w:szCs w:val="22"/>
          <w:lang w:val="de-DE" w:eastAsia="de-DE"/>
        </w:rPr>
        <w:t> </w:t>
      </w:r>
      <w:r w:rsidRPr="00DE1967">
        <w:rPr>
          <w:snapToGrid/>
          <w:szCs w:val="22"/>
          <w:lang w:val="de-DE" w:eastAsia="de-DE"/>
        </w:rPr>
        <w:t>h. es ist nahezu „natriumfrei“.</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Ethnische Unterschiede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Wie alle übrigen Angiotensin-II-Rezeptor-Antagonisten bewirkt Telmisartan anscheinend eine geringere Blutdrucksenkung bei farbigen Patienten als bei nichtfarbigen, möglicherweise aufgrund der höheren Prävalenz eines niedrigen Renin-Status in der farbigen hypertensiven Bevölkerung.</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Andere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Wie bei jedem Antihypertensivum kann ein übermäßiger Blutdruckabfall bei Patienten mit ischämischer Herzkrankheit oder ischämischer kardiovaskulärer Erkrankung zu einem Myokardinfarkt oder Schlaganfall führen.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Allgemeines</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Überempfindlichkeitsreaktionen gegenüber Hydrochlorothiazid können bei Patienten mit oder ohne anamnestisch bekannter Allergie oder Bronchialasthma auftreten, sind jedoch wahrscheinlicher bei Patienten mit einer solchen Anamnese.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Exazerbationen oder Aktivierung eines systemischen Lupus erythematodes wurden bei Gabe von Thiaziddiuretika, einschließlich Hydrochlorothiazid, berichtet.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Fälle von </w:t>
      </w:r>
      <w:proofErr w:type="spellStart"/>
      <w:r w:rsidRPr="00DE1967">
        <w:rPr>
          <w:snapToGrid/>
          <w:szCs w:val="22"/>
          <w:lang w:val="de-DE" w:eastAsia="de-DE"/>
        </w:rPr>
        <w:t>Photosensibilität</w:t>
      </w:r>
      <w:proofErr w:type="spellEnd"/>
      <w:r w:rsidRPr="00DE1967">
        <w:rPr>
          <w:snapToGrid/>
          <w:szCs w:val="22"/>
          <w:lang w:val="de-DE" w:eastAsia="de-DE"/>
        </w:rPr>
        <w:t xml:space="preserve"> wurden mit Thiaziddiuretika berichtet (siehe Abschnitt 4.8). Falls eine </w:t>
      </w:r>
      <w:proofErr w:type="spellStart"/>
      <w:r w:rsidRPr="00DE1967">
        <w:rPr>
          <w:snapToGrid/>
          <w:szCs w:val="22"/>
          <w:lang w:val="de-DE" w:eastAsia="de-DE"/>
        </w:rPr>
        <w:t>Photosensibilität</w:t>
      </w:r>
      <w:proofErr w:type="spellEnd"/>
      <w:r w:rsidRPr="00DE1967">
        <w:rPr>
          <w:snapToGrid/>
          <w:szCs w:val="22"/>
          <w:lang w:val="de-DE" w:eastAsia="de-DE"/>
        </w:rPr>
        <w:t xml:space="preserve"> während der Einnahme auftritt, ist ein Abbruch der Therapie zu empfehlen. Wird eine erneute Einnahme des Diuretikums als absolut notwendig erachtet, wird empfohlen, exponierte Bereiche vor der Sonne oder künstlichen UV-A-Strahlen zu schützen.</w:t>
      </w:r>
    </w:p>
    <w:p w:rsidR="00A34C33" w:rsidRPr="00DE1967" w:rsidRDefault="00A34C33" w:rsidP="0003742E">
      <w:pPr>
        <w:widowControl w:val="0"/>
        <w:spacing w:line="240" w:lineRule="auto"/>
        <w:outlineLvl w:val="0"/>
        <w:rPr>
          <w:szCs w:val="22"/>
          <w:lang w:val="de-DE"/>
        </w:rPr>
      </w:pPr>
    </w:p>
    <w:p w:rsidR="00A34C33" w:rsidRPr="00DE1967" w:rsidRDefault="005642B6" w:rsidP="0003742E">
      <w:pPr>
        <w:widowControl w:val="0"/>
        <w:tabs>
          <w:tab w:val="clear" w:pos="567"/>
        </w:tabs>
        <w:autoSpaceDE w:val="0"/>
        <w:autoSpaceDN w:val="0"/>
        <w:adjustRightInd w:val="0"/>
        <w:spacing w:line="240" w:lineRule="auto"/>
        <w:rPr>
          <w:snapToGrid/>
          <w:szCs w:val="22"/>
          <w:u w:val="single"/>
          <w:lang w:val="de-DE" w:eastAsia="de-DE"/>
        </w:rPr>
      </w:pPr>
      <w:r w:rsidRPr="00F054C4">
        <w:rPr>
          <w:u w:val="single"/>
          <w:lang w:val="de-DE" w:eastAsia="de-DE"/>
        </w:rPr>
        <w:t>Aderhauterguss (</w:t>
      </w:r>
      <w:proofErr w:type="spellStart"/>
      <w:r w:rsidRPr="00F054C4">
        <w:rPr>
          <w:u w:val="single"/>
          <w:lang w:val="de-DE" w:eastAsia="de-DE"/>
        </w:rPr>
        <w:t>choroidaler</w:t>
      </w:r>
      <w:proofErr w:type="spellEnd"/>
      <w:r w:rsidRPr="00F054C4">
        <w:rPr>
          <w:u w:val="single"/>
          <w:lang w:val="de-DE" w:eastAsia="de-DE"/>
        </w:rPr>
        <w:t xml:space="preserve"> Erguss), </w:t>
      </w:r>
      <w:r>
        <w:rPr>
          <w:snapToGrid/>
          <w:szCs w:val="22"/>
          <w:u w:val="single"/>
          <w:lang w:val="de-DE" w:eastAsia="de-DE"/>
        </w:rPr>
        <w:t>a</w:t>
      </w:r>
      <w:r w:rsidR="00A34C33" w:rsidRPr="00DE1967">
        <w:rPr>
          <w:snapToGrid/>
          <w:szCs w:val="22"/>
          <w:u w:val="single"/>
          <w:lang w:val="de-DE" w:eastAsia="de-DE"/>
        </w:rPr>
        <w:t xml:space="preserve">kute </w:t>
      </w:r>
      <w:r w:rsidRPr="00F054C4">
        <w:rPr>
          <w:u w:val="single"/>
          <w:lang w:val="de-DE" w:eastAsia="de-DE"/>
        </w:rPr>
        <w:t>Myopie und sekundäres Winkelverschlussglaukom</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Sulfonamid</w:t>
      </w:r>
      <w:r w:rsidR="005642B6">
        <w:rPr>
          <w:snapToGrid/>
          <w:szCs w:val="22"/>
          <w:lang w:val="de-DE" w:eastAsia="de-DE"/>
        </w:rPr>
        <w:t>e</w:t>
      </w:r>
      <w:r w:rsidRPr="00DE1967">
        <w:rPr>
          <w:snapToGrid/>
          <w:szCs w:val="22"/>
          <w:lang w:val="de-DE" w:eastAsia="de-DE"/>
        </w:rPr>
        <w:t xml:space="preserve"> </w:t>
      </w:r>
      <w:r w:rsidR="005642B6" w:rsidRPr="00F054C4">
        <w:rPr>
          <w:lang w:val="de-DE" w:eastAsia="de-DE"/>
        </w:rPr>
        <w:t xml:space="preserve">und Sulfonamid-Derivate können </w:t>
      </w:r>
      <w:r w:rsidRPr="00DE1967">
        <w:rPr>
          <w:snapToGrid/>
          <w:szCs w:val="22"/>
          <w:lang w:val="de-DE" w:eastAsia="de-DE"/>
        </w:rPr>
        <w:t xml:space="preserve">eine idiosynkratische Reaktion auslösen, die </w:t>
      </w:r>
      <w:r w:rsidR="005642B6" w:rsidRPr="00F054C4">
        <w:rPr>
          <w:lang w:val="de-DE" w:eastAsia="de-DE"/>
        </w:rPr>
        <w:t xml:space="preserve">zu einem Aderhauterguss mit Gesichtsfelddefekt, </w:t>
      </w:r>
      <w:r w:rsidRPr="00DE1967">
        <w:rPr>
          <w:snapToGrid/>
          <w:szCs w:val="22"/>
          <w:lang w:val="de-DE" w:eastAsia="de-DE"/>
        </w:rPr>
        <w:t xml:space="preserve">transienter </w:t>
      </w:r>
      <w:r w:rsidR="005642B6" w:rsidRPr="00F054C4">
        <w:rPr>
          <w:lang w:val="de-DE" w:eastAsia="de-DE"/>
        </w:rPr>
        <w:t>Myopie und zu einem akutem Winkelverschlussglaukom führen kann</w:t>
      </w:r>
      <w:r w:rsidRPr="00DE1967">
        <w:rPr>
          <w:snapToGrid/>
          <w:szCs w:val="22"/>
          <w:lang w:val="de-DE" w:eastAsia="de-DE"/>
        </w:rPr>
        <w:t xml:space="preserve">. Symptome wie eine akut einsetzende verminderte Sehschärfe oder Augenschmerzen können typischerweise innerhalb von Stunden bis Wochen nach Behandlungsbeginn auftreten. Ein unbehandeltes akutes </w:t>
      </w:r>
      <w:r w:rsidR="00721636" w:rsidRPr="00B72503">
        <w:rPr>
          <w:lang w:val="de-DE" w:eastAsia="de-DE"/>
        </w:rPr>
        <w:t>Winkelverschlussglaukom</w:t>
      </w:r>
      <w:r w:rsidRPr="00DE1967">
        <w:rPr>
          <w:snapToGrid/>
          <w:szCs w:val="22"/>
          <w:lang w:val="de-DE" w:eastAsia="de-DE"/>
        </w:rPr>
        <w:t xml:space="preserve"> kann zu dauerhaftem Sehverlust führen. Als Erstmaßnahme sollte Hydrochlorothiazid so schnell wie möglich abgesetzt werden. Umgehende medizinische oder operative Behandlungen müssen bei länger anhaltendem unkontrolliertem Augeninnendruck in Betracht gezogen werden. Risikofaktoren, die die Entstehung eines akuten Engwinkelglaukoms begünstigen könnten, schließen eine Allergie gegenüber Sulfonamiden oder Penicillin in der Krankengeschichte ein.</w:t>
      </w:r>
    </w:p>
    <w:p w:rsidR="00461465" w:rsidRPr="00DE1967" w:rsidRDefault="00461465" w:rsidP="0003742E">
      <w:pPr>
        <w:widowControl w:val="0"/>
        <w:tabs>
          <w:tab w:val="clear" w:pos="567"/>
        </w:tabs>
        <w:autoSpaceDE w:val="0"/>
        <w:autoSpaceDN w:val="0"/>
        <w:adjustRightInd w:val="0"/>
        <w:spacing w:line="240" w:lineRule="auto"/>
        <w:rPr>
          <w:snapToGrid/>
          <w:szCs w:val="22"/>
          <w:lang w:val="de-DE" w:eastAsia="de-DE"/>
        </w:rPr>
      </w:pPr>
    </w:p>
    <w:p w:rsidR="00461465" w:rsidRPr="00DE1967" w:rsidRDefault="00461465" w:rsidP="00461465">
      <w:pPr>
        <w:widowControl w:val="0"/>
        <w:tabs>
          <w:tab w:val="clear" w:pos="567"/>
        </w:tabs>
        <w:autoSpaceDE w:val="0"/>
        <w:autoSpaceDN w:val="0"/>
        <w:adjustRightInd w:val="0"/>
        <w:spacing w:line="240" w:lineRule="auto"/>
        <w:rPr>
          <w:szCs w:val="22"/>
          <w:u w:val="single"/>
          <w:lang w:val="de-DE"/>
        </w:rPr>
      </w:pPr>
      <w:r w:rsidRPr="00DE1967">
        <w:rPr>
          <w:szCs w:val="22"/>
          <w:u w:val="single"/>
          <w:lang w:val="de-DE"/>
        </w:rPr>
        <w:t>Nicht-melanozytärer Hautkrebs</w:t>
      </w:r>
    </w:p>
    <w:p w:rsidR="00461465" w:rsidRPr="00DE1967" w:rsidRDefault="00461465" w:rsidP="00461465">
      <w:pPr>
        <w:widowControl w:val="0"/>
        <w:tabs>
          <w:tab w:val="clear" w:pos="567"/>
        </w:tabs>
        <w:autoSpaceDE w:val="0"/>
        <w:autoSpaceDN w:val="0"/>
        <w:adjustRightInd w:val="0"/>
        <w:spacing w:line="240" w:lineRule="auto"/>
        <w:rPr>
          <w:szCs w:val="22"/>
          <w:lang w:val="de-DE"/>
        </w:rPr>
      </w:pPr>
      <w:r w:rsidRPr="00DE1967">
        <w:rPr>
          <w:szCs w:val="22"/>
          <w:lang w:val="de-DE"/>
        </w:rPr>
        <w:t xml:space="preserve">In zwei epidemiologischen Studien auf der Grundlage des dänischen nationalen Krebsregisters wurde ein erhöhtes Risiko von nicht-melanozytärem Hautkrebs (NMSC) [Basalzellkarzinom (BCC) und Plattenepithelkarzinom (SCC)] mit steigender kumulativer Dosis von Hydrochlorothiazid (HCTZ) beobachtet. </w:t>
      </w:r>
      <w:proofErr w:type="spellStart"/>
      <w:r w:rsidRPr="00DE1967">
        <w:rPr>
          <w:szCs w:val="22"/>
          <w:lang w:val="de-DE"/>
        </w:rPr>
        <w:t>Photosensibilisierende</w:t>
      </w:r>
      <w:proofErr w:type="spellEnd"/>
      <w:r w:rsidRPr="00DE1967">
        <w:rPr>
          <w:szCs w:val="22"/>
          <w:lang w:val="de-DE"/>
        </w:rPr>
        <w:t xml:space="preserve"> Wirkungen von HCTZ könnten zur Entstehung von NMSC beitragen.</w:t>
      </w:r>
    </w:p>
    <w:p w:rsidR="00461465" w:rsidRPr="00DE1967" w:rsidRDefault="00461465" w:rsidP="00461465">
      <w:pPr>
        <w:widowControl w:val="0"/>
        <w:tabs>
          <w:tab w:val="clear" w:pos="567"/>
        </w:tabs>
        <w:autoSpaceDE w:val="0"/>
        <w:autoSpaceDN w:val="0"/>
        <w:adjustRightInd w:val="0"/>
        <w:spacing w:line="240" w:lineRule="auto"/>
        <w:rPr>
          <w:szCs w:val="22"/>
          <w:lang w:val="de-DE"/>
        </w:rPr>
      </w:pPr>
    </w:p>
    <w:p w:rsidR="00461465" w:rsidRPr="00DE1967" w:rsidRDefault="00461465" w:rsidP="00461465">
      <w:pPr>
        <w:widowControl w:val="0"/>
        <w:tabs>
          <w:tab w:val="clear" w:pos="567"/>
        </w:tabs>
        <w:autoSpaceDE w:val="0"/>
        <w:autoSpaceDN w:val="0"/>
        <w:adjustRightInd w:val="0"/>
        <w:spacing w:line="240" w:lineRule="auto"/>
        <w:rPr>
          <w:szCs w:val="22"/>
          <w:lang w:val="de-DE"/>
        </w:rPr>
      </w:pPr>
      <w:r w:rsidRPr="00DE1967">
        <w:rPr>
          <w:szCs w:val="22"/>
          <w:lang w:val="de-DE"/>
        </w:rPr>
        <w:t>Patienten, die HCTZ einnehmen, sollten über das NMSC-Risiko informiert werden, und es sollte ihnen geraten werden, ihre Haut regelmäßig auf neue Läsionen zu prüfen und unverzüglich alle verdächtigen Hautveränderungen zu melden. Den Patienten sollten mögliche vorbeugende Maßnahmen empfohlen werden, um das Risiko von Hautkrebs zu minimieren; z. B. Einschränkung der Exposition gegenüber Sonnenlicht und UV- Strahlung oder im Fall einer Exposition Verwendung eines angemessenen Sonnenschutzes. Verdächtige Hautveränderungen sollten unverzüglich untersucht werden, ggf. einschließlich histologischer Untersuchungen von Biopsien. Bei Patienten, bei denen bereits ein NMSC aufgetreten ist, sollte die Verwendung von HCTZ überprüft werden (siehe auch Abschnitt 4.8).</w:t>
      </w:r>
    </w:p>
    <w:p w:rsidR="00A34C33" w:rsidRPr="00DE1967" w:rsidRDefault="00A34C33" w:rsidP="0003742E">
      <w:pPr>
        <w:pStyle w:val="Default"/>
        <w:widowControl w:val="0"/>
        <w:rPr>
          <w:color w:val="auto"/>
          <w:sz w:val="22"/>
          <w:szCs w:val="22"/>
        </w:rPr>
      </w:pPr>
    </w:p>
    <w:p w:rsidR="00A34C33" w:rsidRPr="00DE1967" w:rsidRDefault="00A34C33" w:rsidP="0003742E">
      <w:pPr>
        <w:widowControl w:val="0"/>
        <w:spacing w:line="240" w:lineRule="auto"/>
        <w:ind w:left="567" w:hanging="567"/>
        <w:outlineLvl w:val="0"/>
        <w:rPr>
          <w:szCs w:val="22"/>
          <w:lang w:val="de-DE"/>
        </w:rPr>
      </w:pPr>
      <w:r w:rsidRPr="00DE1967">
        <w:rPr>
          <w:b/>
          <w:szCs w:val="22"/>
          <w:lang w:val="de-DE"/>
        </w:rPr>
        <w:t>4.5</w:t>
      </w:r>
      <w:r w:rsidRPr="00DE1967">
        <w:rPr>
          <w:b/>
          <w:szCs w:val="22"/>
          <w:lang w:val="de-DE"/>
        </w:rPr>
        <w:tab/>
      </w:r>
      <w:r w:rsidRPr="00DE1967">
        <w:rPr>
          <w:b/>
          <w:noProof/>
          <w:szCs w:val="22"/>
          <w:lang w:val="de-DE"/>
        </w:rPr>
        <w:t>Wechselwirkungen mit anderen Arzneimitteln und sonstige Wechselwirkungen</w:t>
      </w:r>
    </w:p>
    <w:p w:rsidR="00A34C33" w:rsidRPr="00DE1967" w:rsidRDefault="00A34C33" w:rsidP="0003742E">
      <w:pPr>
        <w:widowControl w:val="0"/>
        <w:spacing w:line="240" w:lineRule="auto"/>
        <w:rPr>
          <w:szCs w:val="22"/>
          <w:lang w:val="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Lithium</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Ein reversibler Anstieg der Serumlithium-Konzentration und deren Toxizität wurde bei gleichzeitiger Anwendung von Lithium und Angiotensin-</w:t>
      </w:r>
      <w:proofErr w:type="spellStart"/>
      <w:r w:rsidRPr="00DE1967">
        <w:rPr>
          <w:snapToGrid/>
          <w:szCs w:val="22"/>
          <w:lang w:val="de-DE" w:eastAsia="de-DE"/>
        </w:rPr>
        <w:t>Converting</w:t>
      </w:r>
      <w:proofErr w:type="spellEnd"/>
      <w:r w:rsidRPr="00DE1967">
        <w:rPr>
          <w:snapToGrid/>
          <w:szCs w:val="22"/>
          <w:lang w:val="de-DE" w:eastAsia="de-DE"/>
        </w:rPr>
        <w:t xml:space="preserve">-Enzym-Hemmern berichtet. In seltenen Fällen wurde dies auch mit Angiotensin-II-Rezeptor-Antagonisten (einschließlich </w:t>
      </w:r>
      <w:proofErr w:type="spellStart"/>
      <w:r w:rsidRPr="00DE1967">
        <w:rPr>
          <w:snapToGrid/>
          <w:szCs w:val="22"/>
          <w:lang w:val="de-DE" w:eastAsia="de-DE"/>
        </w:rPr>
        <w:t>Tolucombi</w:t>
      </w:r>
      <w:proofErr w:type="spellEnd"/>
      <w:r w:rsidRPr="00DE1967">
        <w:rPr>
          <w:snapToGrid/>
          <w:szCs w:val="22"/>
          <w:lang w:val="de-DE" w:eastAsia="de-DE"/>
        </w:rPr>
        <w:t xml:space="preserve">) beobachtet. Eine gleichzeitige Anwendung von Lithium und </w:t>
      </w:r>
      <w:proofErr w:type="spellStart"/>
      <w:r w:rsidRPr="00DE1967">
        <w:rPr>
          <w:snapToGrid/>
          <w:szCs w:val="22"/>
          <w:lang w:val="de-DE" w:eastAsia="de-DE"/>
        </w:rPr>
        <w:t>Tolucombi</w:t>
      </w:r>
      <w:proofErr w:type="spellEnd"/>
      <w:r w:rsidRPr="00DE1967">
        <w:rPr>
          <w:snapToGrid/>
          <w:szCs w:val="22"/>
          <w:lang w:val="de-DE" w:eastAsia="de-DE"/>
        </w:rPr>
        <w:t xml:space="preserve"> wird nicht empfohlen (siehe Abschnitt 4.4). Wenn diese Kombination sich als notwendig erweist, wird die sorgfältige Kontrolle des Serumlithiumspiegels während der gleichzeitigen Gabe empfohlen.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u w:val="single"/>
          <w:lang w:val="de-DE" w:eastAsia="de-DE"/>
        </w:rPr>
        <w:t>Arzneimittel, die mit Kaliumverlust und Hypokaliämie in Zusammenhang stehen</w:t>
      </w:r>
      <w:r w:rsidRPr="00DE1967">
        <w:rPr>
          <w:snapToGrid/>
          <w:szCs w:val="22"/>
          <w:lang w:val="de-DE" w:eastAsia="de-DE"/>
        </w:rPr>
        <w:t xml:space="preserve"> (</w:t>
      </w:r>
      <w:r w:rsidR="00433771" w:rsidRPr="00DE1967">
        <w:rPr>
          <w:snapToGrid/>
          <w:szCs w:val="22"/>
          <w:lang w:val="de-DE" w:eastAsia="de-DE"/>
        </w:rPr>
        <w:t>z. B.</w:t>
      </w:r>
      <w:r w:rsidRPr="00DE1967">
        <w:rPr>
          <w:snapToGrid/>
          <w:szCs w:val="22"/>
          <w:lang w:val="de-DE" w:eastAsia="de-DE"/>
        </w:rPr>
        <w:t xml:space="preserve"> kaliuretische Diuretika, Laxantien, Kortikosteroide, ACTH, Amphotericin, </w:t>
      </w:r>
      <w:proofErr w:type="spellStart"/>
      <w:r w:rsidRPr="00DE1967">
        <w:rPr>
          <w:snapToGrid/>
          <w:szCs w:val="22"/>
          <w:lang w:val="de-DE" w:eastAsia="de-DE"/>
        </w:rPr>
        <w:t>Carbenoxolon</w:t>
      </w:r>
      <w:proofErr w:type="spellEnd"/>
      <w:r w:rsidRPr="00DE1967">
        <w:rPr>
          <w:snapToGrid/>
          <w:szCs w:val="22"/>
          <w:lang w:val="de-DE" w:eastAsia="de-DE"/>
        </w:rPr>
        <w:t xml:space="preserve">, </w:t>
      </w:r>
      <w:proofErr w:type="spellStart"/>
      <w:r w:rsidRPr="00DE1967">
        <w:rPr>
          <w:snapToGrid/>
          <w:szCs w:val="22"/>
          <w:lang w:val="de-DE" w:eastAsia="de-DE"/>
        </w:rPr>
        <w:t>Benzylpenicillin</w:t>
      </w:r>
      <w:proofErr w:type="spellEnd"/>
      <w:r w:rsidRPr="00DE1967">
        <w:rPr>
          <w:snapToGrid/>
          <w:szCs w:val="22"/>
          <w:lang w:val="de-DE" w:eastAsia="de-DE"/>
        </w:rPr>
        <w:t>-Natrium, Salicylsäure und Salicylate)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Wenn diese Wirkstoffe zusammen mit der Hydrochlorothiazid-Telmisartan-Kombination verschrieben werden sollen, wird die Kontrolle der Plasmakaliumspiegel empfohlen. Diese Arzneimittel können die Wirkung des Hydrochlorothiazids auf das Serumkalium verstärken (siehe Abschnitt 4.4).</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u w:val="single"/>
          <w:lang w:val="de-DE" w:eastAsia="de-DE"/>
        </w:rPr>
        <w:t>Arzneimittel, die den Kaliumspiegel erhöhen oder eine Hyperkaliämie auslösen können</w:t>
      </w:r>
      <w:r w:rsidRPr="00DE1967">
        <w:rPr>
          <w:snapToGrid/>
          <w:szCs w:val="22"/>
          <w:lang w:val="de-DE" w:eastAsia="de-DE"/>
        </w:rPr>
        <w:t xml:space="preserve"> (</w:t>
      </w:r>
      <w:r w:rsidR="00433771" w:rsidRPr="00DE1967">
        <w:rPr>
          <w:snapToGrid/>
          <w:szCs w:val="22"/>
          <w:lang w:val="de-DE" w:eastAsia="de-DE"/>
        </w:rPr>
        <w:t>z. B.</w:t>
      </w:r>
      <w:r w:rsidRPr="00DE1967">
        <w:rPr>
          <w:snapToGrid/>
          <w:szCs w:val="22"/>
          <w:lang w:val="de-DE" w:eastAsia="de-DE"/>
        </w:rPr>
        <w:t xml:space="preserve"> ACE-Hemmer, kaliumsparende Diuretika, Kaliumpräparate, kaliumhaltige Salzersatzpräparate, Cyclosporin oder andere Arzneimittel wie Natriumheparin)</w:t>
      </w:r>
    </w:p>
    <w:p w:rsidR="00306D41" w:rsidRPr="00DE1967" w:rsidRDefault="00306D41"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Wenn diese Arzneimittel zusammen mit der Hydrochlorothiazid-Telmisartan-Kombination verschrieben werden sollen, wird die Kontrolle der Plasmakaliumspiegel empfohlen. Wie die Erfahrung mit anderen Arzneimitteln, die das Renin-Angiotensin-System beeinflussen, zeigt, kann die gleichzeitige Anwendung der vorher genannten Arzneimittel zu einem Anstieg des Serumkaliums führen und wird daher nicht empfohlen (siehe Abschnitt 4.4).</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Arzneimittel, die durch eine Störung des Serumkaliums beeinflusst werden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Eine regelmäßige Überwachung des Serumkaliums und EKGs wird empfohlen, wenn </w:t>
      </w:r>
      <w:proofErr w:type="spellStart"/>
      <w:r w:rsidRPr="00DE1967">
        <w:rPr>
          <w:snapToGrid/>
          <w:szCs w:val="22"/>
          <w:lang w:val="de-DE" w:eastAsia="de-DE"/>
        </w:rPr>
        <w:t>Tolucombi</w:t>
      </w:r>
      <w:proofErr w:type="spellEnd"/>
      <w:r w:rsidRPr="00DE1967">
        <w:rPr>
          <w:snapToGrid/>
          <w:szCs w:val="22"/>
          <w:lang w:val="de-DE" w:eastAsia="de-DE"/>
        </w:rPr>
        <w:t xml:space="preserve"> zusammen mit Arzneimitteln angewandt wird, die durch Störungen des Serumkaliums beeinflusst werden (</w:t>
      </w:r>
      <w:r w:rsidR="00433771" w:rsidRPr="00DE1967">
        <w:rPr>
          <w:snapToGrid/>
          <w:szCs w:val="22"/>
          <w:lang w:val="de-DE" w:eastAsia="de-DE"/>
        </w:rPr>
        <w:t>z. B.</w:t>
      </w:r>
      <w:r w:rsidRPr="00DE1967">
        <w:rPr>
          <w:snapToGrid/>
          <w:szCs w:val="22"/>
          <w:lang w:val="de-DE" w:eastAsia="de-DE"/>
        </w:rPr>
        <w:t xml:space="preserve"> </w:t>
      </w:r>
      <w:proofErr w:type="spellStart"/>
      <w:r w:rsidRPr="00DE1967">
        <w:rPr>
          <w:snapToGrid/>
          <w:szCs w:val="22"/>
          <w:lang w:val="de-DE" w:eastAsia="de-DE"/>
        </w:rPr>
        <w:t>Digitalisglykoside</w:t>
      </w:r>
      <w:proofErr w:type="spellEnd"/>
      <w:r w:rsidRPr="00DE1967">
        <w:rPr>
          <w:snapToGrid/>
          <w:szCs w:val="22"/>
          <w:lang w:val="de-DE" w:eastAsia="de-DE"/>
        </w:rPr>
        <w:t xml:space="preserve">, Antiarrhythmika) und den nachfolgend aufgeführten Arzneimitteln, die </w:t>
      </w:r>
      <w:proofErr w:type="spellStart"/>
      <w:r w:rsidRPr="00DE1967">
        <w:rPr>
          <w:snapToGrid/>
          <w:szCs w:val="22"/>
          <w:lang w:val="de-DE" w:eastAsia="de-DE"/>
        </w:rPr>
        <w:t>Torsades</w:t>
      </w:r>
      <w:proofErr w:type="spellEnd"/>
      <w:r w:rsidRPr="00DE1967">
        <w:rPr>
          <w:snapToGrid/>
          <w:szCs w:val="22"/>
          <w:lang w:val="de-DE" w:eastAsia="de-DE"/>
        </w:rPr>
        <w:t xml:space="preserve"> de </w:t>
      </w:r>
      <w:proofErr w:type="spellStart"/>
      <w:r w:rsidRPr="00DE1967">
        <w:rPr>
          <w:snapToGrid/>
          <w:szCs w:val="22"/>
          <w:lang w:val="de-DE" w:eastAsia="de-DE"/>
        </w:rPr>
        <w:t>Pointes</w:t>
      </w:r>
      <w:proofErr w:type="spellEnd"/>
      <w:r w:rsidRPr="00DE1967">
        <w:rPr>
          <w:snapToGrid/>
          <w:szCs w:val="22"/>
          <w:lang w:val="de-DE" w:eastAsia="de-DE"/>
        </w:rPr>
        <w:t xml:space="preserve"> auslösen (einschließlich einiger Antiarrhythmika). Hypokaliämie ist dabei ein prädisponierender Faktor für </w:t>
      </w:r>
      <w:proofErr w:type="spellStart"/>
      <w:r w:rsidRPr="00DE1967">
        <w:rPr>
          <w:snapToGrid/>
          <w:szCs w:val="22"/>
          <w:lang w:val="de-DE" w:eastAsia="de-DE"/>
        </w:rPr>
        <w:t>Torsades</w:t>
      </w:r>
      <w:proofErr w:type="spellEnd"/>
      <w:r w:rsidRPr="00DE1967">
        <w:rPr>
          <w:snapToGrid/>
          <w:szCs w:val="22"/>
          <w:lang w:val="de-DE" w:eastAsia="de-DE"/>
        </w:rPr>
        <w:t xml:space="preserve"> de </w:t>
      </w:r>
      <w:proofErr w:type="spellStart"/>
      <w:r w:rsidRPr="00DE1967">
        <w:rPr>
          <w:snapToGrid/>
          <w:szCs w:val="22"/>
          <w:lang w:val="de-DE" w:eastAsia="de-DE"/>
        </w:rPr>
        <w:t>Pointes</w:t>
      </w:r>
      <w:proofErr w:type="spellEnd"/>
      <w:r w:rsidRPr="00DE1967">
        <w:rPr>
          <w:snapToGrid/>
          <w:szCs w:val="22"/>
          <w:lang w:val="de-DE" w:eastAsia="de-DE"/>
        </w:rPr>
        <w:t>.</w:t>
      </w:r>
    </w:p>
    <w:p w:rsidR="00A34C33" w:rsidRPr="00DE1967" w:rsidRDefault="00D92839" w:rsidP="0003742E">
      <w:pPr>
        <w:widowControl w:val="0"/>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t>
      </w:r>
      <w:r w:rsidR="00A34C33" w:rsidRPr="00DE1967">
        <w:rPr>
          <w:snapToGrid/>
          <w:szCs w:val="22"/>
          <w:lang w:val="de-DE" w:eastAsia="de-DE"/>
        </w:rPr>
        <w:tab/>
        <w:t xml:space="preserve">Klasse </w:t>
      </w:r>
      <w:proofErr w:type="spellStart"/>
      <w:r w:rsidR="00A34C33" w:rsidRPr="00DE1967">
        <w:rPr>
          <w:snapToGrid/>
          <w:szCs w:val="22"/>
          <w:lang w:val="de-DE" w:eastAsia="de-DE"/>
        </w:rPr>
        <w:t>Ia</w:t>
      </w:r>
      <w:proofErr w:type="spellEnd"/>
      <w:r w:rsidR="00A34C33" w:rsidRPr="00DE1967">
        <w:rPr>
          <w:snapToGrid/>
          <w:szCs w:val="22"/>
          <w:lang w:val="de-DE" w:eastAsia="de-DE"/>
        </w:rPr>
        <w:t xml:space="preserve"> Antiarrhythmika (</w:t>
      </w:r>
      <w:r w:rsidR="00433771" w:rsidRPr="00DE1967">
        <w:rPr>
          <w:snapToGrid/>
          <w:szCs w:val="22"/>
          <w:lang w:val="de-DE" w:eastAsia="de-DE"/>
        </w:rPr>
        <w:t>z. B.</w:t>
      </w:r>
      <w:r w:rsidR="00A34C33" w:rsidRPr="00DE1967">
        <w:rPr>
          <w:snapToGrid/>
          <w:szCs w:val="22"/>
          <w:lang w:val="de-DE" w:eastAsia="de-DE"/>
        </w:rPr>
        <w:t xml:space="preserve"> </w:t>
      </w:r>
      <w:proofErr w:type="spellStart"/>
      <w:r w:rsidR="00A34C33" w:rsidRPr="00DE1967">
        <w:rPr>
          <w:snapToGrid/>
          <w:szCs w:val="22"/>
          <w:lang w:val="de-DE" w:eastAsia="de-DE"/>
        </w:rPr>
        <w:t>Chinidin</w:t>
      </w:r>
      <w:proofErr w:type="spellEnd"/>
      <w:r w:rsidR="00A34C33" w:rsidRPr="00DE1967">
        <w:rPr>
          <w:snapToGrid/>
          <w:szCs w:val="22"/>
          <w:lang w:val="de-DE" w:eastAsia="de-DE"/>
        </w:rPr>
        <w:t xml:space="preserve">, </w:t>
      </w:r>
      <w:proofErr w:type="spellStart"/>
      <w:r w:rsidR="00A34C33" w:rsidRPr="00DE1967">
        <w:rPr>
          <w:snapToGrid/>
          <w:szCs w:val="22"/>
          <w:lang w:val="de-DE" w:eastAsia="de-DE"/>
        </w:rPr>
        <w:t>Hydrochinidin</w:t>
      </w:r>
      <w:proofErr w:type="spellEnd"/>
      <w:r w:rsidR="00A34C33" w:rsidRPr="00DE1967">
        <w:rPr>
          <w:snapToGrid/>
          <w:szCs w:val="22"/>
          <w:lang w:val="de-DE" w:eastAsia="de-DE"/>
        </w:rPr>
        <w:t xml:space="preserve">, </w:t>
      </w:r>
      <w:proofErr w:type="spellStart"/>
      <w:r w:rsidR="00A34C33" w:rsidRPr="00DE1967">
        <w:rPr>
          <w:snapToGrid/>
          <w:szCs w:val="22"/>
          <w:lang w:val="de-DE" w:eastAsia="de-DE"/>
        </w:rPr>
        <w:t>Disopyramid</w:t>
      </w:r>
      <w:proofErr w:type="spellEnd"/>
      <w:r w:rsidR="00A34C33" w:rsidRPr="00DE1967">
        <w:rPr>
          <w:snapToGrid/>
          <w:szCs w:val="22"/>
          <w:lang w:val="de-DE" w:eastAsia="de-DE"/>
        </w:rPr>
        <w:t>)</w:t>
      </w:r>
    </w:p>
    <w:p w:rsidR="00A34C33" w:rsidRPr="00DE1967" w:rsidRDefault="00D92839" w:rsidP="0003742E">
      <w:pPr>
        <w:widowControl w:val="0"/>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t>
      </w:r>
      <w:r w:rsidR="00A34C33" w:rsidRPr="00DE1967">
        <w:rPr>
          <w:snapToGrid/>
          <w:szCs w:val="22"/>
          <w:lang w:val="de-DE" w:eastAsia="de-DE"/>
        </w:rPr>
        <w:tab/>
        <w:t>Klasse III Antiarrhythmika (</w:t>
      </w:r>
      <w:r w:rsidR="00433771" w:rsidRPr="00DE1967">
        <w:rPr>
          <w:snapToGrid/>
          <w:szCs w:val="22"/>
          <w:lang w:val="de-DE" w:eastAsia="de-DE"/>
        </w:rPr>
        <w:t>z. B.</w:t>
      </w:r>
      <w:r w:rsidR="00A34C33" w:rsidRPr="00DE1967">
        <w:rPr>
          <w:snapToGrid/>
          <w:szCs w:val="22"/>
          <w:lang w:val="de-DE" w:eastAsia="de-DE"/>
        </w:rPr>
        <w:t xml:space="preserve"> Amiodaron, </w:t>
      </w:r>
      <w:proofErr w:type="spellStart"/>
      <w:r w:rsidR="00A34C33" w:rsidRPr="00DE1967">
        <w:rPr>
          <w:snapToGrid/>
          <w:szCs w:val="22"/>
          <w:lang w:val="de-DE" w:eastAsia="de-DE"/>
        </w:rPr>
        <w:t>Sotalol</w:t>
      </w:r>
      <w:proofErr w:type="spellEnd"/>
      <w:r w:rsidR="00A34C33" w:rsidRPr="00DE1967">
        <w:rPr>
          <w:snapToGrid/>
          <w:szCs w:val="22"/>
          <w:lang w:val="de-DE" w:eastAsia="de-DE"/>
        </w:rPr>
        <w:t xml:space="preserve">, </w:t>
      </w:r>
      <w:proofErr w:type="spellStart"/>
      <w:r w:rsidR="00A34C33" w:rsidRPr="00DE1967">
        <w:rPr>
          <w:snapToGrid/>
          <w:szCs w:val="22"/>
          <w:lang w:val="de-DE" w:eastAsia="de-DE"/>
        </w:rPr>
        <w:t>Dofetilid</w:t>
      </w:r>
      <w:proofErr w:type="spellEnd"/>
      <w:r w:rsidR="00A34C33" w:rsidRPr="00DE1967">
        <w:rPr>
          <w:snapToGrid/>
          <w:szCs w:val="22"/>
          <w:lang w:val="de-DE" w:eastAsia="de-DE"/>
        </w:rPr>
        <w:t xml:space="preserve">, </w:t>
      </w:r>
      <w:proofErr w:type="spellStart"/>
      <w:r w:rsidR="00A34C33" w:rsidRPr="00DE1967">
        <w:rPr>
          <w:snapToGrid/>
          <w:szCs w:val="22"/>
          <w:lang w:val="de-DE" w:eastAsia="de-DE"/>
        </w:rPr>
        <w:t>Ibutilid</w:t>
      </w:r>
      <w:proofErr w:type="spellEnd"/>
      <w:r w:rsidR="00A34C33" w:rsidRPr="00DE1967">
        <w:rPr>
          <w:snapToGrid/>
          <w:szCs w:val="22"/>
          <w:lang w:val="de-DE" w:eastAsia="de-DE"/>
        </w:rPr>
        <w:t>)</w:t>
      </w:r>
    </w:p>
    <w:p w:rsidR="00A34C33" w:rsidRPr="00DE1967" w:rsidRDefault="00D92839" w:rsidP="0003742E">
      <w:pPr>
        <w:widowControl w:val="0"/>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t>
      </w:r>
      <w:r w:rsidR="00A34C33" w:rsidRPr="00DE1967">
        <w:rPr>
          <w:snapToGrid/>
          <w:szCs w:val="22"/>
          <w:lang w:val="de-DE" w:eastAsia="de-DE"/>
        </w:rPr>
        <w:tab/>
        <w:t>Einige Antipsychotika (</w:t>
      </w:r>
      <w:r w:rsidR="00433771" w:rsidRPr="00DE1967">
        <w:rPr>
          <w:snapToGrid/>
          <w:szCs w:val="22"/>
          <w:lang w:val="de-DE" w:eastAsia="de-DE"/>
        </w:rPr>
        <w:t>z. B.</w:t>
      </w:r>
      <w:r w:rsidR="00A34C33" w:rsidRPr="00DE1967">
        <w:rPr>
          <w:snapToGrid/>
          <w:szCs w:val="22"/>
          <w:lang w:val="de-DE" w:eastAsia="de-DE"/>
        </w:rPr>
        <w:t xml:space="preserve"> </w:t>
      </w:r>
      <w:proofErr w:type="spellStart"/>
      <w:r w:rsidR="00A34C33" w:rsidRPr="00DE1967">
        <w:rPr>
          <w:snapToGrid/>
          <w:szCs w:val="22"/>
          <w:lang w:val="de-DE" w:eastAsia="de-DE"/>
        </w:rPr>
        <w:t>Thioridazin</w:t>
      </w:r>
      <w:proofErr w:type="spellEnd"/>
      <w:r w:rsidR="00A34C33" w:rsidRPr="00DE1967">
        <w:rPr>
          <w:snapToGrid/>
          <w:szCs w:val="22"/>
          <w:lang w:val="de-DE" w:eastAsia="de-DE"/>
        </w:rPr>
        <w:t xml:space="preserve">, </w:t>
      </w:r>
      <w:proofErr w:type="spellStart"/>
      <w:r w:rsidR="00A34C33" w:rsidRPr="00DE1967">
        <w:rPr>
          <w:snapToGrid/>
          <w:szCs w:val="22"/>
          <w:lang w:val="de-DE" w:eastAsia="de-DE"/>
        </w:rPr>
        <w:t>Chlorpromazin</w:t>
      </w:r>
      <w:proofErr w:type="spellEnd"/>
      <w:r w:rsidR="00A34C33" w:rsidRPr="00DE1967">
        <w:rPr>
          <w:snapToGrid/>
          <w:szCs w:val="22"/>
          <w:lang w:val="de-DE" w:eastAsia="de-DE"/>
        </w:rPr>
        <w:t xml:space="preserve">, </w:t>
      </w:r>
      <w:proofErr w:type="spellStart"/>
      <w:r w:rsidR="00A34C33" w:rsidRPr="00DE1967">
        <w:rPr>
          <w:snapToGrid/>
          <w:szCs w:val="22"/>
          <w:lang w:val="de-DE" w:eastAsia="de-DE"/>
        </w:rPr>
        <w:t>Levomepromazin</w:t>
      </w:r>
      <w:proofErr w:type="spellEnd"/>
      <w:r w:rsidR="00A34C33" w:rsidRPr="00DE1967">
        <w:rPr>
          <w:snapToGrid/>
          <w:szCs w:val="22"/>
          <w:lang w:val="de-DE" w:eastAsia="de-DE"/>
        </w:rPr>
        <w:t xml:space="preserve">, </w:t>
      </w:r>
      <w:proofErr w:type="spellStart"/>
      <w:r w:rsidR="00A34C33" w:rsidRPr="00DE1967">
        <w:rPr>
          <w:snapToGrid/>
          <w:szCs w:val="22"/>
          <w:lang w:val="de-DE" w:eastAsia="de-DE"/>
        </w:rPr>
        <w:t>Trifluoperazin</w:t>
      </w:r>
      <w:proofErr w:type="spellEnd"/>
      <w:r w:rsidR="00A34C33" w:rsidRPr="00DE1967">
        <w:rPr>
          <w:snapToGrid/>
          <w:szCs w:val="22"/>
          <w:lang w:val="de-DE" w:eastAsia="de-DE"/>
        </w:rPr>
        <w:t xml:space="preserve">, </w:t>
      </w:r>
      <w:proofErr w:type="spellStart"/>
      <w:r w:rsidR="00A34C33" w:rsidRPr="00DE1967">
        <w:rPr>
          <w:snapToGrid/>
          <w:szCs w:val="22"/>
          <w:lang w:val="de-DE" w:eastAsia="de-DE"/>
        </w:rPr>
        <w:t>Cyamemazin</w:t>
      </w:r>
      <w:proofErr w:type="spellEnd"/>
      <w:r w:rsidR="00A34C33" w:rsidRPr="00DE1967">
        <w:rPr>
          <w:snapToGrid/>
          <w:szCs w:val="22"/>
          <w:lang w:val="de-DE" w:eastAsia="de-DE"/>
        </w:rPr>
        <w:t xml:space="preserve">, </w:t>
      </w:r>
      <w:proofErr w:type="spellStart"/>
      <w:r w:rsidR="00A34C33" w:rsidRPr="00DE1967">
        <w:rPr>
          <w:snapToGrid/>
          <w:szCs w:val="22"/>
          <w:lang w:val="de-DE" w:eastAsia="de-DE"/>
        </w:rPr>
        <w:t>Sulpirid</w:t>
      </w:r>
      <w:proofErr w:type="spellEnd"/>
      <w:r w:rsidR="00A34C33" w:rsidRPr="00DE1967">
        <w:rPr>
          <w:snapToGrid/>
          <w:szCs w:val="22"/>
          <w:lang w:val="de-DE" w:eastAsia="de-DE"/>
        </w:rPr>
        <w:t xml:space="preserve">, </w:t>
      </w:r>
      <w:proofErr w:type="spellStart"/>
      <w:r w:rsidR="00A34C33" w:rsidRPr="00DE1967">
        <w:rPr>
          <w:snapToGrid/>
          <w:szCs w:val="22"/>
          <w:lang w:val="de-DE" w:eastAsia="de-DE"/>
        </w:rPr>
        <w:t>Sultoprid</w:t>
      </w:r>
      <w:proofErr w:type="spellEnd"/>
      <w:r w:rsidR="00A34C33" w:rsidRPr="00DE1967">
        <w:rPr>
          <w:snapToGrid/>
          <w:szCs w:val="22"/>
          <w:lang w:val="de-DE" w:eastAsia="de-DE"/>
        </w:rPr>
        <w:t xml:space="preserve">, </w:t>
      </w:r>
      <w:proofErr w:type="spellStart"/>
      <w:r w:rsidR="00A34C33" w:rsidRPr="00DE1967">
        <w:rPr>
          <w:snapToGrid/>
          <w:szCs w:val="22"/>
          <w:lang w:val="de-DE" w:eastAsia="de-DE"/>
        </w:rPr>
        <w:t>Amisulprid</w:t>
      </w:r>
      <w:proofErr w:type="spellEnd"/>
      <w:r w:rsidR="00A34C33" w:rsidRPr="00DE1967">
        <w:rPr>
          <w:snapToGrid/>
          <w:szCs w:val="22"/>
          <w:lang w:val="de-DE" w:eastAsia="de-DE"/>
        </w:rPr>
        <w:t xml:space="preserve">, </w:t>
      </w:r>
      <w:proofErr w:type="spellStart"/>
      <w:r w:rsidR="00A34C33" w:rsidRPr="00DE1967">
        <w:rPr>
          <w:snapToGrid/>
          <w:szCs w:val="22"/>
          <w:lang w:val="de-DE" w:eastAsia="de-DE"/>
        </w:rPr>
        <w:t>Tiaprid</w:t>
      </w:r>
      <w:proofErr w:type="spellEnd"/>
      <w:r w:rsidR="00A34C33" w:rsidRPr="00DE1967">
        <w:rPr>
          <w:snapToGrid/>
          <w:szCs w:val="22"/>
          <w:lang w:val="de-DE" w:eastAsia="de-DE"/>
        </w:rPr>
        <w:t xml:space="preserve">, </w:t>
      </w:r>
      <w:proofErr w:type="spellStart"/>
      <w:r w:rsidR="00A34C33" w:rsidRPr="00DE1967">
        <w:rPr>
          <w:snapToGrid/>
          <w:szCs w:val="22"/>
          <w:lang w:val="de-DE" w:eastAsia="de-DE"/>
        </w:rPr>
        <w:t>Pimozid</w:t>
      </w:r>
      <w:proofErr w:type="spellEnd"/>
      <w:r w:rsidR="00A34C33" w:rsidRPr="00DE1967">
        <w:rPr>
          <w:snapToGrid/>
          <w:szCs w:val="22"/>
          <w:lang w:val="de-DE" w:eastAsia="de-DE"/>
        </w:rPr>
        <w:t xml:space="preserve">, Haloperidol, </w:t>
      </w:r>
      <w:proofErr w:type="spellStart"/>
      <w:r w:rsidR="00A34C33" w:rsidRPr="00DE1967">
        <w:rPr>
          <w:snapToGrid/>
          <w:szCs w:val="22"/>
          <w:lang w:val="de-DE" w:eastAsia="de-DE"/>
        </w:rPr>
        <w:t>Droperidol</w:t>
      </w:r>
      <w:proofErr w:type="spellEnd"/>
      <w:r w:rsidR="00A34C33" w:rsidRPr="00DE1967">
        <w:rPr>
          <w:snapToGrid/>
          <w:szCs w:val="22"/>
          <w:lang w:val="de-DE" w:eastAsia="de-DE"/>
        </w:rPr>
        <w:t>)</w:t>
      </w:r>
    </w:p>
    <w:p w:rsidR="00A34C33" w:rsidRPr="00DE1967" w:rsidRDefault="00D92839" w:rsidP="0003742E">
      <w:pPr>
        <w:widowControl w:val="0"/>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t>
      </w:r>
      <w:r w:rsidR="00A34C33" w:rsidRPr="00DE1967">
        <w:rPr>
          <w:snapToGrid/>
          <w:szCs w:val="22"/>
          <w:lang w:val="de-DE" w:eastAsia="de-DE"/>
        </w:rPr>
        <w:tab/>
        <w:t>Andere (</w:t>
      </w:r>
      <w:r w:rsidR="00433771" w:rsidRPr="00DE1967">
        <w:rPr>
          <w:snapToGrid/>
          <w:szCs w:val="22"/>
          <w:lang w:val="de-DE" w:eastAsia="de-DE"/>
        </w:rPr>
        <w:t>z. B.</w:t>
      </w:r>
      <w:r w:rsidR="00A34C33" w:rsidRPr="00DE1967">
        <w:rPr>
          <w:snapToGrid/>
          <w:szCs w:val="22"/>
          <w:lang w:val="de-DE" w:eastAsia="de-DE"/>
        </w:rPr>
        <w:t xml:space="preserve"> </w:t>
      </w:r>
      <w:proofErr w:type="spellStart"/>
      <w:r w:rsidR="00A34C33" w:rsidRPr="00DE1967">
        <w:rPr>
          <w:snapToGrid/>
          <w:szCs w:val="22"/>
          <w:lang w:val="de-DE" w:eastAsia="de-DE"/>
        </w:rPr>
        <w:t>Bepridil</w:t>
      </w:r>
      <w:proofErr w:type="spellEnd"/>
      <w:r w:rsidR="00A34C33" w:rsidRPr="00DE1967">
        <w:rPr>
          <w:snapToGrid/>
          <w:szCs w:val="22"/>
          <w:lang w:val="de-DE" w:eastAsia="de-DE"/>
        </w:rPr>
        <w:t xml:space="preserve">, </w:t>
      </w:r>
      <w:proofErr w:type="spellStart"/>
      <w:r w:rsidR="00A34C33" w:rsidRPr="00DE1967">
        <w:rPr>
          <w:snapToGrid/>
          <w:szCs w:val="22"/>
          <w:lang w:val="de-DE" w:eastAsia="de-DE"/>
        </w:rPr>
        <w:t>Cisaprid</w:t>
      </w:r>
      <w:proofErr w:type="spellEnd"/>
      <w:r w:rsidR="00A34C33" w:rsidRPr="00DE1967">
        <w:rPr>
          <w:snapToGrid/>
          <w:szCs w:val="22"/>
          <w:lang w:val="de-DE" w:eastAsia="de-DE"/>
        </w:rPr>
        <w:t xml:space="preserve">, </w:t>
      </w:r>
      <w:proofErr w:type="spellStart"/>
      <w:r w:rsidR="00A34C33" w:rsidRPr="00DE1967">
        <w:rPr>
          <w:snapToGrid/>
          <w:szCs w:val="22"/>
          <w:lang w:val="de-DE" w:eastAsia="de-DE"/>
        </w:rPr>
        <w:t>Diphemanil</w:t>
      </w:r>
      <w:proofErr w:type="spellEnd"/>
      <w:r w:rsidR="00A34C33" w:rsidRPr="00DE1967">
        <w:rPr>
          <w:snapToGrid/>
          <w:szCs w:val="22"/>
          <w:lang w:val="de-DE" w:eastAsia="de-DE"/>
        </w:rPr>
        <w:t xml:space="preserve">, Erythromycin intravenös, </w:t>
      </w:r>
      <w:proofErr w:type="spellStart"/>
      <w:r w:rsidR="00A34C33" w:rsidRPr="00DE1967">
        <w:rPr>
          <w:snapToGrid/>
          <w:szCs w:val="22"/>
          <w:lang w:val="de-DE" w:eastAsia="de-DE"/>
        </w:rPr>
        <w:t>Halofantrin</w:t>
      </w:r>
      <w:proofErr w:type="spellEnd"/>
      <w:r w:rsidR="00A34C33" w:rsidRPr="00DE1967">
        <w:rPr>
          <w:snapToGrid/>
          <w:szCs w:val="22"/>
          <w:lang w:val="de-DE" w:eastAsia="de-DE"/>
        </w:rPr>
        <w:t xml:space="preserve">, </w:t>
      </w:r>
      <w:proofErr w:type="spellStart"/>
      <w:r w:rsidR="00A34C33" w:rsidRPr="00DE1967">
        <w:rPr>
          <w:snapToGrid/>
          <w:szCs w:val="22"/>
          <w:lang w:val="de-DE" w:eastAsia="de-DE"/>
        </w:rPr>
        <w:t>Mizolastin</w:t>
      </w:r>
      <w:proofErr w:type="spellEnd"/>
      <w:r w:rsidR="00A34C33" w:rsidRPr="00DE1967">
        <w:rPr>
          <w:snapToGrid/>
          <w:szCs w:val="22"/>
          <w:lang w:val="de-DE" w:eastAsia="de-DE"/>
        </w:rPr>
        <w:t xml:space="preserve">, </w:t>
      </w:r>
      <w:proofErr w:type="spellStart"/>
      <w:r w:rsidR="00A34C33" w:rsidRPr="00DE1967">
        <w:rPr>
          <w:snapToGrid/>
          <w:szCs w:val="22"/>
          <w:lang w:val="de-DE" w:eastAsia="de-DE"/>
        </w:rPr>
        <w:t>Pentamidin</w:t>
      </w:r>
      <w:proofErr w:type="spellEnd"/>
      <w:r w:rsidR="00A34C33" w:rsidRPr="00DE1967">
        <w:rPr>
          <w:snapToGrid/>
          <w:szCs w:val="22"/>
          <w:lang w:val="de-DE" w:eastAsia="de-DE"/>
        </w:rPr>
        <w:t xml:space="preserve">, </w:t>
      </w:r>
      <w:proofErr w:type="spellStart"/>
      <w:r w:rsidR="00A34C33" w:rsidRPr="00DE1967">
        <w:rPr>
          <w:snapToGrid/>
          <w:szCs w:val="22"/>
          <w:lang w:val="de-DE" w:eastAsia="de-DE"/>
        </w:rPr>
        <w:t>Sparfloxazin</w:t>
      </w:r>
      <w:proofErr w:type="spellEnd"/>
      <w:r w:rsidR="00A34C33" w:rsidRPr="00DE1967">
        <w:rPr>
          <w:snapToGrid/>
          <w:szCs w:val="22"/>
          <w:lang w:val="de-DE" w:eastAsia="de-DE"/>
        </w:rPr>
        <w:t xml:space="preserve">, </w:t>
      </w:r>
      <w:proofErr w:type="spellStart"/>
      <w:r w:rsidR="00A34C33" w:rsidRPr="00DE1967">
        <w:rPr>
          <w:snapToGrid/>
          <w:szCs w:val="22"/>
          <w:lang w:val="de-DE" w:eastAsia="de-DE"/>
        </w:rPr>
        <w:t>Terfenadin</w:t>
      </w:r>
      <w:proofErr w:type="spellEnd"/>
      <w:r w:rsidR="00A34C33" w:rsidRPr="00DE1967">
        <w:rPr>
          <w:snapToGrid/>
          <w:szCs w:val="22"/>
          <w:lang w:val="de-DE" w:eastAsia="de-DE"/>
        </w:rPr>
        <w:t xml:space="preserve">, </w:t>
      </w:r>
      <w:proofErr w:type="spellStart"/>
      <w:r w:rsidR="00A34C33" w:rsidRPr="00DE1967">
        <w:rPr>
          <w:snapToGrid/>
          <w:szCs w:val="22"/>
          <w:lang w:val="de-DE" w:eastAsia="de-DE"/>
        </w:rPr>
        <w:t>Vincamin</w:t>
      </w:r>
      <w:proofErr w:type="spellEnd"/>
      <w:r w:rsidR="00A34C33" w:rsidRPr="00DE1967">
        <w:rPr>
          <w:snapToGrid/>
          <w:szCs w:val="22"/>
          <w:lang w:val="de-DE" w:eastAsia="de-DE"/>
        </w:rPr>
        <w:t xml:space="preserve"> intravenös)</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proofErr w:type="spellStart"/>
      <w:r w:rsidRPr="00DE1967">
        <w:rPr>
          <w:snapToGrid/>
          <w:szCs w:val="22"/>
          <w:u w:val="single"/>
          <w:lang w:val="de-DE" w:eastAsia="de-DE"/>
        </w:rPr>
        <w:t>Digitalisglykoside</w:t>
      </w:r>
      <w:proofErr w:type="spellEnd"/>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roofErr w:type="spellStart"/>
      <w:r w:rsidRPr="00DE1967">
        <w:rPr>
          <w:snapToGrid/>
          <w:szCs w:val="22"/>
          <w:lang w:val="de-DE" w:eastAsia="de-DE"/>
        </w:rPr>
        <w:t>Thiazid</w:t>
      </w:r>
      <w:proofErr w:type="spellEnd"/>
      <w:r w:rsidRPr="00DE1967">
        <w:rPr>
          <w:snapToGrid/>
          <w:szCs w:val="22"/>
          <w:lang w:val="de-DE" w:eastAsia="de-DE"/>
        </w:rPr>
        <w:t xml:space="preserve">-bedingte Hypokaliämie oder </w:t>
      </w:r>
      <w:proofErr w:type="spellStart"/>
      <w:r w:rsidRPr="00DE1967">
        <w:rPr>
          <w:snapToGrid/>
          <w:szCs w:val="22"/>
          <w:lang w:val="de-DE" w:eastAsia="de-DE"/>
        </w:rPr>
        <w:t>Hypomagnesiämie</w:t>
      </w:r>
      <w:proofErr w:type="spellEnd"/>
      <w:r w:rsidRPr="00DE1967">
        <w:rPr>
          <w:snapToGrid/>
          <w:szCs w:val="22"/>
          <w:lang w:val="de-DE" w:eastAsia="de-DE"/>
        </w:rPr>
        <w:t xml:space="preserve"> begünstigen das Auftreten Digitalis-bedingter Rhythmusstörungen (siehe Abschnitt 4.4).</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460D9E" w:rsidRPr="00DE1967" w:rsidRDefault="00460D9E" w:rsidP="0003742E">
      <w:pPr>
        <w:widowControl w:val="0"/>
        <w:spacing w:line="240" w:lineRule="auto"/>
        <w:rPr>
          <w:szCs w:val="22"/>
          <w:lang w:val="de-DE"/>
        </w:rPr>
      </w:pPr>
      <w:r w:rsidRPr="00DE1967">
        <w:rPr>
          <w:szCs w:val="22"/>
          <w:u w:val="single"/>
          <w:lang w:val="de-DE"/>
        </w:rPr>
        <w:t>Digoxin</w:t>
      </w:r>
    </w:p>
    <w:p w:rsidR="00460D9E" w:rsidRPr="00DE1967" w:rsidRDefault="00460D9E" w:rsidP="0003742E">
      <w:pPr>
        <w:widowControl w:val="0"/>
        <w:spacing w:line="240" w:lineRule="auto"/>
        <w:rPr>
          <w:szCs w:val="22"/>
          <w:lang w:val="de-DE"/>
        </w:rPr>
      </w:pPr>
      <w:r w:rsidRPr="00DE1967">
        <w:rPr>
          <w:szCs w:val="22"/>
          <w:lang w:val="de-DE"/>
        </w:rPr>
        <w:t xml:space="preserve">Bei gleichzeitiger Anwendung von Telmisartan und Digoxin wurde eine mittlere Erhöhung der maximalen (49 %) und minimalen (20 %) Digoxin-Plasmakonzentration beobachtet. Bei Initiierung, Anpassung und Beendigung der Telmisartan-Behandlung ist der </w:t>
      </w:r>
      <w:proofErr w:type="spellStart"/>
      <w:r w:rsidRPr="00DE1967">
        <w:rPr>
          <w:szCs w:val="22"/>
          <w:lang w:val="de-DE"/>
        </w:rPr>
        <w:t>Digoxinspiegel</w:t>
      </w:r>
      <w:proofErr w:type="spellEnd"/>
      <w:r w:rsidRPr="00DE1967">
        <w:rPr>
          <w:szCs w:val="22"/>
          <w:lang w:val="de-DE"/>
        </w:rPr>
        <w:t xml:space="preserve"> zu überwachen, um diesen innerhalb des therapeutischen Bereiches zu halten.</w:t>
      </w:r>
    </w:p>
    <w:p w:rsidR="00460D9E" w:rsidRPr="00DE1967" w:rsidRDefault="00460D9E"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Andere antihypertensive Substanzen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Telmisartan kann die blutdrucksenkende Wirkung von anderen Antihypertensiva verstärken.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4A3D0A" w:rsidRPr="00DE1967" w:rsidRDefault="004A3D0A" w:rsidP="0003742E">
      <w:pPr>
        <w:widowControl w:val="0"/>
        <w:tabs>
          <w:tab w:val="clear" w:pos="567"/>
        </w:tabs>
        <w:autoSpaceDE w:val="0"/>
        <w:autoSpaceDN w:val="0"/>
        <w:adjustRightInd w:val="0"/>
        <w:spacing w:line="240" w:lineRule="auto"/>
        <w:rPr>
          <w:iCs/>
          <w:lang w:val="de-DE" w:eastAsia="de-DE"/>
        </w:rPr>
      </w:pPr>
      <w:r w:rsidRPr="00DE1967">
        <w:rPr>
          <w:iCs/>
          <w:lang w:val="de-DE" w:eastAsia="de-DE"/>
        </w:rPr>
        <w:t xml:space="preserve">Daten aus klinischen Studien haben gezeigt, dass eine duale Blockade des Renin-Angiotensin-Aldosteron-Systems (RAAS) durch gleichzeitige Anwendung von ACE-Hemmern, Angiotensin-II-Rezeptor-Antagonisten oder </w:t>
      </w:r>
      <w:proofErr w:type="spellStart"/>
      <w:r w:rsidRPr="00DE1967">
        <w:rPr>
          <w:iCs/>
          <w:lang w:val="de-DE" w:eastAsia="de-DE"/>
        </w:rPr>
        <w:t>Aliskiren</w:t>
      </w:r>
      <w:proofErr w:type="spellEnd"/>
      <w:r w:rsidRPr="00DE1967">
        <w:rPr>
          <w:iCs/>
          <w:lang w:val="de-DE" w:eastAsia="de-DE"/>
        </w:rPr>
        <w:t xml:space="preserve"> im Vergleich zur Anwendung einer einzelnen Substanz, die auf das RAAS wirkt, mit einer höheren Rate an unerwünschten Ereignissen wie Hypotonie, Hyperkaliämie und einer Abnahme der Nierenfunktion (einschließlich eines akuten Nierenversagens) einher geht (siehe Abschnitte 4.3, 4.4 und 5.1).</w:t>
      </w:r>
    </w:p>
    <w:p w:rsidR="004A3D0A" w:rsidRPr="00DE1967" w:rsidRDefault="004A3D0A"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Antidiabetika (orale Arzneimittel und Insulin)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Eine Dosisanpassung des Antidiabetikums kann erforderlich sein (siehe Abschnitt 4.4).</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Metformin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Metformin sollte mit Vorsicht angewendet werden - das Risiko einer Laktatazidose, die durch ein mögliches funktionelles Nierenversagen induziert wird, wird mit Hydrochlorothiazid in Verbindung gebracht.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proofErr w:type="spellStart"/>
      <w:r w:rsidRPr="00DE1967">
        <w:rPr>
          <w:snapToGrid/>
          <w:szCs w:val="22"/>
          <w:u w:val="single"/>
          <w:lang w:val="de-DE" w:eastAsia="de-DE"/>
        </w:rPr>
        <w:t>Cholestyramin</w:t>
      </w:r>
      <w:proofErr w:type="spellEnd"/>
      <w:r w:rsidRPr="00DE1967">
        <w:rPr>
          <w:snapToGrid/>
          <w:szCs w:val="22"/>
          <w:u w:val="single"/>
          <w:lang w:val="de-DE" w:eastAsia="de-DE"/>
        </w:rPr>
        <w:t xml:space="preserve"> und </w:t>
      </w:r>
      <w:proofErr w:type="spellStart"/>
      <w:r w:rsidRPr="00DE1967">
        <w:rPr>
          <w:snapToGrid/>
          <w:szCs w:val="22"/>
          <w:u w:val="single"/>
          <w:lang w:val="de-DE" w:eastAsia="de-DE"/>
        </w:rPr>
        <w:t>Colestipolharze</w:t>
      </w:r>
      <w:proofErr w:type="spellEnd"/>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 Resorption von Hydrochlorothiazid ist in Gegenwart von </w:t>
      </w:r>
      <w:proofErr w:type="spellStart"/>
      <w:r w:rsidRPr="00DE1967">
        <w:rPr>
          <w:snapToGrid/>
          <w:szCs w:val="22"/>
          <w:lang w:val="de-DE" w:eastAsia="de-DE"/>
        </w:rPr>
        <w:t>Anionenaustauscherharzen</w:t>
      </w:r>
      <w:proofErr w:type="spellEnd"/>
      <w:r w:rsidRPr="00DE1967">
        <w:rPr>
          <w:snapToGrid/>
          <w:szCs w:val="22"/>
          <w:lang w:val="de-DE" w:eastAsia="de-DE"/>
        </w:rPr>
        <w:t xml:space="preserve"> gestört.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Nichtsteroidale Antirheumatika</w:t>
      </w:r>
      <w:r w:rsidR="00317AD1" w:rsidRPr="00DE1967">
        <w:rPr>
          <w:snapToGrid/>
          <w:szCs w:val="22"/>
          <w:u w:val="single"/>
          <w:lang w:val="de-DE" w:eastAsia="de-DE"/>
        </w:rPr>
        <w:t xml:space="preserve"> (NSARs)</w:t>
      </w:r>
    </w:p>
    <w:p w:rsidR="00544F89"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NSAR (</w:t>
      </w:r>
      <w:r w:rsidR="00433771" w:rsidRPr="00DE1967">
        <w:rPr>
          <w:snapToGrid/>
          <w:szCs w:val="22"/>
          <w:lang w:val="de-DE" w:eastAsia="de-DE"/>
        </w:rPr>
        <w:t>z. B.</w:t>
      </w:r>
      <w:r w:rsidRPr="00DE1967">
        <w:rPr>
          <w:snapToGrid/>
          <w:szCs w:val="22"/>
          <w:lang w:val="de-DE" w:eastAsia="de-DE"/>
        </w:rPr>
        <w:t xml:space="preserve"> Acetylsalicylsäure in entzündungshemmender Dosierung, COX-2-Hemmer und nichtselektive NSAR) können die diuretische, natriuretische und blutdrucksenkende Wirkung von </w:t>
      </w:r>
      <w:proofErr w:type="spellStart"/>
      <w:r w:rsidRPr="00DE1967">
        <w:rPr>
          <w:snapToGrid/>
          <w:szCs w:val="22"/>
          <w:lang w:val="de-DE" w:eastAsia="de-DE"/>
        </w:rPr>
        <w:t>Thiazid</w:t>
      </w:r>
      <w:proofErr w:type="spellEnd"/>
      <w:r w:rsidRPr="00DE1967">
        <w:rPr>
          <w:snapToGrid/>
          <w:szCs w:val="22"/>
          <w:lang w:val="de-DE" w:eastAsia="de-DE"/>
        </w:rPr>
        <w:t>-Diuretika und die blutdrucksenkende Wirkung von Angiotensin-II-Rezeptor-Antagonisten verringern.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Bei einigen Patienten mit Einschränkung der Nierenfunktion (</w:t>
      </w:r>
      <w:r w:rsidR="00433771" w:rsidRPr="00DE1967">
        <w:rPr>
          <w:snapToGrid/>
          <w:szCs w:val="22"/>
          <w:lang w:val="de-DE" w:eastAsia="de-DE"/>
        </w:rPr>
        <w:t>z. B.</w:t>
      </w:r>
      <w:r w:rsidRPr="00DE1967">
        <w:rPr>
          <w:snapToGrid/>
          <w:szCs w:val="22"/>
          <w:lang w:val="de-DE" w:eastAsia="de-DE"/>
        </w:rPr>
        <w:t xml:space="preserve"> dehydrierte Patienten oder ältere Patienten mit Einschränkung der Nierenfunktion) kann die gleichzeitige </w:t>
      </w:r>
      <w:r w:rsidR="00D75747" w:rsidRPr="00DE1967">
        <w:rPr>
          <w:snapToGrid/>
          <w:szCs w:val="22"/>
          <w:lang w:val="de-DE" w:eastAsia="de-DE"/>
        </w:rPr>
        <w:t>Anwendung</w:t>
      </w:r>
      <w:r w:rsidRPr="00DE1967">
        <w:rPr>
          <w:snapToGrid/>
          <w:szCs w:val="22"/>
          <w:lang w:val="de-DE" w:eastAsia="de-DE"/>
        </w:rPr>
        <w:t xml:space="preserve"> von Angiotensin-II-Rezeptor-Antagonisten und </w:t>
      </w:r>
      <w:proofErr w:type="spellStart"/>
      <w:r w:rsidRPr="00DE1967">
        <w:rPr>
          <w:snapToGrid/>
          <w:szCs w:val="22"/>
          <w:lang w:val="de-DE" w:eastAsia="de-DE"/>
        </w:rPr>
        <w:t>Cyclooxigenase</w:t>
      </w:r>
      <w:proofErr w:type="spellEnd"/>
      <w:r w:rsidRPr="00DE1967">
        <w:rPr>
          <w:snapToGrid/>
          <w:szCs w:val="22"/>
          <w:lang w:val="de-DE" w:eastAsia="de-DE"/>
        </w:rPr>
        <w:t xml:space="preserve">-hemmenden Arzneimitteln zu einer weiteren Verschlechterung der Nierenfunktion führen, einschließlich der Möglichkeit eines üblicherweise reversiblen akuten Nierenversagens. Die Kombination sollte daher – insbesondere bei älteren Patienten - mit Vorsicht erfolgen. Eine ausreichende Hydrierung der Patienten sollte sichergestellt sein. Kontrollen der Nierenfunktion sind zu Beginn sowie in periodischen Abständen während der gleichzeitigen </w:t>
      </w:r>
      <w:r w:rsidR="00D75747" w:rsidRPr="00DE1967">
        <w:rPr>
          <w:snapToGrid/>
          <w:szCs w:val="22"/>
          <w:lang w:val="de-DE" w:eastAsia="de-DE"/>
        </w:rPr>
        <w:t>Anwendung</w:t>
      </w:r>
      <w:r w:rsidRPr="00DE1967">
        <w:rPr>
          <w:snapToGrid/>
          <w:szCs w:val="22"/>
          <w:lang w:val="de-DE" w:eastAsia="de-DE"/>
        </w:rPr>
        <w:t xml:space="preserve"> in Betracht zu ziehen.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In einer Studie führte die gleichzeitige Gabe von Telmisartan und </w:t>
      </w:r>
      <w:proofErr w:type="spellStart"/>
      <w:r w:rsidRPr="00DE1967">
        <w:rPr>
          <w:snapToGrid/>
          <w:szCs w:val="22"/>
          <w:lang w:val="de-DE" w:eastAsia="de-DE"/>
        </w:rPr>
        <w:t>Ramipril</w:t>
      </w:r>
      <w:proofErr w:type="spellEnd"/>
      <w:r w:rsidRPr="00DE1967">
        <w:rPr>
          <w:snapToGrid/>
          <w:szCs w:val="22"/>
          <w:lang w:val="de-DE" w:eastAsia="de-DE"/>
        </w:rPr>
        <w:t xml:space="preserve"> zu einer bis zu 2,5fachen Erhöhung der </w:t>
      </w:r>
      <w:r w:rsidR="00306D41" w:rsidRPr="00DE1967">
        <w:rPr>
          <w:snapToGrid/>
          <w:szCs w:val="22"/>
          <w:lang w:val="de-DE" w:eastAsia="de-DE"/>
        </w:rPr>
        <w:t>AUC</w:t>
      </w:r>
      <w:r w:rsidR="00306D41" w:rsidRPr="00DE1967">
        <w:rPr>
          <w:snapToGrid/>
          <w:szCs w:val="22"/>
          <w:vertAlign w:val="subscript"/>
          <w:lang w:val="de-DE" w:eastAsia="de-DE"/>
        </w:rPr>
        <w:t xml:space="preserve">0-24 </w:t>
      </w:r>
      <w:r w:rsidR="00306D41" w:rsidRPr="00DE1967">
        <w:rPr>
          <w:snapToGrid/>
          <w:szCs w:val="22"/>
          <w:lang w:val="de-DE" w:eastAsia="de-DE"/>
        </w:rPr>
        <w:t>und C</w:t>
      </w:r>
      <w:r w:rsidR="00306D41" w:rsidRPr="00DE1967">
        <w:rPr>
          <w:snapToGrid/>
          <w:szCs w:val="22"/>
          <w:vertAlign w:val="subscript"/>
          <w:lang w:val="de-DE" w:eastAsia="de-DE"/>
        </w:rPr>
        <w:t>max</w:t>
      </w:r>
      <w:r w:rsidR="00306D41" w:rsidRPr="00DE1967">
        <w:rPr>
          <w:snapToGrid/>
          <w:szCs w:val="22"/>
          <w:lang w:val="de-DE" w:eastAsia="de-DE"/>
        </w:rPr>
        <w:t xml:space="preserve"> </w:t>
      </w:r>
      <w:r w:rsidRPr="00DE1967">
        <w:rPr>
          <w:snapToGrid/>
          <w:szCs w:val="22"/>
          <w:lang w:val="de-DE" w:eastAsia="de-DE"/>
        </w:rPr>
        <w:t xml:space="preserve">von </w:t>
      </w:r>
      <w:proofErr w:type="spellStart"/>
      <w:r w:rsidRPr="00DE1967">
        <w:rPr>
          <w:snapToGrid/>
          <w:szCs w:val="22"/>
          <w:lang w:val="de-DE" w:eastAsia="de-DE"/>
        </w:rPr>
        <w:t>Ramipril</w:t>
      </w:r>
      <w:proofErr w:type="spellEnd"/>
      <w:r w:rsidRPr="00DE1967">
        <w:rPr>
          <w:snapToGrid/>
          <w:szCs w:val="22"/>
          <w:lang w:val="de-DE" w:eastAsia="de-DE"/>
        </w:rPr>
        <w:t xml:space="preserve"> und </w:t>
      </w:r>
      <w:proofErr w:type="spellStart"/>
      <w:r w:rsidRPr="00DE1967">
        <w:rPr>
          <w:snapToGrid/>
          <w:szCs w:val="22"/>
          <w:lang w:val="de-DE" w:eastAsia="de-DE"/>
        </w:rPr>
        <w:t>Ramiprilat</w:t>
      </w:r>
      <w:proofErr w:type="spellEnd"/>
      <w:r w:rsidRPr="00DE1967">
        <w:rPr>
          <w:snapToGrid/>
          <w:szCs w:val="22"/>
          <w:lang w:val="de-DE" w:eastAsia="de-DE"/>
        </w:rPr>
        <w:t>. Die klinische Relevanz dieser Beobachtung ist unbekannt.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 xml:space="preserve">Amine mit </w:t>
      </w:r>
      <w:proofErr w:type="spellStart"/>
      <w:r w:rsidRPr="00DE1967">
        <w:rPr>
          <w:snapToGrid/>
          <w:szCs w:val="22"/>
          <w:u w:val="single"/>
          <w:lang w:val="de-DE" w:eastAsia="de-DE"/>
        </w:rPr>
        <w:t>sympathomimetischer</w:t>
      </w:r>
      <w:proofErr w:type="spellEnd"/>
      <w:r w:rsidRPr="00DE1967">
        <w:rPr>
          <w:snapToGrid/>
          <w:szCs w:val="22"/>
          <w:u w:val="single"/>
          <w:lang w:val="de-DE" w:eastAsia="de-DE"/>
        </w:rPr>
        <w:t xml:space="preserve"> Wirkung </w:t>
      </w:r>
      <w:r w:rsidRPr="00DE1967">
        <w:rPr>
          <w:snapToGrid/>
          <w:szCs w:val="22"/>
          <w:lang w:val="de-DE" w:eastAsia="de-DE"/>
        </w:rPr>
        <w:t>(</w:t>
      </w:r>
      <w:r w:rsidR="00433771" w:rsidRPr="00DE1967">
        <w:rPr>
          <w:snapToGrid/>
          <w:szCs w:val="22"/>
          <w:lang w:val="de-DE" w:eastAsia="de-DE"/>
        </w:rPr>
        <w:t>z. B.</w:t>
      </w:r>
      <w:r w:rsidRPr="00DE1967">
        <w:rPr>
          <w:snapToGrid/>
          <w:szCs w:val="22"/>
          <w:lang w:val="de-DE" w:eastAsia="de-DE"/>
        </w:rPr>
        <w:t xml:space="preserve"> Noradrenalin)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 Wirkung von Aminen mit </w:t>
      </w:r>
      <w:proofErr w:type="spellStart"/>
      <w:r w:rsidRPr="00DE1967">
        <w:rPr>
          <w:snapToGrid/>
          <w:szCs w:val="22"/>
          <w:lang w:val="de-DE" w:eastAsia="de-DE"/>
        </w:rPr>
        <w:t>sympathomimetischer</w:t>
      </w:r>
      <w:proofErr w:type="spellEnd"/>
      <w:r w:rsidRPr="00DE1967">
        <w:rPr>
          <w:snapToGrid/>
          <w:szCs w:val="22"/>
          <w:lang w:val="de-DE" w:eastAsia="de-DE"/>
        </w:rPr>
        <w:t xml:space="preserve"> Wirkung kann abgeschwächt werden.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 xml:space="preserve">Nicht depolarisierende Muskelrelaxantien </w:t>
      </w:r>
      <w:r w:rsidRPr="00DE1967">
        <w:rPr>
          <w:snapToGrid/>
          <w:szCs w:val="22"/>
          <w:lang w:val="de-DE" w:eastAsia="de-DE"/>
        </w:rPr>
        <w:t>(</w:t>
      </w:r>
      <w:r w:rsidR="00433771" w:rsidRPr="00DE1967">
        <w:rPr>
          <w:snapToGrid/>
          <w:szCs w:val="22"/>
          <w:lang w:val="de-DE" w:eastAsia="de-DE"/>
        </w:rPr>
        <w:t>z. B.</w:t>
      </w:r>
      <w:r w:rsidRPr="00DE1967">
        <w:rPr>
          <w:snapToGrid/>
          <w:szCs w:val="22"/>
          <w:lang w:val="de-DE" w:eastAsia="de-DE"/>
        </w:rPr>
        <w:t xml:space="preserve"> </w:t>
      </w:r>
      <w:proofErr w:type="spellStart"/>
      <w:r w:rsidRPr="00DE1967">
        <w:rPr>
          <w:snapToGrid/>
          <w:szCs w:val="22"/>
          <w:lang w:val="de-DE" w:eastAsia="de-DE"/>
        </w:rPr>
        <w:t>Tubocurarin</w:t>
      </w:r>
      <w:proofErr w:type="spellEnd"/>
      <w:r w:rsidRPr="00DE1967">
        <w:rPr>
          <w:snapToGrid/>
          <w:szCs w:val="22"/>
          <w:lang w:val="de-DE" w:eastAsia="de-DE"/>
        </w:rPr>
        <w: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Die Wirkung von nicht depolarisierenden Muskelrelaxantien kann durch Hydrochlorothiazid verstärkt werden.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u w:val="single"/>
          <w:lang w:val="de-DE" w:eastAsia="de-DE"/>
        </w:rPr>
        <w:t xml:space="preserve">Arzneimittel, die zur Gichtbehandlung eingesetzt werden </w:t>
      </w:r>
      <w:r w:rsidRPr="00DE1967">
        <w:rPr>
          <w:snapToGrid/>
          <w:szCs w:val="22"/>
          <w:lang w:val="de-DE" w:eastAsia="de-DE"/>
        </w:rPr>
        <w:t>(</w:t>
      </w:r>
      <w:r w:rsidR="00433771" w:rsidRPr="00DE1967">
        <w:rPr>
          <w:snapToGrid/>
          <w:szCs w:val="22"/>
          <w:lang w:val="de-DE" w:eastAsia="de-DE"/>
        </w:rPr>
        <w:t>z. B.</w:t>
      </w:r>
      <w:r w:rsidRPr="00DE1967">
        <w:rPr>
          <w:snapToGrid/>
          <w:szCs w:val="22"/>
          <w:lang w:val="de-DE" w:eastAsia="de-DE"/>
        </w:rPr>
        <w:t xml:space="preserve"> Probenecid, </w:t>
      </w:r>
      <w:proofErr w:type="spellStart"/>
      <w:r w:rsidRPr="00DE1967">
        <w:rPr>
          <w:snapToGrid/>
          <w:szCs w:val="22"/>
          <w:lang w:val="de-DE" w:eastAsia="de-DE"/>
        </w:rPr>
        <w:t>Sulfinpyrazon</w:t>
      </w:r>
      <w:proofErr w:type="spellEnd"/>
      <w:r w:rsidRPr="00DE1967">
        <w:rPr>
          <w:snapToGrid/>
          <w:szCs w:val="22"/>
          <w:lang w:val="de-DE" w:eastAsia="de-DE"/>
        </w:rPr>
        <w:t xml:space="preserve"> und Allopurinol)</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Eine Dosisanpassung der </w:t>
      </w:r>
      <w:proofErr w:type="spellStart"/>
      <w:r w:rsidRPr="00DE1967">
        <w:rPr>
          <w:snapToGrid/>
          <w:szCs w:val="22"/>
          <w:lang w:val="de-DE" w:eastAsia="de-DE"/>
        </w:rPr>
        <w:t>Urikosurika</w:t>
      </w:r>
      <w:proofErr w:type="spellEnd"/>
      <w:r w:rsidRPr="00DE1967">
        <w:rPr>
          <w:snapToGrid/>
          <w:szCs w:val="22"/>
          <w:lang w:val="de-DE" w:eastAsia="de-DE"/>
        </w:rPr>
        <w:t xml:space="preserve"> kann erforderlich sein, da Hydrochlorothiazid den Serumharnsäurespiegel erhöhen kann. Eine Erhöhung der Probenecid- oder </w:t>
      </w:r>
      <w:proofErr w:type="spellStart"/>
      <w:r w:rsidRPr="00DE1967">
        <w:rPr>
          <w:snapToGrid/>
          <w:szCs w:val="22"/>
          <w:lang w:val="de-DE" w:eastAsia="de-DE"/>
        </w:rPr>
        <w:t>Sulfinpyrazon</w:t>
      </w:r>
      <w:proofErr w:type="spellEnd"/>
      <w:r w:rsidRPr="00DE1967">
        <w:rPr>
          <w:snapToGrid/>
          <w:szCs w:val="22"/>
          <w:lang w:val="de-DE" w:eastAsia="de-DE"/>
        </w:rPr>
        <w:t xml:space="preserve">-Dosis kann sich als notwendig erweisen. Die gleichzeitige Gabe von </w:t>
      </w:r>
      <w:proofErr w:type="spellStart"/>
      <w:r w:rsidRPr="00DE1967">
        <w:rPr>
          <w:snapToGrid/>
          <w:szCs w:val="22"/>
          <w:lang w:val="de-DE" w:eastAsia="de-DE"/>
        </w:rPr>
        <w:t>Thiazid</w:t>
      </w:r>
      <w:proofErr w:type="spellEnd"/>
      <w:r w:rsidRPr="00DE1967">
        <w:rPr>
          <w:snapToGrid/>
          <w:szCs w:val="22"/>
          <w:lang w:val="de-DE" w:eastAsia="de-DE"/>
        </w:rPr>
        <w:t xml:space="preserve"> kann die Häufigkeit von Überempfindlichkeitsreaktionen gegenüber Allopurinol erhöhen.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171E2D"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C</w:t>
      </w:r>
      <w:r w:rsidR="00A34C33" w:rsidRPr="00DE1967">
        <w:rPr>
          <w:snapToGrid/>
          <w:szCs w:val="22"/>
          <w:u w:val="single"/>
          <w:lang w:val="de-DE" w:eastAsia="de-DE"/>
        </w:rPr>
        <w:t>al</w:t>
      </w:r>
      <w:r w:rsidRPr="00DE1967">
        <w:rPr>
          <w:snapToGrid/>
          <w:szCs w:val="22"/>
          <w:u w:val="single"/>
          <w:lang w:val="de-DE" w:eastAsia="de-DE"/>
        </w:rPr>
        <w:t>c</w:t>
      </w:r>
      <w:r w:rsidR="00A34C33" w:rsidRPr="00DE1967">
        <w:rPr>
          <w:snapToGrid/>
          <w:szCs w:val="22"/>
          <w:u w:val="single"/>
          <w:lang w:val="de-DE" w:eastAsia="de-DE"/>
        </w:rPr>
        <w:t>iumsalze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Thiaziddiuretika können durch eine verminderte Ausscheidung die Serum</w:t>
      </w:r>
      <w:r w:rsidR="00171E2D" w:rsidRPr="00DE1967">
        <w:rPr>
          <w:snapToGrid/>
          <w:szCs w:val="22"/>
          <w:lang w:val="de-DE" w:eastAsia="de-DE"/>
        </w:rPr>
        <w:t>c</w:t>
      </w:r>
      <w:r w:rsidRPr="00DE1967">
        <w:rPr>
          <w:snapToGrid/>
          <w:szCs w:val="22"/>
          <w:lang w:val="de-DE" w:eastAsia="de-DE"/>
        </w:rPr>
        <w:t>al</w:t>
      </w:r>
      <w:r w:rsidR="00171E2D" w:rsidRPr="00DE1967">
        <w:rPr>
          <w:snapToGrid/>
          <w:szCs w:val="22"/>
          <w:lang w:val="de-DE" w:eastAsia="de-DE"/>
        </w:rPr>
        <w:t>c</w:t>
      </w:r>
      <w:r w:rsidRPr="00DE1967">
        <w:rPr>
          <w:snapToGrid/>
          <w:szCs w:val="22"/>
          <w:lang w:val="de-DE" w:eastAsia="de-DE"/>
        </w:rPr>
        <w:t xml:space="preserve">iumspiegel erhöhen. Falls </w:t>
      </w:r>
      <w:r w:rsidR="00171E2D" w:rsidRPr="00DE1967">
        <w:rPr>
          <w:snapToGrid/>
          <w:szCs w:val="22"/>
          <w:lang w:val="de-DE" w:eastAsia="de-DE"/>
        </w:rPr>
        <w:t>C</w:t>
      </w:r>
      <w:r w:rsidRPr="00DE1967">
        <w:rPr>
          <w:snapToGrid/>
          <w:szCs w:val="22"/>
          <w:lang w:val="de-DE" w:eastAsia="de-DE"/>
        </w:rPr>
        <w:t>al</w:t>
      </w:r>
      <w:r w:rsidR="00171E2D" w:rsidRPr="00DE1967">
        <w:rPr>
          <w:snapToGrid/>
          <w:szCs w:val="22"/>
          <w:lang w:val="de-DE" w:eastAsia="de-DE"/>
        </w:rPr>
        <w:t>c</w:t>
      </w:r>
      <w:r w:rsidRPr="00DE1967">
        <w:rPr>
          <w:snapToGrid/>
          <w:szCs w:val="22"/>
          <w:lang w:val="de-DE" w:eastAsia="de-DE"/>
        </w:rPr>
        <w:t xml:space="preserve">iumpräparate </w:t>
      </w:r>
      <w:r w:rsidR="00317AD1" w:rsidRPr="00DE1967">
        <w:rPr>
          <w:szCs w:val="22"/>
          <w:lang w:val="de-DE"/>
        </w:rPr>
        <w:t xml:space="preserve">oder </w:t>
      </w:r>
      <w:r w:rsidR="00171E2D" w:rsidRPr="00DE1967">
        <w:rPr>
          <w:szCs w:val="22"/>
          <w:lang w:val="de-DE"/>
        </w:rPr>
        <w:t>c</w:t>
      </w:r>
      <w:r w:rsidR="00317AD1" w:rsidRPr="00DE1967">
        <w:rPr>
          <w:szCs w:val="22"/>
          <w:lang w:val="de-DE"/>
        </w:rPr>
        <w:t>al</w:t>
      </w:r>
      <w:r w:rsidR="00171E2D" w:rsidRPr="00DE1967">
        <w:rPr>
          <w:szCs w:val="22"/>
          <w:lang w:val="de-DE"/>
        </w:rPr>
        <w:t>c</w:t>
      </w:r>
      <w:r w:rsidR="00317AD1" w:rsidRPr="00DE1967">
        <w:rPr>
          <w:szCs w:val="22"/>
          <w:lang w:val="de-DE"/>
        </w:rPr>
        <w:t>iumsparende Arzneimittel (</w:t>
      </w:r>
      <w:r w:rsidR="00433771" w:rsidRPr="00DE1967">
        <w:rPr>
          <w:szCs w:val="22"/>
          <w:lang w:val="de-DE"/>
        </w:rPr>
        <w:t>z. B.</w:t>
      </w:r>
      <w:r w:rsidR="00317AD1" w:rsidRPr="00DE1967">
        <w:rPr>
          <w:szCs w:val="22"/>
          <w:lang w:val="de-DE"/>
        </w:rPr>
        <w:t xml:space="preserve"> Vitamin</w:t>
      </w:r>
      <w:r w:rsidR="00317AD1" w:rsidRPr="00DE1967">
        <w:rPr>
          <w:szCs w:val="22"/>
          <w:lang w:val="de-DE"/>
        </w:rPr>
        <w:noBreakHyphen/>
        <w:t>D</w:t>
      </w:r>
      <w:r w:rsidR="00317AD1" w:rsidRPr="00DE1967">
        <w:rPr>
          <w:szCs w:val="22"/>
          <w:lang w:val="de-DE"/>
        </w:rPr>
        <w:noBreakHyphen/>
        <w:t xml:space="preserve">Therapie) </w:t>
      </w:r>
      <w:r w:rsidRPr="00DE1967">
        <w:rPr>
          <w:snapToGrid/>
          <w:szCs w:val="22"/>
          <w:lang w:val="de-DE" w:eastAsia="de-DE"/>
        </w:rPr>
        <w:t>verschrieben werden müssen, sollten die Serum</w:t>
      </w:r>
      <w:r w:rsidR="00171E2D" w:rsidRPr="00DE1967">
        <w:rPr>
          <w:snapToGrid/>
          <w:szCs w:val="22"/>
          <w:lang w:val="de-DE" w:eastAsia="de-DE"/>
        </w:rPr>
        <w:t>c</w:t>
      </w:r>
      <w:r w:rsidRPr="00DE1967">
        <w:rPr>
          <w:snapToGrid/>
          <w:szCs w:val="22"/>
          <w:lang w:val="de-DE" w:eastAsia="de-DE"/>
        </w:rPr>
        <w:t>al</w:t>
      </w:r>
      <w:r w:rsidR="00171E2D" w:rsidRPr="00DE1967">
        <w:rPr>
          <w:snapToGrid/>
          <w:szCs w:val="22"/>
          <w:lang w:val="de-DE" w:eastAsia="de-DE"/>
        </w:rPr>
        <w:t>c</w:t>
      </w:r>
      <w:r w:rsidRPr="00DE1967">
        <w:rPr>
          <w:snapToGrid/>
          <w:szCs w:val="22"/>
          <w:lang w:val="de-DE" w:eastAsia="de-DE"/>
        </w:rPr>
        <w:t xml:space="preserve">iumspiegel überwacht und die </w:t>
      </w:r>
      <w:r w:rsidR="00171E2D" w:rsidRPr="00DE1967">
        <w:rPr>
          <w:snapToGrid/>
          <w:szCs w:val="22"/>
          <w:lang w:val="de-DE" w:eastAsia="de-DE"/>
        </w:rPr>
        <w:t>C</w:t>
      </w:r>
      <w:r w:rsidRPr="00DE1967">
        <w:rPr>
          <w:snapToGrid/>
          <w:szCs w:val="22"/>
          <w:lang w:val="de-DE" w:eastAsia="de-DE"/>
        </w:rPr>
        <w:t>al</w:t>
      </w:r>
      <w:r w:rsidR="00171E2D" w:rsidRPr="00DE1967">
        <w:rPr>
          <w:snapToGrid/>
          <w:szCs w:val="22"/>
          <w:lang w:val="de-DE" w:eastAsia="de-DE"/>
        </w:rPr>
        <w:t>c</w:t>
      </w:r>
      <w:r w:rsidRPr="00DE1967">
        <w:rPr>
          <w:snapToGrid/>
          <w:szCs w:val="22"/>
          <w:lang w:val="de-DE" w:eastAsia="de-DE"/>
        </w:rPr>
        <w:t>iumdosierung entsprechend angepasst werden.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 xml:space="preserve">β-Blocker und </w:t>
      </w:r>
      <w:proofErr w:type="spellStart"/>
      <w:r w:rsidRPr="00DE1967">
        <w:rPr>
          <w:snapToGrid/>
          <w:szCs w:val="22"/>
          <w:u w:val="single"/>
          <w:lang w:val="de-DE" w:eastAsia="de-DE"/>
        </w:rPr>
        <w:t>Diazoxid</w:t>
      </w:r>
      <w:proofErr w:type="spellEnd"/>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 hyperglykämische Wirkung von β-Blockern und </w:t>
      </w:r>
      <w:proofErr w:type="spellStart"/>
      <w:r w:rsidRPr="00DE1967">
        <w:rPr>
          <w:snapToGrid/>
          <w:szCs w:val="22"/>
          <w:lang w:val="de-DE" w:eastAsia="de-DE"/>
        </w:rPr>
        <w:t>Diazoxid</w:t>
      </w:r>
      <w:proofErr w:type="spellEnd"/>
      <w:r w:rsidRPr="00DE1967">
        <w:rPr>
          <w:snapToGrid/>
          <w:szCs w:val="22"/>
          <w:lang w:val="de-DE" w:eastAsia="de-DE"/>
        </w:rPr>
        <w:t xml:space="preserve"> kann durch Thiazide verstärkt werden.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u w:val="single"/>
          <w:lang w:val="de-DE" w:eastAsia="de-DE"/>
        </w:rPr>
        <w:t xml:space="preserve">Anticholinergika </w:t>
      </w:r>
      <w:r w:rsidRPr="00DE1967">
        <w:rPr>
          <w:snapToGrid/>
          <w:szCs w:val="22"/>
          <w:lang w:val="de-DE" w:eastAsia="de-DE"/>
        </w:rPr>
        <w:t>(</w:t>
      </w:r>
      <w:r w:rsidR="00433771" w:rsidRPr="00DE1967">
        <w:rPr>
          <w:snapToGrid/>
          <w:szCs w:val="22"/>
          <w:lang w:val="de-DE" w:eastAsia="de-DE"/>
        </w:rPr>
        <w:t>z. B.</w:t>
      </w:r>
      <w:r w:rsidRPr="00DE1967">
        <w:rPr>
          <w:snapToGrid/>
          <w:szCs w:val="22"/>
          <w:lang w:val="de-DE" w:eastAsia="de-DE"/>
        </w:rPr>
        <w:t xml:space="preserve"> Atropin, </w:t>
      </w:r>
      <w:proofErr w:type="spellStart"/>
      <w:r w:rsidRPr="00DE1967">
        <w:rPr>
          <w:snapToGrid/>
          <w:szCs w:val="22"/>
          <w:lang w:val="de-DE" w:eastAsia="de-DE"/>
        </w:rPr>
        <w:t>Biperiden</w:t>
      </w:r>
      <w:proofErr w:type="spellEnd"/>
      <w:r w:rsidRPr="00DE1967">
        <w:rPr>
          <w:snapToGrid/>
          <w:szCs w:val="22"/>
          <w:lang w:val="de-DE" w:eastAsia="de-DE"/>
        </w:rPr>
        <w:t xml:space="preserve">) können die Bioverfügbarkeit von </w:t>
      </w:r>
      <w:proofErr w:type="spellStart"/>
      <w:r w:rsidRPr="00DE1967">
        <w:rPr>
          <w:snapToGrid/>
          <w:szCs w:val="22"/>
          <w:lang w:val="de-DE" w:eastAsia="de-DE"/>
        </w:rPr>
        <w:t>Thiazid</w:t>
      </w:r>
      <w:proofErr w:type="spellEnd"/>
      <w:r w:rsidRPr="00DE1967">
        <w:rPr>
          <w:snapToGrid/>
          <w:szCs w:val="22"/>
          <w:lang w:val="de-DE" w:eastAsia="de-DE"/>
        </w:rPr>
        <w:t>-artigen Diuretika durch eine Verringerung der Magen- und Darmmotilität und eine Verlangsamung der Magenentleerung erhöhen.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Amantadin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Thiazide können das Nebenwirkungsrisiko von Amantadin erhöhen.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Zytotoxische Wirkstoffe</w:t>
      </w:r>
      <w:r w:rsidRPr="00DE1967">
        <w:rPr>
          <w:snapToGrid/>
          <w:szCs w:val="22"/>
          <w:lang w:val="de-DE" w:eastAsia="de-DE"/>
        </w:rPr>
        <w:t xml:space="preserve"> (</w:t>
      </w:r>
      <w:r w:rsidR="00433771" w:rsidRPr="00DE1967">
        <w:rPr>
          <w:snapToGrid/>
          <w:szCs w:val="22"/>
          <w:lang w:val="de-DE" w:eastAsia="de-DE"/>
        </w:rPr>
        <w:t>z. B.</w:t>
      </w:r>
      <w:r w:rsidRPr="00DE1967">
        <w:rPr>
          <w:snapToGrid/>
          <w:szCs w:val="22"/>
          <w:lang w:val="de-DE" w:eastAsia="de-DE"/>
        </w:rPr>
        <w:t xml:space="preserve"> Cyclophosphamid, Methotrexat)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Thiazide können die renale Ausscheidung zytotoxischer Arzneimittel verringern und deren </w:t>
      </w:r>
      <w:proofErr w:type="spellStart"/>
      <w:r w:rsidRPr="00DE1967">
        <w:rPr>
          <w:snapToGrid/>
          <w:szCs w:val="22"/>
          <w:lang w:val="de-DE" w:eastAsia="de-DE"/>
        </w:rPr>
        <w:t>myelosuppressiven</w:t>
      </w:r>
      <w:proofErr w:type="spellEnd"/>
      <w:r w:rsidRPr="00DE1967">
        <w:rPr>
          <w:snapToGrid/>
          <w:szCs w:val="22"/>
          <w:lang w:val="de-DE" w:eastAsia="de-DE"/>
        </w:rPr>
        <w:t xml:space="preserve"> Effekt verstärken.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544F89"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Basierend auf deren pharmakologischen Eigenschaften ist zu erwarten, dass die folgenden Arzneimittel die blutdrucksenkende Wirkung aller Antihypertensiva einschließlich Telmisartan verstärken können: </w:t>
      </w:r>
      <w:proofErr w:type="spellStart"/>
      <w:r w:rsidRPr="00DE1967">
        <w:rPr>
          <w:snapToGrid/>
          <w:szCs w:val="22"/>
          <w:lang w:val="de-DE" w:eastAsia="de-DE"/>
        </w:rPr>
        <w:t>Baclofen</w:t>
      </w:r>
      <w:proofErr w:type="spellEnd"/>
      <w:r w:rsidRPr="00DE1967">
        <w:rPr>
          <w:snapToGrid/>
          <w:szCs w:val="22"/>
          <w:lang w:val="de-DE" w:eastAsia="de-DE"/>
        </w:rPr>
        <w:t xml:space="preserve">, </w:t>
      </w:r>
      <w:proofErr w:type="spellStart"/>
      <w:r w:rsidRPr="00DE1967">
        <w:rPr>
          <w:snapToGrid/>
          <w:szCs w:val="22"/>
          <w:lang w:val="de-DE" w:eastAsia="de-DE"/>
        </w:rPr>
        <w:t>Amifostin</w:t>
      </w:r>
      <w:proofErr w:type="spellEnd"/>
      <w:r w:rsidRPr="00DE1967">
        <w:rPr>
          <w:snapToGrid/>
          <w:szCs w:val="22"/>
          <w:lang w:val="de-DE" w:eastAsia="de-DE"/>
        </w:rPr>
        <w: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Darüber hinaus kann eine orthostatische Hypotonie durch Alkohol, Barbiturate, Narkotika oder Antidepressiva weiter verschlechtert werden.</w:t>
      </w:r>
    </w:p>
    <w:p w:rsidR="00A34C33" w:rsidRPr="00DE1967" w:rsidRDefault="00A34C33" w:rsidP="0003742E">
      <w:pPr>
        <w:widowControl w:val="0"/>
        <w:tabs>
          <w:tab w:val="clear" w:pos="567"/>
        </w:tabs>
        <w:autoSpaceDE w:val="0"/>
        <w:autoSpaceDN w:val="0"/>
        <w:adjustRightInd w:val="0"/>
        <w:spacing w:line="240" w:lineRule="auto"/>
        <w:rPr>
          <w:szCs w:val="22"/>
          <w:lang w:val="de-DE"/>
        </w:rPr>
      </w:pPr>
    </w:p>
    <w:p w:rsidR="00A34C33" w:rsidRPr="00DE1967" w:rsidRDefault="00A34C33" w:rsidP="0003742E">
      <w:pPr>
        <w:widowControl w:val="0"/>
        <w:spacing w:line="240" w:lineRule="auto"/>
        <w:ind w:left="567" w:hanging="567"/>
        <w:outlineLvl w:val="0"/>
        <w:rPr>
          <w:szCs w:val="22"/>
          <w:lang w:val="de-DE"/>
        </w:rPr>
      </w:pPr>
      <w:r w:rsidRPr="00DE1967">
        <w:rPr>
          <w:b/>
          <w:szCs w:val="22"/>
          <w:lang w:val="de-DE"/>
        </w:rPr>
        <w:t>4.6</w:t>
      </w:r>
      <w:r w:rsidRPr="00DE1967">
        <w:rPr>
          <w:b/>
          <w:szCs w:val="22"/>
          <w:lang w:val="de-DE"/>
        </w:rPr>
        <w:tab/>
      </w:r>
      <w:r w:rsidRPr="00DE1967">
        <w:rPr>
          <w:b/>
          <w:noProof/>
          <w:szCs w:val="22"/>
          <w:lang w:val="de-DE"/>
        </w:rPr>
        <w:t>Fertilität, Schwangerschaft und Stillzeit</w:t>
      </w:r>
    </w:p>
    <w:p w:rsidR="00A34C33" w:rsidRPr="00DE1967" w:rsidRDefault="00A34C33" w:rsidP="0003742E">
      <w:pPr>
        <w:widowControl w:val="0"/>
        <w:spacing w:line="240" w:lineRule="auto"/>
        <w:rPr>
          <w:i/>
          <w:szCs w:val="22"/>
          <w:lang w:val="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Schwangerschaft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pBdr>
          <w:top w:val="single" w:sz="4" w:space="1" w:color="auto"/>
          <w:left w:val="single" w:sz="4" w:space="4" w:color="auto"/>
          <w:bottom w:val="single" w:sz="4" w:space="1" w:color="auto"/>
          <w:right w:val="single" w:sz="4" w:space="4" w:color="auto"/>
        </w:pBdr>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Die Anwendung von Angiotensin-II-Rezeptor-Antagonisten wird im ersten Schwangerschaftsdrittel nicht empfohlen (siehe Abschnitt 4.4). Die Anwendung von Angiotensin-II-Rezeptor-Antagonisten ist im zweiten und dritten Schwangerschaftsdrittel kontraindiziert (siehe Abschnitte 4.3 und 4.4).</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Es liegen keine hinreichenden Daten für die Verwendung von </w:t>
      </w:r>
      <w:proofErr w:type="spellStart"/>
      <w:r w:rsidRPr="00DE1967">
        <w:rPr>
          <w:szCs w:val="22"/>
          <w:lang w:val="de-DE"/>
        </w:rPr>
        <w:t>Tolucombi</w:t>
      </w:r>
      <w:proofErr w:type="spellEnd"/>
      <w:r w:rsidRPr="00DE1967">
        <w:rPr>
          <w:snapToGrid/>
          <w:szCs w:val="22"/>
          <w:lang w:val="de-DE" w:eastAsia="de-DE"/>
        </w:rPr>
        <w:t xml:space="preserve"> bei Schwangeren vor. Tierexperimentelle Studien haben eine Reproduktionstoxizität gezeigt (siehe Abschnitt 5.3).</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Es liegen keine endgültigen epidemiologischen Daten hinsichtlich eines </w:t>
      </w:r>
      <w:proofErr w:type="spellStart"/>
      <w:r w:rsidRPr="00DE1967">
        <w:rPr>
          <w:snapToGrid/>
          <w:szCs w:val="22"/>
          <w:lang w:val="de-DE" w:eastAsia="de-DE"/>
        </w:rPr>
        <w:t>Teratogenitätsrisikos</w:t>
      </w:r>
      <w:proofErr w:type="spellEnd"/>
      <w:r w:rsidRPr="00DE1967">
        <w:rPr>
          <w:snapToGrid/>
          <w:szCs w:val="22"/>
          <w:lang w:val="de-DE" w:eastAsia="de-DE"/>
        </w:rPr>
        <w:t xml:space="preserve"> nach Exposition mit ACE-Hemmern während des ersten Schwangerschaftsdrittels vor. Ein geringfügig erhöhtes Risiko kann jedoch nicht ausgeschlossen werden. Solange keine kontrollierten epidemiologischen Daten hinsichtlich des Risikos der Anwendung von Angiotensin-II-Rezeptor-Antagonisten vorliegen, muss ein dieser Substanzklasse entsprechendes Risiko angenommen werden. Sofern ein Fortsetzen der Angiotensin-II-Rezeptor-Antagonisten-Therapie nicht als notwendig erachtet wird, sollten Patientinnen, die planen schwanger zu werden, auf eine alternative antihypertensive Therapie mit bewährtem Sicherheitsprofil für Schwangere umgestellt werden. Wird eine Schwangerschaft festgestellt, ist eine Therapie mit Angiotensin-II-Rezeptor-Antagonisten unverzüglich zu beenden und, wenn erforderlich, eine alternative Therapie zu beginnen.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306D41" w:rsidRPr="00DE1967" w:rsidRDefault="00306D41"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Es ist bekannt, dass eine Therapie mit Angiotensin-II-Rezeptor-Antagonisten während des zweiten und dritten Schwangerschaftsdrittels eine humane </w:t>
      </w:r>
      <w:proofErr w:type="spellStart"/>
      <w:r w:rsidRPr="00DE1967">
        <w:rPr>
          <w:snapToGrid/>
          <w:szCs w:val="22"/>
          <w:lang w:val="de-DE" w:eastAsia="de-DE"/>
        </w:rPr>
        <w:t>Fetotoxizität</w:t>
      </w:r>
      <w:proofErr w:type="spellEnd"/>
      <w:r w:rsidRPr="00DE1967">
        <w:rPr>
          <w:snapToGrid/>
          <w:szCs w:val="22"/>
          <w:lang w:val="de-DE" w:eastAsia="de-DE"/>
        </w:rPr>
        <w:t xml:space="preserve"> (verminderte Nierenfunktion, Oligohydramnion, Verzögerung der Schädelossifikation) und neonatale Toxizität (Nierenversagen, Hypotonie, Hyperkaliämie) auslöst (siehe Abschnitt 5.3). Im Falle einer Exposition mit Angiotensin-II-Rezeptor-Antagonisten ab dem zweiten Schwangerschaftsdrittel sind Ultraschalluntersuchungen der Nierenfunktion und des Schädels empfohlen.</w:t>
      </w:r>
    </w:p>
    <w:p w:rsidR="00306D41" w:rsidRPr="00DE1967" w:rsidRDefault="00306D41"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Säuglinge, deren Mütter Angiotensin-II-Rezeptor-Antagonisten eingenommen haben, sollten engmaschig auf Hypotonie untersucht werden (siehe Abschnitte 4.3 und 4.4).</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Es liegen nur begrenzte Erfahrungen mit der Anwendung von Hydrochlorothiazid in der Schwangerschaft vor, insbesondere während des ersten Trimesters. Ergebnisse aus Tierstudien sind unzureichend. Hydrochlorothiazid ist plazentagängig. Aufgrund des pharmakologischen Wirkmechanismus von Hydrochlorothiazid kann es bei Anwendung während des zweiten und dritten Trimesters zu einer Störung der </w:t>
      </w:r>
      <w:proofErr w:type="spellStart"/>
      <w:r w:rsidRPr="00DE1967">
        <w:rPr>
          <w:snapToGrid/>
          <w:szCs w:val="22"/>
          <w:lang w:val="de-DE" w:eastAsia="de-DE"/>
        </w:rPr>
        <w:t>fetoplazentaren</w:t>
      </w:r>
      <w:proofErr w:type="spellEnd"/>
      <w:r w:rsidRPr="00DE1967">
        <w:rPr>
          <w:snapToGrid/>
          <w:szCs w:val="22"/>
          <w:lang w:val="de-DE" w:eastAsia="de-DE"/>
        </w:rPr>
        <w:t xml:space="preserve"> Perfusion und zu fetalen und neonatalen Auswirkungen wie Ikterus, Störung des Elektrolythaushalts und </w:t>
      </w:r>
      <w:proofErr w:type="spellStart"/>
      <w:r w:rsidRPr="00DE1967">
        <w:rPr>
          <w:snapToGrid/>
          <w:szCs w:val="22"/>
          <w:lang w:val="de-DE" w:eastAsia="de-DE"/>
        </w:rPr>
        <w:t>Thrombozytopenien</w:t>
      </w:r>
      <w:proofErr w:type="spellEnd"/>
      <w:r w:rsidRPr="00DE1967">
        <w:rPr>
          <w:snapToGrid/>
          <w:szCs w:val="22"/>
          <w:lang w:val="de-DE" w:eastAsia="de-DE"/>
        </w:rPr>
        <w:t xml:space="preserve"> kommen.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Aufgrund des Risikos eines verringerten Plasmavolumens und einer plazentaren Hypoperfusion, ohne den Krankheitsverlauf günstig zu beeinflussen, sollte Hydrochlorothiazid bei Schwangerschaftsödemen, Schwangerschaftshypertonie oder einer Präeklampsie nicht angewendet werden.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Bei essentieller Hypertonie schwangerer Frauen sollte Hydrochlorothiazid nur in den seltenen Fällen, in denen keine andere Behandlung möglich ist, angewendet werden.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Stillzeit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Da keine Informationen hinsichtlich der Einnahme von </w:t>
      </w:r>
      <w:proofErr w:type="spellStart"/>
      <w:r w:rsidRPr="00DE1967">
        <w:rPr>
          <w:szCs w:val="22"/>
          <w:lang w:val="de-DE"/>
        </w:rPr>
        <w:t>Tolucombi</w:t>
      </w:r>
      <w:proofErr w:type="spellEnd"/>
      <w:r w:rsidRPr="00DE1967">
        <w:rPr>
          <w:snapToGrid/>
          <w:szCs w:val="22"/>
          <w:lang w:val="de-DE" w:eastAsia="de-DE"/>
        </w:rPr>
        <w:t xml:space="preserve"> während der Stillzeit vorliegen, wird </w:t>
      </w:r>
      <w:proofErr w:type="spellStart"/>
      <w:r w:rsidRPr="00DE1967">
        <w:rPr>
          <w:szCs w:val="22"/>
          <w:lang w:val="de-DE"/>
        </w:rPr>
        <w:t>Tolucombi</w:t>
      </w:r>
      <w:proofErr w:type="spellEnd"/>
      <w:r w:rsidRPr="00DE1967">
        <w:rPr>
          <w:snapToGrid/>
          <w:szCs w:val="22"/>
          <w:lang w:val="de-DE" w:eastAsia="de-DE"/>
        </w:rPr>
        <w:t xml:space="preserve"> nicht empfohlen. Alternative Behandlungen mit in der Stillzeit besser etablierten Sicherheitsprofilen sind, insbesondere während des Stillens von Neugeborenen oder Frühgeborenen, zu bevorzugen.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544F89"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Hydrochlorothiazid wird in geringen Mengen in die Muttermilch abgegeben. Thiazide in hohen Dosierungen, die eine intensive Diurese hervorrufen, können die Milchproduktion hemmen. Die Anwendung von </w:t>
      </w:r>
      <w:proofErr w:type="spellStart"/>
      <w:r w:rsidRPr="00DE1967">
        <w:rPr>
          <w:szCs w:val="22"/>
          <w:lang w:val="de-DE"/>
        </w:rPr>
        <w:t>Tolucombi</w:t>
      </w:r>
      <w:proofErr w:type="spellEnd"/>
      <w:r w:rsidRPr="00DE1967">
        <w:rPr>
          <w:szCs w:val="22"/>
          <w:lang w:val="de-DE"/>
        </w:rPr>
        <w:t xml:space="preserve"> </w:t>
      </w:r>
      <w:r w:rsidRPr="00DE1967">
        <w:rPr>
          <w:snapToGrid/>
          <w:szCs w:val="22"/>
          <w:lang w:val="de-DE" w:eastAsia="de-DE"/>
        </w:rPr>
        <w:t xml:space="preserve">während der Stillzeit wird nicht empfohlen. Falls </w:t>
      </w:r>
      <w:proofErr w:type="spellStart"/>
      <w:r w:rsidRPr="00DE1967">
        <w:rPr>
          <w:szCs w:val="22"/>
          <w:lang w:val="de-DE"/>
        </w:rPr>
        <w:t>Tolucombi</w:t>
      </w:r>
      <w:proofErr w:type="spellEnd"/>
      <w:r w:rsidRPr="00DE1967">
        <w:rPr>
          <w:szCs w:val="22"/>
          <w:lang w:val="de-DE"/>
        </w:rPr>
        <w:t xml:space="preserve"> </w:t>
      </w:r>
      <w:r w:rsidRPr="00DE1967">
        <w:rPr>
          <w:snapToGrid/>
          <w:szCs w:val="22"/>
          <w:lang w:val="de-DE" w:eastAsia="de-DE"/>
        </w:rPr>
        <w:t>während der Stillzeit angewendet wird, sollten die Dosen so niedrig wie möglich gehalten werden.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Fertilität</w:t>
      </w:r>
    </w:p>
    <w:p w:rsidR="006621D3" w:rsidRPr="00DE1967" w:rsidRDefault="006621D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 tierexperimentellen Studien mit Telmisartan und Hydrochlorothiazid wurden keine Effekte auf die männliche und weibliche Fertilität beobachtet.</w:t>
      </w:r>
    </w:p>
    <w:p w:rsidR="00A34C33" w:rsidRPr="00DE1967" w:rsidRDefault="00A34C33" w:rsidP="0003742E">
      <w:pPr>
        <w:widowControl w:val="0"/>
        <w:tabs>
          <w:tab w:val="clear" w:pos="567"/>
        </w:tabs>
        <w:autoSpaceDE w:val="0"/>
        <w:autoSpaceDN w:val="0"/>
        <w:adjustRightInd w:val="0"/>
        <w:spacing w:line="240" w:lineRule="auto"/>
        <w:rPr>
          <w:i/>
          <w:szCs w:val="22"/>
          <w:lang w:val="de-DE"/>
        </w:rPr>
      </w:pPr>
    </w:p>
    <w:p w:rsidR="00A34C33" w:rsidRPr="00DE1967" w:rsidRDefault="00A34C33" w:rsidP="0003742E">
      <w:pPr>
        <w:widowControl w:val="0"/>
        <w:spacing w:line="240" w:lineRule="auto"/>
        <w:ind w:left="567" w:hanging="567"/>
        <w:outlineLvl w:val="0"/>
        <w:rPr>
          <w:szCs w:val="22"/>
          <w:lang w:val="de-DE"/>
        </w:rPr>
      </w:pPr>
      <w:r w:rsidRPr="00DE1967">
        <w:rPr>
          <w:b/>
          <w:szCs w:val="22"/>
          <w:lang w:val="de-DE"/>
        </w:rPr>
        <w:t>4.7</w:t>
      </w:r>
      <w:r w:rsidRPr="00DE1967">
        <w:rPr>
          <w:b/>
          <w:szCs w:val="22"/>
          <w:lang w:val="de-DE"/>
        </w:rPr>
        <w:tab/>
      </w:r>
      <w:r w:rsidRPr="00DE1967">
        <w:rPr>
          <w:b/>
          <w:noProof/>
          <w:szCs w:val="22"/>
          <w:lang w:val="de-DE"/>
        </w:rPr>
        <w:t>Auswirkungen auf die Verkehrstüchtigkeit und die Fähigkeit zum Bedienen von Maschinen</w:t>
      </w:r>
    </w:p>
    <w:p w:rsidR="00F323B2" w:rsidRPr="00DE1967" w:rsidRDefault="00F323B2" w:rsidP="0003742E">
      <w:pPr>
        <w:widowControl w:val="0"/>
        <w:spacing w:line="240" w:lineRule="auto"/>
        <w:rPr>
          <w:szCs w:val="22"/>
          <w:lang w:val="de-DE"/>
        </w:rPr>
      </w:pPr>
    </w:p>
    <w:p w:rsidR="00604DEC" w:rsidRPr="00DE1967" w:rsidRDefault="00604DEC" w:rsidP="00A27A4F">
      <w:pPr>
        <w:widowControl w:val="0"/>
        <w:tabs>
          <w:tab w:val="clear" w:pos="567"/>
        </w:tabs>
        <w:autoSpaceDE w:val="0"/>
        <w:autoSpaceDN w:val="0"/>
        <w:adjustRightInd w:val="0"/>
        <w:spacing w:line="240" w:lineRule="auto"/>
        <w:rPr>
          <w:szCs w:val="22"/>
          <w:lang w:val="de-DE"/>
        </w:rPr>
      </w:pPr>
      <w:proofErr w:type="spellStart"/>
      <w:r w:rsidRPr="00DE1967">
        <w:rPr>
          <w:szCs w:val="22"/>
          <w:lang w:val="de-DE"/>
        </w:rPr>
        <w:t>Tolucombi</w:t>
      </w:r>
      <w:proofErr w:type="spellEnd"/>
      <w:r w:rsidR="00C842BE" w:rsidRPr="00DE1967">
        <w:rPr>
          <w:szCs w:val="22"/>
          <w:lang w:val="de-DE"/>
        </w:rPr>
        <w:t xml:space="preserve"> kann die Verkehrstüchtigkeit und die Fähigkeit zum Bedienen von Maschinen beeinflussen. Bei der Einnahme von </w:t>
      </w:r>
      <w:proofErr w:type="spellStart"/>
      <w:r w:rsidRPr="00DE1967">
        <w:rPr>
          <w:szCs w:val="22"/>
          <w:lang w:val="de-DE"/>
        </w:rPr>
        <w:t>Tolucombi</w:t>
      </w:r>
      <w:proofErr w:type="spellEnd"/>
      <w:r w:rsidR="00C842BE" w:rsidRPr="00DE1967">
        <w:rPr>
          <w:szCs w:val="22"/>
          <w:lang w:val="de-DE"/>
        </w:rPr>
        <w:t xml:space="preserve"> kann gelegentlich Schwindelgefühl oder Müdigkeit auftreten.</w:t>
      </w:r>
    </w:p>
    <w:p w:rsidR="00D75747" w:rsidRPr="00DE1967" w:rsidRDefault="00D75747" w:rsidP="0003742E">
      <w:pPr>
        <w:widowControl w:val="0"/>
        <w:tabs>
          <w:tab w:val="clear" w:pos="567"/>
        </w:tabs>
        <w:autoSpaceDE w:val="0"/>
        <w:autoSpaceDN w:val="0"/>
        <w:adjustRightInd w:val="0"/>
        <w:spacing w:line="240" w:lineRule="auto"/>
        <w:rPr>
          <w:szCs w:val="22"/>
          <w:lang w:val="de-DE"/>
        </w:rPr>
      </w:pPr>
    </w:p>
    <w:p w:rsidR="00A34C33" w:rsidRPr="00DE1967" w:rsidRDefault="00A34C33" w:rsidP="0003742E">
      <w:pPr>
        <w:widowControl w:val="0"/>
        <w:tabs>
          <w:tab w:val="clear" w:pos="567"/>
        </w:tabs>
        <w:snapToGrid w:val="0"/>
        <w:spacing w:line="240" w:lineRule="auto"/>
        <w:ind w:left="567" w:hanging="567"/>
        <w:outlineLvl w:val="0"/>
        <w:rPr>
          <w:b/>
          <w:noProof/>
          <w:szCs w:val="22"/>
          <w:lang w:val="de-DE"/>
        </w:rPr>
      </w:pPr>
      <w:r w:rsidRPr="00DE1967">
        <w:rPr>
          <w:b/>
          <w:noProof/>
          <w:szCs w:val="22"/>
          <w:lang w:val="de-DE"/>
        </w:rPr>
        <w:t>4.8</w:t>
      </w:r>
      <w:r w:rsidRPr="00DE1967">
        <w:rPr>
          <w:b/>
          <w:noProof/>
          <w:szCs w:val="22"/>
          <w:lang w:val="de-DE"/>
        </w:rPr>
        <w:tab/>
        <w:t>Nebenwirkungen</w:t>
      </w:r>
    </w:p>
    <w:p w:rsidR="00A34C33" w:rsidRPr="00DE1967" w:rsidRDefault="00A34C33" w:rsidP="0003742E">
      <w:pPr>
        <w:widowControl w:val="0"/>
        <w:autoSpaceDE w:val="0"/>
        <w:autoSpaceDN w:val="0"/>
        <w:adjustRightInd w:val="0"/>
        <w:spacing w:line="240" w:lineRule="auto"/>
        <w:jc w:val="both"/>
        <w:rPr>
          <w:szCs w:val="22"/>
          <w:lang w:val="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Zusammenfassung des Sicherheitsprofils</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Die am häufigsten vorkommende Nebenwirkung war Schwindelgefühl. Ein schwerwiegendes Angioödem kann selten auftreten (≥ 1/10.000</w:t>
      </w:r>
      <w:r w:rsidR="00171E2D" w:rsidRPr="00DE1967">
        <w:rPr>
          <w:snapToGrid/>
          <w:szCs w:val="22"/>
          <w:lang w:val="de-DE" w:eastAsia="de-DE"/>
        </w:rPr>
        <w:t>,</w:t>
      </w:r>
      <w:r w:rsidRPr="00DE1967">
        <w:rPr>
          <w:snapToGrid/>
          <w:szCs w:val="22"/>
          <w:lang w:val="de-DE" w:eastAsia="de-DE"/>
        </w:rPr>
        <w:t xml:space="preserve"> &lt; 1/1.000).</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0B6E6E"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Die Häufigkeit und das Muster der berichteten Nebenwirkungen unter Telmisartan/Hydrochlorothiazid 80</w:t>
      </w:r>
      <w:r w:rsidR="00023E2B" w:rsidRPr="00DE1967">
        <w:rPr>
          <w:snapToGrid/>
          <w:szCs w:val="22"/>
          <w:lang w:val="de-DE" w:eastAsia="de-DE"/>
        </w:rPr>
        <w:t> mg</w:t>
      </w:r>
      <w:r w:rsidRPr="00DE1967">
        <w:rPr>
          <w:snapToGrid/>
          <w:szCs w:val="22"/>
          <w:lang w:val="de-DE" w:eastAsia="de-DE"/>
        </w:rPr>
        <w:t>/25</w:t>
      </w:r>
      <w:r w:rsidR="00023E2B" w:rsidRPr="00DE1967">
        <w:rPr>
          <w:snapToGrid/>
          <w:szCs w:val="22"/>
          <w:lang w:val="de-DE" w:eastAsia="de-DE"/>
        </w:rPr>
        <w:t> mg</w:t>
      </w:r>
      <w:r w:rsidRPr="00DE1967">
        <w:rPr>
          <w:snapToGrid/>
          <w:szCs w:val="22"/>
          <w:lang w:val="de-DE" w:eastAsia="de-DE"/>
        </w:rPr>
        <w:t xml:space="preserve"> war mit der unter Telmisartan/Hydrochlorothiazid 80</w:t>
      </w:r>
      <w:r w:rsidR="00023E2B" w:rsidRPr="00DE1967">
        <w:rPr>
          <w:szCs w:val="22"/>
          <w:lang w:val="de-DE"/>
        </w:rPr>
        <w:t> mg</w:t>
      </w:r>
      <w:r w:rsidRPr="00DE1967">
        <w:rPr>
          <w:snapToGrid/>
          <w:szCs w:val="22"/>
          <w:lang w:val="de-DE" w:eastAsia="de-DE"/>
        </w:rPr>
        <w:t>/12,5</w:t>
      </w:r>
      <w:r w:rsidR="00023E2B" w:rsidRPr="00DE1967">
        <w:rPr>
          <w:snapToGrid/>
          <w:szCs w:val="22"/>
          <w:lang w:val="de-DE" w:eastAsia="de-DE"/>
        </w:rPr>
        <w:t> mg</w:t>
      </w:r>
      <w:r w:rsidRPr="00DE1967">
        <w:rPr>
          <w:snapToGrid/>
          <w:szCs w:val="22"/>
          <w:lang w:val="de-DE" w:eastAsia="de-DE"/>
        </w:rPr>
        <w:t xml:space="preserve"> vergleichbar. Die Häufigkeit der Nebenwirkungen war nicht dosisbezogen und korrelierte nicht mit Geschlecht, Alter oder ethnischer Zugehörigkeit der Patienten.</w:t>
      </w:r>
    </w:p>
    <w:p w:rsidR="000B6E6E" w:rsidRPr="00DE1967" w:rsidRDefault="000B6E6E" w:rsidP="0003742E">
      <w:pPr>
        <w:widowControl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 xml:space="preserve">Tabellarische </w:t>
      </w:r>
      <w:r w:rsidR="00A27A4F" w:rsidRPr="00DE1967">
        <w:rPr>
          <w:snapToGrid/>
          <w:szCs w:val="22"/>
          <w:u w:val="single"/>
          <w:lang w:val="de-DE" w:eastAsia="de-DE"/>
        </w:rPr>
        <w:t xml:space="preserve">Auflistung </w:t>
      </w:r>
      <w:r w:rsidRPr="00DE1967">
        <w:rPr>
          <w:snapToGrid/>
          <w:szCs w:val="22"/>
          <w:u w:val="single"/>
          <w:lang w:val="de-DE" w:eastAsia="de-DE"/>
        </w:rPr>
        <w:t>der Nebenwirkungen</w:t>
      </w: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 der nachfolgenden Tabelle werden die Nebenwirkungen, die in allen klinischen Studien und häufiger (p ≤</w:t>
      </w:r>
      <w:r w:rsidR="00806EDB" w:rsidRPr="00DE1967">
        <w:rPr>
          <w:snapToGrid/>
          <w:szCs w:val="22"/>
          <w:lang w:val="de-DE" w:eastAsia="de-DE"/>
        </w:rPr>
        <w:t> </w:t>
      </w:r>
      <w:r w:rsidRPr="00DE1967">
        <w:rPr>
          <w:snapToGrid/>
          <w:szCs w:val="22"/>
          <w:lang w:val="de-DE" w:eastAsia="de-DE"/>
        </w:rPr>
        <w:t xml:space="preserve">0,05) unter Telmisartan plus Hydrochlorothiazid als unter Placebo auftraten, nach System-Organ-Klassen zusammengefasst. Nebenwirkungen, die bekanntermaßen nach Gabe der Einzelwirkstoffe auftreten, jedoch nicht in den klinischen Prüfungen gesehen wurden, können auch während der Behandlung mit </w:t>
      </w:r>
      <w:proofErr w:type="spellStart"/>
      <w:r w:rsidRPr="00DE1967">
        <w:rPr>
          <w:snapToGrid/>
          <w:szCs w:val="22"/>
          <w:lang w:val="de-DE" w:eastAsia="de-DE"/>
        </w:rPr>
        <w:t>Tolucombi</w:t>
      </w:r>
      <w:proofErr w:type="spellEnd"/>
      <w:r w:rsidRPr="00DE1967">
        <w:rPr>
          <w:snapToGrid/>
          <w:szCs w:val="22"/>
          <w:lang w:val="de-DE" w:eastAsia="de-DE"/>
        </w:rPr>
        <w:t xml:space="preserve"> auftreten.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Die Nebenwirkungen sind nach Häufigkeit geordnet gemäß folgender Definition: sehr häufig (≥ 1/10); häufig (≥ 1/100, &lt; 1/10); gelegentlich (≥ 1/1.000, &lt; 1/100); selten (≥ 1/10.000, &lt; 1/1.000); sehr selten (&lt; 1/10.000), nicht bekannt (Häufigkeit auf Grundlage der verfügbaren Daten nicht abschätzbar).</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Innerhalb jeder Häufigkeitsgruppe werden die Nebenwirkungen nach abnehmendem Schweregrad angegeben.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Infektionen und parasitäre Erkrankungen</w:t>
      </w:r>
    </w:p>
    <w:p w:rsidR="00A34C33" w:rsidRPr="00DE1967" w:rsidRDefault="00A34C33" w:rsidP="0003742E">
      <w:pPr>
        <w:widowControl w:val="0"/>
        <w:tabs>
          <w:tab w:val="clear" w:pos="567"/>
          <w:tab w:val="left" w:pos="2268"/>
        </w:tabs>
        <w:autoSpaceDE w:val="0"/>
        <w:autoSpaceDN w:val="0"/>
        <w:adjustRightInd w:val="0"/>
        <w:spacing w:line="240" w:lineRule="auto"/>
        <w:ind w:left="720"/>
        <w:rPr>
          <w:snapToGrid/>
          <w:szCs w:val="22"/>
          <w:lang w:val="de-DE" w:eastAsia="de-DE"/>
        </w:rPr>
      </w:pPr>
      <w:r w:rsidRPr="00DE1967">
        <w:rPr>
          <w:snapToGrid/>
          <w:szCs w:val="22"/>
          <w:lang w:val="de-DE" w:eastAsia="de-DE"/>
        </w:rPr>
        <w:t>Selten:</w:t>
      </w:r>
      <w:r w:rsidRPr="00DE1967">
        <w:rPr>
          <w:snapToGrid/>
          <w:szCs w:val="22"/>
          <w:lang w:val="de-DE" w:eastAsia="de-DE"/>
        </w:rPr>
        <w:tab/>
      </w:r>
      <w:r w:rsidR="00306D41" w:rsidRPr="00DE1967">
        <w:rPr>
          <w:snapToGrid/>
          <w:szCs w:val="22"/>
          <w:lang w:val="de-DE" w:eastAsia="de-DE"/>
        </w:rPr>
        <w:t>Bronchitis, Pharyngitis, Sinusitis</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Immunsystems</w:t>
      </w:r>
    </w:p>
    <w:p w:rsidR="00A34C33" w:rsidRPr="00DE1967" w:rsidRDefault="00A34C3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 xml:space="preserve">Selten: </w:t>
      </w:r>
      <w:r w:rsidRPr="00DE1967">
        <w:rPr>
          <w:snapToGrid/>
          <w:szCs w:val="22"/>
          <w:lang w:val="de-DE" w:eastAsia="de-DE"/>
        </w:rPr>
        <w:tab/>
        <w:t>Exazerbation oder Aktivierung eines systemischen Lupus erythematodes</w:t>
      </w:r>
      <w:r w:rsidRPr="00DE1967">
        <w:rPr>
          <w:snapToGrid/>
          <w:szCs w:val="22"/>
          <w:vertAlign w:val="superscript"/>
          <w:lang w:val="de-DE" w:eastAsia="de-DE"/>
        </w:rPr>
        <w:t>1</w:t>
      </w:r>
    </w:p>
    <w:p w:rsidR="00A34C33" w:rsidRPr="00DE1967" w:rsidRDefault="00A34C33" w:rsidP="0003742E">
      <w:pPr>
        <w:widowControl w:val="0"/>
        <w:tabs>
          <w:tab w:val="clear" w:pos="567"/>
          <w:tab w:val="left" w:pos="2268"/>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Stoffwechsel- und Ernährungsstörungen</w:t>
      </w:r>
    </w:p>
    <w:p w:rsidR="00A34C33" w:rsidRPr="00DE1967" w:rsidRDefault="00A34C3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Gelegentlich:</w:t>
      </w:r>
      <w:r w:rsidRPr="00DE1967">
        <w:rPr>
          <w:snapToGrid/>
          <w:szCs w:val="22"/>
          <w:lang w:val="de-DE" w:eastAsia="de-DE"/>
        </w:rPr>
        <w:tab/>
        <w:t>Hypokaliämie</w:t>
      </w:r>
    </w:p>
    <w:p w:rsidR="00A34C33" w:rsidRPr="00DE1967" w:rsidRDefault="00A34C33" w:rsidP="0003742E">
      <w:pPr>
        <w:widowControl w:val="0"/>
        <w:tabs>
          <w:tab w:val="clear" w:pos="567"/>
          <w:tab w:val="left" w:pos="2268"/>
        </w:tabs>
        <w:autoSpaceDE w:val="0"/>
        <w:autoSpaceDN w:val="0"/>
        <w:adjustRightInd w:val="0"/>
        <w:spacing w:line="240" w:lineRule="auto"/>
        <w:ind w:left="131" w:firstLine="720"/>
        <w:rPr>
          <w:snapToGrid/>
          <w:szCs w:val="22"/>
          <w:lang w:val="de-DE" w:eastAsia="de-DE"/>
        </w:rPr>
      </w:pPr>
      <w:r w:rsidRPr="00DE1967">
        <w:rPr>
          <w:snapToGrid/>
          <w:szCs w:val="22"/>
          <w:lang w:val="de-DE" w:eastAsia="de-DE"/>
        </w:rPr>
        <w:t>Selten:</w:t>
      </w:r>
      <w:r w:rsidRPr="00DE1967">
        <w:rPr>
          <w:snapToGrid/>
          <w:szCs w:val="22"/>
          <w:lang w:val="de-DE" w:eastAsia="de-DE"/>
        </w:rPr>
        <w:tab/>
        <w:t>Hyperurikämie, Hyponatriämie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Psychiatrische Erkrankungen</w:t>
      </w:r>
    </w:p>
    <w:p w:rsidR="00A34C33" w:rsidRPr="00DE1967" w:rsidRDefault="00A34C3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Gelegentlich:</w:t>
      </w:r>
      <w:r w:rsidRPr="00DE1967">
        <w:rPr>
          <w:snapToGrid/>
          <w:szCs w:val="22"/>
          <w:lang w:val="de-DE" w:eastAsia="de-DE"/>
        </w:rPr>
        <w:tab/>
        <w:t>Angstzustände</w:t>
      </w:r>
    </w:p>
    <w:p w:rsidR="00A34C33" w:rsidRPr="00DE1967" w:rsidRDefault="00A34C33" w:rsidP="0003742E">
      <w:pPr>
        <w:widowControl w:val="0"/>
        <w:tabs>
          <w:tab w:val="clear" w:pos="567"/>
          <w:tab w:val="left" w:pos="2268"/>
        </w:tabs>
        <w:autoSpaceDE w:val="0"/>
        <w:autoSpaceDN w:val="0"/>
        <w:adjustRightInd w:val="0"/>
        <w:spacing w:line="240" w:lineRule="auto"/>
        <w:ind w:left="131" w:firstLine="720"/>
        <w:rPr>
          <w:snapToGrid/>
          <w:szCs w:val="22"/>
          <w:lang w:val="de-DE" w:eastAsia="de-DE"/>
        </w:rPr>
      </w:pPr>
      <w:r w:rsidRPr="00DE1967">
        <w:rPr>
          <w:snapToGrid/>
          <w:szCs w:val="22"/>
          <w:lang w:val="de-DE" w:eastAsia="de-DE"/>
        </w:rPr>
        <w:t>Selten:</w:t>
      </w:r>
      <w:r w:rsidRPr="00DE1967">
        <w:rPr>
          <w:snapToGrid/>
          <w:szCs w:val="22"/>
          <w:lang w:val="de-DE" w:eastAsia="de-DE"/>
        </w:rPr>
        <w:tab/>
        <w:t>Depression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Nervensystems</w:t>
      </w:r>
    </w:p>
    <w:p w:rsidR="00A34C33" w:rsidRPr="00DE1967" w:rsidRDefault="00A34C33" w:rsidP="0003742E">
      <w:pPr>
        <w:widowControl w:val="0"/>
        <w:tabs>
          <w:tab w:val="clear" w:pos="567"/>
          <w:tab w:val="left" w:pos="2268"/>
        </w:tabs>
        <w:autoSpaceDE w:val="0"/>
        <w:autoSpaceDN w:val="0"/>
        <w:adjustRightInd w:val="0"/>
        <w:spacing w:line="240" w:lineRule="auto"/>
        <w:ind w:left="851" w:firstLine="11"/>
        <w:rPr>
          <w:snapToGrid/>
          <w:szCs w:val="22"/>
          <w:lang w:val="de-DE" w:eastAsia="de-DE"/>
        </w:rPr>
      </w:pPr>
      <w:r w:rsidRPr="00DE1967">
        <w:rPr>
          <w:snapToGrid/>
          <w:szCs w:val="22"/>
          <w:lang w:val="de-DE" w:eastAsia="de-DE"/>
        </w:rPr>
        <w:t>Häufig:</w:t>
      </w:r>
      <w:r w:rsidRPr="00DE1967">
        <w:rPr>
          <w:snapToGrid/>
          <w:szCs w:val="22"/>
          <w:lang w:val="de-DE" w:eastAsia="de-DE"/>
        </w:rPr>
        <w:tab/>
        <w:t>Schwindelgefühl</w:t>
      </w:r>
    </w:p>
    <w:p w:rsidR="00A34C33" w:rsidRPr="00DE1967" w:rsidRDefault="00A34C33" w:rsidP="0003742E">
      <w:pPr>
        <w:widowControl w:val="0"/>
        <w:tabs>
          <w:tab w:val="clear" w:pos="567"/>
          <w:tab w:val="left" w:pos="2268"/>
        </w:tabs>
        <w:autoSpaceDE w:val="0"/>
        <w:autoSpaceDN w:val="0"/>
        <w:adjustRightInd w:val="0"/>
        <w:spacing w:line="240" w:lineRule="auto"/>
        <w:ind w:left="131" w:firstLine="720"/>
        <w:rPr>
          <w:snapToGrid/>
          <w:szCs w:val="22"/>
          <w:lang w:val="de-DE" w:eastAsia="de-DE"/>
        </w:rPr>
      </w:pPr>
      <w:r w:rsidRPr="00DE1967">
        <w:rPr>
          <w:snapToGrid/>
          <w:szCs w:val="22"/>
          <w:lang w:val="de-DE" w:eastAsia="de-DE"/>
        </w:rPr>
        <w:t>Gelegentlich:</w:t>
      </w:r>
      <w:r w:rsidRPr="00DE1967">
        <w:rPr>
          <w:snapToGrid/>
          <w:szCs w:val="22"/>
          <w:lang w:val="de-DE" w:eastAsia="de-DE"/>
        </w:rPr>
        <w:tab/>
        <w:t>Synkope, Parästhesien</w:t>
      </w:r>
    </w:p>
    <w:p w:rsidR="00A34C33" w:rsidRPr="00DE1967" w:rsidRDefault="00A34C33" w:rsidP="0003742E">
      <w:pPr>
        <w:widowControl w:val="0"/>
        <w:tabs>
          <w:tab w:val="clear" w:pos="567"/>
          <w:tab w:val="left" w:pos="2268"/>
        </w:tabs>
        <w:autoSpaceDE w:val="0"/>
        <w:autoSpaceDN w:val="0"/>
        <w:adjustRightInd w:val="0"/>
        <w:spacing w:line="240" w:lineRule="auto"/>
        <w:ind w:left="131" w:firstLine="720"/>
        <w:rPr>
          <w:snapToGrid/>
          <w:szCs w:val="22"/>
          <w:lang w:val="de-DE" w:eastAsia="de-DE"/>
        </w:rPr>
      </w:pPr>
      <w:r w:rsidRPr="00DE1967">
        <w:rPr>
          <w:snapToGrid/>
          <w:szCs w:val="22"/>
          <w:lang w:val="de-DE" w:eastAsia="de-DE"/>
        </w:rPr>
        <w:t>Selten:</w:t>
      </w:r>
      <w:r w:rsidRPr="00DE1967">
        <w:rPr>
          <w:snapToGrid/>
          <w:szCs w:val="22"/>
          <w:lang w:val="de-DE" w:eastAsia="de-DE"/>
        </w:rPr>
        <w:tab/>
        <w:t>Schlaflosigkeit, Schlafstörungen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Augenerkrankungen</w:t>
      </w:r>
    </w:p>
    <w:p w:rsidR="00A34C33" w:rsidRPr="00DE1967" w:rsidRDefault="00A34C3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Selten:</w:t>
      </w:r>
      <w:r w:rsidRPr="00DE1967">
        <w:rPr>
          <w:snapToGrid/>
          <w:szCs w:val="22"/>
          <w:lang w:val="de-DE" w:eastAsia="de-DE"/>
        </w:rPr>
        <w:tab/>
        <w:t>Sehstörungen, verschwommenes Sehen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Ohrs und des Labyrinths</w:t>
      </w:r>
    </w:p>
    <w:p w:rsidR="00A34C33" w:rsidRPr="00DE1967" w:rsidRDefault="00A34C3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Gelegentlich:</w:t>
      </w:r>
      <w:r w:rsidRPr="00DE1967">
        <w:rPr>
          <w:snapToGrid/>
          <w:szCs w:val="22"/>
          <w:lang w:val="de-DE" w:eastAsia="de-DE"/>
        </w:rPr>
        <w:tab/>
        <w:t>Vertigo</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Herzerkrankungen</w:t>
      </w:r>
    </w:p>
    <w:p w:rsidR="00A34C33" w:rsidRPr="00DE1967" w:rsidRDefault="00A34C3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Gelegentlich:</w:t>
      </w:r>
      <w:r w:rsidRPr="00DE1967">
        <w:rPr>
          <w:snapToGrid/>
          <w:szCs w:val="22"/>
          <w:lang w:val="de-DE" w:eastAsia="de-DE"/>
        </w:rPr>
        <w:tab/>
        <w:t>Tachykardie, Arrhythmie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Gefäßerkrankungen</w:t>
      </w:r>
    </w:p>
    <w:p w:rsidR="00A34C33" w:rsidRPr="00DE1967" w:rsidRDefault="00A34C33" w:rsidP="0003742E">
      <w:pPr>
        <w:widowControl w:val="0"/>
        <w:tabs>
          <w:tab w:val="clear" w:pos="567"/>
          <w:tab w:val="left" w:pos="2268"/>
        </w:tabs>
        <w:autoSpaceDE w:val="0"/>
        <w:autoSpaceDN w:val="0"/>
        <w:adjustRightInd w:val="0"/>
        <w:spacing w:line="240" w:lineRule="auto"/>
        <w:ind w:left="851" w:hanging="11"/>
        <w:rPr>
          <w:snapToGrid/>
          <w:szCs w:val="22"/>
          <w:lang w:val="de-DE" w:eastAsia="de-DE"/>
        </w:rPr>
      </w:pPr>
      <w:r w:rsidRPr="00DE1967">
        <w:rPr>
          <w:snapToGrid/>
          <w:szCs w:val="22"/>
          <w:lang w:val="de-DE" w:eastAsia="de-DE"/>
        </w:rPr>
        <w:t>Gelegentlich:</w:t>
      </w:r>
      <w:r w:rsidRPr="00DE1967">
        <w:rPr>
          <w:snapToGrid/>
          <w:szCs w:val="22"/>
          <w:lang w:val="de-DE" w:eastAsia="de-DE"/>
        </w:rPr>
        <w:tab/>
        <w:t>Hypotonie, orthostatische Hypotonie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der Atemwege, des Brustraums und des Mediastinums</w:t>
      </w:r>
    </w:p>
    <w:p w:rsidR="00A34C33" w:rsidRPr="00DE1967" w:rsidRDefault="00A34C33" w:rsidP="0003742E">
      <w:pPr>
        <w:widowControl w:val="0"/>
        <w:tabs>
          <w:tab w:val="clear" w:pos="567"/>
          <w:tab w:val="left" w:pos="2268"/>
        </w:tabs>
        <w:autoSpaceDE w:val="0"/>
        <w:autoSpaceDN w:val="0"/>
        <w:adjustRightInd w:val="0"/>
        <w:spacing w:line="240" w:lineRule="auto"/>
        <w:ind w:left="851" w:hanging="11"/>
        <w:rPr>
          <w:snapToGrid/>
          <w:szCs w:val="22"/>
          <w:lang w:val="de-DE" w:eastAsia="de-DE"/>
        </w:rPr>
      </w:pPr>
      <w:r w:rsidRPr="00DE1967">
        <w:rPr>
          <w:snapToGrid/>
          <w:szCs w:val="22"/>
          <w:lang w:val="de-DE" w:eastAsia="de-DE"/>
        </w:rPr>
        <w:t>Gelegentlich:</w:t>
      </w:r>
      <w:r w:rsidRPr="00DE1967">
        <w:rPr>
          <w:snapToGrid/>
          <w:szCs w:val="22"/>
          <w:lang w:val="de-DE" w:eastAsia="de-DE"/>
        </w:rPr>
        <w:tab/>
        <w:t>Dyspnoe</w:t>
      </w:r>
    </w:p>
    <w:p w:rsidR="00A34C33" w:rsidRPr="00DE1967" w:rsidRDefault="00A34C3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Selten:</w:t>
      </w:r>
      <w:r w:rsidRPr="00DE1967">
        <w:rPr>
          <w:snapToGrid/>
          <w:szCs w:val="22"/>
          <w:lang w:val="de-DE" w:eastAsia="de-DE"/>
        </w:rPr>
        <w:tab/>
        <w:t>Atemnot (einschließlich Pneumonitis und Lungenödem)</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Gastrointestinaltraktes</w:t>
      </w:r>
    </w:p>
    <w:p w:rsidR="00A34C33" w:rsidRPr="00DE1967" w:rsidRDefault="00A34C3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Gelegentlich:</w:t>
      </w:r>
      <w:r w:rsidRPr="00DE1967">
        <w:rPr>
          <w:snapToGrid/>
          <w:szCs w:val="22"/>
          <w:lang w:val="de-DE" w:eastAsia="de-DE"/>
        </w:rPr>
        <w:tab/>
        <w:t>Diarrhoe, Mundtrockenheit, Blähungen</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Selten:</w:t>
      </w:r>
      <w:r w:rsidRPr="00DE1967">
        <w:rPr>
          <w:snapToGrid/>
          <w:szCs w:val="22"/>
          <w:lang w:val="de-DE" w:eastAsia="de-DE"/>
        </w:rPr>
        <w:tab/>
        <w:t>abdominale Schmerzen, Verstopfung, Dyspepsie, Erbrechen, Gastritis</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Leber- und Gallenerkrankungen</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Selten:</w:t>
      </w:r>
      <w:r w:rsidRPr="00DE1967">
        <w:rPr>
          <w:snapToGrid/>
          <w:szCs w:val="22"/>
          <w:lang w:val="de-DE" w:eastAsia="de-DE"/>
        </w:rPr>
        <w:tab/>
        <w:t>abnorme Leberfunktion/Einschränkung der Leberfunktion</w:t>
      </w:r>
      <w:r w:rsidRPr="00DE1967">
        <w:rPr>
          <w:snapToGrid/>
          <w:szCs w:val="22"/>
          <w:vertAlign w:val="superscript"/>
          <w:lang w:val="de-DE" w:eastAsia="de-DE"/>
        </w:rPr>
        <w:t>2</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der Haut und des Unterhautzellgewebes</w:t>
      </w:r>
    </w:p>
    <w:p w:rsidR="00A34C33" w:rsidRPr="00DE1967" w:rsidRDefault="007C3A45" w:rsidP="0003742E">
      <w:pPr>
        <w:widowControl w:val="0"/>
        <w:tabs>
          <w:tab w:val="clear" w:pos="567"/>
          <w:tab w:val="left" w:pos="2268"/>
        </w:tabs>
        <w:autoSpaceDE w:val="0"/>
        <w:autoSpaceDN w:val="0"/>
        <w:adjustRightInd w:val="0"/>
        <w:spacing w:line="240" w:lineRule="auto"/>
        <w:ind w:left="2261" w:hanging="1410"/>
        <w:rPr>
          <w:snapToGrid/>
          <w:szCs w:val="22"/>
          <w:lang w:val="de-DE" w:eastAsia="de-DE"/>
        </w:rPr>
      </w:pPr>
      <w:r w:rsidRPr="00DE1967">
        <w:rPr>
          <w:snapToGrid/>
          <w:szCs w:val="22"/>
          <w:lang w:val="de-DE" w:eastAsia="de-DE"/>
        </w:rPr>
        <w:t>Selten:</w:t>
      </w:r>
      <w:r w:rsidRPr="00DE1967">
        <w:rPr>
          <w:snapToGrid/>
          <w:szCs w:val="22"/>
          <w:lang w:val="de-DE" w:eastAsia="de-DE"/>
        </w:rPr>
        <w:tab/>
      </w:r>
      <w:r w:rsidR="00A34C33" w:rsidRPr="00DE1967">
        <w:rPr>
          <w:snapToGrid/>
          <w:szCs w:val="22"/>
          <w:lang w:val="de-DE" w:eastAsia="de-DE"/>
        </w:rPr>
        <w:t>Angioödem (einschließlich tödlichen Ausgangs), Erythem, Pruritus, Hautausschlag, Hyperhidrose, Urtikaria</w:t>
      </w:r>
    </w:p>
    <w:p w:rsidR="00A34C33" w:rsidRPr="00DE1967" w:rsidRDefault="00A34C33" w:rsidP="0003742E">
      <w:pPr>
        <w:widowControl w:val="0"/>
        <w:tabs>
          <w:tab w:val="clear" w:pos="567"/>
          <w:tab w:val="left" w:pos="2268"/>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Skelettmuskulatur-, Bindegewebs- und Knochenerkrankungen</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Gelegentlich:</w:t>
      </w:r>
      <w:r w:rsidRPr="00DE1967">
        <w:rPr>
          <w:snapToGrid/>
          <w:szCs w:val="22"/>
          <w:lang w:val="de-DE" w:eastAsia="de-DE"/>
        </w:rPr>
        <w:tab/>
        <w:t>Rückenschmerzen, Muskelkrämpfe, Myalgie</w:t>
      </w:r>
    </w:p>
    <w:p w:rsidR="00A34C33" w:rsidRPr="00DE1967" w:rsidRDefault="00A34C3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 xml:space="preserve">Selten: </w:t>
      </w:r>
      <w:r w:rsidRPr="00DE1967">
        <w:rPr>
          <w:snapToGrid/>
          <w:szCs w:val="22"/>
          <w:lang w:val="de-DE" w:eastAsia="de-DE"/>
        </w:rPr>
        <w:tab/>
        <w:t>Arthralgie, Krämpfe in den Beinen, Schmerzen in den Extremitäten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der Geschlechtsorgane und der Brustdrüse</w:t>
      </w:r>
    </w:p>
    <w:p w:rsidR="00A34C33" w:rsidRPr="00DE1967" w:rsidRDefault="00A34C3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Gelegentlich:</w:t>
      </w:r>
      <w:r w:rsidRPr="00DE1967">
        <w:rPr>
          <w:snapToGrid/>
          <w:szCs w:val="22"/>
          <w:lang w:val="de-DE" w:eastAsia="de-DE"/>
        </w:rPr>
        <w:tab/>
        <w:t>erektile Dysfunktion</w:t>
      </w:r>
    </w:p>
    <w:p w:rsidR="00A34C33" w:rsidRPr="00DE1967" w:rsidRDefault="00A34C33" w:rsidP="0003742E">
      <w:pPr>
        <w:widowControl w:val="0"/>
        <w:tabs>
          <w:tab w:val="clear" w:pos="567"/>
          <w:tab w:val="left" w:pos="2268"/>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Allgemeine Erkrankungen und Beschwerden am Verabreichungsort</w:t>
      </w:r>
    </w:p>
    <w:p w:rsidR="00A34C33" w:rsidRPr="00DE1967" w:rsidRDefault="00A34C3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Gelegentlich:</w:t>
      </w:r>
      <w:r w:rsidRPr="00DE1967">
        <w:rPr>
          <w:snapToGrid/>
          <w:szCs w:val="22"/>
          <w:lang w:val="de-DE" w:eastAsia="de-DE"/>
        </w:rPr>
        <w:tab/>
        <w:t>Brustschmerzen</w:t>
      </w:r>
    </w:p>
    <w:p w:rsidR="00A34C33" w:rsidRPr="00DE1967" w:rsidRDefault="00A34C33" w:rsidP="0003742E">
      <w:pPr>
        <w:widowControl w:val="0"/>
        <w:tabs>
          <w:tab w:val="clear" w:pos="567"/>
          <w:tab w:val="left" w:pos="2268"/>
        </w:tabs>
        <w:autoSpaceDE w:val="0"/>
        <w:autoSpaceDN w:val="0"/>
        <w:adjustRightInd w:val="0"/>
        <w:spacing w:line="240" w:lineRule="auto"/>
        <w:ind w:left="131" w:firstLine="720"/>
        <w:rPr>
          <w:snapToGrid/>
          <w:szCs w:val="22"/>
          <w:lang w:val="de-DE" w:eastAsia="de-DE"/>
        </w:rPr>
      </w:pPr>
      <w:r w:rsidRPr="00DE1967">
        <w:rPr>
          <w:snapToGrid/>
          <w:szCs w:val="22"/>
          <w:lang w:val="de-DE" w:eastAsia="de-DE"/>
        </w:rPr>
        <w:t>Selten:</w:t>
      </w:r>
      <w:r w:rsidRPr="00DE1967">
        <w:rPr>
          <w:snapToGrid/>
          <w:szCs w:val="22"/>
          <w:lang w:val="de-DE" w:eastAsia="de-DE"/>
        </w:rPr>
        <w:tab/>
        <w:t>grippeähnliche Erkrankung, Schmerzen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Untersuchungen</w:t>
      </w:r>
    </w:p>
    <w:p w:rsidR="00A34C33" w:rsidRPr="00DE1967" w:rsidRDefault="00A34C3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Gelegentlich:</w:t>
      </w:r>
      <w:r w:rsidRPr="00DE1967">
        <w:rPr>
          <w:snapToGrid/>
          <w:szCs w:val="22"/>
          <w:lang w:val="de-DE" w:eastAsia="de-DE"/>
        </w:rPr>
        <w:tab/>
        <w:t>erhöhte Harnsäure im Blut</w:t>
      </w:r>
    </w:p>
    <w:p w:rsidR="00A34C33" w:rsidRPr="00DE1967" w:rsidRDefault="00A34C33" w:rsidP="0003742E">
      <w:pPr>
        <w:widowControl w:val="0"/>
        <w:tabs>
          <w:tab w:val="clear" w:pos="567"/>
        </w:tabs>
        <w:autoSpaceDE w:val="0"/>
        <w:autoSpaceDN w:val="0"/>
        <w:adjustRightInd w:val="0"/>
        <w:spacing w:line="240" w:lineRule="auto"/>
        <w:ind w:left="2268" w:hanging="1417"/>
        <w:rPr>
          <w:snapToGrid/>
          <w:szCs w:val="22"/>
          <w:lang w:val="de-DE" w:eastAsia="de-DE"/>
        </w:rPr>
      </w:pPr>
      <w:r w:rsidRPr="00DE1967">
        <w:rPr>
          <w:snapToGrid/>
          <w:szCs w:val="22"/>
          <w:lang w:val="de-DE" w:eastAsia="de-DE"/>
        </w:rPr>
        <w:t>Selten:</w:t>
      </w:r>
      <w:r w:rsidRPr="00DE1967">
        <w:rPr>
          <w:snapToGrid/>
          <w:szCs w:val="22"/>
          <w:lang w:val="de-DE" w:eastAsia="de-DE"/>
        </w:rPr>
        <w:tab/>
        <w:t xml:space="preserve">erhöhter Kreatininwert im Blut, erhöhte </w:t>
      </w:r>
      <w:proofErr w:type="spellStart"/>
      <w:r w:rsidRPr="00DE1967">
        <w:rPr>
          <w:snapToGrid/>
          <w:szCs w:val="22"/>
          <w:lang w:val="de-DE" w:eastAsia="de-DE"/>
        </w:rPr>
        <w:t>Kreatinphosphokinase</w:t>
      </w:r>
      <w:proofErr w:type="spellEnd"/>
      <w:r w:rsidRPr="00DE1967">
        <w:rPr>
          <w:snapToGrid/>
          <w:szCs w:val="22"/>
          <w:lang w:val="de-DE" w:eastAsia="de-DE"/>
        </w:rPr>
        <w:t xml:space="preserve"> im Blut, erhöhte Leberenzymwerte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1: Basierend auf Erfahrungen nach Markteinführung.</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2: Für weitere Beschreibungen siehe Unterabschnitt </w:t>
      </w:r>
      <w:r w:rsidRPr="00DE1967">
        <w:rPr>
          <w:i/>
          <w:snapToGrid/>
          <w:szCs w:val="22"/>
          <w:lang w:val="de-DE" w:eastAsia="de-DE"/>
        </w:rPr>
        <w:t>„Beschreibung ausgewählter Nebenwirkungen“</w:t>
      </w:r>
      <w:r w:rsidRPr="00DE1967">
        <w:rPr>
          <w:snapToGrid/>
          <w:szCs w:val="22"/>
          <w:lang w:val="de-DE" w:eastAsia="de-DE"/>
        </w:rPr>
        <w:t>.</w:t>
      </w:r>
    </w:p>
    <w:p w:rsidR="00A34C33" w:rsidRPr="00DE1967" w:rsidRDefault="00A34C33" w:rsidP="0003742E">
      <w:pPr>
        <w:widowControl w:val="0"/>
        <w:tabs>
          <w:tab w:val="clear" w:pos="567"/>
        </w:tabs>
        <w:autoSpaceDE w:val="0"/>
        <w:autoSpaceDN w:val="0"/>
        <w:adjustRightInd w:val="0"/>
        <w:spacing w:line="240" w:lineRule="auto"/>
        <w:rPr>
          <w:i/>
          <w:iCs/>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i/>
          <w:iCs/>
          <w:snapToGrid/>
          <w:szCs w:val="22"/>
          <w:lang w:val="de-DE" w:eastAsia="de-DE"/>
        </w:rPr>
      </w:pPr>
      <w:r w:rsidRPr="00DE1967">
        <w:rPr>
          <w:i/>
          <w:iCs/>
          <w:snapToGrid/>
          <w:szCs w:val="22"/>
          <w:lang w:val="de-DE" w:eastAsia="de-DE"/>
        </w:rPr>
        <w:t>Zusätzliche Informationen zu den einzelnen Bestandteilen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Nebenwirkungen, die bereits bei einem der Einzelbestandteile berichtet worden sind, können möglicherweise auch als Nebenwirkungen unter </w:t>
      </w:r>
      <w:proofErr w:type="spellStart"/>
      <w:r w:rsidRPr="00DE1967">
        <w:rPr>
          <w:snapToGrid/>
          <w:szCs w:val="22"/>
          <w:lang w:val="de-DE" w:eastAsia="de-DE"/>
        </w:rPr>
        <w:t>Tolucombi</w:t>
      </w:r>
      <w:proofErr w:type="spellEnd"/>
      <w:r w:rsidRPr="00DE1967">
        <w:rPr>
          <w:snapToGrid/>
          <w:szCs w:val="22"/>
          <w:lang w:val="de-DE" w:eastAsia="de-DE"/>
        </w:rPr>
        <w:t xml:space="preserve"> auftreten, selbst wenn sie nicht in klinischen Prüfungen beobachtet wurden.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Telmisartan: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Nebenwirkungen traten in vergleichbarer Häufigkeit bei mit Placebo und Telmisartan behandelten Patienten auf.</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 den Placebo-kontrollierten Studien war die Gesamtinzidenz der Nebenwirkungen von Telmisartan (41,4 %) im Allgemeinen vergleichbar mit Placebo (43,9 %). Die nachfolgend aufgeführten Nebenwirkungen wurden aus allen klinischen Studien bei Patienten, die mit Telmisartan wegen Bluthochdruck behandelt wurden oder bei Patienten</w:t>
      </w:r>
      <w:r w:rsidR="00544F89" w:rsidRPr="00DE1967">
        <w:rPr>
          <w:snapToGrid/>
          <w:szCs w:val="22"/>
          <w:lang w:val="de-DE" w:eastAsia="de-DE"/>
        </w:rPr>
        <w:t xml:space="preserve"> </w:t>
      </w:r>
      <w:r w:rsidRPr="00DE1967">
        <w:rPr>
          <w:snapToGrid/>
          <w:szCs w:val="22"/>
          <w:lang w:val="de-DE" w:eastAsia="de-DE"/>
        </w:rPr>
        <w:t>≥ 50 Jahre mit hohem Risiko für kardiovaskuläre Ereignisse gesammelt.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Infektionen und parasitäre Erkrankungen</w:t>
      </w:r>
    </w:p>
    <w:p w:rsidR="00A34C33" w:rsidRPr="00DE1967" w:rsidRDefault="00A34C33" w:rsidP="0003742E">
      <w:pPr>
        <w:widowControl w:val="0"/>
        <w:tabs>
          <w:tab w:val="clear" w:pos="567"/>
          <w:tab w:val="left" w:pos="2268"/>
        </w:tabs>
        <w:autoSpaceDE w:val="0"/>
        <w:autoSpaceDN w:val="0"/>
        <w:adjustRightInd w:val="0"/>
        <w:spacing w:line="240" w:lineRule="auto"/>
        <w:ind w:left="2268" w:hanging="1428"/>
        <w:rPr>
          <w:snapToGrid/>
          <w:szCs w:val="22"/>
          <w:lang w:val="de-DE" w:eastAsia="de-DE"/>
        </w:rPr>
      </w:pPr>
      <w:r w:rsidRPr="00DE1967">
        <w:rPr>
          <w:snapToGrid/>
          <w:szCs w:val="22"/>
          <w:lang w:val="de-DE" w:eastAsia="de-DE"/>
        </w:rPr>
        <w:t>Gelegentlich:</w:t>
      </w:r>
      <w:r w:rsidRPr="00DE1967">
        <w:rPr>
          <w:snapToGrid/>
          <w:szCs w:val="22"/>
          <w:lang w:val="de-DE" w:eastAsia="de-DE"/>
        </w:rPr>
        <w:tab/>
        <w:t>Infektionen der oberen Atemwege, Harnwegsinfektionen einschließlich Zystitis</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 xml:space="preserve">Selten: </w:t>
      </w:r>
      <w:r w:rsidRPr="00DE1967">
        <w:rPr>
          <w:snapToGrid/>
          <w:szCs w:val="22"/>
          <w:lang w:val="de-DE" w:eastAsia="de-DE"/>
        </w:rPr>
        <w:tab/>
        <w:t>Sepsis einschließlich tödlichen Ausgangs</w:t>
      </w:r>
      <w:r w:rsidRPr="00DE1967">
        <w:rPr>
          <w:snapToGrid/>
          <w:szCs w:val="22"/>
          <w:vertAlign w:val="superscript"/>
          <w:lang w:val="de-DE" w:eastAsia="de-DE"/>
        </w:rPr>
        <w:t>3</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Blutes und des Lymphsystems</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Gelegentlich:</w:t>
      </w:r>
      <w:r w:rsidRPr="00DE1967">
        <w:rPr>
          <w:snapToGrid/>
          <w:szCs w:val="22"/>
          <w:lang w:val="de-DE" w:eastAsia="de-DE"/>
        </w:rPr>
        <w:tab/>
        <w:t>Anämie</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 xml:space="preserve">Selten: </w:t>
      </w:r>
      <w:r w:rsidRPr="00DE1967">
        <w:rPr>
          <w:snapToGrid/>
          <w:szCs w:val="22"/>
          <w:lang w:val="de-DE" w:eastAsia="de-DE"/>
        </w:rPr>
        <w:tab/>
      </w:r>
      <w:proofErr w:type="spellStart"/>
      <w:r w:rsidRPr="00DE1967">
        <w:rPr>
          <w:snapToGrid/>
          <w:szCs w:val="22"/>
          <w:lang w:val="de-DE" w:eastAsia="de-DE"/>
        </w:rPr>
        <w:t>Eosinophilie</w:t>
      </w:r>
      <w:proofErr w:type="spellEnd"/>
      <w:r w:rsidRPr="00DE1967">
        <w:rPr>
          <w:snapToGrid/>
          <w:szCs w:val="22"/>
          <w:lang w:val="de-DE" w:eastAsia="de-DE"/>
        </w:rPr>
        <w:t xml:space="preserve">, </w:t>
      </w:r>
      <w:proofErr w:type="spellStart"/>
      <w:r w:rsidRPr="00DE1967">
        <w:rPr>
          <w:snapToGrid/>
          <w:szCs w:val="22"/>
          <w:lang w:val="de-DE" w:eastAsia="de-DE"/>
        </w:rPr>
        <w:t>Thrombozytopenie</w:t>
      </w:r>
      <w:proofErr w:type="spellEnd"/>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Immunsystems</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 xml:space="preserve">Selten: </w:t>
      </w:r>
      <w:r w:rsidRPr="00DE1967">
        <w:rPr>
          <w:snapToGrid/>
          <w:szCs w:val="22"/>
          <w:lang w:val="de-DE" w:eastAsia="de-DE"/>
        </w:rPr>
        <w:tab/>
        <w:t>Überempfindlichkeit, anaphylaktische Reaktionen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Stoffwechsel- und Ernährungsstörungen</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Gelegentlich:</w:t>
      </w:r>
      <w:r w:rsidRPr="00DE1967">
        <w:rPr>
          <w:snapToGrid/>
          <w:szCs w:val="22"/>
          <w:lang w:val="de-DE" w:eastAsia="de-DE"/>
        </w:rPr>
        <w:tab/>
        <w:t>Hyperkaliämie</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 xml:space="preserve">Selten: </w:t>
      </w:r>
      <w:r w:rsidRPr="00DE1967">
        <w:rPr>
          <w:snapToGrid/>
          <w:szCs w:val="22"/>
          <w:lang w:val="de-DE" w:eastAsia="de-DE"/>
        </w:rPr>
        <w:tab/>
        <w:t>Hypoglykämie (bei Patienten mit Diabetes mellitus)</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Herzerkrankungen</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Gelegentlich:</w:t>
      </w:r>
      <w:r w:rsidRPr="00DE1967">
        <w:rPr>
          <w:snapToGrid/>
          <w:szCs w:val="22"/>
          <w:lang w:val="de-DE" w:eastAsia="de-DE"/>
        </w:rPr>
        <w:tab/>
        <w:t>Bradykardie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Nervensystems</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 xml:space="preserve">Selten: </w:t>
      </w:r>
      <w:r w:rsidRPr="00DE1967">
        <w:rPr>
          <w:snapToGrid/>
          <w:szCs w:val="22"/>
          <w:lang w:val="de-DE" w:eastAsia="de-DE"/>
        </w:rPr>
        <w:tab/>
        <w:t>Somnolenz</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der Atemwege, des Brustraums und Mediastinums</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Gelegentlich:</w:t>
      </w:r>
      <w:r w:rsidRPr="00DE1967">
        <w:rPr>
          <w:snapToGrid/>
          <w:szCs w:val="22"/>
          <w:lang w:val="de-DE" w:eastAsia="de-DE"/>
        </w:rPr>
        <w:tab/>
        <w:t>Husten</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 xml:space="preserve">Sehr selten: </w:t>
      </w:r>
      <w:r w:rsidRPr="00DE1967">
        <w:rPr>
          <w:snapToGrid/>
          <w:szCs w:val="22"/>
          <w:lang w:val="de-DE" w:eastAsia="de-DE"/>
        </w:rPr>
        <w:tab/>
        <w:t>interstitielle Lungenerkrankung</w:t>
      </w:r>
      <w:r w:rsidRPr="00DE1967">
        <w:rPr>
          <w:snapToGrid/>
          <w:szCs w:val="22"/>
          <w:vertAlign w:val="superscript"/>
          <w:lang w:val="de-DE" w:eastAsia="de-DE"/>
        </w:rPr>
        <w:t>3</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Gastrointestinaltrakts</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Selten:</w:t>
      </w:r>
      <w:r w:rsidRPr="00DE1967">
        <w:rPr>
          <w:snapToGrid/>
          <w:szCs w:val="22"/>
          <w:lang w:val="de-DE" w:eastAsia="de-DE"/>
        </w:rPr>
        <w:tab/>
        <w:t>Magenbeschwerden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der Haut und des Unterhautzellgewebes</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left="2268" w:hanging="2268"/>
        <w:rPr>
          <w:snapToGrid/>
          <w:szCs w:val="22"/>
          <w:lang w:val="de-DE" w:eastAsia="de-DE"/>
        </w:rPr>
      </w:pPr>
      <w:r w:rsidRPr="00DE1967">
        <w:rPr>
          <w:snapToGrid/>
          <w:szCs w:val="22"/>
          <w:lang w:val="de-DE" w:eastAsia="de-DE"/>
        </w:rPr>
        <w:tab/>
        <w:t>Selten:</w:t>
      </w:r>
      <w:r w:rsidRPr="00DE1967">
        <w:rPr>
          <w:snapToGrid/>
          <w:szCs w:val="22"/>
          <w:lang w:val="de-DE" w:eastAsia="de-DE"/>
        </w:rPr>
        <w:tab/>
        <w:t>Ekzem, Arzneimittelexa</w:t>
      </w:r>
      <w:r w:rsidR="007C3A45" w:rsidRPr="00DE1967">
        <w:rPr>
          <w:snapToGrid/>
          <w:szCs w:val="22"/>
          <w:lang w:val="de-DE" w:eastAsia="de-DE"/>
        </w:rPr>
        <w:t xml:space="preserve">nthem, toxisches Exanthem </w:t>
      </w:r>
      <w:r w:rsidRPr="00DE1967">
        <w:rPr>
          <w:snapToGrid/>
          <w:szCs w:val="22"/>
          <w:lang w:val="de-DE" w:eastAsia="de-DE"/>
        </w:rPr>
        <w:t>(Überempfindlichkeitsreaktion)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Skelettmuskulatur-, Bindegewebs- und Knochenerkrankungen</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Selten:</w:t>
      </w:r>
      <w:r w:rsidRPr="00DE1967">
        <w:rPr>
          <w:snapToGrid/>
          <w:szCs w:val="22"/>
          <w:lang w:val="de-DE" w:eastAsia="de-DE"/>
        </w:rPr>
        <w:tab/>
        <w:t>Arthrose, Sehnenschmerzen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der Nieren und Harnwege</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 xml:space="preserve">Gelegentlich: </w:t>
      </w:r>
      <w:r w:rsidRPr="00DE1967">
        <w:rPr>
          <w:snapToGrid/>
          <w:szCs w:val="22"/>
          <w:lang w:val="de-DE" w:eastAsia="de-DE"/>
        </w:rPr>
        <w:tab/>
        <w:t>Einschränkung der Nierenfunktion (einschließlich akuten Nierenversagens)</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Allgemeine Erkrankungen und Beschwerden am Verabreichungsort</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Gelegentlich:</w:t>
      </w:r>
      <w:r w:rsidRPr="00DE1967">
        <w:rPr>
          <w:snapToGrid/>
          <w:szCs w:val="22"/>
          <w:lang w:val="de-DE" w:eastAsia="de-DE"/>
        </w:rPr>
        <w:tab/>
        <w:t>Asthenie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Untersuchungen</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 xml:space="preserve">Selten: </w:t>
      </w:r>
      <w:r w:rsidRPr="00DE1967">
        <w:rPr>
          <w:snapToGrid/>
          <w:szCs w:val="22"/>
          <w:lang w:val="de-DE" w:eastAsia="de-DE"/>
        </w:rPr>
        <w:tab/>
        <w:t>Abfall des Hämoglobinwertes</w:t>
      </w:r>
    </w:p>
    <w:p w:rsidR="00A34C33" w:rsidRPr="00DE1967" w:rsidRDefault="00A34C33" w:rsidP="0003742E">
      <w:pPr>
        <w:widowControl w:val="0"/>
        <w:tabs>
          <w:tab w:val="clear" w:pos="567"/>
          <w:tab w:val="left" w:pos="851"/>
          <w:tab w:val="left" w:pos="2268"/>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3: Für weitere Beschreibungen siehe Unterabschnitt „</w:t>
      </w:r>
      <w:r w:rsidRPr="00DE1967">
        <w:rPr>
          <w:i/>
          <w:snapToGrid/>
          <w:szCs w:val="22"/>
          <w:lang w:val="de-DE" w:eastAsia="de-DE"/>
        </w:rPr>
        <w:t>Beschreibung ausgewählter Nebenwirkungen“</w:t>
      </w:r>
      <w:r w:rsidRPr="00DE1967">
        <w:rPr>
          <w:snapToGrid/>
          <w:szCs w:val="22"/>
          <w:lang w:val="de-DE" w:eastAsia="de-DE"/>
        </w:rPr>
        <w: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Hydrochlorothiazid:</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Hydrochlorothiazid kann eine Hypovolämie verursachen oder verstärken, welche zu einer Elektrolytstörung führen kann (siehe Abschnitt 4.4).</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Folgende Nebenwirkungen nicht bekannter Häufigkeit wurden unter Monotherapie mit Hydrochlorothiazid berichtet: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Infektionen und parasitäre Erkrankungen</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Nicht bekannt:</w:t>
      </w:r>
      <w:r w:rsidRPr="00DE1967">
        <w:rPr>
          <w:snapToGrid/>
          <w:szCs w:val="22"/>
          <w:lang w:val="de-DE" w:eastAsia="de-DE"/>
        </w:rPr>
        <w:tab/>
        <w:t>Speicheldrüsenentzündung</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461465" w:rsidRPr="00DE1967" w:rsidRDefault="00461465" w:rsidP="00461465">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Gutartige, bösartige und unspezifische Neubildungen (einschl. Zysten und Polypen)</w:t>
      </w:r>
    </w:p>
    <w:p w:rsidR="00461465" w:rsidRPr="00DE1967" w:rsidRDefault="00461465" w:rsidP="00DE1967">
      <w:pPr>
        <w:widowControl w:val="0"/>
        <w:tabs>
          <w:tab w:val="clear" w:pos="567"/>
          <w:tab w:val="left" w:pos="851"/>
          <w:tab w:val="left" w:pos="2268"/>
        </w:tabs>
        <w:autoSpaceDE w:val="0"/>
        <w:autoSpaceDN w:val="0"/>
        <w:adjustRightInd w:val="0"/>
        <w:spacing w:line="240" w:lineRule="auto"/>
        <w:ind w:left="2265" w:hanging="1545"/>
        <w:rPr>
          <w:snapToGrid/>
          <w:szCs w:val="22"/>
          <w:lang w:val="de-DE" w:eastAsia="de-DE"/>
        </w:rPr>
      </w:pPr>
      <w:r w:rsidRPr="00DE1967">
        <w:rPr>
          <w:snapToGrid/>
          <w:szCs w:val="22"/>
          <w:lang w:val="de-DE" w:eastAsia="de-DE"/>
        </w:rPr>
        <w:t>Nicht bekannt:</w:t>
      </w:r>
      <w:r w:rsidRPr="00DE1967">
        <w:rPr>
          <w:snapToGrid/>
          <w:szCs w:val="22"/>
          <w:lang w:val="de-DE" w:eastAsia="de-DE"/>
        </w:rPr>
        <w:tab/>
        <w:t xml:space="preserve"> Nicht-melanozytärer Hautkrebs (Basalzellkarzinom und Plattenepithelkarzinom)</w:t>
      </w:r>
    </w:p>
    <w:p w:rsidR="00461465" w:rsidRPr="00DE1967" w:rsidRDefault="00461465" w:rsidP="00DE1967">
      <w:pPr>
        <w:widowControl w:val="0"/>
        <w:tabs>
          <w:tab w:val="clear" w:pos="567"/>
          <w:tab w:val="left" w:pos="851"/>
          <w:tab w:val="left" w:pos="2268"/>
        </w:tabs>
        <w:autoSpaceDE w:val="0"/>
        <w:autoSpaceDN w:val="0"/>
        <w:adjustRightInd w:val="0"/>
        <w:spacing w:line="240" w:lineRule="auto"/>
        <w:ind w:left="2265" w:hanging="1545"/>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Blutes und des Lymphsystems</w:t>
      </w:r>
    </w:p>
    <w:p w:rsidR="00A27A4F" w:rsidRPr="00DE1967" w:rsidRDefault="00A27A4F" w:rsidP="0003742E">
      <w:pPr>
        <w:widowControl w:val="0"/>
        <w:tabs>
          <w:tab w:val="clear" w:pos="567"/>
          <w:tab w:val="left" w:pos="851"/>
          <w:tab w:val="left" w:pos="2268"/>
        </w:tabs>
        <w:autoSpaceDE w:val="0"/>
        <w:autoSpaceDN w:val="0"/>
        <w:adjustRightInd w:val="0"/>
        <w:spacing w:line="240" w:lineRule="auto"/>
        <w:ind w:left="2265" w:hanging="1545"/>
        <w:rPr>
          <w:snapToGrid/>
          <w:szCs w:val="22"/>
          <w:lang w:val="de-DE" w:eastAsia="de-DE"/>
        </w:rPr>
      </w:pPr>
      <w:r w:rsidRPr="00DE1967">
        <w:rPr>
          <w:snapToGrid/>
          <w:szCs w:val="22"/>
          <w:lang w:val="de-DE" w:eastAsia="de-DE"/>
        </w:rPr>
        <w:t>Selten:</w:t>
      </w:r>
      <w:r w:rsidRPr="00DE1967">
        <w:rPr>
          <w:snapToGrid/>
          <w:szCs w:val="22"/>
          <w:lang w:val="de-DE" w:eastAsia="de-DE"/>
        </w:rPr>
        <w:tab/>
      </w:r>
      <w:proofErr w:type="spellStart"/>
      <w:r w:rsidRPr="00DE1967">
        <w:rPr>
          <w:szCs w:val="22"/>
          <w:lang w:val="de-DE"/>
        </w:rPr>
        <w:t>Thrombozytopenie</w:t>
      </w:r>
      <w:proofErr w:type="spellEnd"/>
      <w:r w:rsidRPr="00DE1967">
        <w:rPr>
          <w:szCs w:val="22"/>
          <w:lang w:val="de-DE"/>
        </w:rPr>
        <w:t xml:space="preserve"> (manchmal mit Purpura)</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left="2265" w:hanging="1545"/>
        <w:rPr>
          <w:snapToGrid/>
          <w:szCs w:val="22"/>
          <w:lang w:val="de-DE" w:eastAsia="de-DE"/>
        </w:rPr>
      </w:pPr>
      <w:r w:rsidRPr="00DE1967">
        <w:rPr>
          <w:snapToGrid/>
          <w:szCs w:val="22"/>
          <w:lang w:val="de-DE" w:eastAsia="de-DE"/>
        </w:rPr>
        <w:tab/>
        <w:t xml:space="preserve">Nicht bekannt: </w:t>
      </w:r>
      <w:r w:rsidRPr="00DE1967">
        <w:rPr>
          <w:snapToGrid/>
          <w:szCs w:val="22"/>
          <w:lang w:val="de-DE" w:eastAsia="de-DE"/>
        </w:rPr>
        <w:tab/>
        <w:t>aplastische Anämie, hämolytische Anämie, Knochenmarkserkrankung, Leukopenie, Neutropenie, Agranulozytose</w:t>
      </w:r>
    </w:p>
    <w:p w:rsidR="00A34C33" w:rsidRPr="00DE1967" w:rsidRDefault="00A34C33" w:rsidP="0003742E">
      <w:pPr>
        <w:widowControl w:val="0"/>
        <w:tabs>
          <w:tab w:val="clear" w:pos="567"/>
          <w:tab w:val="left" w:pos="851"/>
          <w:tab w:val="left" w:pos="2268"/>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Immunsystems</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Nicht bekannt:</w:t>
      </w:r>
      <w:r w:rsidRPr="00DE1967">
        <w:rPr>
          <w:snapToGrid/>
          <w:szCs w:val="22"/>
          <w:lang w:val="de-DE" w:eastAsia="de-DE"/>
        </w:rPr>
        <w:tab/>
        <w:t>anaphylaktische Reaktionen, Überempfindlichkeit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Endokrine Erkrankungen</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Nicht bekannt:</w:t>
      </w:r>
      <w:r w:rsidRPr="00DE1967">
        <w:rPr>
          <w:snapToGrid/>
          <w:szCs w:val="22"/>
          <w:lang w:val="de-DE" w:eastAsia="de-DE"/>
        </w:rPr>
        <w:tab/>
        <w:t>inadäquate Einstellung eines Diabetes mellitus</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Stoffwechsel- und Ernährungsstörungen</w:t>
      </w:r>
    </w:p>
    <w:p w:rsidR="00A27A4F" w:rsidRPr="00DE1967" w:rsidRDefault="00A27A4F" w:rsidP="0003742E">
      <w:pPr>
        <w:widowControl w:val="0"/>
        <w:tabs>
          <w:tab w:val="clear" w:pos="567"/>
          <w:tab w:val="left" w:pos="851"/>
          <w:tab w:val="left" w:pos="2268"/>
        </w:tabs>
        <w:autoSpaceDE w:val="0"/>
        <w:autoSpaceDN w:val="0"/>
        <w:adjustRightInd w:val="0"/>
        <w:spacing w:line="240" w:lineRule="auto"/>
        <w:ind w:left="2268" w:hanging="1548"/>
        <w:rPr>
          <w:snapToGrid/>
          <w:szCs w:val="22"/>
          <w:lang w:val="de-DE" w:eastAsia="de-DE"/>
        </w:rPr>
      </w:pPr>
      <w:r w:rsidRPr="00DE1967">
        <w:rPr>
          <w:snapToGrid/>
          <w:szCs w:val="22"/>
          <w:lang w:val="de-DE" w:eastAsia="de-DE"/>
        </w:rPr>
        <w:t>Häufig:</w:t>
      </w:r>
      <w:r w:rsidRPr="00DE1967">
        <w:rPr>
          <w:snapToGrid/>
          <w:szCs w:val="22"/>
          <w:lang w:val="de-DE" w:eastAsia="de-DE"/>
        </w:rPr>
        <w:tab/>
      </w:r>
      <w:proofErr w:type="spellStart"/>
      <w:r w:rsidRPr="00DE1967">
        <w:rPr>
          <w:szCs w:val="22"/>
          <w:lang w:val="de-DE"/>
        </w:rPr>
        <w:t>Hypomagnesiämie</w:t>
      </w:r>
      <w:proofErr w:type="spellEnd"/>
    </w:p>
    <w:p w:rsidR="00A27A4F" w:rsidRPr="00DE1967" w:rsidRDefault="00A27A4F" w:rsidP="0003742E">
      <w:pPr>
        <w:widowControl w:val="0"/>
        <w:tabs>
          <w:tab w:val="clear" w:pos="567"/>
          <w:tab w:val="left" w:pos="851"/>
          <w:tab w:val="left" w:pos="2268"/>
        </w:tabs>
        <w:autoSpaceDE w:val="0"/>
        <w:autoSpaceDN w:val="0"/>
        <w:adjustRightInd w:val="0"/>
        <w:spacing w:line="240" w:lineRule="auto"/>
        <w:ind w:left="2268" w:hanging="1548"/>
        <w:rPr>
          <w:snapToGrid/>
          <w:szCs w:val="22"/>
          <w:lang w:val="de-DE" w:eastAsia="de-DE"/>
        </w:rPr>
      </w:pPr>
      <w:r w:rsidRPr="00DE1967">
        <w:rPr>
          <w:snapToGrid/>
          <w:szCs w:val="22"/>
          <w:lang w:val="de-DE" w:eastAsia="de-DE"/>
        </w:rPr>
        <w:t>Selten:</w:t>
      </w:r>
      <w:r w:rsidRPr="00DE1967">
        <w:rPr>
          <w:snapToGrid/>
          <w:szCs w:val="22"/>
          <w:lang w:val="de-DE" w:eastAsia="de-DE"/>
        </w:rPr>
        <w:tab/>
      </w:r>
      <w:proofErr w:type="spellStart"/>
      <w:r w:rsidRPr="00DE1967">
        <w:rPr>
          <w:szCs w:val="22"/>
          <w:lang w:val="de-DE"/>
        </w:rPr>
        <w:t>Hyper</w:t>
      </w:r>
      <w:r w:rsidR="001958A3" w:rsidRPr="00DE1967">
        <w:rPr>
          <w:szCs w:val="22"/>
          <w:lang w:val="de-DE"/>
        </w:rPr>
        <w:t>c</w:t>
      </w:r>
      <w:r w:rsidRPr="00DE1967">
        <w:rPr>
          <w:szCs w:val="22"/>
          <w:lang w:val="de-DE"/>
        </w:rPr>
        <w:t>al</w:t>
      </w:r>
      <w:r w:rsidR="001958A3" w:rsidRPr="00DE1967">
        <w:rPr>
          <w:szCs w:val="22"/>
          <w:lang w:val="de-DE"/>
        </w:rPr>
        <w:t>c</w:t>
      </w:r>
      <w:r w:rsidRPr="00DE1967">
        <w:rPr>
          <w:szCs w:val="22"/>
          <w:lang w:val="de-DE"/>
        </w:rPr>
        <w:t>ämie</w:t>
      </w:r>
      <w:proofErr w:type="spellEnd"/>
    </w:p>
    <w:p w:rsidR="00A27A4F" w:rsidRPr="00DE1967" w:rsidRDefault="00A27A4F" w:rsidP="0003742E">
      <w:pPr>
        <w:widowControl w:val="0"/>
        <w:tabs>
          <w:tab w:val="clear" w:pos="567"/>
          <w:tab w:val="left" w:pos="851"/>
          <w:tab w:val="left" w:pos="2268"/>
        </w:tabs>
        <w:autoSpaceDE w:val="0"/>
        <w:autoSpaceDN w:val="0"/>
        <w:adjustRightInd w:val="0"/>
        <w:spacing w:line="240" w:lineRule="auto"/>
        <w:ind w:left="2268" w:hanging="1548"/>
        <w:rPr>
          <w:snapToGrid/>
          <w:szCs w:val="22"/>
          <w:lang w:val="de-DE" w:eastAsia="de-DE"/>
        </w:rPr>
      </w:pPr>
      <w:r w:rsidRPr="00DE1967">
        <w:rPr>
          <w:snapToGrid/>
          <w:szCs w:val="22"/>
          <w:lang w:val="de-DE" w:eastAsia="de-DE"/>
        </w:rPr>
        <w:t>Sehr selten:</w:t>
      </w:r>
      <w:r w:rsidR="00A34C33" w:rsidRPr="00DE1967">
        <w:rPr>
          <w:snapToGrid/>
          <w:szCs w:val="22"/>
          <w:lang w:val="de-DE" w:eastAsia="de-DE"/>
        </w:rPr>
        <w:tab/>
      </w:r>
      <w:proofErr w:type="spellStart"/>
      <w:r w:rsidRPr="00DE1967">
        <w:rPr>
          <w:szCs w:val="22"/>
          <w:lang w:val="de-DE"/>
        </w:rPr>
        <w:t>hypochlorämische</w:t>
      </w:r>
      <w:proofErr w:type="spellEnd"/>
      <w:r w:rsidRPr="00DE1967">
        <w:rPr>
          <w:szCs w:val="22"/>
          <w:lang w:val="de-DE"/>
        </w:rPr>
        <w:t xml:space="preserve"> Alkalose</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left="2268" w:hanging="1548"/>
        <w:rPr>
          <w:snapToGrid/>
          <w:szCs w:val="22"/>
          <w:lang w:val="de-DE" w:eastAsia="de-DE"/>
        </w:rPr>
      </w:pPr>
      <w:r w:rsidRPr="00DE1967">
        <w:rPr>
          <w:snapToGrid/>
          <w:szCs w:val="22"/>
          <w:lang w:val="de-DE" w:eastAsia="de-DE"/>
        </w:rPr>
        <w:t xml:space="preserve">Nicht bekannt: </w:t>
      </w:r>
      <w:r w:rsidRPr="00DE1967">
        <w:rPr>
          <w:snapToGrid/>
          <w:szCs w:val="22"/>
          <w:lang w:val="de-DE" w:eastAsia="de-DE"/>
        </w:rPr>
        <w:tab/>
        <w:t>Anorexie, verminderter Appetit, Elektrolytverschiebungen, Hypercholesterinämie,</w:t>
      </w:r>
      <w:r w:rsidR="007C3A45" w:rsidRPr="00DE1967">
        <w:rPr>
          <w:snapToGrid/>
          <w:szCs w:val="22"/>
          <w:lang w:val="de-DE" w:eastAsia="de-DE"/>
        </w:rPr>
        <w:t xml:space="preserve"> </w:t>
      </w:r>
      <w:r w:rsidRPr="00DE1967">
        <w:rPr>
          <w:snapToGrid/>
          <w:szCs w:val="22"/>
          <w:lang w:val="de-DE" w:eastAsia="de-DE"/>
        </w:rPr>
        <w:t>Hyperglykämie, Hypovolämie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Psychiatrische Erkrankungen</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Nicht bekannt:</w:t>
      </w:r>
      <w:r w:rsidRPr="00DE1967">
        <w:rPr>
          <w:snapToGrid/>
          <w:szCs w:val="22"/>
          <w:lang w:val="de-DE" w:eastAsia="de-DE"/>
        </w:rPr>
        <w:tab/>
        <w:t>Ruhelosigkeit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Nervensystems</w:t>
      </w:r>
    </w:p>
    <w:p w:rsidR="00604DEC" w:rsidRPr="00DE1967" w:rsidRDefault="00604DEC"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Selten:</w:t>
      </w:r>
      <w:r w:rsidRPr="00DE1967">
        <w:rPr>
          <w:snapToGrid/>
          <w:szCs w:val="22"/>
          <w:lang w:val="de-DE" w:eastAsia="de-DE"/>
        </w:rPr>
        <w:tab/>
        <w:t xml:space="preserve">Kopfschmerzen </w:t>
      </w:r>
      <w:r w:rsidR="00A34C33" w:rsidRPr="00DE1967">
        <w:rPr>
          <w:snapToGrid/>
          <w:szCs w:val="22"/>
          <w:lang w:val="de-DE" w:eastAsia="de-DE"/>
        </w:rPr>
        <w:tab/>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Nicht bekannt:</w:t>
      </w:r>
      <w:r w:rsidRPr="00DE1967">
        <w:rPr>
          <w:snapToGrid/>
          <w:szCs w:val="22"/>
          <w:lang w:val="de-DE" w:eastAsia="de-DE"/>
        </w:rPr>
        <w:tab/>
        <w:t>Benommenheit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Augenerkrankungen</w:t>
      </w:r>
    </w:p>
    <w:p w:rsidR="00A34C33" w:rsidRPr="00DE1967" w:rsidRDefault="00A34C33" w:rsidP="00F054C4">
      <w:pPr>
        <w:widowControl w:val="0"/>
        <w:tabs>
          <w:tab w:val="clear" w:pos="567"/>
          <w:tab w:val="left" w:pos="851"/>
          <w:tab w:val="left" w:pos="2268"/>
        </w:tabs>
        <w:autoSpaceDE w:val="0"/>
        <w:autoSpaceDN w:val="0"/>
        <w:adjustRightInd w:val="0"/>
        <w:spacing w:line="240" w:lineRule="auto"/>
        <w:ind w:left="2160" w:hanging="1440"/>
        <w:rPr>
          <w:snapToGrid/>
          <w:szCs w:val="22"/>
          <w:lang w:val="de-DE" w:eastAsia="de-DE"/>
        </w:rPr>
      </w:pPr>
      <w:r w:rsidRPr="00DE1967">
        <w:rPr>
          <w:snapToGrid/>
          <w:szCs w:val="22"/>
          <w:lang w:val="de-DE" w:eastAsia="de-DE"/>
        </w:rPr>
        <w:tab/>
        <w:t>Nicht bekannt:</w:t>
      </w:r>
      <w:r w:rsidRPr="00DE1967">
        <w:rPr>
          <w:snapToGrid/>
          <w:szCs w:val="22"/>
          <w:lang w:val="de-DE" w:eastAsia="de-DE"/>
        </w:rPr>
        <w:tab/>
        <w:t xml:space="preserve">Gelbsehen, </w:t>
      </w:r>
      <w:r w:rsidR="005642B6" w:rsidRPr="005642B6">
        <w:rPr>
          <w:snapToGrid/>
          <w:szCs w:val="22"/>
          <w:lang w:val="de-DE" w:eastAsia="de-DE"/>
        </w:rPr>
        <w:t>Aderhauterguss</w:t>
      </w:r>
      <w:r w:rsidR="005642B6">
        <w:rPr>
          <w:snapToGrid/>
          <w:szCs w:val="22"/>
          <w:lang w:val="de-DE" w:eastAsia="de-DE"/>
        </w:rPr>
        <w:t>,</w:t>
      </w:r>
      <w:r w:rsidR="005642B6" w:rsidRPr="005642B6">
        <w:rPr>
          <w:snapToGrid/>
          <w:szCs w:val="22"/>
          <w:lang w:val="de-DE" w:eastAsia="de-DE"/>
        </w:rPr>
        <w:t xml:space="preserve"> </w:t>
      </w:r>
      <w:r w:rsidR="00CD3E83" w:rsidRPr="00DE1967">
        <w:rPr>
          <w:szCs w:val="22"/>
          <w:lang w:val="de-DE"/>
        </w:rPr>
        <w:t xml:space="preserve">akute Myopie, </w:t>
      </w:r>
      <w:r w:rsidRPr="00DE1967">
        <w:rPr>
          <w:szCs w:val="22"/>
          <w:lang w:val="de-DE"/>
        </w:rPr>
        <w:t xml:space="preserve">akutes </w:t>
      </w:r>
      <w:r w:rsidR="009E4589" w:rsidRPr="009E4589">
        <w:rPr>
          <w:szCs w:val="22"/>
          <w:lang w:val="de-DE"/>
        </w:rPr>
        <w:t>Winkelverschlussglaukom</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Gefäßerkrankungen</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Nicht bekannt:</w:t>
      </w:r>
      <w:r w:rsidRPr="00DE1967">
        <w:rPr>
          <w:snapToGrid/>
          <w:szCs w:val="22"/>
          <w:lang w:val="de-DE" w:eastAsia="de-DE"/>
        </w:rPr>
        <w:tab/>
        <w:t>nekrotisierende Vaskulitis</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des Gastrointestinaltrakts</w:t>
      </w:r>
    </w:p>
    <w:p w:rsidR="00A27A4F" w:rsidRPr="00DE1967" w:rsidRDefault="00A27A4F"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 xml:space="preserve">Häufig: </w:t>
      </w:r>
      <w:r w:rsidRPr="00DE1967">
        <w:rPr>
          <w:snapToGrid/>
          <w:szCs w:val="22"/>
          <w:lang w:val="de-DE" w:eastAsia="de-DE"/>
        </w:rPr>
        <w:tab/>
        <w:t>Übelkeit</w:t>
      </w:r>
      <w:r w:rsidR="00A34C33" w:rsidRPr="00DE1967">
        <w:rPr>
          <w:snapToGrid/>
          <w:szCs w:val="22"/>
          <w:lang w:val="de-DE" w:eastAsia="de-DE"/>
        </w:rPr>
        <w:tab/>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Nicht bekannt:</w:t>
      </w:r>
      <w:r w:rsidRPr="00DE1967">
        <w:rPr>
          <w:snapToGrid/>
          <w:szCs w:val="22"/>
          <w:lang w:val="de-DE" w:eastAsia="de-DE"/>
        </w:rPr>
        <w:tab/>
        <w:t>Pankreatitis, Magenbeschwerden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Leber und Gallenerkrankungen</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Nicht bekannt:</w:t>
      </w:r>
      <w:r w:rsidRPr="00DE1967">
        <w:rPr>
          <w:snapToGrid/>
          <w:szCs w:val="22"/>
          <w:lang w:val="de-DE" w:eastAsia="de-DE"/>
        </w:rPr>
        <w:tab/>
        <w:t>hepatozellulärer Ikterus, cholestatischer Ikterus</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der Haut und des Unterhautzellgewebes</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left="2265" w:hanging="1545"/>
        <w:rPr>
          <w:snapToGrid/>
          <w:szCs w:val="22"/>
          <w:lang w:val="de-DE" w:eastAsia="de-DE"/>
        </w:rPr>
      </w:pPr>
      <w:r w:rsidRPr="00DE1967">
        <w:rPr>
          <w:snapToGrid/>
          <w:szCs w:val="22"/>
          <w:lang w:val="de-DE" w:eastAsia="de-DE"/>
        </w:rPr>
        <w:tab/>
        <w:t>Nicht bekannt:</w:t>
      </w:r>
      <w:r w:rsidRPr="00DE1967">
        <w:rPr>
          <w:snapToGrid/>
          <w:szCs w:val="22"/>
          <w:lang w:val="de-DE" w:eastAsia="de-DE"/>
        </w:rPr>
        <w:tab/>
      </w:r>
      <w:r w:rsidRPr="00DE1967">
        <w:rPr>
          <w:snapToGrid/>
          <w:szCs w:val="22"/>
          <w:lang w:val="de-DE" w:eastAsia="de-DE"/>
        </w:rPr>
        <w:tab/>
        <w:t xml:space="preserve">Lupus-ähnliches Syndrom, </w:t>
      </w:r>
      <w:proofErr w:type="spellStart"/>
      <w:r w:rsidRPr="00DE1967">
        <w:rPr>
          <w:snapToGrid/>
          <w:szCs w:val="22"/>
          <w:lang w:val="de-DE" w:eastAsia="de-DE"/>
        </w:rPr>
        <w:t>Photosensibilität</w:t>
      </w:r>
      <w:proofErr w:type="spellEnd"/>
      <w:r w:rsidRPr="00DE1967">
        <w:rPr>
          <w:snapToGrid/>
          <w:szCs w:val="22"/>
          <w:lang w:val="de-DE" w:eastAsia="de-DE"/>
        </w:rPr>
        <w:t xml:space="preserve">, kutane Vaskulitis, toxische epidermale </w:t>
      </w:r>
      <w:proofErr w:type="spellStart"/>
      <w:r w:rsidRPr="00DE1967">
        <w:rPr>
          <w:snapToGrid/>
          <w:szCs w:val="22"/>
          <w:lang w:val="de-DE" w:eastAsia="de-DE"/>
        </w:rPr>
        <w:t>Nekrolyse</w:t>
      </w:r>
      <w:proofErr w:type="spellEnd"/>
      <w:r w:rsidR="00604DEC" w:rsidRPr="00DE1967">
        <w:rPr>
          <w:snapToGrid/>
          <w:szCs w:val="22"/>
          <w:lang w:val="de-DE" w:eastAsia="de-DE"/>
        </w:rPr>
        <w:t>, Erythema multiforme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Skelettmuskulatur-, Bindegewebs- und Knochenerkrankungen</w:t>
      </w:r>
    </w:p>
    <w:p w:rsidR="00A34C33" w:rsidRPr="00DE1967" w:rsidRDefault="00A34C33" w:rsidP="0003742E">
      <w:pPr>
        <w:widowControl w:val="0"/>
        <w:tabs>
          <w:tab w:val="clear" w:pos="567"/>
          <w:tab w:val="left" w:pos="2268"/>
        </w:tabs>
        <w:autoSpaceDE w:val="0"/>
        <w:autoSpaceDN w:val="0"/>
        <w:adjustRightInd w:val="0"/>
        <w:spacing w:line="240" w:lineRule="auto"/>
        <w:ind w:left="851"/>
        <w:rPr>
          <w:snapToGrid/>
          <w:szCs w:val="22"/>
          <w:lang w:val="de-DE" w:eastAsia="de-DE"/>
        </w:rPr>
      </w:pPr>
      <w:r w:rsidRPr="00DE1967">
        <w:rPr>
          <w:snapToGrid/>
          <w:szCs w:val="22"/>
          <w:lang w:val="de-DE" w:eastAsia="de-DE"/>
        </w:rPr>
        <w:t>Nicht bekannt:</w:t>
      </w:r>
      <w:r w:rsidRPr="00DE1967">
        <w:rPr>
          <w:snapToGrid/>
          <w:szCs w:val="22"/>
          <w:lang w:val="de-DE" w:eastAsia="de-DE"/>
        </w:rPr>
        <w:tab/>
        <w:t>Schwäche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Erkrankungen der Nieren und Harnwege</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 xml:space="preserve">Nicht bekannt: </w:t>
      </w:r>
      <w:r w:rsidRPr="00DE1967">
        <w:rPr>
          <w:snapToGrid/>
          <w:szCs w:val="22"/>
          <w:lang w:val="de-DE" w:eastAsia="de-DE"/>
        </w:rPr>
        <w:tab/>
        <w:t>interstitielle Nephritis, Nierenfunktionsstörung, Glukosurie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Allgemeine Erkrankungen und Beschwerden am Verabreichungsort</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Nicht bekannt:</w:t>
      </w:r>
      <w:r w:rsidRPr="00DE1967">
        <w:rPr>
          <w:snapToGrid/>
          <w:szCs w:val="22"/>
          <w:lang w:val="de-DE" w:eastAsia="de-DE"/>
        </w:rPr>
        <w:tab/>
        <w:t>Pyrexie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Untersuchungen</w:t>
      </w:r>
    </w:p>
    <w:p w:rsidR="00A34C33" w:rsidRPr="00DE1967" w:rsidRDefault="00A34C33" w:rsidP="0003742E">
      <w:pPr>
        <w:widowControl w:val="0"/>
        <w:tabs>
          <w:tab w:val="clear" w:pos="567"/>
          <w:tab w:val="left" w:pos="851"/>
          <w:tab w:val="left" w:pos="2268"/>
        </w:tabs>
        <w:autoSpaceDE w:val="0"/>
        <w:autoSpaceDN w:val="0"/>
        <w:adjustRightInd w:val="0"/>
        <w:spacing w:line="240" w:lineRule="auto"/>
        <w:ind w:firstLine="720"/>
        <w:rPr>
          <w:snapToGrid/>
          <w:szCs w:val="22"/>
          <w:lang w:val="de-DE" w:eastAsia="de-DE"/>
        </w:rPr>
      </w:pPr>
      <w:r w:rsidRPr="00DE1967">
        <w:rPr>
          <w:snapToGrid/>
          <w:szCs w:val="22"/>
          <w:lang w:val="de-DE" w:eastAsia="de-DE"/>
        </w:rPr>
        <w:tab/>
        <w:t>Nicht bekannt: erhöhte Triglyzeride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Beschreibung ausgewählter Nebenwirkungen</w:t>
      </w: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Abnorme Leberfunktion/Einschränkung der Leberfunktion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Erfahrungen nach Markteinführung von Telmisartan zeigten, dass die meisten Fälle mit abnormer Leberfunktion/Einschränkung der Leberfunktion bei japanischen Patienten auftraten. Bei japanischen Patienten besteht eine höhere Wahrscheinlichkeit für das Auftreten dieser Nebenwirkungen.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Sepsis</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In der </w:t>
      </w:r>
      <w:proofErr w:type="spellStart"/>
      <w:r w:rsidRPr="00DE1967">
        <w:rPr>
          <w:snapToGrid/>
          <w:szCs w:val="22"/>
          <w:lang w:val="de-DE" w:eastAsia="de-DE"/>
        </w:rPr>
        <w:t>PRoFESS</w:t>
      </w:r>
      <w:proofErr w:type="spellEnd"/>
      <w:r w:rsidRPr="00DE1967">
        <w:rPr>
          <w:snapToGrid/>
          <w:szCs w:val="22"/>
          <w:lang w:val="de-DE" w:eastAsia="de-DE"/>
        </w:rPr>
        <w:t xml:space="preserve"> Studie wurde eine erhöhte Inzidenz an </w:t>
      </w:r>
      <w:proofErr w:type="spellStart"/>
      <w:r w:rsidRPr="00DE1967">
        <w:rPr>
          <w:snapToGrid/>
          <w:szCs w:val="22"/>
          <w:lang w:val="de-DE" w:eastAsia="de-DE"/>
        </w:rPr>
        <w:t>Sepsisfällen</w:t>
      </w:r>
      <w:proofErr w:type="spellEnd"/>
      <w:r w:rsidRPr="00DE1967">
        <w:rPr>
          <w:snapToGrid/>
          <w:szCs w:val="22"/>
          <w:lang w:val="de-DE" w:eastAsia="de-DE"/>
        </w:rPr>
        <w:t xml:space="preserve"> unter Telmisartan im Vergleich zu Placebo beobachtet. Das Ereignis könnte ein Zufallsbefund sein oder mit einem bisher unbekannten Wirkungsmechanismus in Zusammenhang stehen (siehe Abschnitt 5.1).</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Interstitielle Lungenerkrankung</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Fälle von interstitieller Lungenerkrankung wurden nach Markteinführung in zeitlichem Zusammenhang mit der Einnahme von Telmisartan berichtet. Ein ursächlicher Zusammenhang wurde jedoch nicht bewiesen.</w:t>
      </w:r>
    </w:p>
    <w:p w:rsidR="00461465" w:rsidRPr="00DE1967" w:rsidRDefault="00461465" w:rsidP="0003742E">
      <w:pPr>
        <w:widowControl w:val="0"/>
        <w:tabs>
          <w:tab w:val="clear" w:pos="567"/>
        </w:tabs>
        <w:autoSpaceDE w:val="0"/>
        <w:autoSpaceDN w:val="0"/>
        <w:adjustRightInd w:val="0"/>
        <w:spacing w:line="240" w:lineRule="auto"/>
        <w:rPr>
          <w:snapToGrid/>
          <w:szCs w:val="22"/>
          <w:lang w:val="de-DE" w:eastAsia="de-DE"/>
        </w:rPr>
      </w:pPr>
    </w:p>
    <w:p w:rsidR="00461465" w:rsidRPr="00DE1967" w:rsidRDefault="00461465"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 xml:space="preserve">Nicht-melanozytärer Hautkrebs </w:t>
      </w:r>
    </w:p>
    <w:p w:rsidR="00461465" w:rsidRPr="00DE1967" w:rsidRDefault="00461465"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Auf der Grundlage der vorliegenden Daten aus epidemiologischen Studien wurde ein kumulativer dosisabhängiger Zusammenhang zwischen HCTZ und NMSC festgestellt (siehe auch Abschnitt 4.4 und 5.1 ).</w:t>
      </w:r>
    </w:p>
    <w:p w:rsidR="00A34C33" w:rsidRPr="00DE1967" w:rsidRDefault="00A34C33" w:rsidP="0003742E">
      <w:pPr>
        <w:widowControl w:val="0"/>
        <w:tabs>
          <w:tab w:val="clear" w:pos="567"/>
        </w:tabs>
        <w:autoSpaceDE w:val="0"/>
        <w:autoSpaceDN w:val="0"/>
        <w:adjustRightInd w:val="0"/>
        <w:spacing w:line="240" w:lineRule="auto"/>
        <w:rPr>
          <w:szCs w:val="22"/>
          <w:lang w:val="de-DE"/>
        </w:rPr>
      </w:pPr>
    </w:p>
    <w:p w:rsidR="00920248" w:rsidRPr="00DE1967" w:rsidRDefault="00647F08" w:rsidP="0003742E">
      <w:pPr>
        <w:widowControl w:val="0"/>
        <w:spacing w:line="240" w:lineRule="auto"/>
        <w:rPr>
          <w:noProof/>
          <w:szCs w:val="22"/>
          <w:u w:val="single"/>
          <w:lang w:val="de-DE"/>
        </w:rPr>
      </w:pPr>
      <w:r w:rsidRPr="00DE1967">
        <w:rPr>
          <w:noProof/>
          <w:szCs w:val="22"/>
          <w:u w:val="single"/>
          <w:lang w:val="de-DE"/>
        </w:rPr>
        <w:t>Meldung des Verdachts auf Nebenwirkungen</w:t>
      </w:r>
    </w:p>
    <w:p w:rsidR="00647F08" w:rsidRPr="00DE1967" w:rsidRDefault="00647F08" w:rsidP="0003742E">
      <w:pPr>
        <w:widowControl w:val="0"/>
        <w:spacing w:line="240" w:lineRule="auto"/>
        <w:rPr>
          <w:szCs w:val="22"/>
          <w:lang w:val="de-DE"/>
        </w:rPr>
      </w:pPr>
      <w:r w:rsidRPr="00DE1967">
        <w:rPr>
          <w:noProof/>
          <w:szCs w:val="22"/>
          <w:lang w:val="de-DE"/>
        </w:rPr>
        <w:t>Die Meldung des Verdachts auf Nebenwirkungen nach der Zulassung ist von großer Wichtigkeit.</w:t>
      </w:r>
      <w:r w:rsidRPr="00DE1967">
        <w:rPr>
          <w:szCs w:val="22"/>
          <w:lang w:val="de-DE"/>
        </w:rPr>
        <w:t xml:space="preserve"> </w:t>
      </w:r>
      <w:r w:rsidRPr="00DE1967">
        <w:rPr>
          <w:noProof/>
          <w:szCs w:val="22"/>
          <w:lang w:val="de-DE"/>
        </w:rPr>
        <w:t>Sie ermöglicht eine kontinuierliche Überwachung des Nutzen-Risiko-Verhältnisses des Arzneimittels.</w:t>
      </w:r>
      <w:r w:rsidRPr="00DE1967">
        <w:rPr>
          <w:szCs w:val="22"/>
          <w:lang w:val="de-DE"/>
        </w:rPr>
        <w:t xml:space="preserve"> Angehörige von Gesundheitsberufen</w:t>
      </w:r>
      <w:r w:rsidRPr="00DE1967">
        <w:rPr>
          <w:noProof/>
          <w:szCs w:val="22"/>
          <w:lang w:val="de-DE"/>
        </w:rPr>
        <w:t xml:space="preserve"> sind aufgefordert, jeden Verdachtsfall einer Nebenwirkung über das in </w:t>
      </w:r>
      <w:hyperlink r:id="rId13" w:history="1">
        <w:r w:rsidRPr="00DE1967">
          <w:rPr>
            <w:rStyle w:val="Hyperlink"/>
            <w:noProof/>
            <w:szCs w:val="22"/>
            <w:lang w:val="de-DE"/>
          </w:rPr>
          <w:t>Anhang V</w:t>
        </w:r>
      </w:hyperlink>
      <w:r w:rsidRPr="00DE1967">
        <w:rPr>
          <w:noProof/>
          <w:szCs w:val="22"/>
          <w:lang w:val="de-DE"/>
        </w:rPr>
        <w:t xml:space="preserve"> aufgeführte nationale Meldesystem anzuzeigen.</w:t>
      </w:r>
    </w:p>
    <w:p w:rsidR="00647F08" w:rsidRPr="00DE1967" w:rsidRDefault="00647F08" w:rsidP="0003742E">
      <w:pPr>
        <w:widowControl w:val="0"/>
        <w:tabs>
          <w:tab w:val="clear" w:pos="567"/>
        </w:tabs>
        <w:autoSpaceDE w:val="0"/>
        <w:autoSpaceDN w:val="0"/>
        <w:adjustRightInd w:val="0"/>
        <w:spacing w:line="240" w:lineRule="auto"/>
        <w:rPr>
          <w:szCs w:val="22"/>
          <w:lang w:val="de-DE"/>
        </w:rPr>
      </w:pPr>
    </w:p>
    <w:p w:rsidR="00A34C33" w:rsidRPr="00DE1967" w:rsidRDefault="00A34C33" w:rsidP="0003742E">
      <w:pPr>
        <w:widowControl w:val="0"/>
        <w:spacing w:line="240" w:lineRule="auto"/>
        <w:ind w:left="567" w:hanging="567"/>
        <w:outlineLvl w:val="0"/>
        <w:rPr>
          <w:noProof/>
          <w:szCs w:val="22"/>
          <w:lang w:val="de-DE"/>
        </w:rPr>
      </w:pPr>
      <w:r w:rsidRPr="00DE1967">
        <w:rPr>
          <w:b/>
          <w:noProof/>
          <w:szCs w:val="22"/>
          <w:lang w:val="de-DE"/>
        </w:rPr>
        <w:t>4.9</w:t>
      </w:r>
      <w:r w:rsidRPr="00DE1967">
        <w:rPr>
          <w:b/>
          <w:noProof/>
          <w:szCs w:val="22"/>
          <w:lang w:val="de-DE"/>
        </w:rPr>
        <w:tab/>
        <w:t>Überdosierung</w:t>
      </w:r>
    </w:p>
    <w:p w:rsidR="00A34C33" w:rsidRPr="00DE1967" w:rsidRDefault="00A34C33" w:rsidP="0003742E">
      <w:pPr>
        <w:widowControl w:val="0"/>
        <w:spacing w:line="240" w:lineRule="auto"/>
        <w:rPr>
          <w:szCs w:val="22"/>
          <w:lang w:val="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Zur Überdosierung beim Menschen liegen für Telmisartan begrenzte Erfahrungen vor. In welchem Ausmaß sich Hydrochlorothiazid durch Hämodialyse entfernen lässt, wurde nicht untersucht.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Symptome</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 markantesten Symptome einer Telmisartan-Überdosierung waren Hypotonie und Tachykardie; Bradykardie, Schwindelgefühl, Erbrechen, Erhöhung des Serumkreatinins und akutes Nierenversagen wurden ebenfalls berichtet. Eine Überdosierung mit Hydrochlorothiazid führt möglicherweise zu einem Elektrolytverlust (Hypokaliämie, </w:t>
      </w:r>
      <w:proofErr w:type="spellStart"/>
      <w:r w:rsidRPr="00DE1967">
        <w:rPr>
          <w:snapToGrid/>
          <w:szCs w:val="22"/>
          <w:lang w:val="de-DE" w:eastAsia="de-DE"/>
        </w:rPr>
        <w:t>Hypochlorämie</w:t>
      </w:r>
      <w:proofErr w:type="spellEnd"/>
      <w:r w:rsidRPr="00DE1967">
        <w:rPr>
          <w:snapToGrid/>
          <w:szCs w:val="22"/>
          <w:lang w:val="de-DE" w:eastAsia="de-DE"/>
        </w:rPr>
        <w:t xml:space="preserve">) und zu Hypovolämie infolge einer exzessiven Diurese. Die häufigsten Anzeichen und Symptome einer Überdosierung sind Übelkeit und Schläfrigkeit. Hypokaliämie kann zu Muskelkrämpfen führen und/oder Rhythmusstörungen verstärken, die im Zusammenhang mit der gleichzeitigen Gabe von </w:t>
      </w:r>
      <w:proofErr w:type="spellStart"/>
      <w:r w:rsidRPr="00DE1967">
        <w:rPr>
          <w:snapToGrid/>
          <w:szCs w:val="22"/>
          <w:lang w:val="de-DE" w:eastAsia="de-DE"/>
        </w:rPr>
        <w:t>Digitalisglykosiden</w:t>
      </w:r>
      <w:proofErr w:type="spellEnd"/>
      <w:r w:rsidRPr="00DE1967">
        <w:rPr>
          <w:snapToGrid/>
          <w:szCs w:val="22"/>
          <w:lang w:val="de-DE" w:eastAsia="de-DE"/>
        </w:rPr>
        <w:t xml:space="preserve"> oder bestimmten Antiarrhythmika auftreten.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Behandlung</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Telmisartan kann nicht durch Hämodialyse entfernt werden. Der Patient sollte sorgfältig überwacht werden und die Behandlung sollte symptomatisch und unterstützend sein. Die Behandlung hängt von der seit der Einnahme verstrichenen Zeit und vom Schweregrad der Symptome ab. Empfohlene Maßnahmen sind u. a. das Herbeiführen von Erbrechen und/oder Magenspülung. Die Gabe von Aktivkohle kann bei der Behandlung der Überdosierung nützlich sein. Serumelektrolyte und Kreatinin sollten häufig kontrolliert werden. Bei Auftreten einer Hypotonie sollte der Patient in Rückenlage gebracht und rasch eine Salz- und Volumensubstitution gegeben werden.</w:t>
      </w:r>
    </w:p>
    <w:p w:rsidR="00A34C33" w:rsidRPr="00DE1967" w:rsidRDefault="00A34C33" w:rsidP="0003742E">
      <w:pPr>
        <w:widowControl w:val="0"/>
        <w:tabs>
          <w:tab w:val="clear" w:pos="567"/>
        </w:tabs>
        <w:autoSpaceDE w:val="0"/>
        <w:autoSpaceDN w:val="0"/>
        <w:adjustRightInd w:val="0"/>
        <w:spacing w:line="240" w:lineRule="auto"/>
        <w:rPr>
          <w:szCs w:val="22"/>
          <w:lang w:val="de-DE"/>
        </w:rPr>
      </w:pPr>
    </w:p>
    <w:p w:rsidR="00A34C33" w:rsidRPr="00DE1967" w:rsidRDefault="00A34C33" w:rsidP="0003742E">
      <w:pPr>
        <w:widowControl w:val="0"/>
        <w:spacing w:line="240" w:lineRule="auto"/>
        <w:rPr>
          <w:szCs w:val="22"/>
          <w:lang w:val="de-DE"/>
        </w:rPr>
      </w:pPr>
    </w:p>
    <w:p w:rsidR="00A34C33" w:rsidRPr="00DE1967" w:rsidRDefault="00A34C33" w:rsidP="0003742E">
      <w:pPr>
        <w:widowControl w:val="0"/>
        <w:spacing w:line="240" w:lineRule="auto"/>
        <w:ind w:left="567" w:hanging="567"/>
        <w:rPr>
          <w:noProof/>
          <w:szCs w:val="22"/>
          <w:lang w:val="de-DE"/>
        </w:rPr>
      </w:pPr>
      <w:r w:rsidRPr="00DE1967">
        <w:rPr>
          <w:b/>
          <w:noProof/>
          <w:szCs w:val="22"/>
          <w:lang w:val="de-DE"/>
        </w:rPr>
        <w:t>5.</w:t>
      </w:r>
      <w:r w:rsidRPr="00DE1967">
        <w:rPr>
          <w:b/>
          <w:noProof/>
          <w:szCs w:val="22"/>
          <w:lang w:val="de-DE"/>
        </w:rPr>
        <w:tab/>
        <w:t>PHARMAKOLOGISCHE EIGENSCHAFTEN</w:t>
      </w:r>
    </w:p>
    <w:p w:rsidR="00A34C33" w:rsidRPr="00DE1967" w:rsidRDefault="00A34C33" w:rsidP="0003742E">
      <w:pPr>
        <w:widowControl w:val="0"/>
        <w:spacing w:line="240" w:lineRule="auto"/>
        <w:rPr>
          <w:szCs w:val="22"/>
          <w:lang w:val="de-DE"/>
        </w:rPr>
      </w:pPr>
    </w:p>
    <w:p w:rsidR="00A34C33" w:rsidRPr="00DE1967" w:rsidRDefault="00601015" w:rsidP="0003742E">
      <w:pPr>
        <w:widowControl w:val="0"/>
        <w:spacing w:line="240" w:lineRule="auto"/>
        <w:ind w:left="567" w:hanging="567"/>
        <w:outlineLvl w:val="0"/>
        <w:rPr>
          <w:noProof/>
          <w:szCs w:val="22"/>
          <w:lang w:val="de-DE"/>
        </w:rPr>
      </w:pPr>
      <w:r w:rsidRPr="00DE1967">
        <w:rPr>
          <w:b/>
          <w:noProof/>
          <w:szCs w:val="22"/>
          <w:lang w:val="de-DE"/>
        </w:rPr>
        <w:t>5.1</w:t>
      </w:r>
      <w:r w:rsidR="00A34C33" w:rsidRPr="00DE1967">
        <w:rPr>
          <w:b/>
          <w:noProof/>
          <w:szCs w:val="22"/>
          <w:lang w:val="de-DE"/>
        </w:rPr>
        <w:tab/>
        <w:t>Pharmakodynamische Eigenschaften</w:t>
      </w:r>
    </w:p>
    <w:p w:rsidR="00A34C33" w:rsidRPr="00DE1967" w:rsidRDefault="00A34C33" w:rsidP="0003742E">
      <w:pPr>
        <w:widowControl w:val="0"/>
        <w:spacing w:line="240" w:lineRule="auto"/>
        <w:rPr>
          <w:szCs w:val="22"/>
          <w:lang w:val="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Pharmakotherapeutische Gruppe: </w:t>
      </w:r>
      <w:r w:rsidR="00171E2D" w:rsidRPr="00DE1967">
        <w:rPr>
          <w:snapToGrid/>
          <w:szCs w:val="22"/>
          <w:lang w:val="de-DE" w:eastAsia="de-DE"/>
        </w:rPr>
        <w:t>Mittel mit Wirkung auf das Renin-Angiotensin-System</w:t>
      </w:r>
      <w:r w:rsidR="00A27A4F" w:rsidRPr="00DE1967">
        <w:rPr>
          <w:snapToGrid/>
          <w:szCs w:val="22"/>
          <w:lang w:val="de-DE" w:eastAsia="de-DE"/>
        </w:rPr>
        <w:t xml:space="preserve">; </w:t>
      </w:r>
      <w:r w:rsidRPr="00DE1967">
        <w:rPr>
          <w:snapToGrid/>
          <w:szCs w:val="22"/>
          <w:lang w:val="de-DE" w:eastAsia="de-DE"/>
        </w:rPr>
        <w:t>Angiotensin-II-Antagonisten und Diuretika, ATC-Code: C09DA07</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roofErr w:type="spellStart"/>
      <w:r w:rsidRPr="00DE1967">
        <w:rPr>
          <w:snapToGrid/>
          <w:szCs w:val="22"/>
          <w:lang w:val="de-DE" w:eastAsia="de-DE"/>
        </w:rPr>
        <w:t>Tolucombi</w:t>
      </w:r>
      <w:proofErr w:type="spellEnd"/>
      <w:r w:rsidRPr="00DE1967">
        <w:rPr>
          <w:snapToGrid/>
          <w:szCs w:val="22"/>
          <w:lang w:val="de-DE" w:eastAsia="de-DE"/>
        </w:rPr>
        <w:t xml:space="preserve"> ist eine Kombination aus einem Angiotensin-II-Rezeptor-Antagonisten, Telmisartan, und einem Thiaziddiuretikum, Hydrochlorothiazid. Die Kombination dieser Wirkstoffe weist eine additive antihypertensive Wirkung auf, der Blutdruck wird stärker gesenkt als durch jede einzelne Komponente allein. Die 1 x tägliche Gabe von </w:t>
      </w:r>
      <w:proofErr w:type="spellStart"/>
      <w:r w:rsidRPr="00DE1967">
        <w:rPr>
          <w:snapToGrid/>
          <w:szCs w:val="22"/>
          <w:lang w:val="de-DE" w:eastAsia="de-DE"/>
        </w:rPr>
        <w:t>Tolucombi</w:t>
      </w:r>
      <w:proofErr w:type="spellEnd"/>
      <w:r w:rsidRPr="00DE1967">
        <w:rPr>
          <w:snapToGrid/>
          <w:szCs w:val="22"/>
          <w:lang w:val="de-DE" w:eastAsia="de-DE"/>
        </w:rPr>
        <w:t xml:space="preserve"> führt zu einer wirksamen und gleichmäßigen Blutdrucksenkung über den therapeutischen Dosisbereich.</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604DEC" w:rsidRPr="00DE1967" w:rsidRDefault="00604DEC" w:rsidP="00604DEC">
      <w:pPr>
        <w:keepLines/>
        <w:rPr>
          <w:szCs w:val="22"/>
          <w:u w:val="single"/>
          <w:lang w:val="de-DE"/>
        </w:rPr>
      </w:pPr>
      <w:r w:rsidRPr="00DE1967">
        <w:rPr>
          <w:szCs w:val="22"/>
          <w:u w:val="single"/>
          <w:lang w:val="de-DE"/>
        </w:rPr>
        <w:t>Wirkmechanismus</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Telmisartan ist ein oral wirksamer und spezifischer Angiotensin-II-Rezeptor Subtyp 1 (AT</w:t>
      </w:r>
      <w:r w:rsidRPr="00DE1967">
        <w:rPr>
          <w:snapToGrid/>
          <w:szCs w:val="22"/>
          <w:vertAlign w:val="subscript"/>
          <w:lang w:val="de-DE" w:eastAsia="de-DE"/>
        </w:rPr>
        <w:t>1</w:t>
      </w:r>
      <w:r w:rsidRPr="00DE1967">
        <w:rPr>
          <w:snapToGrid/>
          <w:szCs w:val="22"/>
          <w:lang w:val="de-DE" w:eastAsia="de-DE"/>
        </w:rPr>
        <w:t>)-Antagonist. Telmisartan verdrängt Angiotensin II mit sehr hoher Affinität von seiner Bindungsstelle am AT</w:t>
      </w:r>
      <w:r w:rsidRPr="00DE1967">
        <w:rPr>
          <w:snapToGrid/>
          <w:szCs w:val="22"/>
          <w:vertAlign w:val="subscript"/>
          <w:lang w:val="de-DE" w:eastAsia="de-DE"/>
        </w:rPr>
        <w:t>1</w:t>
      </w:r>
      <w:r w:rsidRPr="00DE1967">
        <w:rPr>
          <w:snapToGrid/>
          <w:szCs w:val="22"/>
          <w:lang w:val="de-DE" w:eastAsia="de-DE"/>
        </w:rPr>
        <w:t>-Rezeptor-Subtyp, der für die bekannten Wirkungen von Angiotensin II verantwortlich ist. Telmisartan zeigt keine partiell agonistische Aktivität am AT</w:t>
      </w:r>
      <w:r w:rsidRPr="00DE1967">
        <w:rPr>
          <w:snapToGrid/>
          <w:szCs w:val="22"/>
          <w:vertAlign w:val="subscript"/>
          <w:lang w:val="de-DE" w:eastAsia="de-DE"/>
        </w:rPr>
        <w:t>1</w:t>
      </w:r>
      <w:r w:rsidRPr="00DE1967">
        <w:rPr>
          <w:snapToGrid/>
          <w:szCs w:val="22"/>
          <w:lang w:val="de-DE" w:eastAsia="de-DE"/>
        </w:rPr>
        <w:t>-Rezeptor. Telmisartan bindet selektiv an den AT</w:t>
      </w:r>
      <w:r w:rsidRPr="00DE1967">
        <w:rPr>
          <w:snapToGrid/>
          <w:szCs w:val="22"/>
          <w:vertAlign w:val="subscript"/>
          <w:lang w:val="de-DE" w:eastAsia="de-DE"/>
        </w:rPr>
        <w:t>1</w:t>
      </w:r>
      <w:r w:rsidRPr="00DE1967">
        <w:rPr>
          <w:snapToGrid/>
          <w:szCs w:val="22"/>
          <w:lang w:val="de-DE" w:eastAsia="de-DE"/>
        </w:rPr>
        <w:t>-Rezeptor. Diese Bindung ist lange andauernd. Telmisartan zeigt keine Affinität zu anderen Rezeptoren, einschließlich AT</w:t>
      </w:r>
      <w:r w:rsidRPr="00DE1967">
        <w:rPr>
          <w:snapToGrid/>
          <w:szCs w:val="22"/>
          <w:vertAlign w:val="subscript"/>
          <w:lang w:val="de-DE" w:eastAsia="de-DE"/>
        </w:rPr>
        <w:t>2</w:t>
      </w:r>
      <w:r w:rsidRPr="00DE1967">
        <w:rPr>
          <w:snapToGrid/>
          <w:szCs w:val="22"/>
          <w:lang w:val="de-DE" w:eastAsia="de-DE"/>
        </w:rPr>
        <w:t>- und anderer, weniger charakterisierter AT-Rezeptoren. Die funktionelle Bedeutung dieser Rezeptoren ist ebenso wenig bekannt wie die Wirkung ihrer möglichen Überstimulierung durch Angiotensin II, dessen Spiegel durch Telmisartan erhöht wird. Plasma-</w:t>
      </w:r>
      <w:proofErr w:type="spellStart"/>
      <w:r w:rsidRPr="00DE1967">
        <w:rPr>
          <w:snapToGrid/>
          <w:szCs w:val="22"/>
          <w:lang w:val="de-DE" w:eastAsia="de-DE"/>
        </w:rPr>
        <w:t>Aldosteronspiegel</w:t>
      </w:r>
      <w:proofErr w:type="spellEnd"/>
      <w:r w:rsidRPr="00DE1967">
        <w:rPr>
          <w:snapToGrid/>
          <w:szCs w:val="22"/>
          <w:lang w:val="de-DE" w:eastAsia="de-DE"/>
        </w:rPr>
        <w:t xml:space="preserve"> werden durch Telmisartan gesenkt. Telmisartan hemmt weder humanes </w:t>
      </w:r>
      <w:proofErr w:type="spellStart"/>
      <w:r w:rsidRPr="00DE1967">
        <w:rPr>
          <w:snapToGrid/>
          <w:szCs w:val="22"/>
          <w:lang w:val="de-DE" w:eastAsia="de-DE"/>
        </w:rPr>
        <w:t>Plasmarenin</w:t>
      </w:r>
      <w:proofErr w:type="spellEnd"/>
      <w:r w:rsidRPr="00DE1967">
        <w:rPr>
          <w:snapToGrid/>
          <w:szCs w:val="22"/>
          <w:lang w:val="de-DE" w:eastAsia="de-DE"/>
        </w:rPr>
        <w:t xml:space="preserve"> noch blockiert es Ionenkanäle. Telmisartan hemmt nicht das Angiotensin-</w:t>
      </w:r>
      <w:proofErr w:type="spellStart"/>
      <w:r w:rsidRPr="00DE1967">
        <w:rPr>
          <w:snapToGrid/>
          <w:szCs w:val="22"/>
          <w:lang w:val="de-DE" w:eastAsia="de-DE"/>
        </w:rPr>
        <w:t>Converting</w:t>
      </w:r>
      <w:proofErr w:type="spellEnd"/>
      <w:r w:rsidRPr="00DE1967">
        <w:rPr>
          <w:snapToGrid/>
          <w:szCs w:val="22"/>
          <w:lang w:val="de-DE" w:eastAsia="de-DE"/>
        </w:rPr>
        <w:t>-Enzym (</w:t>
      </w:r>
      <w:proofErr w:type="spellStart"/>
      <w:r w:rsidRPr="00DE1967">
        <w:rPr>
          <w:snapToGrid/>
          <w:szCs w:val="22"/>
          <w:lang w:val="de-DE" w:eastAsia="de-DE"/>
        </w:rPr>
        <w:t>Kininase</w:t>
      </w:r>
      <w:proofErr w:type="spellEnd"/>
      <w:r w:rsidRPr="00DE1967">
        <w:rPr>
          <w:snapToGrid/>
          <w:szCs w:val="22"/>
          <w:lang w:val="de-DE" w:eastAsia="de-DE"/>
        </w:rPr>
        <w:t xml:space="preserve"> II), das Enzym, das auch Bradykinin abbaut. Daher ist keine Verstärkung der Bradykinin vermittelten unerwünschten Wirkungen zu erwarten.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Eine Dosis von 80</w:t>
      </w:r>
      <w:r w:rsidR="00023E2B" w:rsidRPr="00DE1967">
        <w:rPr>
          <w:snapToGrid/>
          <w:szCs w:val="22"/>
          <w:lang w:val="de-DE" w:eastAsia="de-DE"/>
        </w:rPr>
        <w:t> mg</w:t>
      </w:r>
      <w:r w:rsidRPr="00DE1967">
        <w:rPr>
          <w:snapToGrid/>
          <w:szCs w:val="22"/>
          <w:lang w:val="de-DE" w:eastAsia="de-DE"/>
        </w:rPr>
        <w:t xml:space="preserve"> Telmisartan, die gesunden Probanden gegeben wurde, hemmt fast vollständig den durch Angiotensin II hervorgerufenen Blutdruckanstieg. Der inhibitorische Effekt wird über 24 Stunden aufrechterhalten und ist auch nach 48 Stunden noch messbar.</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604DEC" w:rsidRPr="00DE1967" w:rsidRDefault="00604DEC" w:rsidP="00604DEC">
      <w:pPr>
        <w:keepLines/>
        <w:rPr>
          <w:szCs w:val="22"/>
          <w:lang w:val="de-DE"/>
        </w:rPr>
      </w:pPr>
      <w:r w:rsidRPr="00DE1967">
        <w:rPr>
          <w:szCs w:val="22"/>
          <w:lang w:val="de-DE"/>
        </w:rPr>
        <w:t xml:space="preserve">Hydrochlorothiazid ist ein Thiaziddiuretikum. Der Mechanismus der antihypertensiven Wirkung der Thiaziddiuretika ist nicht vollständig bekannt. Thiazide beeinflussen die renalen tubulären Mechanismen der Elektrolytreabsorption, wobei sie die Natrium- und </w:t>
      </w:r>
      <w:proofErr w:type="spellStart"/>
      <w:r w:rsidRPr="00DE1967">
        <w:rPr>
          <w:szCs w:val="22"/>
          <w:lang w:val="de-DE"/>
        </w:rPr>
        <w:t>Chloridausscheidung</w:t>
      </w:r>
      <w:proofErr w:type="spellEnd"/>
      <w:r w:rsidRPr="00DE1967">
        <w:rPr>
          <w:szCs w:val="22"/>
          <w:lang w:val="de-DE"/>
        </w:rPr>
        <w:t xml:space="preserve"> in etwa gleichem Ausmaß erhöhen. Die diuretische Wirkung des Hydrochlorothiazids verringert das Plasmavolumen, erhöht die Plasma-Renin-Aktivität, erhöht die </w:t>
      </w:r>
      <w:proofErr w:type="spellStart"/>
      <w:r w:rsidRPr="00DE1967">
        <w:rPr>
          <w:szCs w:val="22"/>
          <w:lang w:val="de-DE"/>
        </w:rPr>
        <w:t>Aldosteronsekretion</w:t>
      </w:r>
      <w:proofErr w:type="spellEnd"/>
      <w:r w:rsidRPr="00DE1967">
        <w:rPr>
          <w:szCs w:val="22"/>
          <w:lang w:val="de-DE"/>
        </w:rPr>
        <w:t xml:space="preserve"> und infolgedessen den Kalium- und </w:t>
      </w:r>
      <w:proofErr w:type="spellStart"/>
      <w:r w:rsidRPr="00DE1967">
        <w:rPr>
          <w:szCs w:val="22"/>
          <w:lang w:val="de-DE"/>
        </w:rPr>
        <w:t>Bikarbonatverlust</w:t>
      </w:r>
      <w:proofErr w:type="spellEnd"/>
      <w:r w:rsidRPr="00DE1967">
        <w:rPr>
          <w:szCs w:val="22"/>
          <w:lang w:val="de-DE"/>
        </w:rPr>
        <w:t xml:space="preserve"> im Urin und senkt das Serumkalium. Vermutlich durch die Blockade des Renin-Angiotensin-Aldosteron-Systems kann die gleichzeitige Gabe von Telmisartan dem Kaliumverlust entgegenwirken, der mit diesen Diuretika in Zusammenhang steht. Mit Hydrochlorothiazid setzt die Diurese nach 2 Stunden ein, der maximale Effekt wird nach etwa 4 Stunden erreicht und die Wirkung hält etwa 6</w:t>
      </w:r>
      <w:r w:rsidRPr="00DE1967">
        <w:rPr>
          <w:szCs w:val="22"/>
          <w:lang w:val="de-DE"/>
        </w:rPr>
        <w:noBreakHyphen/>
        <w:t>12 Stunden an.</w:t>
      </w:r>
    </w:p>
    <w:p w:rsidR="00604DEC" w:rsidRPr="00DE1967" w:rsidRDefault="00604DEC" w:rsidP="00604DEC">
      <w:pPr>
        <w:rPr>
          <w:szCs w:val="22"/>
          <w:lang w:val="de-DE"/>
        </w:rPr>
      </w:pPr>
    </w:p>
    <w:p w:rsidR="00604DEC" w:rsidRPr="00DE1967" w:rsidRDefault="00604DEC" w:rsidP="00854C15">
      <w:pPr>
        <w:keepNext/>
        <w:keepLines/>
        <w:rPr>
          <w:szCs w:val="22"/>
          <w:u w:val="single"/>
          <w:lang w:val="de-DE"/>
        </w:rPr>
      </w:pPr>
      <w:r w:rsidRPr="00DE1967">
        <w:rPr>
          <w:szCs w:val="22"/>
          <w:u w:val="single"/>
          <w:lang w:val="de-DE"/>
        </w:rPr>
        <w:t>Klinische Wirksamkeit und Sicherheit</w:t>
      </w:r>
    </w:p>
    <w:p w:rsidR="00604DEC" w:rsidRPr="00DE1967" w:rsidRDefault="00604DEC" w:rsidP="00854C15">
      <w:pPr>
        <w:keepNext/>
        <w:keepLines/>
        <w:rPr>
          <w:szCs w:val="22"/>
          <w:lang w:val="de-DE"/>
        </w:rPr>
      </w:pPr>
    </w:p>
    <w:p w:rsidR="00604DEC" w:rsidRPr="00DE1967" w:rsidRDefault="00604DEC" w:rsidP="00854C15">
      <w:pPr>
        <w:keepNext/>
        <w:rPr>
          <w:snapToGrid/>
          <w:szCs w:val="22"/>
          <w:lang w:val="de-DE" w:eastAsia="de-DE"/>
        </w:rPr>
      </w:pPr>
      <w:r w:rsidRPr="00DE1967">
        <w:rPr>
          <w:szCs w:val="22"/>
          <w:lang w:val="de-DE"/>
        </w:rPr>
        <w:t>Behandlung der essentiellen Hypertonie</w:t>
      </w:r>
    </w:p>
    <w:p w:rsidR="00306D41" w:rsidRPr="00DE1967" w:rsidRDefault="00306D41"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Nach der Initialgabe von Telmisartan tritt die antihypertensive Wirkung allmählich innerhalb von 3 Stunden ein. Die maximale Blutdrucksenkung wird im Allgemeinen 4-8 Wochen nach Therapiebeginn erreicht und bei Langzeittherapie aufrecht erhalten. Die antihypertensive Wirkung hält konstant über 24 Stunden an. Wie durch ambulantes Blutdruckmonitoring festgestellt wurde, schließt dies auch die letzten 4 Stunden vor der nächsten Einnahme ein. Dies wird durch Messungen zum Zeitpunkt der maximalen Wirkung und unmittelbar vor der nächsten Dosis bestätigt (</w:t>
      </w:r>
      <w:proofErr w:type="spellStart"/>
      <w:r w:rsidRPr="00DE1967">
        <w:rPr>
          <w:snapToGrid/>
          <w:szCs w:val="22"/>
          <w:lang w:val="de-DE" w:eastAsia="de-DE"/>
        </w:rPr>
        <w:t>Trough</w:t>
      </w:r>
      <w:proofErr w:type="spellEnd"/>
      <w:r w:rsidRPr="00DE1967">
        <w:rPr>
          <w:snapToGrid/>
          <w:szCs w:val="22"/>
          <w:lang w:val="de-DE" w:eastAsia="de-DE"/>
        </w:rPr>
        <w:t>-</w:t>
      </w:r>
      <w:proofErr w:type="spellStart"/>
      <w:r w:rsidRPr="00DE1967">
        <w:rPr>
          <w:snapToGrid/>
          <w:szCs w:val="22"/>
          <w:lang w:val="de-DE" w:eastAsia="de-DE"/>
        </w:rPr>
        <w:t>to</w:t>
      </w:r>
      <w:proofErr w:type="spellEnd"/>
      <w:r w:rsidRPr="00DE1967">
        <w:rPr>
          <w:snapToGrid/>
          <w:szCs w:val="22"/>
          <w:lang w:val="de-DE" w:eastAsia="de-DE"/>
        </w:rPr>
        <w:t>-Peak-</w:t>
      </w:r>
      <w:proofErr w:type="spellStart"/>
      <w:r w:rsidRPr="00DE1967">
        <w:rPr>
          <w:snapToGrid/>
          <w:szCs w:val="22"/>
          <w:lang w:val="de-DE" w:eastAsia="de-DE"/>
        </w:rPr>
        <w:t>Ratios</w:t>
      </w:r>
      <w:proofErr w:type="spellEnd"/>
      <w:r w:rsidRPr="00DE1967">
        <w:rPr>
          <w:snapToGrid/>
          <w:szCs w:val="22"/>
          <w:lang w:val="de-DE" w:eastAsia="de-DE"/>
        </w:rPr>
        <w:t xml:space="preserve"> von einheitlich über 80 % nach Gabe von 40</w:t>
      </w:r>
      <w:r w:rsidR="00023E2B" w:rsidRPr="00DE1967">
        <w:rPr>
          <w:snapToGrid/>
          <w:szCs w:val="22"/>
          <w:lang w:val="de-DE" w:eastAsia="de-DE"/>
        </w:rPr>
        <w:t> mg</w:t>
      </w:r>
      <w:r w:rsidRPr="00DE1967">
        <w:rPr>
          <w:snapToGrid/>
          <w:szCs w:val="22"/>
          <w:lang w:val="de-DE" w:eastAsia="de-DE"/>
        </w:rPr>
        <w:t xml:space="preserve"> und 80</w:t>
      </w:r>
      <w:r w:rsidR="00023E2B" w:rsidRPr="00DE1967">
        <w:rPr>
          <w:snapToGrid/>
          <w:szCs w:val="22"/>
          <w:lang w:val="de-DE" w:eastAsia="de-DE"/>
        </w:rPr>
        <w:t> mg</w:t>
      </w:r>
      <w:r w:rsidRPr="00DE1967">
        <w:rPr>
          <w:snapToGrid/>
          <w:szCs w:val="22"/>
          <w:lang w:val="de-DE" w:eastAsia="de-DE"/>
        </w:rPr>
        <w:t xml:space="preserve"> Telmisartan in Placebo</w:t>
      </w:r>
      <w:r w:rsidRPr="00DE1967">
        <w:rPr>
          <w:snapToGrid/>
          <w:szCs w:val="22"/>
          <w:lang w:val="de-DE" w:eastAsia="de-DE"/>
        </w:rPr>
        <w:noBreakHyphen/>
        <w:t>kontrollierten klinischen Studien).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Telmisartan senkt bei Patienten mit Hypertonie sowohl den systolischen als auch den diastolischen Blutdruck, ohne die Pulsfrequenz zu beeinflussen. Die antihypertensive Wirkung von Telmisartan ist vergleichbar mit der Wirkung repräsentativer Vertreter anderer antihypertensiver Substanzklassen (dies wurde in klinischen Studien mit Amlodipin, Atenolol, Enalapril, Hydrochlorothiazid und Lisinopril im Vergleich mit Telmisartan gezeigt).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0B6E6E" w:rsidRPr="00DE1967" w:rsidRDefault="000B6E6E"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 einer doppelblinden, kontrollierten klinischen Studie (Nachweis der Wirksamkeit an n = 687 Patienten) mit Patienten, die nicht auf die Kombination 80</w:t>
      </w:r>
      <w:r w:rsidR="00023E2B" w:rsidRPr="00DE1967">
        <w:rPr>
          <w:snapToGrid/>
          <w:szCs w:val="22"/>
          <w:lang w:val="de-DE" w:eastAsia="de-DE"/>
        </w:rPr>
        <w:t> mg</w:t>
      </w:r>
      <w:r w:rsidRPr="00DE1967">
        <w:rPr>
          <w:snapToGrid/>
          <w:szCs w:val="22"/>
          <w:lang w:val="de-DE" w:eastAsia="de-DE"/>
        </w:rPr>
        <w:t>/12,5</w:t>
      </w:r>
      <w:r w:rsidR="00023E2B" w:rsidRPr="00DE1967">
        <w:rPr>
          <w:snapToGrid/>
          <w:szCs w:val="22"/>
          <w:lang w:val="de-DE" w:eastAsia="de-DE"/>
        </w:rPr>
        <w:t> mg</w:t>
      </w:r>
      <w:r w:rsidRPr="00DE1967">
        <w:rPr>
          <w:snapToGrid/>
          <w:szCs w:val="22"/>
          <w:lang w:val="de-DE" w:eastAsia="de-DE"/>
        </w:rPr>
        <w:t xml:space="preserve"> ansprachen, wurde eine zunehmende blutdrucksenkende Wirkung der Kombination 80</w:t>
      </w:r>
      <w:r w:rsidR="00023E2B" w:rsidRPr="00DE1967">
        <w:rPr>
          <w:snapToGrid/>
          <w:szCs w:val="22"/>
          <w:lang w:val="de-DE" w:eastAsia="de-DE"/>
        </w:rPr>
        <w:t> mg</w:t>
      </w:r>
      <w:r w:rsidRPr="00DE1967">
        <w:rPr>
          <w:snapToGrid/>
          <w:szCs w:val="22"/>
          <w:lang w:val="de-DE" w:eastAsia="de-DE"/>
        </w:rPr>
        <w:t>/25</w:t>
      </w:r>
      <w:r w:rsidR="00023E2B" w:rsidRPr="00DE1967">
        <w:rPr>
          <w:snapToGrid/>
          <w:szCs w:val="22"/>
          <w:lang w:val="de-DE" w:eastAsia="de-DE"/>
        </w:rPr>
        <w:t> mg</w:t>
      </w:r>
      <w:r w:rsidRPr="00DE1967">
        <w:rPr>
          <w:snapToGrid/>
          <w:szCs w:val="22"/>
          <w:lang w:val="de-DE" w:eastAsia="de-DE"/>
        </w:rPr>
        <w:t xml:space="preserve"> von 2,7/1,6 mm</w:t>
      </w:r>
      <w:r w:rsidR="00806EDB" w:rsidRPr="00DE1967">
        <w:rPr>
          <w:snapToGrid/>
          <w:szCs w:val="22"/>
          <w:lang w:val="de-DE" w:eastAsia="de-DE"/>
        </w:rPr>
        <w:t> </w:t>
      </w:r>
      <w:proofErr w:type="spellStart"/>
      <w:r w:rsidRPr="00DE1967">
        <w:rPr>
          <w:snapToGrid/>
          <w:szCs w:val="22"/>
          <w:lang w:val="de-DE" w:eastAsia="de-DE"/>
        </w:rPr>
        <w:t>Hg</w:t>
      </w:r>
      <w:proofErr w:type="spellEnd"/>
      <w:r w:rsidRPr="00DE1967">
        <w:rPr>
          <w:snapToGrid/>
          <w:szCs w:val="22"/>
          <w:lang w:val="de-DE" w:eastAsia="de-DE"/>
        </w:rPr>
        <w:t xml:space="preserve"> (systolischer Blutdruck/diastolischer Blutdruck) gegenüber der Dauerbehandlung mit der Kombination 80</w:t>
      </w:r>
      <w:r w:rsidR="00023E2B" w:rsidRPr="00DE1967">
        <w:rPr>
          <w:snapToGrid/>
          <w:szCs w:val="22"/>
          <w:lang w:val="de-DE" w:eastAsia="de-DE"/>
        </w:rPr>
        <w:t> mg</w:t>
      </w:r>
      <w:r w:rsidRPr="00DE1967">
        <w:rPr>
          <w:snapToGrid/>
          <w:szCs w:val="22"/>
          <w:lang w:val="de-DE" w:eastAsia="de-DE"/>
        </w:rPr>
        <w:t>/12,5</w:t>
      </w:r>
      <w:r w:rsidR="00023E2B" w:rsidRPr="00DE1967">
        <w:rPr>
          <w:snapToGrid/>
          <w:szCs w:val="22"/>
          <w:lang w:val="de-DE" w:eastAsia="de-DE"/>
        </w:rPr>
        <w:t> mg</w:t>
      </w:r>
      <w:r w:rsidRPr="00DE1967">
        <w:rPr>
          <w:snapToGrid/>
          <w:szCs w:val="22"/>
          <w:lang w:val="de-DE" w:eastAsia="de-DE"/>
        </w:rPr>
        <w:t xml:space="preserve"> gezeigt (Differenz der angepassten durchschnittlichen Veränderungen vom jeweiligen Ausgangswert). In einer Follow-</w:t>
      </w:r>
      <w:proofErr w:type="spellStart"/>
      <w:r w:rsidRPr="00DE1967">
        <w:rPr>
          <w:snapToGrid/>
          <w:szCs w:val="22"/>
          <w:lang w:val="de-DE" w:eastAsia="de-DE"/>
        </w:rPr>
        <w:t>up</w:t>
      </w:r>
      <w:proofErr w:type="spellEnd"/>
      <w:r w:rsidRPr="00DE1967">
        <w:rPr>
          <w:snapToGrid/>
          <w:szCs w:val="22"/>
          <w:lang w:val="de-DE" w:eastAsia="de-DE"/>
        </w:rPr>
        <w:t>-Studie mit der Kombination 80</w:t>
      </w:r>
      <w:r w:rsidR="00023E2B" w:rsidRPr="00DE1967">
        <w:rPr>
          <w:snapToGrid/>
          <w:szCs w:val="22"/>
          <w:lang w:val="de-DE" w:eastAsia="de-DE"/>
        </w:rPr>
        <w:t> mg</w:t>
      </w:r>
      <w:r w:rsidRPr="00DE1967">
        <w:rPr>
          <w:snapToGrid/>
          <w:szCs w:val="22"/>
          <w:lang w:val="de-DE" w:eastAsia="de-DE"/>
        </w:rPr>
        <w:t>/25</w:t>
      </w:r>
      <w:r w:rsidR="00023E2B" w:rsidRPr="00DE1967">
        <w:rPr>
          <w:snapToGrid/>
          <w:szCs w:val="22"/>
          <w:lang w:val="de-DE" w:eastAsia="de-DE"/>
        </w:rPr>
        <w:t> mg</w:t>
      </w:r>
      <w:r w:rsidRPr="00DE1967">
        <w:rPr>
          <w:snapToGrid/>
          <w:szCs w:val="22"/>
          <w:lang w:val="de-DE" w:eastAsia="de-DE"/>
        </w:rPr>
        <w:t xml:space="preserve"> zeigte sich eine weitere Senkung des Blutdrucks (mit der sich eine Blutdrucksenkung von insgesamt 11,5/9,9 mm</w:t>
      </w:r>
      <w:r w:rsidR="00806EDB" w:rsidRPr="00DE1967">
        <w:rPr>
          <w:snapToGrid/>
          <w:szCs w:val="22"/>
          <w:lang w:val="de-DE" w:eastAsia="de-DE"/>
        </w:rPr>
        <w:t> </w:t>
      </w:r>
      <w:proofErr w:type="spellStart"/>
      <w:r w:rsidRPr="00DE1967">
        <w:rPr>
          <w:snapToGrid/>
          <w:szCs w:val="22"/>
          <w:lang w:val="de-DE" w:eastAsia="de-DE"/>
        </w:rPr>
        <w:t>Hg</w:t>
      </w:r>
      <w:proofErr w:type="spellEnd"/>
      <w:r w:rsidRPr="00DE1967">
        <w:rPr>
          <w:snapToGrid/>
          <w:szCs w:val="22"/>
          <w:lang w:val="de-DE" w:eastAsia="de-DE"/>
        </w:rPr>
        <w:t xml:space="preserve"> [systolischer Blutdruck/diastolischer Blutdruck] ergab).</w:t>
      </w:r>
    </w:p>
    <w:p w:rsidR="000B6E6E" w:rsidRPr="00DE1967" w:rsidRDefault="000B6E6E" w:rsidP="0003742E">
      <w:pPr>
        <w:widowControl w:val="0"/>
        <w:tabs>
          <w:tab w:val="clear" w:pos="567"/>
        </w:tabs>
        <w:autoSpaceDE w:val="0"/>
        <w:autoSpaceDN w:val="0"/>
        <w:adjustRightInd w:val="0"/>
        <w:spacing w:line="240" w:lineRule="auto"/>
        <w:rPr>
          <w:snapToGrid/>
          <w:szCs w:val="22"/>
          <w:lang w:val="de-DE" w:eastAsia="de-DE"/>
        </w:rPr>
      </w:pPr>
    </w:p>
    <w:p w:rsidR="000B6E6E" w:rsidRPr="00DE1967" w:rsidRDefault="000B6E6E"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Die gepoolte Analyse zweier ähnlicher, 8-wöchiger, doppelblinder, Placebo-kontrollierter Studien im Vergleich mit Valsartan/Hydrochlorothiazid 160</w:t>
      </w:r>
      <w:r w:rsidR="00023E2B" w:rsidRPr="00DE1967">
        <w:rPr>
          <w:snapToGrid/>
          <w:szCs w:val="22"/>
          <w:lang w:val="de-DE" w:eastAsia="de-DE"/>
        </w:rPr>
        <w:t> mg</w:t>
      </w:r>
      <w:r w:rsidRPr="00DE1967">
        <w:rPr>
          <w:snapToGrid/>
          <w:szCs w:val="22"/>
          <w:lang w:val="de-DE" w:eastAsia="de-DE"/>
        </w:rPr>
        <w:t>/25</w:t>
      </w:r>
      <w:r w:rsidR="00023E2B" w:rsidRPr="00DE1967">
        <w:rPr>
          <w:snapToGrid/>
          <w:szCs w:val="22"/>
          <w:lang w:val="de-DE" w:eastAsia="de-DE"/>
        </w:rPr>
        <w:t> mg</w:t>
      </w:r>
      <w:r w:rsidRPr="00DE1967">
        <w:rPr>
          <w:snapToGrid/>
          <w:szCs w:val="22"/>
          <w:lang w:val="de-DE" w:eastAsia="de-DE"/>
        </w:rPr>
        <w:t xml:space="preserve"> (Nachweis der Wirksamkeit an n = 2.121 Patienten) ergab eine deutlich größere blutdrucksenkende Wirkung von 2,2/1,2</w:t>
      </w:r>
      <w:r w:rsidR="0068054A" w:rsidRPr="00DE1967">
        <w:rPr>
          <w:snapToGrid/>
          <w:szCs w:val="22"/>
          <w:lang w:val="de-DE" w:eastAsia="de-DE"/>
        </w:rPr>
        <w:t> </w:t>
      </w:r>
      <w:r w:rsidRPr="00DE1967">
        <w:rPr>
          <w:snapToGrid/>
          <w:szCs w:val="22"/>
          <w:lang w:val="de-DE" w:eastAsia="de-DE"/>
        </w:rPr>
        <w:t>mm</w:t>
      </w:r>
      <w:r w:rsidR="00806EDB" w:rsidRPr="00DE1967">
        <w:rPr>
          <w:snapToGrid/>
          <w:szCs w:val="22"/>
          <w:lang w:val="de-DE" w:eastAsia="de-DE"/>
        </w:rPr>
        <w:t> </w:t>
      </w:r>
      <w:proofErr w:type="spellStart"/>
      <w:r w:rsidRPr="00DE1967">
        <w:rPr>
          <w:snapToGrid/>
          <w:szCs w:val="22"/>
          <w:lang w:val="de-DE" w:eastAsia="de-DE"/>
        </w:rPr>
        <w:t>Hg</w:t>
      </w:r>
      <w:proofErr w:type="spellEnd"/>
      <w:r w:rsidR="0068054A" w:rsidRPr="00DE1967">
        <w:rPr>
          <w:snapToGrid/>
          <w:szCs w:val="22"/>
          <w:lang w:val="de-DE" w:eastAsia="de-DE"/>
        </w:rPr>
        <w:t xml:space="preserve"> </w:t>
      </w:r>
      <w:r w:rsidRPr="00DE1967">
        <w:rPr>
          <w:snapToGrid/>
          <w:szCs w:val="22"/>
          <w:lang w:val="de-DE" w:eastAsia="de-DE"/>
        </w:rPr>
        <w:t>(systolischer Blutdruck/diastolischer Blutdruck - jeweils die Differenz der angepassten</w:t>
      </w:r>
      <w:r w:rsidR="0068054A" w:rsidRPr="00DE1967">
        <w:rPr>
          <w:snapToGrid/>
          <w:szCs w:val="22"/>
          <w:lang w:val="de-DE" w:eastAsia="de-DE"/>
        </w:rPr>
        <w:t xml:space="preserve"> </w:t>
      </w:r>
      <w:r w:rsidRPr="00DE1967">
        <w:rPr>
          <w:snapToGrid/>
          <w:szCs w:val="22"/>
          <w:lang w:val="de-DE" w:eastAsia="de-DE"/>
        </w:rPr>
        <w:t>durchschnittlichen Veränderungen vom jeweiligen Ausgangswert) bei der Kombination</w:t>
      </w:r>
      <w:r w:rsidR="0068054A" w:rsidRPr="00DE1967">
        <w:rPr>
          <w:snapToGrid/>
          <w:szCs w:val="22"/>
          <w:lang w:val="de-DE" w:eastAsia="de-DE"/>
        </w:rPr>
        <w:t xml:space="preserve"> </w:t>
      </w:r>
      <w:r w:rsidRPr="00DE1967">
        <w:rPr>
          <w:snapToGrid/>
          <w:szCs w:val="22"/>
          <w:lang w:val="de-DE" w:eastAsia="de-DE"/>
        </w:rPr>
        <w:t>Telmisartan/Hydrochlorothiazid 80</w:t>
      </w:r>
      <w:r w:rsidR="00023E2B" w:rsidRPr="00DE1967">
        <w:rPr>
          <w:snapToGrid/>
          <w:szCs w:val="22"/>
          <w:lang w:val="de-DE" w:eastAsia="de-DE"/>
        </w:rPr>
        <w:t> mg</w:t>
      </w:r>
      <w:r w:rsidRPr="00DE1967">
        <w:rPr>
          <w:snapToGrid/>
          <w:szCs w:val="22"/>
          <w:lang w:val="de-DE" w:eastAsia="de-DE"/>
        </w:rPr>
        <w:t>/25</w:t>
      </w:r>
      <w:r w:rsidR="00023E2B" w:rsidRPr="00DE1967">
        <w:rPr>
          <w:snapToGrid/>
          <w:szCs w:val="22"/>
          <w:lang w:val="de-DE" w:eastAsia="de-DE"/>
        </w:rPr>
        <w:t> mg</w:t>
      </w:r>
      <w:r w:rsidRPr="00DE1967">
        <w:rPr>
          <w:snapToGrid/>
          <w:szCs w:val="22"/>
          <w:lang w:val="de-DE" w:eastAsia="de-DE"/>
        </w:rPr>
        <w:t>.</w:t>
      </w:r>
    </w:p>
    <w:p w:rsidR="00D75747" w:rsidRPr="00DE1967" w:rsidRDefault="00D75747"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Nach abruptem Absetzen von Telmisartan kehrt der Blutdruck über einen Zeitraum von mehreren Tagen allmählich zu den Ausgangswerten vor der Behandlung zurück, ohne Anhaltspunkte für eine überschießende Blutdruckreaktion.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Bei klinischen Prüfungen war im direkten Vergleich die Inzidenz von trockenem Husten bei Patienten, die mit Telmisartan behandelt wurden, signifikant seltener als bei Patienten, die mit Angiotensin-</w:t>
      </w:r>
      <w:proofErr w:type="spellStart"/>
      <w:r w:rsidRPr="00DE1967">
        <w:rPr>
          <w:snapToGrid/>
          <w:szCs w:val="22"/>
          <w:lang w:val="de-DE" w:eastAsia="de-DE"/>
        </w:rPr>
        <w:t>Converting</w:t>
      </w:r>
      <w:proofErr w:type="spellEnd"/>
      <w:r w:rsidRPr="00DE1967">
        <w:rPr>
          <w:snapToGrid/>
          <w:szCs w:val="22"/>
          <w:lang w:val="de-DE" w:eastAsia="de-DE"/>
        </w:rPr>
        <w:t>-Enzym-Inhibitoren behandelt wurden.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Kardiovaskuläre Prävention</w:t>
      </w: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r w:rsidRPr="00DE1967">
        <w:rPr>
          <w:bCs/>
          <w:snapToGrid/>
          <w:szCs w:val="22"/>
          <w:lang w:val="de-DE" w:eastAsia="de-DE"/>
        </w:rPr>
        <w:t>ONTARGET</w:t>
      </w:r>
      <w:r w:rsidRPr="00DE1967">
        <w:rPr>
          <w:snapToGrid/>
          <w:szCs w:val="22"/>
          <w:lang w:val="de-DE" w:eastAsia="de-DE"/>
        </w:rPr>
        <w:t xml:space="preserve"> (</w:t>
      </w:r>
      <w:proofErr w:type="spellStart"/>
      <w:r w:rsidRPr="00DE1967">
        <w:rPr>
          <w:bCs/>
          <w:snapToGrid/>
          <w:szCs w:val="22"/>
          <w:lang w:val="de-DE" w:eastAsia="de-DE"/>
        </w:rPr>
        <w:t>ON</w:t>
      </w:r>
      <w:r w:rsidRPr="00DE1967">
        <w:rPr>
          <w:snapToGrid/>
          <w:szCs w:val="22"/>
          <w:lang w:val="de-DE" w:eastAsia="de-DE"/>
        </w:rPr>
        <w:t>going</w:t>
      </w:r>
      <w:proofErr w:type="spellEnd"/>
      <w:r w:rsidRPr="00DE1967">
        <w:rPr>
          <w:snapToGrid/>
          <w:szCs w:val="22"/>
          <w:lang w:val="de-DE" w:eastAsia="de-DE"/>
        </w:rPr>
        <w:t xml:space="preserve"> </w:t>
      </w:r>
      <w:r w:rsidRPr="00DE1967">
        <w:rPr>
          <w:bCs/>
          <w:snapToGrid/>
          <w:szCs w:val="22"/>
          <w:lang w:val="de-DE" w:eastAsia="de-DE"/>
        </w:rPr>
        <w:t>T</w:t>
      </w:r>
      <w:r w:rsidRPr="00DE1967">
        <w:rPr>
          <w:snapToGrid/>
          <w:szCs w:val="22"/>
          <w:lang w:val="de-DE" w:eastAsia="de-DE"/>
        </w:rPr>
        <w:t xml:space="preserve">elmisartan </w:t>
      </w:r>
      <w:r w:rsidRPr="00DE1967">
        <w:rPr>
          <w:bCs/>
          <w:snapToGrid/>
          <w:szCs w:val="22"/>
          <w:lang w:val="de-DE" w:eastAsia="de-DE"/>
        </w:rPr>
        <w:t>A</w:t>
      </w:r>
      <w:r w:rsidRPr="00DE1967">
        <w:rPr>
          <w:snapToGrid/>
          <w:szCs w:val="22"/>
          <w:lang w:val="de-DE" w:eastAsia="de-DE"/>
        </w:rPr>
        <w:t xml:space="preserve">lone and in </w:t>
      </w:r>
      <w:proofErr w:type="spellStart"/>
      <w:r w:rsidRPr="00DE1967">
        <w:rPr>
          <w:snapToGrid/>
          <w:szCs w:val="22"/>
          <w:lang w:val="de-DE" w:eastAsia="de-DE"/>
        </w:rPr>
        <w:t>Combination</w:t>
      </w:r>
      <w:proofErr w:type="spellEnd"/>
      <w:r w:rsidRPr="00DE1967">
        <w:rPr>
          <w:snapToGrid/>
          <w:szCs w:val="22"/>
          <w:lang w:val="de-DE" w:eastAsia="de-DE"/>
        </w:rPr>
        <w:t xml:space="preserve"> with </w:t>
      </w:r>
      <w:proofErr w:type="spellStart"/>
      <w:r w:rsidRPr="00DE1967">
        <w:rPr>
          <w:bCs/>
          <w:snapToGrid/>
          <w:szCs w:val="22"/>
          <w:lang w:val="de-DE" w:eastAsia="de-DE"/>
        </w:rPr>
        <w:t>R</w:t>
      </w:r>
      <w:r w:rsidRPr="00DE1967">
        <w:rPr>
          <w:snapToGrid/>
          <w:szCs w:val="22"/>
          <w:lang w:val="de-DE" w:eastAsia="de-DE"/>
        </w:rPr>
        <w:t>amipril</w:t>
      </w:r>
      <w:proofErr w:type="spellEnd"/>
      <w:r w:rsidRPr="00DE1967">
        <w:rPr>
          <w:snapToGrid/>
          <w:szCs w:val="22"/>
          <w:lang w:val="de-DE" w:eastAsia="de-DE"/>
        </w:rPr>
        <w:t xml:space="preserve"> </w:t>
      </w:r>
      <w:r w:rsidRPr="00DE1967">
        <w:rPr>
          <w:bCs/>
          <w:snapToGrid/>
          <w:szCs w:val="22"/>
          <w:lang w:val="de-DE" w:eastAsia="de-DE"/>
        </w:rPr>
        <w:t>G</w:t>
      </w:r>
      <w:r w:rsidRPr="00DE1967">
        <w:rPr>
          <w:snapToGrid/>
          <w:szCs w:val="22"/>
          <w:lang w:val="de-DE" w:eastAsia="de-DE"/>
        </w:rPr>
        <w:t xml:space="preserve">lobal </w:t>
      </w:r>
      <w:proofErr w:type="spellStart"/>
      <w:r w:rsidRPr="00DE1967">
        <w:rPr>
          <w:bCs/>
          <w:snapToGrid/>
          <w:szCs w:val="22"/>
          <w:lang w:val="de-DE" w:eastAsia="de-DE"/>
        </w:rPr>
        <w:t>E</w:t>
      </w:r>
      <w:r w:rsidRPr="00DE1967">
        <w:rPr>
          <w:snapToGrid/>
          <w:szCs w:val="22"/>
          <w:lang w:val="de-DE" w:eastAsia="de-DE"/>
        </w:rPr>
        <w:t>ndpoint</w:t>
      </w:r>
      <w:proofErr w:type="spellEnd"/>
      <w:r w:rsidRPr="00DE1967">
        <w:rPr>
          <w:snapToGrid/>
          <w:szCs w:val="22"/>
          <w:lang w:val="de-DE" w:eastAsia="de-DE"/>
        </w:rPr>
        <w:t xml:space="preserve"> </w:t>
      </w:r>
      <w:r w:rsidRPr="00DE1967">
        <w:rPr>
          <w:bCs/>
          <w:snapToGrid/>
          <w:szCs w:val="22"/>
          <w:lang w:val="de-DE" w:eastAsia="de-DE"/>
        </w:rPr>
        <w:t>T</w:t>
      </w:r>
      <w:r w:rsidRPr="00DE1967">
        <w:rPr>
          <w:snapToGrid/>
          <w:szCs w:val="22"/>
          <w:lang w:val="de-DE" w:eastAsia="de-DE"/>
        </w:rPr>
        <w:t xml:space="preserve">rial) verglich die Effekte von Telmisartan, </w:t>
      </w:r>
      <w:proofErr w:type="spellStart"/>
      <w:r w:rsidRPr="00DE1967">
        <w:rPr>
          <w:snapToGrid/>
          <w:szCs w:val="22"/>
          <w:lang w:val="de-DE" w:eastAsia="de-DE"/>
        </w:rPr>
        <w:t>Ramipril</w:t>
      </w:r>
      <w:proofErr w:type="spellEnd"/>
      <w:r w:rsidRPr="00DE1967">
        <w:rPr>
          <w:snapToGrid/>
          <w:szCs w:val="22"/>
          <w:lang w:val="de-DE" w:eastAsia="de-DE"/>
        </w:rPr>
        <w:t xml:space="preserve"> sowie der Kombination aus Telmisartan und </w:t>
      </w:r>
      <w:proofErr w:type="spellStart"/>
      <w:r w:rsidRPr="00DE1967">
        <w:rPr>
          <w:snapToGrid/>
          <w:szCs w:val="22"/>
          <w:lang w:val="de-DE" w:eastAsia="de-DE"/>
        </w:rPr>
        <w:t>Ramipril</w:t>
      </w:r>
      <w:proofErr w:type="spellEnd"/>
      <w:r w:rsidRPr="00DE1967">
        <w:rPr>
          <w:snapToGrid/>
          <w:szCs w:val="22"/>
          <w:lang w:val="de-DE" w:eastAsia="de-DE"/>
        </w:rPr>
        <w:t xml:space="preserve"> hinsichtlich des Auftretens kardiovaskulärer Ereignisse bei 25.620 Patienten im Alter von 55 Jahren oder älter mit einer Vorgeschichte von koronarer Herzerkrankung, Schlaganfall, TIA, peripherer arterieller Verschlusskrankheit oder Typ II Diabetes mellitus mit nachgewiesenen Endorganschäden (</w:t>
      </w:r>
      <w:r w:rsidR="00433771" w:rsidRPr="00DE1967">
        <w:rPr>
          <w:snapToGrid/>
          <w:szCs w:val="22"/>
          <w:lang w:val="de-DE" w:eastAsia="de-DE"/>
        </w:rPr>
        <w:t>z. B.</w:t>
      </w:r>
      <w:r w:rsidRPr="00DE1967">
        <w:rPr>
          <w:snapToGrid/>
          <w:szCs w:val="22"/>
          <w:lang w:val="de-DE" w:eastAsia="de-DE"/>
        </w:rPr>
        <w:t xml:space="preserve"> Retinopathie, linksventrikuläre Hypertrophie, Makro- oder Mikroalbuminurie), die eine Population mit einem Risiko für kardiovaskuläre Ereignisse darstellen.</w:t>
      </w: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 Patienten wurden zu jeweils einer der drei folgenden Behandlungsgruppen randomisiert und über einen Zeitraum von durchschnittlich 4,5 Jahren beobachtet: Telmisartan 80 mg (n = 8.542), </w:t>
      </w:r>
      <w:proofErr w:type="spellStart"/>
      <w:r w:rsidRPr="00DE1967">
        <w:rPr>
          <w:snapToGrid/>
          <w:szCs w:val="22"/>
          <w:lang w:val="de-DE" w:eastAsia="de-DE"/>
        </w:rPr>
        <w:t>Ramipril</w:t>
      </w:r>
      <w:proofErr w:type="spellEnd"/>
      <w:r w:rsidRPr="00DE1967">
        <w:rPr>
          <w:snapToGrid/>
          <w:szCs w:val="22"/>
          <w:lang w:val="de-DE" w:eastAsia="de-DE"/>
        </w:rPr>
        <w:t xml:space="preserve"> 10 mg (n = 8.576), bzw. die Kombinationstherapie aus Telmisartan 80 mg plus </w:t>
      </w:r>
      <w:proofErr w:type="spellStart"/>
      <w:r w:rsidRPr="00DE1967">
        <w:rPr>
          <w:snapToGrid/>
          <w:szCs w:val="22"/>
          <w:lang w:val="de-DE" w:eastAsia="de-DE"/>
        </w:rPr>
        <w:t>Ramipril</w:t>
      </w:r>
      <w:proofErr w:type="spellEnd"/>
      <w:r w:rsidRPr="00DE1967">
        <w:rPr>
          <w:snapToGrid/>
          <w:szCs w:val="22"/>
          <w:lang w:val="de-DE" w:eastAsia="de-DE"/>
        </w:rPr>
        <w:t xml:space="preserve"> 10 mg (n = 8.502).</w:t>
      </w: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Telmisartan war vergleichbar zu </w:t>
      </w:r>
      <w:proofErr w:type="spellStart"/>
      <w:r w:rsidRPr="00DE1967">
        <w:rPr>
          <w:snapToGrid/>
          <w:szCs w:val="22"/>
          <w:lang w:val="de-DE" w:eastAsia="de-DE"/>
        </w:rPr>
        <w:t>Ramipril</w:t>
      </w:r>
      <w:proofErr w:type="spellEnd"/>
      <w:r w:rsidRPr="00DE1967">
        <w:rPr>
          <w:snapToGrid/>
          <w:szCs w:val="22"/>
          <w:lang w:val="de-DE" w:eastAsia="de-DE"/>
        </w:rPr>
        <w:t xml:space="preserve"> hinsichtlich der Reduktion des kombinierten primären Endpunktes kardiovaskulärer Tod, nicht tödlicher Myokardinfarkt, nicht tödlicher Schlaganfall oder Krankenhauseinweisung wegen Herzinsuffizienz. Die Inzidenz des primären Endpunkts war in allen Behandlungsarmen ähnlich: Telmisartan (16,7 %) und </w:t>
      </w:r>
      <w:proofErr w:type="spellStart"/>
      <w:r w:rsidRPr="00DE1967">
        <w:rPr>
          <w:snapToGrid/>
          <w:szCs w:val="22"/>
          <w:lang w:val="de-DE" w:eastAsia="de-DE"/>
        </w:rPr>
        <w:t>Ramipril</w:t>
      </w:r>
      <w:proofErr w:type="spellEnd"/>
      <w:r w:rsidRPr="00DE1967">
        <w:rPr>
          <w:snapToGrid/>
          <w:szCs w:val="22"/>
          <w:lang w:val="de-DE" w:eastAsia="de-DE"/>
        </w:rPr>
        <w:t xml:space="preserve"> (16,5 %). Die Hazard-Ratio von Telmisartan gegenüber </w:t>
      </w:r>
      <w:proofErr w:type="spellStart"/>
      <w:r w:rsidRPr="00DE1967">
        <w:rPr>
          <w:snapToGrid/>
          <w:szCs w:val="22"/>
          <w:lang w:val="de-DE" w:eastAsia="de-DE"/>
        </w:rPr>
        <w:t>Ramipril</w:t>
      </w:r>
      <w:proofErr w:type="spellEnd"/>
      <w:r w:rsidRPr="00DE1967">
        <w:rPr>
          <w:snapToGrid/>
          <w:szCs w:val="22"/>
          <w:lang w:val="de-DE" w:eastAsia="de-DE"/>
        </w:rPr>
        <w:t xml:space="preserve"> lag bei 1,01 (97,5 %</w:t>
      </w:r>
      <w:r w:rsidRPr="00DE1967">
        <w:rPr>
          <w:snapToGrid/>
          <w:szCs w:val="22"/>
          <w:lang w:val="de-DE" w:eastAsia="de-DE"/>
        </w:rPr>
        <w:noBreakHyphen/>
        <w:t>Konfidenzintervall 0,93</w:t>
      </w:r>
      <w:r w:rsidRPr="00DE1967">
        <w:rPr>
          <w:snapToGrid/>
          <w:szCs w:val="22"/>
          <w:lang w:val="de-DE" w:eastAsia="de-DE"/>
        </w:rPr>
        <w:noBreakHyphen/>
        <w:t xml:space="preserve">1,10; p (Nicht-Unterlegenheit) = 0,0019 mit einer Grenze von 1,13). Die Gesamtmortalitätsrate war 11,6 % bei mit Telmisartan und 11,8 % bei mit </w:t>
      </w:r>
      <w:proofErr w:type="spellStart"/>
      <w:r w:rsidRPr="00DE1967">
        <w:rPr>
          <w:snapToGrid/>
          <w:szCs w:val="22"/>
          <w:lang w:val="de-DE" w:eastAsia="de-DE"/>
        </w:rPr>
        <w:t>Ramipril</w:t>
      </w:r>
      <w:proofErr w:type="spellEnd"/>
      <w:r w:rsidRPr="00DE1967">
        <w:rPr>
          <w:snapToGrid/>
          <w:szCs w:val="22"/>
          <w:lang w:val="de-DE" w:eastAsia="de-DE"/>
        </w:rPr>
        <w:t xml:space="preserve"> behandelten Patienten.</w:t>
      </w: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Telmisartan zeigte sich vergleichbar wirksam wie </w:t>
      </w:r>
      <w:proofErr w:type="spellStart"/>
      <w:r w:rsidRPr="00DE1967">
        <w:rPr>
          <w:snapToGrid/>
          <w:szCs w:val="22"/>
          <w:lang w:val="de-DE" w:eastAsia="de-DE"/>
        </w:rPr>
        <w:t>Ramipril</w:t>
      </w:r>
      <w:proofErr w:type="spellEnd"/>
      <w:r w:rsidRPr="00DE1967">
        <w:rPr>
          <w:snapToGrid/>
          <w:szCs w:val="22"/>
          <w:lang w:val="de-DE" w:eastAsia="de-DE"/>
        </w:rPr>
        <w:t xml:space="preserve"> im präspezifizierten sekundären Endpunkt kardiovaskulärer Tod, nicht tödlicher Myokardinfarkt und nicht tödlicher Schlaganfall [0,99 (97,5 %</w:t>
      </w:r>
      <w:r w:rsidRPr="00DE1967">
        <w:rPr>
          <w:snapToGrid/>
          <w:szCs w:val="22"/>
          <w:lang w:val="de-DE" w:eastAsia="de-DE"/>
        </w:rPr>
        <w:noBreakHyphen/>
        <w:t>Konfidenzintervall 0,90</w:t>
      </w:r>
      <w:r w:rsidRPr="00DE1967">
        <w:rPr>
          <w:snapToGrid/>
          <w:szCs w:val="22"/>
          <w:lang w:val="de-DE" w:eastAsia="de-DE"/>
        </w:rPr>
        <w:noBreakHyphen/>
        <w:t xml:space="preserve">1,08; p (Nicht-Unterlegenheit) = 0,0004)], dem primären Endpunkt der Referenzstudie HOPE (The </w:t>
      </w:r>
      <w:r w:rsidRPr="00DE1967">
        <w:rPr>
          <w:bCs/>
          <w:snapToGrid/>
          <w:szCs w:val="22"/>
          <w:lang w:val="de-DE" w:eastAsia="de-DE"/>
        </w:rPr>
        <w:t>H</w:t>
      </w:r>
      <w:r w:rsidRPr="00DE1967">
        <w:rPr>
          <w:snapToGrid/>
          <w:szCs w:val="22"/>
          <w:lang w:val="de-DE" w:eastAsia="de-DE"/>
        </w:rPr>
        <w:t xml:space="preserve">eart </w:t>
      </w:r>
      <w:r w:rsidRPr="00DE1967">
        <w:rPr>
          <w:bCs/>
          <w:snapToGrid/>
          <w:szCs w:val="22"/>
          <w:lang w:val="de-DE" w:eastAsia="de-DE"/>
        </w:rPr>
        <w:t>O</w:t>
      </w:r>
      <w:r w:rsidRPr="00DE1967">
        <w:rPr>
          <w:snapToGrid/>
          <w:szCs w:val="22"/>
          <w:lang w:val="de-DE" w:eastAsia="de-DE"/>
        </w:rPr>
        <w:t xml:space="preserve">utcomes </w:t>
      </w:r>
      <w:proofErr w:type="spellStart"/>
      <w:r w:rsidRPr="00DE1967">
        <w:rPr>
          <w:bCs/>
          <w:snapToGrid/>
          <w:szCs w:val="22"/>
          <w:lang w:val="de-DE" w:eastAsia="de-DE"/>
        </w:rPr>
        <w:t>P</w:t>
      </w:r>
      <w:r w:rsidRPr="00DE1967">
        <w:rPr>
          <w:snapToGrid/>
          <w:szCs w:val="22"/>
          <w:lang w:val="de-DE" w:eastAsia="de-DE"/>
        </w:rPr>
        <w:t>revention</w:t>
      </w:r>
      <w:proofErr w:type="spellEnd"/>
      <w:r w:rsidRPr="00DE1967">
        <w:rPr>
          <w:snapToGrid/>
          <w:szCs w:val="22"/>
          <w:lang w:val="de-DE" w:eastAsia="de-DE"/>
        </w:rPr>
        <w:t xml:space="preserve"> </w:t>
      </w:r>
      <w:r w:rsidRPr="00DE1967">
        <w:rPr>
          <w:bCs/>
          <w:snapToGrid/>
          <w:szCs w:val="22"/>
          <w:lang w:val="de-DE" w:eastAsia="de-DE"/>
        </w:rPr>
        <w:t>E</w:t>
      </w:r>
      <w:r w:rsidRPr="00DE1967">
        <w:rPr>
          <w:snapToGrid/>
          <w:szCs w:val="22"/>
          <w:lang w:val="de-DE" w:eastAsia="de-DE"/>
        </w:rPr>
        <w:t xml:space="preserve">valuation Study), in der die Wirksamkeit von </w:t>
      </w:r>
      <w:proofErr w:type="spellStart"/>
      <w:r w:rsidRPr="00DE1967">
        <w:rPr>
          <w:snapToGrid/>
          <w:szCs w:val="22"/>
          <w:lang w:val="de-DE" w:eastAsia="de-DE"/>
        </w:rPr>
        <w:t>Ramipril</w:t>
      </w:r>
      <w:proofErr w:type="spellEnd"/>
      <w:r w:rsidRPr="00DE1967">
        <w:rPr>
          <w:snapToGrid/>
          <w:szCs w:val="22"/>
          <w:lang w:val="de-DE" w:eastAsia="de-DE"/>
        </w:rPr>
        <w:t xml:space="preserve"> gegenüber Placebo untersucht wurde.</w:t>
      </w: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 TRANSCEND wurden Patienten mit ACE</w:t>
      </w:r>
      <w:r w:rsidRPr="00DE1967">
        <w:rPr>
          <w:snapToGrid/>
          <w:szCs w:val="22"/>
          <w:lang w:val="de-DE" w:eastAsia="de-DE"/>
        </w:rPr>
        <w:noBreakHyphen/>
        <w:t>Hemmer-Unverträglichkeit aber ansonsten ähnlichen Einschlusskriterien wie bei ONTARGET randomisiert: Telmisartan 80 mg (n = 2.954) oder Placebo (n = 2.972), beides zusätzlich zur Standardtherapie gegeben. Die mittlere Dauer der Nachbeobachtung war 4 Jahre und 8 Monate. Es konnte kein statistisch signifikanter Unterschied in der Inzidenz des primären kombinierten Endpunktes (kardiovaskulärer Tod, nicht tödlicher Myokardinfarkt, nicht tödlicher Schlaganfall oder Krankenhauseinweisung wegen Herzinsuffizienz) nachgewiesen werden: 15,7 % bei Telmisartan und 17,0 % bei Placebo mit einer Hazard-Ratio von 0,92 (95 %</w:t>
      </w:r>
      <w:r w:rsidRPr="00DE1967">
        <w:rPr>
          <w:snapToGrid/>
          <w:szCs w:val="22"/>
          <w:lang w:val="de-DE" w:eastAsia="de-DE"/>
        </w:rPr>
        <w:noBreakHyphen/>
        <w:t>Konfidenzintervall 0,81</w:t>
      </w:r>
      <w:r w:rsidRPr="00DE1967">
        <w:rPr>
          <w:snapToGrid/>
          <w:szCs w:val="22"/>
          <w:lang w:val="de-DE" w:eastAsia="de-DE"/>
        </w:rPr>
        <w:noBreakHyphen/>
        <w:t>1,05; p = 0,22). Im präspezifizierten kombinierten sekundären Endpunkt kardiovaskulärer Tod, nicht tödlicher Myokardinfarkt und nicht tödlicher Schlaganfall lag eine Evidenz für einen Vorteil von Telmisartan gegenüber Placebo vor [0,87 (95 %</w:t>
      </w:r>
      <w:r w:rsidRPr="00DE1967">
        <w:rPr>
          <w:snapToGrid/>
          <w:szCs w:val="22"/>
          <w:lang w:val="de-DE" w:eastAsia="de-DE"/>
        </w:rPr>
        <w:noBreakHyphen/>
        <w:t>Konfidenzintervall 0,76</w:t>
      </w:r>
      <w:r w:rsidRPr="00DE1967">
        <w:rPr>
          <w:snapToGrid/>
          <w:szCs w:val="22"/>
          <w:lang w:val="de-DE" w:eastAsia="de-DE"/>
        </w:rPr>
        <w:noBreakHyphen/>
        <w:t>1,00; p = 0,048)]. Es lag keine Evidenz hinsichtlich eines Vorteils bei der kardiovaskulären Mortalität vor (Hazard-Ratio 1,03; 95 %</w:t>
      </w:r>
      <w:r w:rsidRPr="00DE1967">
        <w:rPr>
          <w:snapToGrid/>
          <w:szCs w:val="22"/>
          <w:lang w:val="de-DE" w:eastAsia="de-DE"/>
        </w:rPr>
        <w:noBreakHyphen/>
        <w:t>Konfidenzintervall 0,85</w:t>
      </w:r>
      <w:r w:rsidRPr="00DE1967">
        <w:rPr>
          <w:snapToGrid/>
          <w:szCs w:val="22"/>
          <w:lang w:val="de-DE" w:eastAsia="de-DE"/>
        </w:rPr>
        <w:noBreakHyphen/>
        <w:t>1,24).</w:t>
      </w: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Husten und Angioödeme wurden weniger häufig bei mit Telmisartan behandelten als bei mit </w:t>
      </w:r>
      <w:proofErr w:type="spellStart"/>
      <w:r w:rsidRPr="00DE1967">
        <w:rPr>
          <w:snapToGrid/>
          <w:szCs w:val="22"/>
          <w:lang w:val="de-DE" w:eastAsia="de-DE"/>
        </w:rPr>
        <w:t>Ramipril</w:t>
      </w:r>
      <w:proofErr w:type="spellEnd"/>
      <w:r w:rsidRPr="00DE1967">
        <w:rPr>
          <w:snapToGrid/>
          <w:szCs w:val="22"/>
          <w:lang w:val="de-DE" w:eastAsia="de-DE"/>
        </w:rPr>
        <w:t xml:space="preserve"> behandelten Patienten berichtet, wohingegen Hypotonie häufiger bei der Behandlung mit Telmisartan berichtet wurde.</w:t>
      </w: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p>
    <w:p w:rsidR="00E20511" w:rsidRPr="00DE1967" w:rsidRDefault="00E20511" w:rsidP="00E20511">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 Kombination aus Telmisartan und </w:t>
      </w:r>
      <w:proofErr w:type="spellStart"/>
      <w:r w:rsidRPr="00DE1967">
        <w:rPr>
          <w:snapToGrid/>
          <w:szCs w:val="22"/>
          <w:lang w:val="de-DE" w:eastAsia="de-DE"/>
        </w:rPr>
        <w:t>Ramipril</w:t>
      </w:r>
      <w:proofErr w:type="spellEnd"/>
      <w:r w:rsidRPr="00DE1967">
        <w:rPr>
          <w:snapToGrid/>
          <w:szCs w:val="22"/>
          <w:lang w:val="de-DE" w:eastAsia="de-DE"/>
        </w:rPr>
        <w:t xml:space="preserve"> brachte keinen weiteren Vorteil gegenüber einer Behandlung mit </w:t>
      </w:r>
      <w:proofErr w:type="spellStart"/>
      <w:r w:rsidRPr="00DE1967">
        <w:rPr>
          <w:snapToGrid/>
          <w:szCs w:val="22"/>
          <w:lang w:val="de-DE" w:eastAsia="de-DE"/>
        </w:rPr>
        <w:t>Ramipril</w:t>
      </w:r>
      <w:proofErr w:type="spellEnd"/>
      <w:r w:rsidRPr="00DE1967">
        <w:rPr>
          <w:snapToGrid/>
          <w:szCs w:val="22"/>
          <w:lang w:val="de-DE" w:eastAsia="de-DE"/>
        </w:rPr>
        <w:t xml:space="preserve"> oder mit Telmisartan allein. Die kardiovaskuläre Mortalität und die Gesamtmortalität waren numerisch höher bei der Kombination. Zusätzlich traten </w:t>
      </w:r>
      <w:proofErr w:type="spellStart"/>
      <w:r w:rsidRPr="00DE1967">
        <w:rPr>
          <w:snapToGrid/>
          <w:szCs w:val="22"/>
          <w:lang w:val="de-DE" w:eastAsia="de-DE"/>
        </w:rPr>
        <w:t>Hyperkalämie</w:t>
      </w:r>
      <w:proofErr w:type="spellEnd"/>
      <w:r w:rsidRPr="00DE1967">
        <w:rPr>
          <w:snapToGrid/>
          <w:szCs w:val="22"/>
          <w:lang w:val="de-DE" w:eastAsia="de-DE"/>
        </w:rPr>
        <w:t xml:space="preserve">, Nierenversagen, Hypotonie und Synkope im Kombinationstherapiearm deutlich häufiger auf. Daher wird eine Kombination aus Telmisartan und </w:t>
      </w:r>
      <w:proofErr w:type="spellStart"/>
      <w:r w:rsidRPr="00DE1967">
        <w:rPr>
          <w:snapToGrid/>
          <w:szCs w:val="22"/>
          <w:lang w:val="de-DE" w:eastAsia="de-DE"/>
        </w:rPr>
        <w:t>Ramipril</w:t>
      </w:r>
      <w:proofErr w:type="spellEnd"/>
      <w:r w:rsidRPr="00DE1967">
        <w:rPr>
          <w:snapToGrid/>
          <w:szCs w:val="22"/>
          <w:lang w:val="de-DE" w:eastAsia="de-DE"/>
        </w:rPr>
        <w:t xml:space="preserve"> in dieser Population nicht empfohlen.</w:t>
      </w:r>
    </w:p>
    <w:p w:rsidR="00E20511" w:rsidRPr="00DE1967" w:rsidRDefault="00E20511"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In der </w:t>
      </w:r>
      <w:proofErr w:type="spellStart"/>
      <w:r w:rsidRPr="00DE1967">
        <w:rPr>
          <w:snapToGrid/>
          <w:szCs w:val="22"/>
          <w:lang w:val="de-DE" w:eastAsia="de-DE"/>
        </w:rPr>
        <w:t>PRoFESS</w:t>
      </w:r>
      <w:proofErr w:type="spellEnd"/>
      <w:r w:rsidRPr="00DE1967">
        <w:rPr>
          <w:snapToGrid/>
          <w:szCs w:val="22"/>
          <w:lang w:val="de-DE" w:eastAsia="de-DE"/>
        </w:rPr>
        <w:t xml:space="preserve"> Studie (</w:t>
      </w:r>
      <w:proofErr w:type="spellStart"/>
      <w:r w:rsidRPr="00DE1967">
        <w:rPr>
          <w:snapToGrid/>
          <w:szCs w:val="22"/>
          <w:lang w:val="de-DE" w:eastAsia="de-DE"/>
        </w:rPr>
        <w:t>Prevention</w:t>
      </w:r>
      <w:proofErr w:type="spellEnd"/>
      <w:r w:rsidRPr="00DE1967">
        <w:rPr>
          <w:snapToGrid/>
          <w:szCs w:val="22"/>
          <w:lang w:val="de-DE" w:eastAsia="de-DE"/>
        </w:rPr>
        <w:t xml:space="preserve"> Regimen For </w:t>
      </w:r>
      <w:proofErr w:type="spellStart"/>
      <w:r w:rsidRPr="00DE1967">
        <w:rPr>
          <w:snapToGrid/>
          <w:szCs w:val="22"/>
          <w:lang w:val="de-DE" w:eastAsia="de-DE"/>
        </w:rPr>
        <w:t>Effectively</w:t>
      </w:r>
      <w:proofErr w:type="spellEnd"/>
      <w:r w:rsidRPr="00DE1967">
        <w:rPr>
          <w:snapToGrid/>
          <w:szCs w:val="22"/>
          <w:lang w:val="de-DE" w:eastAsia="de-DE"/>
        </w:rPr>
        <w:t xml:space="preserve"> </w:t>
      </w:r>
      <w:proofErr w:type="spellStart"/>
      <w:r w:rsidRPr="00DE1967">
        <w:rPr>
          <w:snapToGrid/>
          <w:szCs w:val="22"/>
          <w:lang w:val="de-DE" w:eastAsia="de-DE"/>
        </w:rPr>
        <w:t>avoiding</w:t>
      </w:r>
      <w:proofErr w:type="spellEnd"/>
      <w:r w:rsidRPr="00DE1967">
        <w:rPr>
          <w:snapToGrid/>
          <w:szCs w:val="22"/>
          <w:lang w:val="de-DE" w:eastAsia="de-DE"/>
        </w:rPr>
        <w:t xml:space="preserve"> Second Strokes) wurde bei Patienten ≥ 50 Jahre die vor kurzem einen Schlaganfall erlitten hatten, eine erhöhte Inzidenz an </w:t>
      </w:r>
      <w:proofErr w:type="spellStart"/>
      <w:r w:rsidRPr="00DE1967">
        <w:rPr>
          <w:snapToGrid/>
          <w:szCs w:val="22"/>
          <w:lang w:val="de-DE" w:eastAsia="de-DE"/>
        </w:rPr>
        <w:t>Sepsisfällen</w:t>
      </w:r>
      <w:proofErr w:type="spellEnd"/>
      <w:r w:rsidRPr="00DE1967">
        <w:rPr>
          <w:snapToGrid/>
          <w:szCs w:val="22"/>
          <w:lang w:val="de-DE" w:eastAsia="de-DE"/>
        </w:rPr>
        <w:t xml:space="preserve"> unter Telmisartan im Vergleich zu Placebo bemerkt; 0,70 % gegenüber 0,49 % [RR 1,43</w:t>
      </w:r>
      <w:r w:rsidR="007C3A45" w:rsidRPr="00DE1967">
        <w:rPr>
          <w:snapToGrid/>
          <w:szCs w:val="22"/>
          <w:lang w:val="de-DE" w:eastAsia="de-DE"/>
        </w:rPr>
        <w:t xml:space="preserve"> </w:t>
      </w:r>
      <w:r w:rsidRPr="00DE1967">
        <w:rPr>
          <w:snapToGrid/>
          <w:szCs w:val="22"/>
          <w:lang w:val="de-DE" w:eastAsia="de-DE"/>
        </w:rPr>
        <w:t xml:space="preserve">(95 %-Konfidenzintervall 1,00-2,06)]. Die Inzidenz an tödlichen </w:t>
      </w:r>
      <w:proofErr w:type="spellStart"/>
      <w:r w:rsidRPr="00DE1967">
        <w:rPr>
          <w:snapToGrid/>
          <w:szCs w:val="22"/>
          <w:lang w:val="de-DE" w:eastAsia="de-DE"/>
        </w:rPr>
        <w:t>Sepsisfällen</w:t>
      </w:r>
      <w:proofErr w:type="spellEnd"/>
      <w:r w:rsidRPr="00DE1967">
        <w:rPr>
          <w:snapToGrid/>
          <w:szCs w:val="22"/>
          <w:lang w:val="de-DE" w:eastAsia="de-DE"/>
        </w:rPr>
        <w:t xml:space="preserve"> war bei Patienten unter Telmisartan (0,33 %) im Vergleich zu Placebo (0,16 %) erhöht [RR 2,07 (95 %-Konfidenzintervall 1,14-3,76)]. Die beobachtete erhöhte Inzidenzrate an </w:t>
      </w:r>
      <w:proofErr w:type="spellStart"/>
      <w:r w:rsidRPr="00DE1967">
        <w:rPr>
          <w:snapToGrid/>
          <w:szCs w:val="22"/>
          <w:lang w:val="de-DE" w:eastAsia="de-DE"/>
        </w:rPr>
        <w:t>Sepsisfällen</w:t>
      </w:r>
      <w:proofErr w:type="spellEnd"/>
      <w:r w:rsidRPr="00DE1967">
        <w:rPr>
          <w:snapToGrid/>
          <w:szCs w:val="22"/>
          <w:lang w:val="de-DE" w:eastAsia="de-DE"/>
        </w:rPr>
        <w:t xml:space="preserve"> unter Telmisartan könnte entweder ein Zufallsbefund sein oder mit einem bisher unbekannten Wirkungsmechanismus in Zusammenhang stehen.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F37A1E" w:rsidRPr="00DE1967" w:rsidRDefault="004A3D0A" w:rsidP="004A3D0A">
      <w:pPr>
        <w:widowControl w:val="0"/>
        <w:autoSpaceDE w:val="0"/>
        <w:autoSpaceDN w:val="0"/>
        <w:adjustRightInd w:val="0"/>
        <w:spacing w:line="240" w:lineRule="auto"/>
        <w:rPr>
          <w:lang w:val="de-DE" w:eastAsia="de-DE"/>
        </w:rPr>
      </w:pPr>
      <w:r w:rsidRPr="00DE1967">
        <w:rPr>
          <w:lang w:val="de-DE" w:eastAsia="de-DE"/>
        </w:rPr>
        <w:t>In zwei großen randomisierten, kontrollierten Studien („ONTARGET” [</w:t>
      </w:r>
      <w:proofErr w:type="spellStart"/>
      <w:r w:rsidRPr="00DE1967">
        <w:rPr>
          <w:lang w:val="de-DE" w:eastAsia="de-DE"/>
        </w:rPr>
        <w:t>ONgoing</w:t>
      </w:r>
      <w:proofErr w:type="spellEnd"/>
      <w:r w:rsidRPr="00DE1967">
        <w:rPr>
          <w:lang w:val="de-DE" w:eastAsia="de-DE"/>
        </w:rPr>
        <w:t xml:space="preserve"> Telmisartan Alone and in </w:t>
      </w:r>
      <w:proofErr w:type="spellStart"/>
      <w:r w:rsidRPr="00DE1967">
        <w:rPr>
          <w:lang w:val="de-DE" w:eastAsia="de-DE"/>
        </w:rPr>
        <w:t>combination</w:t>
      </w:r>
      <w:proofErr w:type="spellEnd"/>
      <w:r w:rsidRPr="00DE1967">
        <w:rPr>
          <w:lang w:val="de-DE" w:eastAsia="de-DE"/>
        </w:rPr>
        <w:t xml:space="preserve"> with </w:t>
      </w:r>
      <w:proofErr w:type="spellStart"/>
      <w:r w:rsidRPr="00DE1967">
        <w:rPr>
          <w:lang w:val="de-DE" w:eastAsia="de-DE"/>
        </w:rPr>
        <w:t>Ramipril</w:t>
      </w:r>
      <w:proofErr w:type="spellEnd"/>
      <w:r w:rsidRPr="00DE1967">
        <w:rPr>
          <w:lang w:val="de-DE" w:eastAsia="de-DE"/>
        </w:rPr>
        <w:t xml:space="preserve"> Global </w:t>
      </w:r>
      <w:proofErr w:type="spellStart"/>
      <w:r w:rsidRPr="00DE1967">
        <w:rPr>
          <w:lang w:val="de-DE" w:eastAsia="de-DE"/>
        </w:rPr>
        <w:t>Endpoint</w:t>
      </w:r>
      <w:proofErr w:type="spellEnd"/>
      <w:r w:rsidRPr="00DE1967">
        <w:rPr>
          <w:lang w:val="de-DE" w:eastAsia="de-DE"/>
        </w:rPr>
        <w:t xml:space="preserve"> Trial] und „VA NEPHRON-D” [The </w:t>
      </w:r>
      <w:proofErr w:type="spellStart"/>
      <w:r w:rsidRPr="00DE1967">
        <w:rPr>
          <w:lang w:val="de-DE" w:eastAsia="de-DE"/>
        </w:rPr>
        <w:t>Veterans</w:t>
      </w:r>
      <w:proofErr w:type="spellEnd"/>
      <w:r w:rsidRPr="00DE1967">
        <w:rPr>
          <w:lang w:val="de-DE" w:eastAsia="de-DE"/>
        </w:rPr>
        <w:t xml:space="preserve"> Affairs </w:t>
      </w:r>
      <w:proofErr w:type="spellStart"/>
      <w:r w:rsidRPr="00DE1967">
        <w:rPr>
          <w:lang w:val="de-DE" w:eastAsia="de-DE"/>
        </w:rPr>
        <w:t>Nephropathy</w:t>
      </w:r>
      <w:proofErr w:type="spellEnd"/>
      <w:r w:rsidRPr="00DE1967">
        <w:rPr>
          <w:lang w:val="de-DE" w:eastAsia="de-DE"/>
        </w:rPr>
        <w:t xml:space="preserve"> in Diabetes]) wurde die gleichzeitige Anwendung eines ACE-Hemmers mit einem Angiotensin-II-Rezeptor-Antagonisten untersucht.</w:t>
      </w:r>
    </w:p>
    <w:p w:rsidR="00F37A1E" w:rsidRPr="00DE1967" w:rsidRDefault="004A3D0A" w:rsidP="004A3D0A">
      <w:pPr>
        <w:widowControl w:val="0"/>
        <w:autoSpaceDE w:val="0"/>
        <w:autoSpaceDN w:val="0"/>
        <w:adjustRightInd w:val="0"/>
        <w:spacing w:line="240" w:lineRule="auto"/>
        <w:rPr>
          <w:lang w:val="de-DE" w:eastAsia="de-DE"/>
        </w:rPr>
      </w:pPr>
      <w:r w:rsidRPr="00DE1967">
        <w:rPr>
          <w:lang w:val="de-DE" w:eastAsia="de-DE"/>
        </w:rPr>
        <w:t xml:space="preserve">Die „ONTARGET“–Studie wurde bei Patienten mit einer kardiovaskulären oder einer </w:t>
      </w:r>
      <w:proofErr w:type="spellStart"/>
      <w:r w:rsidRPr="00DE1967">
        <w:rPr>
          <w:lang w:val="de-DE" w:eastAsia="de-DE"/>
        </w:rPr>
        <w:t>zerebrovaskulären</w:t>
      </w:r>
      <w:proofErr w:type="spellEnd"/>
      <w:r w:rsidRPr="00DE1967">
        <w:rPr>
          <w:lang w:val="de-DE" w:eastAsia="de-DE"/>
        </w:rPr>
        <w:t xml:space="preserve"> Erkrankung in der Vorgeschichte oder mit Diabetes mellitus Typ 2 mit nachgewiesenen Endorganschäden durchgeführt. Die „VA NEPHRON-D“-Studie wurde bei Patienten mit Diabetes mellitus Typ 2 und diabetischer Nephropathie durchgeführt.</w:t>
      </w:r>
    </w:p>
    <w:p w:rsidR="00F37A1E" w:rsidRPr="00DE1967" w:rsidRDefault="004A3D0A" w:rsidP="004A3D0A">
      <w:pPr>
        <w:widowControl w:val="0"/>
        <w:autoSpaceDE w:val="0"/>
        <w:autoSpaceDN w:val="0"/>
        <w:adjustRightInd w:val="0"/>
        <w:spacing w:line="240" w:lineRule="auto"/>
        <w:rPr>
          <w:lang w:val="de-DE" w:eastAsia="de-DE"/>
        </w:rPr>
      </w:pPr>
      <w:r w:rsidRPr="00DE1967">
        <w:rPr>
          <w:lang w:val="de-DE" w:eastAsia="de-DE"/>
        </w:rPr>
        <w:t>Diese Studien zeigten keinen signifikanten vorteilhaften Effekt auf renale und/oder kardiovaskuläre Endpunkte und Mortalität, während ein höheres Risiko für Hyperkaliämie, akute Nierenschädigung und/oder Hypotonie im Vergleich zur Monotherapie beobachtet wurde. Aufgrund vergleichbarer pharmakodynamischer Eigenschaften sind diese Ergebnisse auch auf andere ACE-Hemmer und Angiotensin-II-Rezeptor-Antagonisten übertragbar.</w:t>
      </w:r>
    </w:p>
    <w:p w:rsidR="000563F7" w:rsidRPr="00DE1967" w:rsidRDefault="004A3D0A" w:rsidP="004A3D0A">
      <w:pPr>
        <w:widowControl w:val="0"/>
        <w:autoSpaceDE w:val="0"/>
        <w:autoSpaceDN w:val="0"/>
        <w:adjustRightInd w:val="0"/>
        <w:spacing w:line="240" w:lineRule="auto"/>
        <w:rPr>
          <w:lang w:val="de-DE" w:eastAsia="de-DE"/>
        </w:rPr>
      </w:pPr>
      <w:r w:rsidRPr="00DE1967">
        <w:rPr>
          <w:lang w:val="de-DE" w:eastAsia="de-DE"/>
        </w:rPr>
        <w:t>Aus diesem Grund sollten ACE-Hemmer und Angiotensin-II-Rezeptor-Antagonisten bei Patienten mit diabetischer Nephropathie nicht gleichzeitig angewendet werden.</w:t>
      </w:r>
    </w:p>
    <w:p w:rsidR="004A3D0A" w:rsidRPr="00DE1967" w:rsidRDefault="004A3D0A" w:rsidP="004A3D0A">
      <w:pPr>
        <w:widowControl w:val="0"/>
        <w:autoSpaceDE w:val="0"/>
        <w:autoSpaceDN w:val="0"/>
        <w:adjustRightInd w:val="0"/>
        <w:spacing w:line="240" w:lineRule="auto"/>
        <w:rPr>
          <w:iCs/>
          <w:lang w:val="de-DE" w:eastAsia="de-DE"/>
        </w:rPr>
      </w:pPr>
      <w:r w:rsidRPr="00DE1967">
        <w:rPr>
          <w:iCs/>
          <w:lang w:val="de-DE" w:eastAsia="de-DE"/>
        </w:rPr>
        <w:t>In der „ALTITUDE“-Studie (</w:t>
      </w:r>
      <w:proofErr w:type="spellStart"/>
      <w:r w:rsidRPr="00DE1967">
        <w:rPr>
          <w:iCs/>
          <w:lang w:val="de-DE" w:eastAsia="de-DE"/>
        </w:rPr>
        <w:t>Aliskiren</w:t>
      </w:r>
      <w:proofErr w:type="spellEnd"/>
      <w:r w:rsidRPr="00DE1967">
        <w:rPr>
          <w:iCs/>
          <w:lang w:val="de-DE" w:eastAsia="de-DE"/>
        </w:rPr>
        <w:t xml:space="preserve"> Trial in Type 2 Diabetes </w:t>
      </w:r>
      <w:proofErr w:type="spellStart"/>
      <w:r w:rsidRPr="00DE1967">
        <w:rPr>
          <w:iCs/>
          <w:lang w:val="de-DE" w:eastAsia="de-DE"/>
        </w:rPr>
        <w:t>Using</w:t>
      </w:r>
      <w:proofErr w:type="spellEnd"/>
      <w:r w:rsidRPr="00DE1967">
        <w:rPr>
          <w:iCs/>
          <w:lang w:val="de-DE" w:eastAsia="de-DE"/>
        </w:rPr>
        <w:t xml:space="preserve"> </w:t>
      </w:r>
      <w:proofErr w:type="spellStart"/>
      <w:r w:rsidRPr="00DE1967">
        <w:rPr>
          <w:iCs/>
          <w:lang w:val="de-DE" w:eastAsia="de-DE"/>
        </w:rPr>
        <w:t>Cardiovascular</w:t>
      </w:r>
      <w:proofErr w:type="spellEnd"/>
      <w:r w:rsidRPr="00DE1967">
        <w:rPr>
          <w:iCs/>
          <w:lang w:val="de-DE" w:eastAsia="de-DE"/>
        </w:rPr>
        <w:t xml:space="preserve"> and Renal Disease Endpoints) wurde untersucht, ob die Anwendung von </w:t>
      </w:r>
      <w:proofErr w:type="spellStart"/>
      <w:r w:rsidRPr="00DE1967">
        <w:rPr>
          <w:iCs/>
          <w:lang w:val="de-DE" w:eastAsia="de-DE"/>
        </w:rPr>
        <w:t>Aliskiren</w:t>
      </w:r>
      <w:proofErr w:type="spellEnd"/>
      <w:r w:rsidRPr="00DE1967">
        <w:rPr>
          <w:iCs/>
          <w:lang w:val="de-DE" w:eastAsia="de-DE"/>
        </w:rPr>
        <w:t xml:space="preserve"> zusätzlich zu einer Standardtherapie mit einem ACE-Hemmer oder Angiotensin-II-Rezeptor-Antagonisten bei Patienten mit Diabetes mellitus Typ 2 sowie chronischer Nierenerkrankung und/oder kardiovaskulärer Erkrankung einen Zusatznutzen hat.</w:t>
      </w:r>
      <w:r w:rsidRPr="00DE1967">
        <w:rPr>
          <w:lang w:val="de-DE" w:eastAsia="de-DE"/>
        </w:rPr>
        <w:t xml:space="preserve"> </w:t>
      </w:r>
      <w:r w:rsidRPr="00DE1967">
        <w:rPr>
          <w:iCs/>
          <w:lang w:val="de-DE" w:eastAsia="de-DE"/>
        </w:rPr>
        <w:t>Die Studie wurde wegen eines erhöhten Risikos unerwünschter Ereignisse vorzeitig beendet.</w:t>
      </w:r>
      <w:r w:rsidRPr="00DE1967">
        <w:rPr>
          <w:lang w:val="de-DE" w:eastAsia="de-DE"/>
        </w:rPr>
        <w:t xml:space="preserve"> </w:t>
      </w:r>
      <w:r w:rsidRPr="00DE1967">
        <w:rPr>
          <w:iCs/>
          <w:lang w:val="de-DE" w:eastAsia="de-DE"/>
        </w:rPr>
        <w:t xml:space="preserve">Sowohl kardiovaskuläre Todesfälle als auch Schlaganfälle traten in der </w:t>
      </w:r>
      <w:proofErr w:type="spellStart"/>
      <w:r w:rsidRPr="00DE1967">
        <w:rPr>
          <w:iCs/>
          <w:lang w:val="de-DE" w:eastAsia="de-DE"/>
        </w:rPr>
        <w:t>Aliskiren</w:t>
      </w:r>
      <w:proofErr w:type="spellEnd"/>
      <w:r w:rsidRPr="00DE1967">
        <w:rPr>
          <w:iCs/>
          <w:lang w:val="de-DE" w:eastAsia="de-DE"/>
        </w:rPr>
        <w:t>-Gruppe numerisch häufiger auf als in der Placebo-Gruppe, ebenso unerwünschte Ereignisse und besondere schwerwiegende unerwünschte Ereignisse (Hyperkaliämie, Hypotonie, Nierenfunktionsstörung).</w:t>
      </w:r>
    </w:p>
    <w:p w:rsidR="004A3D0A" w:rsidRPr="00DE1967" w:rsidRDefault="004A3D0A"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Epidemiologische Untersuchungen haben gezeigt, dass die Langzeitbehandlung mit Hydrochlorothiazid das Risiko der kardiovaskulären Mortalität und Morbidität verringert.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7828C8" w:rsidRPr="00DE1967" w:rsidRDefault="00A34C33" w:rsidP="003567F1">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Die Wirkungen der fixen Kombination Telmisartan/Hydrochlorothiazid auf Mortalität und kardiovaskuläre Morbidität sind derzeit nicht bekannt.</w:t>
      </w:r>
    </w:p>
    <w:p w:rsidR="00461465" w:rsidRPr="00DE1967" w:rsidRDefault="00461465" w:rsidP="003567F1">
      <w:pPr>
        <w:widowControl w:val="0"/>
        <w:tabs>
          <w:tab w:val="clear" w:pos="567"/>
        </w:tabs>
        <w:autoSpaceDE w:val="0"/>
        <w:autoSpaceDN w:val="0"/>
        <w:adjustRightInd w:val="0"/>
        <w:spacing w:line="240" w:lineRule="auto"/>
        <w:rPr>
          <w:snapToGrid/>
          <w:szCs w:val="22"/>
          <w:lang w:val="de-DE" w:eastAsia="de-DE"/>
        </w:rPr>
      </w:pPr>
    </w:p>
    <w:p w:rsidR="00461465" w:rsidRPr="00DE1967" w:rsidRDefault="00461465" w:rsidP="003567F1">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Nicht-melanozytärer Hautkrebs</w:t>
      </w:r>
    </w:p>
    <w:p w:rsidR="00461465" w:rsidRPr="00DE1967" w:rsidRDefault="00461465" w:rsidP="003567F1">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Auf der Grundlage der vorliegenden Daten aus epidemiologischen Studien wurde ein kumulativer dosisabhängiger Zusammenhang zwischen HCTZ und NMSC beobachtet. Eine Studie umfasste eine Grundgesamtheit aus 71 533 Fällen von BCC und 8 629 Fällen von SCC mit Kontrollgruppen von 1 430 833 bzw. 172 462 Personen. Eine hohe HCTZ-Dosierung (≥ 50 000 mg kumulativ) war assoziiert mit einer bereinigten Odds-Ratio von 1,29 (95% Konfidenzintervall: 1,23-1,35) für BCC und 3,98 (95 % Konfidenzintervall: 3,68-4;31) für SCC. Sowohl bei BCC als auch bei SCC wurde eine eindeutige kumulative Dosis-Wirkungsbeziehung ermittelt. Eine weitere Studie ergab einen möglichen Zusammenhang zwischen Lippenkrebs (SCC) und der Exposition gegenüber HCTZ: 633 Fälle von Lippenkrebs wurden mittels eines risikoorientierten Stichprobenverfahrens mit einer Kontrollgruppe von 63 067 Personen abgeglichen. Es wurde eine kumulative Dosis-Wirkungsbeziehung mit einer bereinigten Odds-Ratio von 2,1 (95% Konfidenzintervall: 1,7-2,6) festgestellt, die sich bei hoher Exposition (~ 25 000 mg) auf eine Odds-Ratio von 3,9 (3,0-4,9) und bei der höchsten kumulativen Dosis (~ 100,000 mg) auf eine Odds-Ratio von 7,7 (5,7-10,5) erhöhte (siehe auch Abschnitt 4.4).</w:t>
      </w:r>
    </w:p>
    <w:p w:rsidR="00A34C33" w:rsidRPr="00DE1967" w:rsidRDefault="00A34C33" w:rsidP="0003742E">
      <w:pPr>
        <w:widowControl w:val="0"/>
        <w:tabs>
          <w:tab w:val="clear" w:pos="567"/>
        </w:tabs>
        <w:autoSpaceDE w:val="0"/>
        <w:autoSpaceDN w:val="0"/>
        <w:adjustRightInd w:val="0"/>
        <w:spacing w:line="240" w:lineRule="auto"/>
        <w:rPr>
          <w:i/>
          <w:szCs w:val="22"/>
          <w:lang w:val="de-DE"/>
        </w:rPr>
      </w:pPr>
    </w:p>
    <w:p w:rsidR="00A34C33" w:rsidRPr="00DE1967" w:rsidRDefault="00A34C33" w:rsidP="0003742E">
      <w:pPr>
        <w:widowControl w:val="0"/>
        <w:spacing w:line="240" w:lineRule="auto"/>
        <w:ind w:left="567" w:hanging="567"/>
        <w:outlineLvl w:val="0"/>
        <w:rPr>
          <w:b/>
          <w:szCs w:val="22"/>
          <w:lang w:val="de-DE"/>
        </w:rPr>
      </w:pPr>
      <w:r w:rsidRPr="00DE1967">
        <w:rPr>
          <w:b/>
          <w:szCs w:val="22"/>
          <w:lang w:val="de-DE"/>
        </w:rPr>
        <w:t>5.2</w:t>
      </w:r>
      <w:r w:rsidRPr="00DE1967">
        <w:rPr>
          <w:b/>
          <w:szCs w:val="22"/>
          <w:lang w:val="de-DE"/>
        </w:rPr>
        <w:tab/>
      </w:r>
      <w:r w:rsidRPr="00DE1967">
        <w:rPr>
          <w:b/>
          <w:noProof/>
          <w:szCs w:val="22"/>
          <w:lang w:val="de-DE"/>
        </w:rPr>
        <w:t>Pharmakokinetische Eigenschaften</w:t>
      </w:r>
    </w:p>
    <w:p w:rsidR="00A34C33" w:rsidRPr="00DE1967" w:rsidRDefault="00A34C33" w:rsidP="0003742E">
      <w:pPr>
        <w:widowControl w:val="0"/>
        <w:spacing w:line="240" w:lineRule="auto"/>
        <w:ind w:left="567" w:hanging="567"/>
        <w:outlineLvl w:val="0"/>
        <w:rPr>
          <w:b/>
          <w:szCs w:val="22"/>
          <w:lang w:val="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Die gleichzeitige Anwendung von Hydrochlorothiazid und Telmisartan scheint die Pharmakokinetik der beiden Wirkstoffe bei gesunden Probanden nicht zu beeinflussen.</w:t>
      </w:r>
    </w:p>
    <w:p w:rsidR="00A34C33" w:rsidRPr="00DE1967" w:rsidRDefault="00A34C33" w:rsidP="0003742E">
      <w:pPr>
        <w:widowControl w:val="0"/>
        <w:tabs>
          <w:tab w:val="clear" w:pos="567"/>
        </w:tabs>
        <w:autoSpaceDE w:val="0"/>
        <w:autoSpaceDN w:val="0"/>
        <w:adjustRightInd w:val="0"/>
        <w:spacing w:line="240" w:lineRule="auto"/>
        <w:rPr>
          <w:b/>
          <w:szCs w:val="22"/>
          <w:lang w:val="de-DE"/>
        </w:rPr>
      </w:pPr>
    </w:p>
    <w:p w:rsidR="00A34C33" w:rsidRPr="00DE1967" w:rsidRDefault="00A34C33" w:rsidP="00854C15">
      <w:pPr>
        <w:keepNext/>
        <w:keepLines/>
        <w:numPr>
          <w:ilvl w:val="12"/>
          <w:numId w:val="0"/>
        </w:numPr>
        <w:tabs>
          <w:tab w:val="clear" w:pos="567"/>
        </w:tabs>
        <w:spacing w:line="240" w:lineRule="auto"/>
        <w:rPr>
          <w:noProof/>
          <w:szCs w:val="22"/>
          <w:u w:val="single"/>
          <w:lang w:val="de-DE"/>
        </w:rPr>
      </w:pPr>
      <w:r w:rsidRPr="00DE1967">
        <w:rPr>
          <w:noProof/>
          <w:szCs w:val="22"/>
          <w:u w:val="single"/>
          <w:lang w:val="de-DE"/>
        </w:rPr>
        <w:t>Resorption: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Telmisartan: Nach oraler Anwendung werden die maximalen Telmisartan-Konzentrationen nach 0,5-1,5 h erreicht. Die absolute Bioverfügbarkeit von Telmisartan 40</w:t>
      </w:r>
      <w:r w:rsidR="00023E2B" w:rsidRPr="00DE1967">
        <w:rPr>
          <w:snapToGrid/>
          <w:szCs w:val="22"/>
          <w:lang w:val="de-DE" w:eastAsia="de-DE"/>
        </w:rPr>
        <w:t> mg</w:t>
      </w:r>
      <w:r w:rsidRPr="00DE1967">
        <w:rPr>
          <w:snapToGrid/>
          <w:szCs w:val="22"/>
          <w:lang w:val="de-DE" w:eastAsia="de-DE"/>
        </w:rPr>
        <w:t xml:space="preserve"> und 160</w:t>
      </w:r>
      <w:r w:rsidR="00023E2B" w:rsidRPr="00DE1967">
        <w:rPr>
          <w:snapToGrid/>
          <w:szCs w:val="22"/>
          <w:lang w:val="de-DE" w:eastAsia="de-DE"/>
        </w:rPr>
        <w:t> mg</w:t>
      </w:r>
      <w:r w:rsidRPr="00DE1967">
        <w:rPr>
          <w:snapToGrid/>
          <w:szCs w:val="22"/>
          <w:lang w:val="de-DE" w:eastAsia="de-DE"/>
        </w:rPr>
        <w:t xml:space="preserve"> lag bei 42 % bzw. 58 %. Wird Telmisartan zusammen mit Nahrung eingenommen, so verringert sich die Bioverfügbarkeit von Telmisartan mit einer Abnahme der Fläche unter der Plasmakonzentration-Zeit-Kurve (AUC) von etwa 6 % bei der 40</w:t>
      </w:r>
      <w:r w:rsidR="00023E2B" w:rsidRPr="00DE1967">
        <w:rPr>
          <w:snapToGrid/>
          <w:szCs w:val="22"/>
          <w:lang w:val="de-DE" w:eastAsia="de-DE"/>
        </w:rPr>
        <w:t> mg</w:t>
      </w:r>
      <w:r w:rsidRPr="00DE1967">
        <w:rPr>
          <w:snapToGrid/>
          <w:szCs w:val="22"/>
          <w:lang w:val="de-DE" w:eastAsia="de-DE"/>
        </w:rPr>
        <w:t>-Tablette und etwa 19 % bei einer Dosis von 160</w:t>
      </w:r>
      <w:r w:rsidR="00023E2B" w:rsidRPr="00DE1967">
        <w:rPr>
          <w:snapToGrid/>
          <w:szCs w:val="22"/>
          <w:lang w:val="de-DE" w:eastAsia="de-DE"/>
        </w:rPr>
        <w:t> mg</w:t>
      </w:r>
      <w:r w:rsidRPr="00DE1967">
        <w:rPr>
          <w:snapToGrid/>
          <w:szCs w:val="22"/>
          <w:lang w:val="de-DE" w:eastAsia="de-DE"/>
        </w:rPr>
        <w:t>. Drei Stunden nach Einnahme sind die Plasmakonzentrationen ähnlich, unabhängig davon, ob Telmisartan nüchtern oder zusammen mit Nahrung eingenommen wurde. Diese geringe Abnahme der AUC lässt keine Reduktion der therapeutischen Wirksamkeit erwarten. Bei wiederholter Gabe von Telmisartan kommt es zu keiner signifikanten Kumulation im Plasma.</w:t>
      </w:r>
    </w:p>
    <w:p w:rsidR="00544F89" w:rsidRPr="00DE1967" w:rsidRDefault="00A34C33" w:rsidP="0003742E">
      <w:pPr>
        <w:widowControl w:val="0"/>
        <w:tabs>
          <w:tab w:val="clear" w:pos="567"/>
        </w:tabs>
        <w:autoSpaceDE w:val="0"/>
        <w:autoSpaceDN w:val="0"/>
        <w:adjustRightInd w:val="0"/>
        <w:spacing w:line="240" w:lineRule="auto"/>
        <w:rPr>
          <w:noProof/>
          <w:szCs w:val="22"/>
          <w:u w:val="single"/>
          <w:lang w:val="de-DE"/>
        </w:rPr>
      </w:pPr>
      <w:r w:rsidRPr="00DE1967">
        <w:rPr>
          <w:snapToGrid/>
          <w:szCs w:val="22"/>
          <w:lang w:val="de-DE" w:eastAsia="de-DE"/>
        </w:rPr>
        <w:t xml:space="preserve">Hydrochlorothiazid: Nach oraler Gabe von </w:t>
      </w:r>
      <w:proofErr w:type="spellStart"/>
      <w:r w:rsidRPr="00DE1967">
        <w:rPr>
          <w:szCs w:val="22"/>
          <w:lang w:val="de-DE"/>
        </w:rPr>
        <w:t>Tolucombi</w:t>
      </w:r>
      <w:proofErr w:type="spellEnd"/>
      <w:r w:rsidRPr="00DE1967">
        <w:rPr>
          <w:szCs w:val="22"/>
          <w:lang w:val="de-DE"/>
        </w:rPr>
        <w:t xml:space="preserve"> </w:t>
      </w:r>
      <w:r w:rsidRPr="00DE1967">
        <w:rPr>
          <w:snapToGrid/>
          <w:szCs w:val="22"/>
          <w:lang w:val="de-DE" w:eastAsia="de-DE"/>
        </w:rPr>
        <w:t>werden maximale Hydrochlorothiazid-Konzentrationen etwa 1,0-3,0 Stunden nach der Einnahme erreicht. Ausgehend von der kumulativen renalen Ausscheidung von Hydrochlorothiazid lag die absolute Bioverfügbarkeit bei etwa 60 %.</w:t>
      </w:r>
    </w:p>
    <w:p w:rsidR="00A34C33" w:rsidRPr="00DE1967" w:rsidRDefault="00A34C33" w:rsidP="0003742E">
      <w:pPr>
        <w:widowControl w:val="0"/>
        <w:numPr>
          <w:ilvl w:val="12"/>
          <w:numId w:val="0"/>
        </w:numPr>
        <w:spacing w:line="240" w:lineRule="auto"/>
        <w:rPr>
          <w:noProof/>
          <w:szCs w:val="22"/>
          <w:u w:val="single"/>
          <w:lang w:val="de-DE"/>
        </w:rPr>
      </w:pPr>
    </w:p>
    <w:p w:rsidR="00A34C33" w:rsidRPr="00DE1967" w:rsidRDefault="00A34C33" w:rsidP="007828C8">
      <w:pPr>
        <w:widowControl w:val="0"/>
        <w:numPr>
          <w:ilvl w:val="12"/>
          <w:numId w:val="0"/>
        </w:numPr>
        <w:spacing w:line="240" w:lineRule="auto"/>
        <w:rPr>
          <w:noProof/>
          <w:szCs w:val="22"/>
          <w:u w:val="single"/>
          <w:lang w:val="de-DE"/>
        </w:rPr>
      </w:pPr>
      <w:r w:rsidRPr="00DE1967">
        <w:rPr>
          <w:noProof/>
          <w:szCs w:val="22"/>
          <w:u w:val="single"/>
          <w:lang w:val="de-DE"/>
        </w:rPr>
        <w:t>Verteilung:</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Telmisartan wird stark an Plasmaproteine gebunden (&gt; 99,5 %), vor allem an Albumin und an saures α</w:t>
      </w:r>
      <w:r w:rsidRPr="00DE1967">
        <w:rPr>
          <w:snapToGrid/>
          <w:szCs w:val="22"/>
          <w:vertAlign w:val="subscript"/>
          <w:lang w:val="de-DE" w:eastAsia="de-DE"/>
        </w:rPr>
        <w:t>1</w:t>
      </w:r>
      <w:r w:rsidRPr="00DE1967">
        <w:rPr>
          <w:snapToGrid/>
          <w:szCs w:val="22"/>
          <w:lang w:val="de-DE" w:eastAsia="de-DE"/>
        </w:rPr>
        <w:t>-Glykoprotein. Das scheinbare Verteilungsvolumen von Telmisartan beträgt etwa 500 Liter, was auf eine zusätzliche Bindung im Gewebe hinweist.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Hydrochlorothiazid ist im Plasma zu 68 % an Protein gebunden mit einem scheinbaren Verteilungsvolumen von 0,83–1,14 l/kg.</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noProof/>
          <w:szCs w:val="22"/>
          <w:u w:val="single"/>
          <w:lang w:val="de-DE"/>
        </w:rPr>
      </w:pPr>
      <w:r w:rsidRPr="00DE1967">
        <w:rPr>
          <w:noProof/>
          <w:szCs w:val="22"/>
          <w:u w:val="single"/>
          <w:lang w:val="de-DE"/>
        </w:rPr>
        <w:t>Biotransformation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Telmisartan wird über eine Konjugation zu einem pharmakologisch inaktiven </w:t>
      </w:r>
      <w:proofErr w:type="spellStart"/>
      <w:r w:rsidRPr="00DE1967">
        <w:rPr>
          <w:snapToGrid/>
          <w:szCs w:val="22"/>
          <w:lang w:val="de-DE" w:eastAsia="de-DE"/>
        </w:rPr>
        <w:t>Acylglucuronid</w:t>
      </w:r>
      <w:proofErr w:type="spellEnd"/>
      <w:r w:rsidRPr="00DE1967">
        <w:rPr>
          <w:snapToGrid/>
          <w:szCs w:val="22"/>
          <w:lang w:val="de-DE" w:eastAsia="de-DE"/>
        </w:rPr>
        <w:t xml:space="preserve"> metabolisiert. Das </w:t>
      </w:r>
      <w:proofErr w:type="spellStart"/>
      <w:r w:rsidRPr="00DE1967">
        <w:rPr>
          <w:snapToGrid/>
          <w:szCs w:val="22"/>
          <w:lang w:val="de-DE" w:eastAsia="de-DE"/>
        </w:rPr>
        <w:t>Glucuronid</w:t>
      </w:r>
      <w:proofErr w:type="spellEnd"/>
      <w:r w:rsidRPr="00DE1967">
        <w:rPr>
          <w:snapToGrid/>
          <w:szCs w:val="22"/>
          <w:lang w:val="de-DE" w:eastAsia="de-DE"/>
        </w:rPr>
        <w:t xml:space="preserve"> der Muttersubstanz ist der einzige Metabolit, der beim Menschen identifiziert wurde. Nach einer einzelnen Dosis von </w:t>
      </w:r>
      <w:r w:rsidRPr="00DE1967">
        <w:rPr>
          <w:snapToGrid/>
          <w:szCs w:val="22"/>
          <w:vertAlign w:val="superscript"/>
          <w:lang w:val="de-DE" w:eastAsia="de-DE"/>
        </w:rPr>
        <w:t>14</w:t>
      </w:r>
      <w:r w:rsidRPr="00DE1967">
        <w:rPr>
          <w:snapToGrid/>
          <w:szCs w:val="22"/>
          <w:lang w:val="de-DE" w:eastAsia="de-DE"/>
        </w:rPr>
        <w:t xml:space="preserve">C-markierten Telmisartan stellte das </w:t>
      </w:r>
      <w:proofErr w:type="spellStart"/>
      <w:r w:rsidRPr="00DE1967">
        <w:rPr>
          <w:snapToGrid/>
          <w:szCs w:val="22"/>
          <w:lang w:val="de-DE" w:eastAsia="de-DE"/>
        </w:rPr>
        <w:t>Glucuronid</w:t>
      </w:r>
      <w:proofErr w:type="spellEnd"/>
      <w:r w:rsidRPr="00DE1967">
        <w:rPr>
          <w:snapToGrid/>
          <w:szCs w:val="22"/>
          <w:lang w:val="de-DE" w:eastAsia="de-DE"/>
        </w:rPr>
        <w:t xml:space="preserve"> etwa 11 % der im Plasma gemessenen Radioaktivität dar. </w:t>
      </w:r>
      <w:proofErr w:type="spellStart"/>
      <w:r w:rsidRPr="00DE1967">
        <w:rPr>
          <w:snapToGrid/>
          <w:szCs w:val="22"/>
          <w:lang w:val="de-DE" w:eastAsia="de-DE"/>
        </w:rPr>
        <w:t>Cytochrom</w:t>
      </w:r>
      <w:proofErr w:type="spellEnd"/>
      <w:r w:rsidRPr="00DE1967">
        <w:rPr>
          <w:snapToGrid/>
          <w:szCs w:val="22"/>
          <w:lang w:val="de-DE" w:eastAsia="de-DE"/>
        </w:rPr>
        <w:t xml:space="preserve"> P450-Isoenzyme sind am Telmisartan-Stoffwechsel nicht beteiligt.</w:t>
      </w:r>
    </w:p>
    <w:p w:rsidR="00A34C33" w:rsidRPr="00DE1967" w:rsidRDefault="00A34C33" w:rsidP="0003742E">
      <w:pPr>
        <w:widowControl w:val="0"/>
        <w:numPr>
          <w:ilvl w:val="12"/>
          <w:numId w:val="0"/>
        </w:numPr>
        <w:spacing w:line="240" w:lineRule="auto"/>
        <w:rPr>
          <w:snapToGrid/>
          <w:szCs w:val="22"/>
          <w:lang w:val="de-DE" w:eastAsia="de-DE"/>
        </w:rPr>
      </w:pPr>
      <w:r w:rsidRPr="00DE1967">
        <w:rPr>
          <w:snapToGrid/>
          <w:szCs w:val="22"/>
          <w:lang w:val="de-DE" w:eastAsia="de-DE"/>
        </w:rPr>
        <w:t>Hydrochlorothiazid wird vom Menschen nicht metabolisiert.</w:t>
      </w:r>
    </w:p>
    <w:p w:rsidR="00A34C33" w:rsidRPr="00DE1967" w:rsidRDefault="00A34C33" w:rsidP="0003742E">
      <w:pPr>
        <w:widowControl w:val="0"/>
        <w:numPr>
          <w:ilvl w:val="12"/>
          <w:numId w:val="0"/>
        </w:numPr>
        <w:spacing w:line="240" w:lineRule="auto"/>
        <w:rPr>
          <w:snapToGrid/>
          <w:szCs w:val="22"/>
          <w:lang w:val="de-DE" w:eastAsia="de-DE"/>
        </w:rPr>
      </w:pPr>
    </w:p>
    <w:p w:rsidR="00A34C33" w:rsidRPr="00DE1967" w:rsidRDefault="00A34C33" w:rsidP="0003742E">
      <w:pPr>
        <w:widowControl w:val="0"/>
        <w:numPr>
          <w:ilvl w:val="12"/>
          <w:numId w:val="0"/>
        </w:numPr>
        <w:spacing w:line="240" w:lineRule="auto"/>
        <w:rPr>
          <w:noProof/>
          <w:szCs w:val="22"/>
          <w:u w:val="single"/>
          <w:lang w:val="de-DE"/>
        </w:rPr>
      </w:pPr>
      <w:r w:rsidRPr="00DE1967">
        <w:rPr>
          <w:noProof/>
          <w:szCs w:val="22"/>
          <w:u w:val="single"/>
          <w:lang w:val="de-DE"/>
        </w:rPr>
        <w:t>Elimination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Telmisartan: Nach intravenöser oder oraler Gabe von </w:t>
      </w:r>
      <w:r w:rsidRPr="00DE1967">
        <w:rPr>
          <w:snapToGrid/>
          <w:szCs w:val="22"/>
          <w:vertAlign w:val="superscript"/>
          <w:lang w:val="de-DE" w:eastAsia="de-DE"/>
        </w:rPr>
        <w:t>14</w:t>
      </w:r>
      <w:r w:rsidRPr="00DE1967">
        <w:rPr>
          <w:snapToGrid/>
          <w:szCs w:val="22"/>
          <w:lang w:val="de-DE" w:eastAsia="de-DE"/>
        </w:rPr>
        <w:t>C-markiertem Telmisartan erfolgte die Ausscheidung des größten Teils der Dosis (&gt; 97 %) biliär mit den Faeces. Nur sehr geringe Mengen wurden im Urin gefunden. Die gesamte Plasma-Clearance von Telmisartan beträgt nach oraler Gabe &gt; 1.500 ml/min. Die terminale Eliminationshalbwertzeit betrug &gt; 20 Stunden.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Hydrochlorothiazid wird fast vollständig als unveränderter Wirkstoff im Urin ausgeschieden. Etwa 60 % der oralen Dosis werden innerhalb von 48 Stunden ausgeschieden. Die renale Clearance beträgt etwa 250–300 ml/min. Die terminale Eliminationshalbwertzeit von Hydrochlorothiazid beträgt 10-15 Stunden.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604DEC" w:rsidRPr="00DE1967" w:rsidRDefault="00604DEC" w:rsidP="00604DEC">
      <w:pPr>
        <w:rPr>
          <w:szCs w:val="22"/>
          <w:u w:val="single"/>
          <w:lang w:val="de-DE"/>
        </w:rPr>
      </w:pPr>
      <w:r w:rsidRPr="00DE1967">
        <w:rPr>
          <w:szCs w:val="22"/>
          <w:u w:val="single"/>
          <w:lang w:val="de-DE"/>
        </w:rPr>
        <w:t>Linearität/Nicht-Linearität</w:t>
      </w:r>
    </w:p>
    <w:p w:rsidR="00604DEC" w:rsidRPr="00DE1967" w:rsidRDefault="00604DEC" w:rsidP="00604DEC">
      <w:pPr>
        <w:rPr>
          <w:szCs w:val="22"/>
          <w:lang w:val="de-DE"/>
        </w:rPr>
      </w:pPr>
      <w:r w:rsidRPr="00DE1967">
        <w:rPr>
          <w:szCs w:val="22"/>
          <w:lang w:val="de-DE"/>
        </w:rPr>
        <w:t>Telmisartan: Die Pharmakokinetik von Telmisartan ist bei oraler Gabe von Dosen zwischen 20 und 160 mg nichtlinear, wobei es mit steigenden Dosen zu einem überproportionalen Anstieg der Plasmakonzentrationen (C</w:t>
      </w:r>
      <w:r w:rsidRPr="00DE1967">
        <w:rPr>
          <w:szCs w:val="22"/>
          <w:vertAlign w:val="subscript"/>
          <w:lang w:val="de-DE"/>
        </w:rPr>
        <w:t>max</w:t>
      </w:r>
      <w:r w:rsidRPr="00DE1967">
        <w:rPr>
          <w:szCs w:val="22"/>
          <w:lang w:val="de-DE"/>
        </w:rPr>
        <w:t xml:space="preserve"> und AUC) kommt.</w:t>
      </w:r>
    </w:p>
    <w:p w:rsidR="00604DEC" w:rsidRPr="00DE1967" w:rsidRDefault="00604DEC" w:rsidP="00604DEC">
      <w:pPr>
        <w:rPr>
          <w:szCs w:val="22"/>
          <w:lang w:val="de-DE"/>
        </w:rPr>
      </w:pPr>
      <w:r w:rsidRPr="00DE1967">
        <w:rPr>
          <w:szCs w:val="22"/>
          <w:lang w:val="de-DE"/>
        </w:rPr>
        <w:t>Hydrochlorothiazid zeigt eine lineare Pharmakokinetik.</w:t>
      </w:r>
    </w:p>
    <w:p w:rsidR="00604DEC" w:rsidRPr="00DE1967" w:rsidRDefault="00604DEC"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Ältere Patienten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Es bestehen keine Unterschiede in der Pharmakokinetik von Telmisartan zwischen älteren Patienten und Patienten unter 65 Jahren.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Geschlecht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Die Plasmakonzentrationen von Telmisartan sind im Allgemeinen bei Frauen 2- bis 3-mal höher als bei Männern. In klinischen Studien zeigte sich bei Frauen jedoch kein signifikanter Anstieg der Blutdruckreaktion oder der Inzidenz einer orthostatischen Hypotonie. Eine Anpassung der Dosis ist nicht notwendig. Es kam zu einer tendenziell höheren Plasmakonzentration von Hydrochlorothiazid bei Frauen im Vergleich zu Männern. Dieses Ergebnis wird jedoch nicht als klinisch relevant betrachtet.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Eingeschränkte Nierenfunktion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 renale Ausscheidung trägt nicht zur Telmisartan-Clearance bei. Ausgehend von der begrenzten Erfahrung bei Patienten mit leicht bis mäßig eingeschränkter Nierenfunktion (Kreatinin-Clearance 30-60 ml/min, Mittelwert ca. 50 ml/min) ist bei Patienten mit verminderter Nierenfunktion eine Dosisanpassung nicht erforderlich. Telmisartan lässt sich nicht mittels Hämodialyse aus dem Blut entfernen. Bei Patienten mit Beeinträchtigung der Nierenfunktion ist die Eliminationsrate von Hydrochlorothiazid herabgesetzt. In einer Studie an Patienten mit einer mittleren Kreatinin-Clearance von 90 ml/min war die Eliminationshalbwertzeit von Hydrochlorothiazid erhöht. Bei funktionell </w:t>
      </w:r>
      <w:proofErr w:type="spellStart"/>
      <w:r w:rsidRPr="00DE1967">
        <w:rPr>
          <w:snapToGrid/>
          <w:szCs w:val="22"/>
          <w:lang w:val="de-DE" w:eastAsia="de-DE"/>
        </w:rPr>
        <w:t>anephrischen</w:t>
      </w:r>
      <w:proofErr w:type="spellEnd"/>
      <w:r w:rsidRPr="00DE1967">
        <w:rPr>
          <w:snapToGrid/>
          <w:szCs w:val="22"/>
          <w:lang w:val="de-DE" w:eastAsia="de-DE"/>
        </w:rPr>
        <w:t xml:space="preserve"> Patienten beträgt die Eliminationshalbwertzeit etwa 34 Stunden.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Eingeschränkte Leberfunktion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Pharmakokinetische Studien an Patienten mit Leberfunktionsstörungen zeigten einen Anstieg der absoluten Bioverfügbarkeit auf fast 100 %. Die Eliminationshalbwertzeit ist bei Patienten mit Leberfunktionsstörung nicht verändert.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ind w:left="567" w:hanging="567"/>
        <w:rPr>
          <w:szCs w:val="22"/>
          <w:lang w:val="de-DE"/>
        </w:rPr>
      </w:pPr>
      <w:r w:rsidRPr="00DE1967">
        <w:rPr>
          <w:b/>
          <w:szCs w:val="22"/>
          <w:lang w:val="de-DE"/>
        </w:rPr>
        <w:t>5.3</w:t>
      </w:r>
      <w:r w:rsidRPr="00DE1967">
        <w:rPr>
          <w:b/>
          <w:szCs w:val="22"/>
          <w:lang w:val="de-DE"/>
        </w:rPr>
        <w:tab/>
      </w:r>
      <w:r w:rsidRPr="00DE1967">
        <w:rPr>
          <w:b/>
          <w:noProof/>
          <w:szCs w:val="22"/>
          <w:lang w:val="de-DE"/>
        </w:rPr>
        <w:t>Präklinische Daten zur Sicherheit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544F89" w:rsidRPr="00DE1967" w:rsidRDefault="005D7CD4"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Für die fixe Dosiskombination 80</w:t>
      </w:r>
      <w:r w:rsidR="00023E2B" w:rsidRPr="00DE1967">
        <w:rPr>
          <w:snapToGrid/>
          <w:szCs w:val="22"/>
          <w:lang w:val="de-DE" w:eastAsia="de-DE"/>
        </w:rPr>
        <w:t> mg</w:t>
      </w:r>
      <w:r w:rsidRPr="00DE1967">
        <w:rPr>
          <w:snapToGrid/>
          <w:szCs w:val="22"/>
          <w:lang w:val="de-DE" w:eastAsia="de-DE"/>
        </w:rPr>
        <w:t>/25</w:t>
      </w:r>
      <w:r w:rsidR="00023E2B" w:rsidRPr="00DE1967">
        <w:rPr>
          <w:snapToGrid/>
          <w:szCs w:val="22"/>
          <w:lang w:val="de-DE" w:eastAsia="de-DE"/>
        </w:rPr>
        <w:t> mg</w:t>
      </w:r>
      <w:r w:rsidRPr="00DE1967">
        <w:rPr>
          <w:snapToGrid/>
          <w:szCs w:val="22"/>
          <w:lang w:val="de-DE" w:eastAsia="de-DE"/>
        </w:rPr>
        <w:t xml:space="preserve"> wurden keine zusätzlichen präklinischen Studien durchgeführt.</w:t>
      </w:r>
    </w:p>
    <w:p w:rsidR="005D7CD4" w:rsidRPr="00DE1967" w:rsidRDefault="005D7CD4"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D75747"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w:t>
      </w:r>
      <w:r w:rsidR="005D7CD4" w:rsidRPr="00DE1967">
        <w:rPr>
          <w:snapToGrid/>
          <w:szCs w:val="22"/>
          <w:lang w:val="de-DE" w:eastAsia="de-DE"/>
        </w:rPr>
        <w:t xml:space="preserve"> </w:t>
      </w:r>
      <w:r w:rsidR="00A34C33" w:rsidRPr="00DE1967">
        <w:rPr>
          <w:snapToGrid/>
          <w:szCs w:val="22"/>
          <w:lang w:val="de-DE" w:eastAsia="de-DE"/>
        </w:rPr>
        <w:t xml:space="preserve">präklinischen Studien zur Sicherheit mit gleichzeitiger Gabe von Telmisartan und Hydrochlorothiazid an </w:t>
      </w:r>
      <w:proofErr w:type="spellStart"/>
      <w:r w:rsidR="00A34C33" w:rsidRPr="00DE1967">
        <w:rPr>
          <w:snapToGrid/>
          <w:szCs w:val="22"/>
          <w:lang w:val="de-DE" w:eastAsia="de-DE"/>
        </w:rPr>
        <w:t>normotonen</w:t>
      </w:r>
      <w:proofErr w:type="spellEnd"/>
      <w:r w:rsidR="00A34C33" w:rsidRPr="00DE1967">
        <w:rPr>
          <w:snapToGrid/>
          <w:szCs w:val="22"/>
          <w:lang w:val="de-DE" w:eastAsia="de-DE"/>
        </w:rPr>
        <w:t xml:space="preserve"> Ratten und Hunden führten Dosen, die eine der humantherapeutischen Breite entsprechende Exposition darstellten, zu keinen Befunden, die nicht bereits mit der Gabe der einzelnen Wirkstoffe allein gefunden worden waren. Die beobachteten toxikologischen Befunde scheinen keine Bedeutung für die therapeutische Anwendung beim Menschen zu haben.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Toxikologische Ergebnisse, die auch aus präklinischen Studien mit Angiotensin-</w:t>
      </w:r>
      <w:proofErr w:type="spellStart"/>
      <w:r w:rsidRPr="00DE1967">
        <w:rPr>
          <w:snapToGrid/>
          <w:szCs w:val="22"/>
          <w:lang w:val="de-DE" w:eastAsia="de-DE"/>
        </w:rPr>
        <w:t>Converting</w:t>
      </w:r>
      <w:proofErr w:type="spellEnd"/>
      <w:r w:rsidRPr="00DE1967">
        <w:rPr>
          <w:snapToGrid/>
          <w:szCs w:val="22"/>
          <w:lang w:val="de-DE" w:eastAsia="de-DE"/>
        </w:rPr>
        <w:t xml:space="preserve">-Enzyme-Inhibitoren und Angiotensin-II-Rezeptor-Antagonisten hinreichend bekannt sind, waren: eine Abnahme der Erythrozyten-Parameter (Erythrozyten, Hämoglobin, Hämatokrit), Veränderungen in der renalen Hämodynamik (Anstieg von Serumharnstoff und Kreatinin), erhöhte Plasma-Renin-Aktivität, Hypertrophie/Hyperplasie der </w:t>
      </w:r>
      <w:proofErr w:type="spellStart"/>
      <w:r w:rsidRPr="00DE1967">
        <w:rPr>
          <w:snapToGrid/>
          <w:szCs w:val="22"/>
          <w:lang w:val="de-DE" w:eastAsia="de-DE"/>
        </w:rPr>
        <w:t>juxtaglomerulären</w:t>
      </w:r>
      <w:proofErr w:type="spellEnd"/>
      <w:r w:rsidRPr="00DE1967">
        <w:rPr>
          <w:snapToGrid/>
          <w:szCs w:val="22"/>
          <w:lang w:val="de-DE" w:eastAsia="de-DE"/>
        </w:rPr>
        <w:t xml:space="preserve"> Zellen und Schädigung der Magenschleimhaut. Die Magenläsionen konnten durch orale </w:t>
      </w:r>
      <w:r w:rsidR="00171E2D" w:rsidRPr="00DE1967">
        <w:rPr>
          <w:snapToGrid/>
          <w:szCs w:val="22"/>
          <w:lang w:val="de-DE" w:eastAsia="de-DE"/>
        </w:rPr>
        <w:t xml:space="preserve">Natriumchlorid-Lösungszufuhr </w:t>
      </w:r>
      <w:r w:rsidRPr="00DE1967">
        <w:rPr>
          <w:snapToGrid/>
          <w:szCs w:val="22"/>
          <w:lang w:val="de-DE" w:eastAsia="de-DE"/>
        </w:rPr>
        <w:t>und Gruppenhaltung der Tiere vermieden/verbessert werden. Bei Hunden wurden renal-tubuläre Dilatation und Atrophie beobachtet. Diese Befunde werden im Zusammenhang mit der pharmakologischen Wirkung von Telmisartan gesehen.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Es liegen keine eindeutigen Hinweise auf eine teratogene Wirkung vor. Bei toxischen Dosierungen von Telmisartan wurde jedoch ein Effekt auf die postnatale Entwicklung der Nachkommen, wie niedrigeres Körpergewicht und verzögertes Öffnen der Augen, beobachtet.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Für Telmisartan gibt es keine Hinweise auf Mutagenität und relevante </w:t>
      </w:r>
      <w:proofErr w:type="spellStart"/>
      <w:r w:rsidRPr="00DE1967">
        <w:rPr>
          <w:snapToGrid/>
          <w:szCs w:val="22"/>
          <w:lang w:val="de-DE" w:eastAsia="de-DE"/>
        </w:rPr>
        <w:t>klastogene</w:t>
      </w:r>
      <w:proofErr w:type="spellEnd"/>
      <w:r w:rsidRPr="00DE1967">
        <w:rPr>
          <w:snapToGrid/>
          <w:szCs w:val="22"/>
          <w:lang w:val="de-DE" w:eastAsia="de-DE"/>
        </w:rPr>
        <w:t xml:space="preserve"> Aktivität in </w:t>
      </w:r>
      <w:proofErr w:type="spellStart"/>
      <w:r w:rsidRPr="00DE1967">
        <w:rPr>
          <w:i/>
          <w:iCs/>
          <w:snapToGrid/>
          <w:szCs w:val="22"/>
          <w:lang w:val="de-DE" w:eastAsia="de-DE"/>
        </w:rPr>
        <w:t>In</w:t>
      </w:r>
      <w:proofErr w:type="spellEnd"/>
      <w:r w:rsidRPr="00DE1967">
        <w:rPr>
          <w:i/>
          <w:iCs/>
          <w:snapToGrid/>
          <w:szCs w:val="22"/>
          <w:lang w:val="de-DE" w:eastAsia="de-DE"/>
        </w:rPr>
        <w:t xml:space="preserve"> vitro-</w:t>
      </w:r>
      <w:r w:rsidRPr="00DE1967">
        <w:rPr>
          <w:snapToGrid/>
          <w:szCs w:val="22"/>
          <w:lang w:val="de-DE" w:eastAsia="de-DE"/>
        </w:rPr>
        <w:t>Untersuchungen und keinen Hinweis auf Kanzerogenität an Ratten und Mäusen. Untersuchungen mit Hydrochlorothiazid erbrachten in einigen Versuchsmodellen keine eindeutigen Hinweise auf eine genotoxische oder kanzerogene Wirkung. Ausgedehnte Erfahrungen mit Hydrochlorothiazid beim Menschen haben jedoch keinen Zusammenhang zwischen seiner Anwendung und der Zunahme an Neoplasien aufgezeigt.</w:t>
      </w:r>
    </w:p>
    <w:p w:rsidR="00306D41" w:rsidRPr="00DE1967" w:rsidRDefault="00306D41"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Bezüglich des </w:t>
      </w:r>
      <w:proofErr w:type="spellStart"/>
      <w:r w:rsidRPr="00DE1967">
        <w:rPr>
          <w:snapToGrid/>
          <w:szCs w:val="22"/>
          <w:lang w:val="de-DE" w:eastAsia="de-DE"/>
        </w:rPr>
        <w:t>fetotoxischen</w:t>
      </w:r>
      <w:proofErr w:type="spellEnd"/>
      <w:r w:rsidRPr="00DE1967">
        <w:rPr>
          <w:snapToGrid/>
          <w:szCs w:val="22"/>
          <w:lang w:val="de-DE" w:eastAsia="de-DE"/>
        </w:rPr>
        <w:t xml:space="preserve"> Potentials der Kombination von Telmisartan/Hydrochlorothiazid siehe</w:t>
      </w:r>
      <w:r w:rsidR="0003742E" w:rsidRPr="00DE1967">
        <w:rPr>
          <w:snapToGrid/>
          <w:szCs w:val="22"/>
          <w:lang w:val="de-DE" w:eastAsia="de-DE"/>
        </w:rPr>
        <w:t xml:space="preserve"> </w:t>
      </w:r>
      <w:r w:rsidRPr="00DE1967">
        <w:rPr>
          <w:snapToGrid/>
          <w:szCs w:val="22"/>
          <w:lang w:val="de-DE" w:eastAsia="de-DE"/>
        </w:rPr>
        <w:t>Abschnitt 4.6.</w:t>
      </w:r>
    </w:p>
    <w:p w:rsidR="00A34C33" w:rsidRPr="00DE1967" w:rsidRDefault="00A34C33" w:rsidP="0003742E">
      <w:pPr>
        <w:widowControl w:val="0"/>
        <w:spacing w:line="240" w:lineRule="auto"/>
        <w:rPr>
          <w:snapToGrid/>
          <w:szCs w:val="22"/>
          <w:lang w:val="de-DE" w:eastAsia="de-DE"/>
        </w:rPr>
      </w:pPr>
    </w:p>
    <w:p w:rsidR="00A34C33" w:rsidRPr="00DE1967" w:rsidRDefault="00A34C33" w:rsidP="0003742E">
      <w:pPr>
        <w:widowControl w:val="0"/>
        <w:spacing w:line="240" w:lineRule="auto"/>
        <w:rPr>
          <w:szCs w:val="22"/>
          <w:lang w:val="de-DE"/>
        </w:rPr>
      </w:pPr>
    </w:p>
    <w:p w:rsidR="00A34C33" w:rsidRPr="00DE1967" w:rsidRDefault="00A34C33" w:rsidP="0003742E">
      <w:pPr>
        <w:widowControl w:val="0"/>
        <w:spacing w:line="240" w:lineRule="auto"/>
        <w:ind w:left="567" w:hanging="567"/>
        <w:rPr>
          <w:b/>
          <w:szCs w:val="22"/>
          <w:lang w:val="de-DE"/>
        </w:rPr>
      </w:pPr>
      <w:r w:rsidRPr="00DE1967">
        <w:rPr>
          <w:b/>
          <w:szCs w:val="22"/>
          <w:lang w:val="de-DE"/>
        </w:rPr>
        <w:t>6.</w:t>
      </w:r>
      <w:r w:rsidRPr="00DE1967">
        <w:rPr>
          <w:b/>
          <w:szCs w:val="22"/>
          <w:lang w:val="de-DE"/>
        </w:rPr>
        <w:tab/>
      </w:r>
      <w:r w:rsidRPr="00DE1967">
        <w:rPr>
          <w:b/>
          <w:noProof/>
          <w:szCs w:val="22"/>
          <w:lang w:val="de-DE"/>
        </w:rPr>
        <w:t>PHARMAZEUTISCHE ANGABEN</w:t>
      </w:r>
    </w:p>
    <w:p w:rsidR="00A34C33" w:rsidRPr="00DE1967" w:rsidRDefault="00A34C33" w:rsidP="0003742E">
      <w:pPr>
        <w:widowControl w:val="0"/>
        <w:spacing w:line="240" w:lineRule="auto"/>
        <w:rPr>
          <w:szCs w:val="22"/>
          <w:lang w:val="de-DE"/>
        </w:rPr>
      </w:pPr>
    </w:p>
    <w:p w:rsidR="00A34C33" w:rsidRPr="00DE1967" w:rsidRDefault="00A34C33" w:rsidP="0003742E">
      <w:pPr>
        <w:widowControl w:val="0"/>
        <w:spacing w:line="240" w:lineRule="auto"/>
        <w:ind w:left="567" w:hanging="567"/>
        <w:outlineLvl w:val="0"/>
        <w:rPr>
          <w:szCs w:val="22"/>
          <w:lang w:val="de-DE"/>
        </w:rPr>
      </w:pPr>
      <w:r w:rsidRPr="00DE1967">
        <w:rPr>
          <w:b/>
          <w:szCs w:val="22"/>
          <w:lang w:val="de-DE"/>
        </w:rPr>
        <w:t>6.1</w:t>
      </w:r>
      <w:r w:rsidRPr="00DE1967">
        <w:rPr>
          <w:b/>
          <w:szCs w:val="22"/>
          <w:lang w:val="de-DE"/>
        </w:rPr>
        <w:tab/>
      </w:r>
      <w:r w:rsidRPr="00DE1967">
        <w:rPr>
          <w:b/>
          <w:noProof/>
          <w:szCs w:val="22"/>
          <w:lang w:val="de-DE"/>
        </w:rPr>
        <w:t>Liste der sonstigen Bestandteile</w:t>
      </w:r>
    </w:p>
    <w:p w:rsidR="00A34C33" w:rsidRPr="00DE1967" w:rsidRDefault="00A34C33" w:rsidP="0003742E">
      <w:pPr>
        <w:widowControl w:val="0"/>
        <w:spacing w:line="240" w:lineRule="auto"/>
        <w:rPr>
          <w:i/>
          <w:noProof/>
          <w:szCs w:val="22"/>
          <w:lang w:val="de-DE"/>
        </w:rPr>
      </w:pP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roofErr w:type="spellStart"/>
      <w:r w:rsidRPr="00DE1967">
        <w:rPr>
          <w:snapToGrid/>
          <w:szCs w:val="22"/>
          <w:lang w:val="de-DE" w:eastAsia="de-DE"/>
        </w:rPr>
        <w:t>Hyprolose</w:t>
      </w:r>
      <w:proofErr w:type="spellEnd"/>
      <w:r w:rsidR="00CD000A" w:rsidRPr="00DE1967">
        <w:rPr>
          <w:snapToGrid/>
          <w:szCs w:val="22"/>
          <w:lang w:val="de-DE" w:eastAsia="de-DE"/>
        </w:rPr>
        <w:t xml:space="preserve"> (53,4–80,5 % </w:t>
      </w:r>
      <w:proofErr w:type="spellStart"/>
      <w:r w:rsidR="00CD000A" w:rsidRPr="00DE1967">
        <w:rPr>
          <w:snapToGrid/>
          <w:szCs w:val="22"/>
          <w:lang w:val="de-DE" w:eastAsia="de-DE"/>
        </w:rPr>
        <w:t>Hydroxypropoxy</w:t>
      </w:r>
      <w:proofErr w:type="spellEnd"/>
      <w:r w:rsidR="00D51FF5" w:rsidRPr="00DE1967">
        <w:rPr>
          <w:snapToGrid/>
          <w:szCs w:val="22"/>
          <w:lang w:val="de-DE" w:eastAsia="de-DE"/>
        </w:rPr>
        <w:t>-</w:t>
      </w:r>
      <w:r w:rsidR="00CD000A" w:rsidRPr="00DE1967">
        <w:rPr>
          <w:snapToGrid/>
          <w:szCs w:val="22"/>
          <w:lang w:val="de-DE" w:eastAsia="de-DE"/>
        </w:rPr>
        <w:t>Gruppen)</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Lactose-Monohydrat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Magnesiumstearat (</w:t>
      </w:r>
      <w:proofErr w:type="spellStart"/>
      <w:r w:rsidRPr="00DE1967">
        <w:rPr>
          <w:snapToGrid/>
          <w:szCs w:val="22"/>
          <w:lang w:val="de-DE" w:eastAsia="de-DE"/>
        </w:rPr>
        <w:t>Ph.Eur</w:t>
      </w:r>
      <w:proofErr w:type="spellEnd"/>
      <w:r w:rsidRPr="00DE1967">
        <w:rPr>
          <w:snapToGrid/>
          <w:szCs w:val="22"/>
          <w:lang w:val="de-DE" w:eastAsia="de-DE"/>
        </w:rPr>
        <w:t>.)</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Mannitol</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roofErr w:type="spellStart"/>
      <w:r w:rsidRPr="00DE1967">
        <w:rPr>
          <w:snapToGrid/>
          <w:szCs w:val="22"/>
          <w:lang w:val="de-DE" w:eastAsia="de-DE"/>
        </w:rPr>
        <w:t>Meglumin</w:t>
      </w:r>
      <w:proofErr w:type="spellEnd"/>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roofErr w:type="spellStart"/>
      <w:r w:rsidRPr="00DE1967">
        <w:rPr>
          <w:snapToGrid/>
          <w:szCs w:val="22"/>
          <w:lang w:val="de-DE" w:eastAsia="de-DE"/>
        </w:rPr>
        <w:t>Povidon</w:t>
      </w:r>
      <w:proofErr w:type="spellEnd"/>
      <w:r w:rsidRPr="00DE1967">
        <w:rPr>
          <w:snapToGrid/>
          <w:szCs w:val="22"/>
          <w:lang w:val="de-DE" w:eastAsia="de-DE"/>
        </w:rPr>
        <w:t xml:space="preserve"> (K30)</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Hochdisperses Siliciumdioxid</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Natriumhydroxid (E524)</w:t>
      </w:r>
    </w:p>
    <w:p w:rsidR="00A34C33" w:rsidRPr="00DE1967" w:rsidRDefault="00A34C33" w:rsidP="0003742E">
      <w:pPr>
        <w:widowControl w:val="0"/>
        <w:tabs>
          <w:tab w:val="clear" w:pos="567"/>
        </w:tabs>
        <w:autoSpaceDE w:val="0"/>
        <w:autoSpaceDN w:val="0"/>
        <w:adjustRightInd w:val="0"/>
        <w:spacing w:line="240" w:lineRule="auto"/>
        <w:rPr>
          <w:snapToGrid/>
          <w:szCs w:val="22"/>
          <w:lang w:val="de-DE" w:eastAsia="de-DE"/>
        </w:rPr>
      </w:pPr>
      <w:proofErr w:type="spellStart"/>
      <w:r w:rsidRPr="00DE1967">
        <w:rPr>
          <w:snapToGrid/>
          <w:szCs w:val="22"/>
          <w:lang w:val="de-DE" w:eastAsia="de-DE"/>
        </w:rPr>
        <w:t>Natriumstearylfumarat</w:t>
      </w:r>
      <w:proofErr w:type="spellEnd"/>
      <w:r w:rsidRPr="00DE1967">
        <w:rPr>
          <w:snapToGrid/>
          <w:szCs w:val="22"/>
          <w:lang w:val="de-DE" w:eastAsia="de-DE"/>
        </w:rPr>
        <w:t xml:space="preserve"> (</w:t>
      </w:r>
      <w:proofErr w:type="spellStart"/>
      <w:r w:rsidRPr="00DE1967">
        <w:rPr>
          <w:snapToGrid/>
          <w:szCs w:val="22"/>
          <w:lang w:val="de-DE" w:eastAsia="de-DE"/>
        </w:rPr>
        <w:t>Ph.Eur</w:t>
      </w:r>
      <w:proofErr w:type="spellEnd"/>
      <w:r w:rsidRPr="00DE1967">
        <w:rPr>
          <w:snapToGrid/>
          <w:szCs w:val="22"/>
          <w:lang w:val="de-DE" w:eastAsia="de-DE"/>
        </w:rPr>
        <w:t>.)</w:t>
      </w:r>
    </w:p>
    <w:p w:rsidR="00A34C33" w:rsidRPr="00DE1967" w:rsidRDefault="00A34C33" w:rsidP="0003742E">
      <w:pPr>
        <w:widowControl w:val="0"/>
        <w:spacing w:line="240" w:lineRule="auto"/>
        <w:rPr>
          <w:snapToGrid/>
          <w:szCs w:val="22"/>
          <w:lang w:val="de-DE" w:eastAsia="de-DE"/>
        </w:rPr>
      </w:pPr>
      <w:r w:rsidRPr="00DE1967">
        <w:rPr>
          <w:snapToGrid/>
          <w:szCs w:val="22"/>
          <w:lang w:val="de-DE" w:eastAsia="de-DE"/>
        </w:rPr>
        <w:t xml:space="preserve">Sorbitol </w:t>
      </w:r>
      <w:r w:rsidR="00171E2D" w:rsidRPr="00DE1967">
        <w:rPr>
          <w:snapToGrid/>
          <w:szCs w:val="22"/>
          <w:lang w:val="de-DE" w:eastAsia="de-DE"/>
        </w:rPr>
        <w:t>(</w:t>
      </w:r>
      <w:proofErr w:type="spellStart"/>
      <w:r w:rsidR="00171E2D" w:rsidRPr="00DE1967">
        <w:rPr>
          <w:snapToGrid/>
          <w:szCs w:val="22"/>
          <w:lang w:val="de-DE" w:eastAsia="de-DE"/>
        </w:rPr>
        <w:t>Ph.Eur</w:t>
      </w:r>
      <w:proofErr w:type="spellEnd"/>
      <w:r w:rsidR="00171E2D" w:rsidRPr="00DE1967">
        <w:rPr>
          <w:snapToGrid/>
          <w:szCs w:val="22"/>
          <w:lang w:val="de-DE" w:eastAsia="de-DE"/>
        </w:rPr>
        <w:t xml:space="preserve">.) </w:t>
      </w:r>
      <w:r w:rsidRPr="00DE1967">
        <w:rPr>
          <w:snapToGrid/>
          <w:szCs w:val="22"/>
          <w:lang w:val="de-DE" w:eastAsia="de-DE"/>
        </w:rPr>
        <w:t>(E420)</w:t>
      </w:r>
    </w:p>
    <w:p w:rsidR="00A34C33" w:rsidRPr="00DE1967" w:rsidRDefault="005D7CD4" w:rsidP="0003742E">
      <w:pPr>
        <w:widowControl w:val="0"/>
        <w:spacing w:line="240" w:lineRule="auto"/>
        <w:rPr>
          <w:szCs w:val="22"/>
          <w:lang w:val="pt-PT"/>
        </w:rPr>
      </w:pPr>
      <w:r w:rsidRPr="00DE1967">
        <w:rPr>
          <w:szCs w:val="22"/>
          <w:lang w:val="pt-PT"/>
        </w:rPr>
        <w:t>Eisen(III)-hydroxid-oxid x H</w:t>
      </w:r>
      <w:r w:rsidRPr="00DE1967">
        <w:rPr>
          <w:szCs w:val="22"/>
          <w:vertAlign w:val="subscript"/>
          <w:lang w:val="pt-PT"/>
        </w:rPr>
        <w:t>2</w:t>
      </w:r>
      <w:r w:rsidRPr="00DE1967">
        <w:rPr>
          <w:szCs w:val="22"/>
          <w:lang w:val="pt-PT"/>
        </w:rPr>
        <w:t>O</w:t>
      </w:r>
      <w:r w:rsidR="00DB3DDE" w:rsidRPr="00DE1967">
        <w:rPr>
          <w:szCs w:val="22"/>
          <w:lang w:val="pt-PT"/>
        </w:rPr>
        <w:t xml:space="preserve"> (E172)</w:t>
      </w:r>
    </w:p>
    <w:p w:rsidR="005D7CD4" w:rsidRPr="00DE1967" w:rsidRDefault="005D7CD4" w:rsidP="0003742E">
      <w:pPr>
        <w:widowControl w:val="0"/>
        <w:spacing w:line="240" w:lineRule="auto"/>
        <w:rPr>
          <w:szCs w:val="22"/>
          <w:lang w:val="pt-PT"/>
        </w:rPr>
      </w:pPr>
    </w:p>
    <w:p w:rsidR="00A34C33" w:rsidRPr="00DE1967" w:rsidRDefault="00A34C33" w:rsidP="0003742E">
      <w:pPr>
        <w:widowControl w:val="0"/>
        <w:spacing w:line="240" w:lineRule="auto"/>
        <w:ind w:left="567" w:hanging="567"/>
        <w:outlineLvl w:val="0"/>
        <w:rPr>
          <w:szCs w:val="22"/>
          <w:lang w:val="de-DE"/>
        </w:rPr>
      </w:pPr>
      <w:r w:rsidRPr="00DE1967">
        <w:rPr>
          <w:b/>
          <w:szCs w:val="22"/>
          <w:lang w:val="de-DE"/>
        </w:rPr>
        <w:t>6.2</w:t>
      </w:r>
      <w:r w:rsidRPr="00DE1967">
        <w:rPr>
          <w:b/>
          <w:szCs w:val="22"/>
          <w:lang w:val="de-DE"/>
        </w:rPr>
        <w:tab/>
      </w:r>
      <w:r w:rsidRPr="00DE1967">
        <w:rPr>
          <w:b/>
          <w:noProof/>
          <w:szCs w:val="22"/>
          <w:lang w:val="de-DE"/>
        </w:rPr>
        <w:t>Inkompatibilitäten</w:t>
      </w:r>
    </w:p>
    <w:p w:rsidR="00A34C33" w:rsidRPr="00DE1967" w:rsidRDefault="00A34C33" w:rsidP="0003742E">
      <w:pPr>
        <w:widowControl w:val="0"/>
        <w:spacing w:line="240" w:lineRule="auto"/>
        <w:rPr>
          <w:szCs w:val="22"/>
          <w:lang w:val="de-DE"/>
        </w:rPr>
      </w:pPr>
    </w:p>
    <w:p w:rsidR="00544F89" w:rsidRPr="00DE1967" w:rsidRDefault="00A34C33" w:rsidP="0003742E">
      <w:pPr>
        <w:widowControl w:val="0"/>
        <w:spacing w:line="240" w:lineRule="auto"/>
        <w:rPr>
          <w:noProof/>
          <w:szCs w:val="22"/>
          <w:lang w:val="de-DE"/>
        </w:rPr>
      </w:pPr>
      <w:r w:rsidRPr="00DE1967">
        <w:rPr>
          <w:noProof/>
          <w:szCs w:val="22"/>
          <w:lang w:val="de-DE"/>
        </w:rPr>
        <w:t>Nicht zutreffend.</w:t>
      </w:r>
    </w:p>
    <w:p w:rsidR="00A34C33" w:rsidRPr="00DE1967" w:rsidRDefault="00A34C33" w:rsidP="0003742E">
      <w:pPr>
        <w:widowControl w:val="0"/>
        <w:spacing w:line="240" w:lineRule="auto"/>
        <w:rPr>
          <w:szCs w:val="22"/>
          <w:lang w:val="de-DE"/>
        </w:rPr>
      </w:pPr>
    </w:p>
    <w:p w:rsidR="00A34C33" w:rsidRPr="00DE1967" w:rsidRDefault="00A34C33" w:rsidP="0003742E">
      <w:pPr>
        <w:widowControl w:val="0"/>
        <w:spacing w:line="240" w:lineRule="auto"/>
        <w:ind w:left="567" w:hanging="567"/>
        <w:outlineLvl w:val="0"/>
        <w:rPr>
          <w:szCs w:val="22"/>
          <w:lang w:val="de-DE"/>
        </w:rPr>
      </w:pPr>
      <w:r w:rsidRPr="00DE1967">
        <w:rPr>
          <w:b/>
          <w:szCs w:val="22"/>
          <w:lang w:val="de-DE"/>
        </w:rPr>
        <w:t>6.3</w:t>
      </w:r>
      <w:r w:rsidRPr="00DE1967">
        <w:rPr>
          <w:b/>
          <w:szCs w:val="22"/>
          <w:lang w:val="de-DE"/>
        </w:rPr>
        <w:tab/>
      </w:r>
      <w:r w:rsidRPr="00DE1967">
        <w:rPr>
          <w:b/>
          <w:noProof/>
          <w:szCs w:val="22"/>
          <w:lang w:val="de-DE"/>
        </w:rPr>
        <w:t>Dauer der Haltbarkeit</w:t>
      </w:r>
    </w:p>
    <w:p w:rsidR="00A34C33" w:rsidRPr="00DE1967" w:rsidRDefault="00A34C33" w:rsidP="0003742E">
      <w:pPr>
        <w:widowControl w:val="0"/>
        <w:spacing w:line="240" w:lineRule="auto"/>
        <w:rPr>
          <w:szCs w:val="22"/>
          <w:lang w:val="de-DE"/>
        </w:rPr>
      </w:pPr>
    </w:p>
    <w:p w:rsidR="00AE228F" w:rsidRPr="00DE1967" w:rsidRDefault="00AE228F" w:rsidP="00AE228F">
      <w:pPr>
        <w:widowControl w:val="0"/>
        <w:spacing w:line="240" w:lineRule="auto"/>
        <w:rPr>
          <w:szCs w:val="22"/>
          <w:lang w:val="nl-NL"/>
        </w:rPr>
      </w:pPr>
      <w:r w:rsidRPr="00DE1967">
        <w:rPr>
          <w:szCs w:val="22"/>
          <w:lang w:val="nl-NL"/>
        </w:rPr>
        <w:t xml:space="preserve">Blisterpackung (OPA/Al/PVC-Folie//Al-Folie): </w:t>
      </w:r>
      <w:r w:rsidRPr="00DE1967">
        <w:rPr>
          <w:noProof/>
          <w:szCs w:val="22"/>
          <w:lang w:val="nl-NL"/>
        </w:rPr>
        <w:t>3 Jahre</w:t>
      </w:r>
    </w:p>
    <w:p w:rsidR="00AE228F" w:rsidRPr="00DE1967" w:rsidRDefault="00AE228F" w:rsidP="00AE228F">
      <w:pPr>
        <w:widowControl w:val="0"/>
        <w:spacing w:line="240" w:lineRule="auto"/>
        <w:rPr>
          <w:szCs w:val="22"/>
          <w:lang w:val="de-DE"/>
        </w:rPr>
      </w:pPr>
      <w:r w:rsidRPr="00DE1967">
        <w:rPr>
          <w:szCs w:val="22"/>
          <w:lang w:val="de-DE"/>
        </w:rPr>
        <w:t>Blisterpackung (OPA/Al/PE-Folie mit Trockenmittel//Al-Folie): 2 Jahre</w:t>
      </w:r>
    </w:p>
    <w:p w:rsidR="00A34C33" w:rsidRPr="00DE1967" w:rsidRDefault="00A34C33" w:rsidP="0003742E">
      <w:pPr>
        <w:widowControl w:val="0"/>
        <w:spacing w:line="240" w:lineRule="auto"/>
        <w:rPr>
          <w:szCs w:val="22"/>
          <w:lang w:val="de-DE"/>
        </w:rPr>
      </w:pPr>
    </w:p>
    <w:p w:rsidR="00A34C33" w:rsidRPr="00DE1967" w:rsidRDefault="00A34C33" w:rsidP="0003742E">
      <w:pPr>
        <w:widowControl w:val="0"/>
        <w:spacing w:line="240" w:lineRule="auto"/>
        <w:ind w:left="567" w:hanging="567"/>
        <w:outlineLvl w:val="0"/>
        <w:rPr>
          <w:b/>
          <w:szCs w:val="22"/>
          <w:lang w:val="de-DE"/>
        </w:rPr>
      </w:pPr>
      <w:r w:rsidRPr="00DE1967">
        <w:rPr>
          <w:b/>
          <w:szCs w:val="22"/>
          <w:lang w:val="de-DE"/>
        </w:rPr>
        <w:t>6.4</w:t>
      </w:r>
      <w:r w:rsidRPr="00DE1967">
        <w:rPr>
          <w:b/>
          <w:szCs w:val="22"/>
          <w:lang w:val="de-DE"/>
        </w:rPr>
        <w:tab/>
      </w:r>
      <w:r w:rsidRPr="00DE1967">
        <w:rPr>
          <w:b/>
          <w:noProof/>
          <w:szCs w:val="22"/>
          <w:lang w:val="de-DE"/>
        </w:rPr>
        <w:t>Besondere Vorsichtsmaßnahmen für die Aufbewahrung</w:t>
      </w:r>
    </w:p>
    <w:p w:rsidR="00377C1A" w:rsidRPr="00DE1967" w:rsidRDefault="00377C1A" w:rsidP="0003742E">
      <w:pPr>
        <w:widowControl w:val="0"/>
        <w:spacing w:line="240" w:lineRule="auto"/>
        <w:ind w:left="567" w:hanging="567"/>
        <w:outlineLvl w:val="0"/>
        <w:rPr>
          <w:szCs w:val="22"/>
          <w:lang w:val="de-DE"/>
        </w:rPr>
      </w:pPr>
    </w:p>
    <w:p w:rsidR="005653E6" w:rsidRPr="00DE1967" w:rsidRDefault="005653E6" w:rsidP="005653E6">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Für dieses Arzneimittel sind bezüglich der Temperatur keine besonderen Lagerungsbedingungen erforderlich.</w:t>
      </w:r>
    </w:p>
    <w:p w:rsidR="005653E6" w:rsidRPr="00DE1967" w:rsidRDefault="005653E6" w:rsidP="005653E6">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 der Originalpackung aufbewahren, um den Inhalt vor Licht zu schützen.</w:t>
      </w:r>
    </w:p>
    <w:p w:rsidR="00A34C33" w:rsidRPr="00DE1967" w:rsidRDefault="00A34C33" w:rsidP="0003742E">
      <w:pPr>
        <w:widowControl w:val="0"/>
        <w:spacing w:line="240" w:lineRule="auto"/>
        <w:rPr>
          <w:szCs w:val="22"/>
          <w:lang w:val="de-DE"/>
        </w:rPr>
      </w:pPr>
    </w:p>
    <w:p w:rsidR="00544F89" w:rsidRPr="00DE1967" w:rsidRDefault="00A34C33" w:rsidP="0003742E">
      <w:pPr>
        <w:widowControl w:val="0"/>
        <w:numPr>
          <w:ilvl w:val="1"/>
          <w:numId w:val="9"/>
        </w:numPr>
        <w:tabs>
          <w:tab w:val="clear" w:pos="567"/>
        </w:tabs>
        <w:snapToGrid w:val="0"/>
        <w:spacing w:line="240" w:lineRule="auto"/>
        <w:ind w:left="567" w:hanging="567"/>
        <w:outlineLvl w:val="0"/>
        <w:rPr>
          <w:b/>
          <w:noProof/>
          <w:szCs w:val="22"/>
          <w:lang w:val="de-DE"/>
        </w:rPr>
      </w:pPr>
      <w:r w:rsidRPr="00DE1967">
        <w:rPr>
          <w:b/>
          <w:noProof/>
          <w:szCs w:val="22"/>
          <w:lang w:val="de-DE"/>
        </w:rPr>
        <w:t>Art und Inhalt des Behältnisses</w:t>
      </w:r>
    </w:p>
    <w:p w:rsidR="00A34C33" w:rsidRPr="00DE1967" w:rsidRDefault="00A34C33" w:rsidP="0003742E">
      <w:pPr>
        <w:widowControl w:val="0"/>
        <w:snapToGrid w:val="0"/>
        <w:spacing w:line="240" w:lineRule="auto"/>
        <w:outlineLvl w:val="0"/>
        <w:rPr>
          <w:b/>
          <w:szCs w:val="22"/>
          <w:lang w:val="de-DE"/>
        </w:rPr>
      </w:pPr>
    </w:p>
    <w:p w:rsidR="00A34C33" w:rsidRPr="00DE1967" w:rsidRDefault="00A34C33" w:rsidP="0003742E">
      <w:pPr>
        <w:widowControl w:val="0"/>
        <w:tabs>
          <w:tab w:val="clear" w:pos="567"/>
        </w:tabs>
        <w:autoSpaceDE w:val="0"/>
        <w:autoSpaceDN w:val="0"/>
        <w:adjustRightInd w:val="0"/>
        <w:spacing w:line="240" w:lineRule="auto"/>
        <w:rPr>
          <w:szCs w:val="22"/>
          <w:lang w:val="de-DE"/>
        </w:rPr>
      </w:pPr>
      <w:r w:rsidRPr="00DE1967">
        <w:rPr>
          <w:szCs w:val="22"/>
          <w:lang w:val="de-DE"/>
        </w:rPr>
        <w:t xml:space="preserve">Blisterpackung </w:t>
      </w:r>
      <w:r w:rsidR="00306D41" w:rsidRPr="00DE1967">
        <w:rPr>
          <w:szCs w:val="22"/>
          <w:lang w:val="de-DE"/>
        </w:rPr>
        <w:t>(OPA/Al/PVC-Folie//Al-Folie)</w:t>
      </w:r>
      <w:r w:rsidRPr="00DE1967">
        <w:rPr>
          <w:szCs w:val="22"/>
          <w:lang w:val="de-DE"/>
        </w:rPr>
        <w:t>: 14</w:t>
      </w:r>
      <w:r w:rsidR="00A27A4F" w:rsidRPr="00DE1967">
        <w:rPr>
          <w:szCs w:val="22"/>
          <w:lang w:val="de-DE"/>
        </w:rPr>
        <w:t> x 1</w:t>
      </w:r>
      <w:r w:rsidRPr="00DE1967">
        <w:rPr>
          <w:szCs w:val="22"/>
          <w:lang w:val="de-DE"/>
        </w:rPr>
        <w:t>, 28</w:t>
      </w:r>
      <w:r w:rsidR="00A27A4F" w:rsidRPr="00DE1967">
        <w:rPr>
          <w:szCs w:val="22"/>
          <w:lang w:val="de-DE"/>
        </w:rPr>
        <w:t> x 1</w:t>
      </w:r>
      <w:r w:rsidRPr="00DE1967">
        <w:rPr>
          <w:szCs w:val="22"/>
          <w:lang w:val="de-DE"/>
        </w:rPr>
        <w:t>, 30</w:t>
      </w:r>
      <w:r w:rsidR="00A27A4F" w:rsidRPr="00DE1967">
        <w:rPr>
          <w:szCs w:val="22"/>
          <w:lang w:val="de-DE"/>
        </w:rPr>
        <w:t> x 1</w:t>
      </w:r>
      <w:r w:rsidRPr="00DE1967">
        <w:rPr>
          <w:szCs w:val="22"/>
          <w:lang w:val="de-DE"/>
        </w:rPr>
        <w:t>, 56</w:t>
      </w:r>
      <w:r w:rsidR="00A27A4F" w:rsidRPr="00DE1967">
        <w:rPr>
          <w:szCs w:val="22"/>
          <w:lang w:val="de-DE"/>
        </w:rPr>
        <w:t> x 1</w:t>
      </w:r>
      <w:r w:rsidRPr="00DE1967">
        <w:rPr>
          <w:szCs w:val="22"/>
          <w:lang w:val="de-DE"/>
        </w:rPr>
        <w:t>, 60</w:t>
      </w:r>
      <w:r w:rsidR="00A27A4F" w:rsidRPr="00DE1967">
        <w:rPr>
          <w:szCs w:val="22"/>
          <w:lang w:val="de-DE"/>
        </w:rPr>
        <w:t> x 1</w:t>
      </w:r>
      <w:r w:rsidRPr="00DE1967">
        <w:rPr>
          <w:szCs w:val="22"/>
          <w:lang w:val="de-DE"/>
        </w:rPr>
        <w:t>, 84</w:t>
      </w:r>
      <w:r w:rsidR="00A27A4F" w:rsidRPr="00DE1967">
        <w:rPr>
          <w:szCs w:val="22"/>
          <w:lang w:val="de-DE"/>
        </w:rPr>
        <w:t> x 1</w:t>
      </w:r>
      <w:r w:rsidRPr="00DE1967">
        <w:rPr>
          <w:szCs w:val="22"/>
          <w:lang w:val="de-DE"/>
        </w:rPr>
        <w:t>, 90</w:t>
      </w:r>
      <w:r w:rsidR="00A27A4F" w:rsidRPr="00DE1967">
        <w:rPr>
          <w:szCs w:val="22"/>
          <w:lang w:val="de-DE"/>
        </w:rPr>
        <w:t> x 1</w:t>
      </w:r>
      <w:r w:rsidR="0003742E" w:rsidRPr="00DE1967">
        <w:rPr>
          <w:szCs w:val="22"/>
          <w:lang w:val="de-DE"/>
        </w:rPr>
        <w:t>,</w:t>
      </w:r>
      <w:r w:rsidRPr="00DE1967">
        <w:rPr>
          <w:szCs w:val="22"/>
          <w:lang w:val="de-DE"/>
        </w:rPr>
        <w:t xml:space="preserve"> 98</w:t>
      </w:r>
      <w:r w:rsidR="00A27A4F" w:rsidRPr="00DE1967">
        <w:rPr>
          <w:szCs w:val="22"/>
          <w:lang w:val="de-DE"/>
        </w:rPr>
        <w:t> x 1</w:t>
      </w:r>
      <w:r w:rsidRPr="00DE1967">
        <w:rPr>
          <w:szCs w:val="22"/>
          <w:lang w:val="de-DE"/>
        </w:rPr>
        <w:t xml:space="preserve"> </w:t>
      </w:r>
      <w:r w:rsidR="0003742E" w:rsidRPr="00DE1967">
        <w:rPr>
          <w:szCs w:val="22"/>
          <w:lang w:val="de-DE"/>
        </w:rPr>
        <w:t>und 100</w:t>
      </w:r>
      <w:r w:rsidR="00A27A4F" w:rsidRPr="00DE1967">
        <w:rPr>
          <w:szCs w:val="22"/>
          <w:lang w:val="de-DE"/>
        </w:rPr>
        <w:t> x 1</w:t>
      </w:r>
      <w:r w:rsidR="0003742E" w:rsidRPr="00DE1967">
        <w:rPr>
          <w:szCs w:val="22"/>
          <w:lang w:val="de-DE"/>
        </w:rPr>
        <w:t xml:space="preserve"> </w:t>
      </w:r>
      <w:r w:rsidRPr="00DE1967">
        <w:rPr>
          <w:szCs w:val="22"/>
          <w:lang w:val="de-DE"/>
        </w:rPr>
        <w:t>Tablette in einer Faltschachtel.</w:t>
      </w:r>
    </w:p>
    <w:p w:rsidR="00A34C33" w:rsidRPr="00DE1967" w:rsidRDefault="00D60896" w:rsidP="0003742E">
      <w:pPr>
        <w:widowControl w:val="0"/>
        <w:autoSpaceDE w:val="0"/>
        <w:autoSpaceDN w:val="0"/>
        <w:adjustRightInd w:val="0"/>
        <w:spacing w:line="240" w:lineRule="auto"/>
        <w:rPr>
          <w:szCs w:val="22"/>
          <w:lang w:val="de-DE"/>
        </w:rPr>
      </w:pPr>
      <w:r w:rsidRPr="00DE1967">
        <w:rPr>
          <w:szCs w:val="22"/>
          <w:lang w:val="de-DE"/>
        </w:rPr>
        <w:t>Blisterpackung (OPA/Al/PE</w:t>
      </w:r>
      <w:r w:rsidR="00A34C33" w:rsidRPr="00DE1967">
        <w:rPr>
          <w:szCs w:val="22"/>
          <w:lang w:val="de-DE"/>
        </w:rPr>
        <w:t>-Folie mit Trockenmittel/</w:t>
      </w:r>
      <w:r w:rsidR="006C70AD" w:rsidRPr="00DE1967">
        <w:rPr>
          <w:szCs w:val="22"/>
          <w:lang w:val="de-DE"/>
        </w:rPr>
        <w:t>/</w:t>
      </w:r>
      <w:r w:rsidR="00A34C33" w:rsidRPr="00DE1967">
        <w:rPr>
          <w:szCs w:val="22"/>
          <w:lang w:val="de-DE"/>
        </w:rPr>
        <w:t>Al-Folie): 14</w:t>
      </w:r>
      <w:r w:rsidR="00A27A4F" w:rsidRPr="00DE1967">
        <w:rPr>
          <w:szCs w:val="22"/>
          <w:lang w:val="de-DE"/>
        </w:rPr>
        <w:t> x 1</w:t>
      </w:r>
      <w:r w:rsidR="00A34C33" w:rsidRPr="00DE1967">
        <w:rPr>
          <w:szCs w:val="22"/>
          <w:lang w:val="de-DE"/>
        </w:rPr>
        <w:t xml:space="preserve"> und 98</w:t>
      </w:r>
      <w:r w:rsidR="00A27A4F" w:rsidRPr="00DE1967">
        <w:rPr>
          <w:szCs w:val="22"/>
          <w:lang w:val="de-DE"/>
        </w:rPr>
        <w:t> x 1</w:t>
      </w:r>
      <w:r w:rsidR="00A34C33" w:rsidRPr="00DE1967">
        <w:rPr>
          <w:szCs w:val="22"/>
          <w:lang w:val="de-DE"/>
        </w:rPr>
        <w:t xml:space="preserve"> Tablette in einer Faltschachtel.</w:t>
      </w:r>
    </w:p>
    <w:p w:rsidR="00A34C33" w:rsidRPr="00DE1967" w:rsidRDefault="00A34C33" w:rsidP="0003742E">
      <w:pPr>
        <w:widowControl w:val="0"/>
        <w:autoSpaceDE w:val="0"/>
        <w:autoSpaceDN w:val="0"/>
        <w:adjustRightInd w:val="0"/>
        <w:spacing w:line="240" w:lineRule="auto"/>
        <w:rPr>
          <w:szCs w:val="22"/>
          <w:lang w:val="de-DE"/>
        </w:rPr>
      </w:pPr>
    </w:p>
    <w:p w:rsidR="00A34C33" w:rsidRPr="00DE1967" w:rsidRDefault="00A34C33" w:rsidP="0003742E">
      <w:pPr>
        <w:widowControl w:val="0"/>
        <w:spacing w:line="240" w:lineRule="auto"/>
        <w:rPr>
          <w:szCs w:val="22"/>
          <w:lang w:val="de-DE"/>
        </w:rPr>
      </w:pPr>
      <w:r w:rsidRPr="00DE1967">
        <w:rPr>
          <w:szCs w:val="22"/>
          <w:lang w:val="de-DE"/>
        </w:rPr>
        <w:t>Es werden möglicherweise nicht alle Packungsgrößen in den Verkehr gebracht.</w:t>
      </w:r>
    </w:p>
    <w:p w:rsidR="00A34C33" w:rsidRPr="00DE1967" w:rsidRDefault="00A34C33" w:rsidP="0003742E">
      <w:pPr>
        <w:widowControl w:val="0"/>
        <w:spacing w:line="240" w:lineRule="auto"/>
        <w:rPr>
          <w:szCs w:val="22"/>
          <w:lang w:val="de-DE"/>
        </w:rPr>
      </w:pPr>
    </w:p>
    <w:p w:rsidR="00544F89" w:rsidRPr="00DE1967" w:rsidRDefault="00A34C33" w:rsidP="0003742E">
      <w:pPr>
        <w:widowControl w:val="0"/>
        <w:spacing w:line="240" w:lineRule="auto"/>
        <w:ind w:left="567" w:hanging="567"/>
        <w:outlineLvl w:val="0"/>
        <w:rPr>
          <w:b/>
          <w:noProof/>
          <w:szCs w:val="22"/>
          <w:lang w:val="de-DE"/>
        </w:rPr>
      </w:pPr>
      <w:r w:rsidRPr="00DE1967">
        <w:rPr>
          <w:b/>
          <w:szCs w:val="22"/>
          <w:lang w:val="de-DE"/>
        </w:rPr>
        <w:t>6.6</w:t>
      </w:r>
      <w:r w:rsidRPr="00DE1967">
        <w:rPr>
          <w:b/>
          <w:szCs w:val="22"/>
          <w:lang w:val="de-DE"/>
        </w:rPr>
        <w:tab/>
      </w:r>
      <w:r w:rsidRPr="00DE1967">
        <w:rPr>
          <w:b/>
          <w:noProof/>
          <w:szCs w:val="22"/>
          <w:lang w:val="de-DE"/>
        </w:rPr>
        <w:t>Besondere Vorsichtsmaßnahmen für die Beseitigung</w:t>
      </w:r>
    </w:p>
    <w:p w:rsidR="00A34C33" w:rsidRPr="00DE1967" w:rsidRDefault="00A34C33" w:rsidP="0003742E">
      <w:pPr>
        <w:widowControl w:val="0"/>
        <w:spacing w:line="240" w:lineRule="auto"/>
        <w:rPr>
          <w:szCs w:val="22"/>
          <w:lang w:val="de-DE"/>
        </w:rPr>
      </w:pPr>
    </w:p>
    <w:p w:rsidR="00A34C33" w:rsidRPr="00DE1967" w:rsidRDefault="00A34C33" w:rsidP="0003742E">
      <w:pPr>
        <w:widowControl w:val="0"/>
        <w:spacing w:line="240" w:lineRule="auto"/>
        <w:rPr>
          <w:szCs w:val="22"/>
          <w:lang w:val="de-DE"/>
        </w:rPr>
      </w:pPr>
      <w:r w:rsidRPr="00DE1967">
        <w:rPr>
          <w:noProof/>
          <w:szCs w:val="22"/>
          <w:lang w:val="de-DE"/>
        </w:rPr>
        <w:t>Keine besonderen Anforderungen.</w:t>
      </w:r>
    </w:p>
    <w:p w:rsidR="00A34C33" w:rsidRPr="00DE1967" w:rsidRDefault="00A34C33" w:rsidP="0003742E">
      <w:pPr>
        <w:widowControl w:val="0"/>
        <w:spacing w:line="240" w:lineRule="auto"/>
        <w:rPr>
          <w:szCs w:val="22"/>
          <w:lang w:val="de-DE"/>
        </w:rPr>
      </w:pPr>
    </w:p>
    <w:p w:rsidR="00A34C33" w:rsidRPr="00DE1967" w:rsidRDefault="00A34C33" w:rsidP="0003742E">
      <w:pPr>
        <w:widowControl w:val="0"/>
        <w:spacing w:line="240" w:lineRule="auto"/>
        <w:rPr>
          <w:szCs w:val="22"/>
          <w:lang w:val="de-DE"/>
        </w:rPr>
      </w:pPr>
    </w:p>
    <w:p w:rsidR="00A34C33" w:rsidRPr="00DE1967" w:rsidRDefault="00A34C33" w:rsidP="0003742E">
      <w:pPr>
        <w:widowControl w:val="0"/>
        <w:spacing w:line="240" w:lineRule="auto"/>
        <w:ind w:left="567" w:hanging="567"/>
        <w:rPr>
          <w:szCs w:val="22"/>
          <w:lang w:val="de-DE"/>
        </w:rPr>
      </w:pPr>
      <w:r w:rsidRPr="00DE1967">
        <w:rPr>
          <w:b/>
          <w:szCs w:val="22"/>
          <w:lang w:val="de-DE"/>
        </w:rPr>
        <w:t>7.</w:t>
      </w:r>
      <w:r w:rsidRPr="00DE1967">
        <w:rPr>
          <w:b/>
          <w:szCs w:val="22"/>
          <w:lang w:val="de-DE"/>
        </w:rPr>
        <w:tab/>
      </w:r>
      <w:r w:rsidRPr="00DE1967">
        <w:rPr>
          <w:b/>
          <w:noProof/>
          <w:szCs w:val="22"/>
          <w:lang w:val="de-DE"/>
        </w:rPr>
        <w:t>INHABER DER ZULASSUNG</w:t>
      </w:r>
    </w:p>
    <w:p w:rsidR="00A34C33" w:rsidRPr="00DE1967" w:rsidRDefault="00A34C33" w:rsidP="0003742E">
      <w:pPr>
        <w:widowControl w:val="0"/>
        <w:spacing w:line="240" w:lineRule="auto"/>
        <w:rPr>
          <w:szCs w:val="22"/>
          <w:lang w:val="de-DE"/>
        </w:rPr>
      </w:pPr>
    </w:p>
    <w:p w:rsidR="00A34C33" w:rsidRPr="00DE1967" w:rsidRDefault="00A34C33" w:rsidP="0003742E">
      <w:pPr>
        <w:widowControl w:val="0"/>
        <w:spacing w:line="240" w:lineRule="auto"/>
        <w:rPr>
          <w:szCs w:val="22"/>
          <w:lang w:val="de-DE"/>
        </w:rPr>
      </w:pPr>
      <w:r w:rsidRPr="00DE1967">
        <w:rPr>
          <w:szCs w:val="22"/>
          <w:lang w:val="de-DE"/>
        </w:rPr>
        <w:t xml:space="preserve">KRKA, d.d., Novo mesto, </w:t>
      </w:r>
      <w:proofErr w:type="spellStart"/>
      <w:r w:rsidRPr="00DE1967">
        <w:rPr>
          <w:szCs w:val="22"/>
          <w:lang w:val="de-DE"/>
        </w:rPr>
        <w:t>Šmarješka</w:t>
      </w:r>
      <w:proofErr w:type="spellEnd"/>
      <w:r w:rsidRPr="00DE1967">
        <w:rPr>
          <w:szCs w:val="22"/>
          <w:lang w:val="de-DE"/>
        </w:rPr>
        <w:t xml:space="preserve"> </w:t>
      </w:r>
      <w:proofErr w:type="spellStart"/>
      <w:r w:rsidRPr="00DE1967">
        <w:rPr>
          <w:szCs w:val="22"/>
          <w:lang w:val="de-DE"/>
        </w:rPr>
        <w:t>cesta</w:t>
      </w:r>
      <w:proofErr w:type="spellEnd"/>
      <w:r w:rsidRPr="00DE1967">
        <w:rPr>
          <w:szCs w:val="22"/>
          <w:lang w:val="de-DE"/>
        </w:rPr>
        <w:t xml:space="preserve"> 6, 8501 Novo mesto, Slowenien</w:t>
      </w:r>
    </w:p>
    <w:p w:rsidR="00A34C33" w:rsidRPr="00DE1967" w:rsidRDefault="00A34C33" w:rsidP="0003742E">
      <w:pPr>
        <w:widowControl w:val="0"/>
        <w:spacing w:line="240" w:lineRule="auto"/>
        <w:rPr>
          <w:szCs w:val="22"/>
          <w:lang w:val="de-DE"/>
        </w:rPr>
      </w:pPr>
    </w:p>
    <w:p w:rsidR="00A34C33" w:rsidRPr="00DE1967" w:rsidRDefault="00A34C33" w:rsidP="0003742E">
      <w:pPr>
        <w:widowControl w:val="0"/>
        <w:spacing w:line="240" w:lineRule="auto"/>
        <w:rPr>
          <w:szCs w:val="22"/>
          <w:lang w:val="de-DE"/>
        </w:rPr>
      </w:pPr>
    </w:p>
    <w:p w:rsidR="00544F89" w:rsidRPr="00DE1967" w:rsidRDefault="00A34C33" w:rsidP="0003742E">
      <w:pPr>
        <w:widowControl w:val="0"/>
        <w:spacing w:line="240" w:lineRule="auto"/>
        <w:ind w:left="567" w:hanging="567"/>
        <w:rPr>
          <w:b/>
          <w:noProof/>
          <w:szCs w:val="22"/>
          <w:lang w:val="de-DE"/>
        </w:rPr>
      </w:pPr>
      <w:r w:rsidRPr="00DE1967">
        <w:rPr>
          <w:b/>
          <w:szCs w:val="22"/>
          <w:lang w:val="de-DE"/>
        </w:rPr>
        <w:t>8.</w:t>
      </w:r>
      <w:r w:rsidRPr="00DE1967">
        <w:rPr>
          <w:b/>
          <w:szCs w:val="22"/>
          <w:lang w:val="de-DE"/>
        </w:rPr>
        <w:tab/>
      </w:r>
      <w:r w:rsidRPr="00DE1967">
        <w:rPr>
          <w:b/>
          <w:noProof/>
          <w:szCs w:val="22"/>
          <w:lang w:val="de-DE"/>
        </w:rPr>
        <w:t>ZULASSUNGSNUMMER(N)</w:t>
      </w:r>
    </w:p>
    <w:p w:rsidR="00544F89" w:rsidRPr="00DE1967" w:rsidRDefault="00544F89" w:rsidP="0003742E">
      <w:pPr>
        <w:widowControl w:val="0"/>
        <w:tabs>
          <w:tab w:val="clear" w:pos="567"/>
        </w:tabs>
        <w:spacing w:line="240" w:lineRule="auto"/>
        <w:outlineLvl w:val="0"/>
        <w:rPr>
          <w:noProof/>
          <w:szCs w:val="22"/>
          <w:lang w:val="de-DE"/>
        </w:rPr>
      </w:pPr>
    </w:p>
    <w:p w:rsidR="00DD6D65" w:rsidRPr="00DE1967" w:rsidRDefault="00DD6D65" w:rsidP="0003742E">
      <w:pPr>
        <w:widowControl w:val="0"/>
        <w:tabs>
          <w:tab w:val="clear" w:pos="567"/>
        </w:tabs>
        <w:spacing w:line="240" w:lineRule="auto"/>
        <w:rPr>
          <w:rFonts w:eastAsia="Calibri"/>
          <w:snapToGrid/>
          <w:szCs w:val="22"/>
          <w:lang w:val="de-DE"/>
        </w:rPr>
      </w:pPr>
      <w:r w:rsidRPr="00DE1967">
        <w:rPr>
          <w:rFonts w:eastAsia="Calibri"/>
          <w:snapToGrid/>
          <w:szCs w:val="22"/>
          <w:lang w:val="de-DE"/>
        </w:rPr>
        <w:t>EU/1/13/821/021</w:t>
      </w:r>
    </w:p>
    <w:p w:rsidR="00DD6D65" w:rsidRPr="00DE1967" w:rsidRDefault="00DD6D65" w:rsidP="0003742E">
      <w:pPr>
        <w:widowControl w:val="0"/>
        <w:tabs>
          <w:tab w:val="clear" w:pos="567"/>
        </w:tabs>
        <w:spacing w:line="240" w:lineRule="auto"/>
        <w:rPr>
          <w:rFonts w:eastAsia="Calibri"/>
          <w:snapToGrid/>
          <w:szCs w:val="22"/>
          <w:lang w:val="de-DE"/>
        </w:rPr>
      </w:pPr>
      <w:r w:rsidRPr="00DE1967">
        <w:rPr>
          <w:rFonts w:eastAsia="Calibri"/>
          <w:snapToGrid/>
          <w:szCs w:val="22"/>
          <w:lang w:val="de-DE"/>
        </w:rPr>
        <w:t>EU/1/13/821/022</w:t>
      </w:r>
    </w:p>
    <w:p w:rsidR="00DD6D65" w:rsidRPr="00DE1967" w:rsidRDefault="00DD6D65" w:rsidP="0003742E">
      <w:pPr>
        <w:widowControl w:val="0"/>
        <w:tabs>
          <w:tab w:val="clear" w:pos="567"/>
        </w:tabs>
        <w:spacing w:line="240" w:lineRule="auto"/>
        <w:rPr>
          <w:rFonts w:eastAsia="Calibri"/>
          <w:snapToGrid/>
          <w:szCs w:val="22"/>
          <w:lang w:val="de-DE"/>
        </w:rPr>
      </w:pPr>
      <w:r w:rsidRPr="00DE1967">
        <w:rPr>
          <w:rFonts w:eastAsia="Calibri"/>
          <w:snapToGrid/>
          <w:szCs w:val="22"/>
          <w:lang w:val="de-DE"/>
        </w:rPr>
        <w:t>EU/1/13/821/023</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EU/1/13/821/024</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EU/1/13/821/025</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EU/1/13/821/026</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EU/1/13/821/027</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EU/1/13/821/028</w:t>
      </w:r>
    </w:p>
    <w:p w:rsidR="00DD6D65" w:rsidRPr="00DE1967" w:rsidRDefault="00DD6D65" w:rsidP="0003742E">
      <w:pPr>
        <w:widowControl w:val="0"/>
        <w:tabs>
          <w:tab w:val="clear" w:pos="567"/>
        </w:tabs>
        <w:spacing w:line="240" w:lineRule="auto"/>
        <w:rPr>
          <w:rFonts w:eastAsia="Calibri"/>
          <w:snapToGrid/>
          <w:szCs w:val="22"/>
          <w:lang w:val="de-DE"/>
        </w:rPr>
      </w:pPr>
      <w:r w:rsidRPr="00DE1967">
        <w:rPr>
          <w:rFonts w:eastAsia="Calibri"/>
          <w:snapToGrid/>
          <w:szCs w:val="22"/>
          <w:lang w:val="de-DE"/>
        </w:rPr>
        <w:t>EU/1/13/821/029</w:t>
      </w:r>
    </w:p>
    <w:p w:rsidR="00DD6D65" w:rsidRPr="00DE1967" w:rsidRDefault="00DD6D65" w:rsidP="0003742E">
      <w:pPr>
        <w:widowControl w:val="0"/>
        <w:tabs>
          <w:tab w:val="clear" w:pos="567"/>
        </w:tabs>
        <w:spacing w:line="240" w:lineRule="auto"/>
        <w:rPr>
          <w:rFonts w:eastAsia="Calibri"/>
          <w:snapToGrid/>
          <w:szCs w:val="22"/>
          <w:lang w:val="de-DE"/>
        </w:rPr>
      </w:pPr>
      <w:r w:rsidRPr="00DE1967">
        <w:rPr>
          <w:rFonts w:eastAsia="Calibri"/>
          <w:snapToGrid/>
          <w:szCs w:val="22"/>
          <w:lang w:val="de-DE"/>
        </w:rPr>
        <w:t>EU/1/13/821/030</w:t>
      </w:r>
    </w:p>
    <w:p w:rsidR="0003742E" w:rsidRPr="00DE1967" w:rsidRDefault="0003742E" w:rsidP="0003742E">
      <w:pPr>
        <w:widowControl w:val="0"/>
        <w:tabs>
          <w:tab w:val="clear" w:pos="567"/>
        </w:tabs>
        <w:spacing w:line="240" w:lineRule="auto"/>
        <w:rPr>
          <w:rFonts w:eastAsia="Calibri"/>
          <w:snapToGrid/>
          <w:szCs w:val="22"/>
          <w:lang w:val="de-DE"/>
        </w:rPr>
      </w:pPr>
      <w:r w:rsidRPr="00DE1967">
        <w:rPr>
          <w:rFonts w:eastAsia="Calibri"/>
          <w:snapToGrid/>
          <w:szCs w:val="22"/>
          <w:lang w:val="de-DE"/>
        </w:rPr>
        <w:t>EU/1/13/821/033</w:t>
      </w:r>
    </w:p>
    <w:p w:rsidR="00A34C33" w:rsidRPr="00DE1967" w:rsidRDefault="00A34C33" w:rsidP="0003742E">
      <w:pPr>
        <w:widowControl w:val="0"/>
        <w:spacing w:line="240" w:lineRule="auto"/>
        <w:rPr>
          <w:szCs w:val="22"/>
          <w:lang w:val="de-DE"/>
        </w:rPr>
      </w:pPr>
    </w:p>
    <w:p w:rsidR="00A34C33" w:rsidRPr="00DE1967" w:rsidRDefault="00A34C33" w:rsidP="0003742E">
      <w:pPr>
        <w:widowControl w:val="0"/>
        <w:spacing w:line="240" w:lineRule="auto"/>
        <w:rPr>
          <w:szCs w:val="22"/>
          <w:lang w:val="de-DE"/>
        </w:rPr>
      </w:pPr>
    </w:p>
    <w:p w:rsidR="00A34C33" w:rsidRPr="00DE1967" w:rsidRDefault="00A34C33" w:rsidP="0003742E">
      <w:pPr>
        <w:widowControl w:val="0"/>
        <w:spacing w:line="240" w:lineRule="auto"/>
        <w:ind w:left="567" w:hanging="567"/>
        <w:rPr>
          <w:szCs w:val="22"/>
          <w:lang w:val="de-DE"/>
        </w:rPr>
      </w:pPr>
      <w:r w:rsidRPr="00DE1967">
        <w:rPr>
          <w:b/>
          <w:szCs w:val="22"/>
          <w:lang w:val="de-DE"/>
        </w:rPr>
        <w:t>9.</w:t>
      </w:r>
      <w:r w:rsidRPr="00DE1967">
        <w:rPr>
          <w:b/>
          <w:szCs w:val="22"/>
          <w:lang w:val="de-DE"/>
        </w:rPr>
        <w:tab/>
      </w:r>
      <w:r w:rsidRPr="00DE1967">
        <w:rPr>
          <w:b/>
          <w:noProof/>
          <w:szCs w:val="22"/>
          <w:lang w:val="de-DE"/>
        </w:rPr>
        <w:t>DATUM DER ERTEILUNG DER ZULASSUNG/VERLÄNGERUNG DER ZULASSUNG</w:t>
      </w:r>
    </w:p>
    <w:p w:rsidR="00A34C33" w:rsidRPr="00DE1967" w:rsidRDefault="00A34C33" w:rsidP="0003742E">
      <w:pPr>
        <w:widowControl w:val="0"/>
        <w:spacing w:line="240" w:lineRule="auto"/>
        <w:rPr>
          <w:i/>
          <w:szCs w:val="22"/>
          <w:lang w:val="de-DE"/>
        </w:rPr>
      </w:pPr>
    </w:p>
    <w:p w:rsidR="00371F9F" w:rsidRPr="00DE1967" w:rsidRDefault="00371F9F" w:rsidP="0003742E">
      <w:pPr>
        <w:widowControl w:val="0"/>
        <w:spacing w:line="240" w:lineRule="auto"/>
        <w:rPr>
          <w:noProof/>
          <w:szCs w:val="22"/>
          <w:lang w:val="de-DE"/>
        </w:rPr>
      </w:pPr>
      <w:r w:rsidRPr="00DE1967">
        <w:rPr>
          <w:noProof/>
          <w:szCs w:val="22"/>
          <w:lang w:val="de-DE"/>
        </w:rPr>
        <w:t>Datum der Erteilung der Zulassung: 13. </w:t>
      </w:r>
      <w:r w:rsidRPr="00DE1967">
        <w:rPr>
          <w:rStyle w:val="hps"/>
          <w:color w:val="333333"/>
          <w:szCs w:val="22"/>
          <w:lang w:val="de-DE"/>
        </w:rPr>
        <w:t>März</w:t>
      </w:r>
      <w:r w:rsidRPr="00DE1967">
        <w:rPr>
          <w:noProof/>
          <w:szCs w:val="22"/>
          <w:lang w:val="de-DE"/>
        </w:rPr>
        <w:t xml:space="preserve"> 2013</w:t>
      </w:r>
    </w:p>
    <w:p w:rsidR="00A34C33" w:rsidRPr="00DE1967" w:rsidRDefault="008319DC" w:rsidP="0003742E">
      <w:pPr>
        <w:widowControl w:val="0"/>
        <w:spacing w:line="240" w:lineRule="auto"/>
        <w:rPr>
          <w:lang w:val="de-DE"/>
        </w:rPr>
      </w:pPr>
      <w:r w:rsidRPr="00DE1967">
        <w:rPr>
          <w:lang w:val="de-DE"/>
        </w:rPr>
        <w:t>Datum der letzten Verlängerung der Zulassung:</w:t>
      </w:r>
      <w:r w:rsidR="00F710EE" w:rsidRPr="00DE1967">
        <w:rPr>
          <w:lang w:val="de-DE"/>
        </w:rPr>
        <w:t xml:space="preserve"> 08. Januar 2018</w:t>
      </w:r>
    </w:p>
    <w:p w:rsidR="008319DC" w:rsidRPr="00DE1967" w:rsidRDefault="008319DC" w:rsidP="0003742E">
      <w:pPr>
        <w:widowControl w:val="0"/>
        <w:spacing w:line="240" w:lineRule="auto"/>
        <w:rPr>
          <w:i/>
          <w:szCs w:val="22"/>
          <w:lang w:val="de-DE"/>
        </w:rPr>
      </w:pPr>
    </w:p>
    <w:p w:rsidR="00A34C33" w:rsidRPr="00DE1967" w:rsidRDefault="00A34C33" w:rsidP="0003742E">
      <w:pPr>
        <w:widowControl w:val="0"/>
        <w:spacing w:line="240" w:lineRule="auto"/>
        <w:rPr>
          <w:szCs w:val="22"/>
          <w:lang w:val="de-DE"/>
        </w:rPr>
      </w:pPr>
    </w:p>
    <w:p w:rsidR="00A34C33" w:rsidRPr="00DE1967" w:rsidRDefault="00A34C33" w:rsidP="0003742E">
      <w:pPr>
        <w:widowControl w:val="0"/>
        <w:spacing w:line="240" w:lineRule="auto"/>
        <w:ind w:left="567" w:hanging="567"/>
        <w:rPr>
          <w:b/>
          <w:szCs w:val="22"/>
          <w:lang w:val="de-DE"/>
        </w:rPr>
      </w:pPr>
      <w:r w:rsidRPr="00DE1967">
        <w:rPr>
          <w:b/>
          <w:szCs w:val="22"/>
          <w:lang w:val="de-DE"/>
        </w:rPr>
        <w:t>10.</w:t>
      </w:r>
      <w:r w:rsidRPr="00DE1967">
        <w:rPr>
          <w:b/>
          <w:szCs w:val="22"/>
          <w:lang w:val="de-DE"/>
        </w:rPr>
        <w:tab/>
      </w:r>
      <w:r w:rsidRPr="00DE1967">
        <w:rPr>
          <w:b/>
          <w:noProof/>
          <w:szCs w:val="22"/>
          <w:lang w:val="de-DE"/>
        </w:rPr>
        <w:t>STAND DER INFORMATION</w:t>
      </w:r>
    </w:p>
    <w:p w:rsidR="00306D41" w:rsidRPr="00DE1967" w:rsidRDefault="00306D41" w:rsidP="0003742E">
      <w:pPr>
        <w:widowControl w:val="0"/>
        <w:spacing w:line="240" w:lineRule="auto"/>
        <w:rPr>
          <w:noProof/>
          <w:szCs w:val="22"/>
          <w:lang w:val="de-DE"/>
        </w:rPr>
      </w:pPr>
    </w:p>
    <w:p w:rsidR="0003742E" w:rsidRPr="00DE1967" w:rsidRDefault="0003742E" w:rsidP="0003742E">
      <w:pPr>
        <w:widowControl w:val="0"/>
        <w:spacing w:line="240" w:lineRule="auto"/>
        <w:rPr>
          <w:noProof/>
          <w:szCs w:val="22"/>
          <w:lang w:val="de-DE"/>
        </w:rPr>
      </w:pPr>
    </w:p>
    <w:p w:rsidR="00A34C33" w:rsidRPr="00DE1967" w:rsidRDefault="00A34C33" w:rsidP="0003742E">
      <w:pPr>
        <w:widowControl w:val="0"/>
        <w:numPr>
          <w:ilvl w:val="12"/>
          <w:numId w:val="0"/>
        </w:numPr>
        <w:spacing w:line="240" w:lineRule="auto"/>
        <w:ind w:right="-2"/>
        <w:rPr>
          <w:i/>
          <w:szCs w:val="22"/>
          <w:lang w:val="de-DE"/>
        </w:rPr>
      </w:pPr>
    </w:p>
    <w:p w:rsidR="00A34C33" w:rsidRPr="00DE1967" w:rsidRDefault="00A34C33" w:rsidP="0003742E">
      <w:pPr>
        <w:widowControl w:val="0"/>
        <w:numPr>
          <w:ilvl w:val="12"/>
          <w:numId w:val="0"/>
        </w:numPr>
        <w:spacing w:line="240" w:lineRule="auto"/>
        <w:ind w:right="-2"/>
        <w:rPr>
          <w:noProof/>
          <w:szCs w:val="22"/>
          <w:lang w:val="de-DE"/>
        </w:rPr>
      </w:pPr>
      <w:r w:rsidRPr="00DE1967">
        <w:rPr>
          <w:noProof/>
          <w:szCs w:val="22"/>
          <w:lang w:val="de-DE"/>
        </w:rPr>
        <w:t xml:space="preserve">Ausführliche Informationen zu diesem Arzneimittel sind auf den Internetseiten der Europäischen Arzneimittel-Agentur </w:t>
      </w:r>
      <w:hyperlink r:id="rId14" w:history="1">
        <w:r w:rsidRPr="00DE1967">
          <w:rPr>
            <w:rStyle w:val="Hyperlink"/>
            <w:noProof/>
            <w:szCs w:val="22"/>
            <w:lang w:val="de-DE"/>
          </w:rPr>
          <w:t>http://www.ema.europa.eu</w:t>
        </w:r>
      </w:hyperlink>
      <w:r w:rsidRPr="00DE1967">
        <w:rPr>
          <w:noProof/>
          <w:szCs w:val="22"/>
          <w:lang w:val="de-DE"/>
        </w:rPr>
        <w:t>/ verfügbar.</w:t>
      </w:r>
    </w:p>
    <w:p w:rsidR="00637E20" w:rsidRPr="00DE1967" w:rsidRDefault="00A34C33" w:rsidP="0003742E">
      <w:pPr>
        <w:widowControl w:val="0"/>
        <w:numPr>
          <w:ilvl w:val="12"/>
          <w:numId w:val="0"/>
        </w:numPr>
        <w:spacing w:line="240" w:lineRule="auto"/>
        <w:ind w:right="-2"/>
        <w:rPr>
          <w:szCs w:val="22"/>
          <w:lang w:val="de-DE"/>
        </w:rPr>
      </w:pPr>
      <w:r w:rsidRPr="00DE1967">
        <w:rPr>
          <w:noProof/>
          <w:szCs w:val="22"/>
          <w:lang w:val="de-DE"/>
        </w:rPr>
        <w:br w:type="page"/>
      </w: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544F89" w:rsidRPr="00DE1967" w:rsidRDefault="00544F89" w:rsidP="0003742E">
      <w:pPr>
        <w:widowControl w:val="0"/>
        <w:spacing w:line="240" w:lineRule="auto"/>
        <w:jc w:val="center"/>
        <w:rPr>
          <w:szCs w:val="22"/>
          <w:lang w:val="de-DE"/>
        </w:rPr>
      </w:pPr>
    </w:p>
    <w:p w:rsidR="00306D41" w:rsidRPr="00DE1967" w:rsidRDefault="00306D41" w:rsidP="0003742E">
      <w:pPr>
        <w:widowControl w:val="0"/>
        <w:spacing w:line="240" w:lineRule="auto"/>
        <w:jc w:val="center"/>
        <w:rPr>
          <w:szCs w:val="22"/>
          <w:lang w:val="de-DE"/>
        </w:rPr>
      </w:pPr>
      <w:r w:rsidRPr="00DE1967">
        <w:rPr>
          <w:b/>
          <w:noProof/>
          <w:szCs w:val="22"/>
          <w:lang w:val="de-DE"/>
        </w:rPr>
        <w:t>ANHANG II</w:t>
      </w:r>
    </w:p>
    <w:p w:rsidR="00306D41" w:rsidRPr="00DE1967" w:rsidRDefault="00306D41" w:rsidP="0003742E">
      <w:pPr>
        <w:widowControl w:val="0"/>
        <w:spacing w:line="240" w:lineRule="auto"/>
        <w:ind w:left="1701" w:right="1416" w:hanging="567"/>
        <w:rPr>
          <w:szCs w:val="22"/>
          <w:lang w:val="de-DE"/>
        </w:rPr>
      </w:pPr>
    </w:p>
    <w:p w:rsidR="00306D41" w:rsidRPr="00DE1967" w:rsidRDefault="00306D41" w:rsidP="0003742E">
      <w:pPr>
        <w:widowControl w:val="0"/>
        <w:spacing w:line="240" w:lineRule="auto"/>
        <w:ind w:left="1701" w:right="708" w:hanging="567"/>
        <w:rPr>
          <w:szCs w:val="22"/>
          <w:lang w:val="de-DE"/>
        </w:rPr>
      </w:pPr>
      <w:r w:rsidRPr="00DE1967">
        <w:rPr>
          <w:b/>
          <w:noProof/>
          <w:szCs w:val="22"/>
          <w:lang w:val="de-DE"/>
        </w:rPr>
        <w:t>A.</w:t>
      </w:r>
      <w:r w:rsidRPr="00DE1967">
        <w:rPr>
          <w:b/>
          <w:szCs w:val="22"/>
          <w:lang w:val="de-DE"/>
        </w:rPr>
        <w:tab/>
      </w:r>
      <w:r w:rsidRPr="00DE1967">
        <w:rPr>
          <w:b/>
          <w:noProof/>
          <w:szCs w:val="22"/>
          <w:lang w:val="de-DE"/>
        </w:rPr>
        <w:t>HERSTELLER, DER (DIE) FÜR DIE CHARGENFREIGABE VERANTWORTLICH IST (SIND)</w:t>
      </w:r>
    </w:p>
    <w:p w:rsidR="00306D41" w:rsidRPr="00DE1967" w:rsidRDefault="00306D41" w:rsidP="0003742E">
      <w:pPr>
        <w:widowControl w:val="0"/>
        <w:spacing w:line="240" w:lineRule="auto"/>
        <w:ind w:left="1701" w:right="708" w:hanging="567"/>
        <w:rPr>
          <w:szCs w:val="22"/>
          <w:lang w:val="de-DE"/>
        </w:rPr>
      </w:pPr>
    </w:p>
    <w:p w:rsidR="00306D41" w:rsidRPr="00DE1967" w:rsidRDefault="00306D41" w:rsidP="0003742E">
      <w:pPr>
        <w:widowControl w:val="0"/>
        <w:spacing w:line="240" w:lineRule="auto"/>
        <w:ind w:left="1701" w:right="708" w:hanging="567"/>
        <w:rPr>
          <w:szCs w:val="22"/>
          <w:lang w:val="de-DE"/>
        </w:rPr>
      </w:pPr>
      <w:r w:rsidRPr="00DE1967">
        <w:rPr>
          <w:b/>
          <w:noProof/>
          <w:szCs w:val="22"/>
          <w:lang w:val="de-DE"/>
        </w:rPr>
        <w:t>B.</w:t>
      </w:r>
      <w:r w:rsidRPr="00DE1967">
        <w:rPr>
          <w:b/>
          <w:szCs w:val="22"/>
          <w:lang w:val="de-DE"/>
        </w:rPr>
        <w:tab/>
      </w:r>
      <w:r w:rsidRPr="00DE1967">
        <w:rPr>
          <w:b/>
          <w:noProof/>
          <w:szCs w:val="22"/>
          <w:lang w:val="de-DE"/>
        </w:rPr>
        <w:t>BEDINGUNGEN ODER EINSCHRÄNKUNGEN FÜR DIE ABGABE UND DEN GEBRAUCH</w:t>
      </w:r>
    </w:p>
    <w:p w:rsidR="00306D41" w:rsidRPr="00DE1967" w:rsidRDefault="00306D41" w:rsidP="0003742E">
      <w:pPr>
        <w:widowControl w:val="0"/>
        <w:spacing w:line="240" w:lineRule="auto"/>
        <w:ind w:left="1701" w:right="708" w:hanging="567"/>
        <w:rPr>
          <w:szCs w:val="22"/>
          <w:lang w:val="de-DE"/>
        </w:rPr>
      </w:pPr>
    </w:p>
    <w:p w:rsidR="00306D41" w:rsidRPr="00DE1967" w:rsidRDefault="00306D41" w:rsidP="0003742E">
      <w:pPr>
        <w:widowControl w:val="0"/>
        <w:tabs>
          <w:tab w:val="left" w:pos="-720"/>
        </w:tabs>
        <w:spacing w:line="240" w:lineRule="auto"/>
        <w:ind w:left="1701" w:right="708" w:hanging="567"/>
        <w:rPr>
          <w:b/>
          <w:szCs w:val="22"/>
          <w:lang w:val="de-DE"/>
        </w:rPr>
      </w:pPr>
      <w:r w:rsidRPr="00DE1967">
        <w:rPr>
          <w:b/>
          <w:noProof/>
          <w:szCs w:val="22"/>
          <w:lang w:val="de-DE"/>
        </w:rPr>
        <w:t>C.</w:t>
      </w:r>
      <w:r w:rsidRPr="00DE1967">
        <w:rPr>
          <w:b/>
          <w:szCs w:val="22"/>
          <w:lang w:val="de-DE"/>
        </w:rPr>
        <w:tab/>
      </w:r>
      <w:r w:rsidRPr="00DE1967">
        <w:rPr>
          <w:b/>
          <w:noProof/>
          <w:szCs w:val="22"/>
          <w:lang w:val="de-DE"/>
        </w:rPr>
        <w:t>SONSTIGE BEDINGUNGEN UND AUFLAGEN DER GENEHMIGUNG FÜR DAS INVERKEHRBRINGEN</w:t>
      </w:r>
    </w:p>
    <w:p w:rsidR="00306D41" w:rsidRPr="00DE1967" w:rsidRDefault="00306D41" w:rsidP="0003742E">
      <w:pPr>
        <w:widowControl w:val="0"/>
        <w:tabs>
          <w:tab w:val="left" w:pos="-720"/>
        </w:tabs>
        <w:spacing w:line="240" w:lineRule="auto"/>
        <w:ind w:left="1701" w:right="708" w:hanging="567"/>
        <w:rPr>
          <w:b/>
          <w:szCs w:val="22"/>
          <w:lang w:val="de-DE"/>
        </w:rPr>
      </w:pPr>
    </w:p>
    <w:p w:rsidR="00306D41" w:rsidRPr="00DE1967" w:rsidRDefault="00306D41" w:rsidP="0003742E">
      <w:pPr>
        <w:widowControl w:val="0"/>
        <w:tabs>
          <w:tab w:val="left" w:pos="-720"/>
        </w:tabs>
        <w:spacing w:line="240" w:lineRule="auto"/>
        <w:ind w:left="1701" w:right="708" w:hanging="567"/>
        <w:rPr>
          <w:b/>
          <w:szCs w:val="22"/>
          <w:lang w:val="de-DE"/>
        </w:rPr>
      </w:pPr>
      <w:r w:rsidRPr="00DE1967">
        <w:rPr>
          <w:b/>
          <w:noProof/>
          <w:szCs w:val="22"/>
          <w:lang w:val="de-DE"/>
        </w:rPr>
        <w:t>D.</w:t>
      </w:r>
      <w:r w:rsidRPr="00DE1967">
        <w:rPr>
          <w:b/>
          <w:szCs w:val="22"/>
          <w:lang w:val="de-DE"/>
        </w:rPr>
        <w:tab/>
      </w:r>
      <w:r w:rsidRPr="00DE1967">
        <w:rPr>
          <w:b/>
          <w:noProof/>
          <w:szCs w:val="22"/>
          <w:lang w:val="de-DE"/>
        </w:rPr>
        <w:t>BEDINGUNGEN ODER EINSCHRÄNKUNGEN FÜR DIE SICHERE UND WIRKSAME ANWENDUNG DES ARZNEIMITTELS</w:t>
      </w:r>
    </w:p>
    <w:p w:rsidR="002B3F92" w:rsidRPr="00DE1967" w:rsidRDefault="002B3F92" w:rsidP="0003742E">
      <w:pPr>
        <w:pStyle w:val="TitleB"/>
        <w:widowControl w:val="0"/>
        <w:suppressLineNumbers w:val="0"/>
      </w:pPr>
      <w:r w:rsidRPr="00DE1967">
        <w:br w:type="page"/>
        <w:t>A.</w:t>
      </w:r>
      <w:r w:rsidRPr="00DE1967">
        <w:tab/>
      </w:r>
      <w:r w:rsidR="00306D41" w:rsidRPr="00DE1967">
        <w:t>HERSTELLER, DER (DIE) FÜR DIE CHARGENFREIGABE VERANTWORTLICH IST (SIND)</w:t>
      </w:r>
    </w:p>
    <w:p w:rsidR="002B3F92" w:rsidRPr="00DE1967" w:rsidRDefault="002B3F92" w:rsidP="0003742E">
      <w:pPr>
        <w:widowControl w:val="0"/>
        <w:spacing w:line="240" w:lineRule="auto"/>
        <w:ind w:right="1416"/>
        <w:rPr>
          <w:szCs w:val="22"/>
          <w:lang w:val="de-DE"/>
        </w:rPr>
      </w:pPr>
    </w:p>
    <w:p w:rsidR="00306D41" w:rsidRPr="00DE1967" w:rsidRDefault="00306D41" w:rsidP="0003742E">
      <w:pPr>
        <w:widowControl w:val="0"/>
        <w:spacing w:line="240" w:lineRule="auto"/>
        <w:outlineLvl w:val="0"/>
        <w:rPr>
          <w:noProof/>
          <w:szCs w:val="22"/>
          <w:u w:val="single"/>
          <w:lang w:val="de-DE"/>
        </w:rPr>
      </w:pPr>
      <w:r w:rsidRPr="00DE1967">
        <w:rPr>
          <w:noProof/>
          <w:szCs w:val="22"/>
          <w:u w:val="single"/>
          <w:lang w:val="de-DE"/>
        </w:rPr>
        <w:t>Name und Anschrift des (der) Hersteller(s(, die für die Chargenfreigabe verantwortlich ist (sind)</w:t>
      </w:r>
    </w:p>
    <w:p w:rsidR="00647DB0" w:rsidRPr="00DE1967" w:rsidRDefault="00647DB0" w:rsidP="0003742E">
      <w:pPr>
        <w:widowControl w:val="0"/>
        <w:spacing w:line="240" w:lineRule="auto"/>
        <w:outlineLvl w:val="0"/>
        <w:rPr>
          <w:szCs w:val="22"/>
          <w:lang w:val="de-DE"/>
        </w:rPr>
      </w:pPr>
    </w:p>
    <w:p w:rsidR="002B3F92" w:rsidRPr="00DE1967" w:rsidRDefault="006621D3" w:rsidP="0003742E">
      <w:pPr>
        <w:widowControl w:val="0"/>
        <w:spacing w:line="240" w:lineRule="auto"/>
        <w:rPr>
          <w:rFonts w:eastAsia="SimSun"/>
          <w:szCs w:val="22"/>
          <w:lang w:val="sv-SE"/>
        </w:rPr>
      </w:pPr>
      <w:r w:rsidRPr="00DE1967">
        <w:rPr>
          <w:rFonts w:eastAsia="SimSun"/>
          <w:szCs w:val="22"/>
          <w:lang w:val="sv-SE"/>
        </w:rPr>
        <w:t>KRKA</w:t>
      </w:r>
      <w:r w:rsidR="000A588D" w:rsidRPr="00DE1967">
        <w:rPr>
          <w:rFonts w:eastAsia="SimSun"/>
          <w:szCs w:val="22"/>
          <w:lang w:val="sv-SE"/>
        </w:rPr>
        <w:t>-</w:t>
      </w:r>
      <w:r w:rsidR="00647DB0" w:rsidRPr="00DE1967">
        <w:rPr>
          <w:rFonts w:eastAsia="SimSun"/>
          <w:szCs w:val="22"/>
          <w:lang w:val="sv-SE"/>
        </w:rPr>
        <w:t>P</w:t>
      </w:r>
      <w:r w:rsidR="000A588D" w:rsidRPr="00DE1967">
        <w:rPr>
          <w:rFonts w:eastAsia="SimSun"/>
          <w:szCs w:val="22"/>
          <w:lang w:val="sv-SE"/>
        </w:rPr>
        <w:t>OLSKA</w:t>
      </w:r>
      <w:r w:rsidR="002B3F92" w:rsidRPr="00DE1967">
        <w:rPr>
          <w:rFonts w:eastAsia="SimSun"/>
          <w:szCs w:val="22"/>
          <w:lang w:val="sv-SE"/>
        </w:rPr>
        <w:t xml:space="preserve"> Sp.z</w:t>
      </w:r>
      <w:r w:rsidR="00647DB0" w:rsidRPr="00DE1967">
        <w:rPr>
          <w:rFonts w:eastAsia="SimSun"/>
          <w:szCs w:val="22"/>
          <w:lang w:val="sv-SE"/>
        </w:rPr>
        <w:t>.</w:t>
      </w:r>
      <w:r w:rsidR="002B3F92" w:rsidRPr="00DE1967">
        <w:rPr>
          <w:rFonts w:eastAsia="SimSun"/>
          <w:szCs w:val="22"/>
          <w:lang w:val="sv-SE"/>
        </w:rPr>
        <w:t xml:space="preserve"> o.o.</w:t>
      </w:r>
    </w:p>
    <w:p w:rsidR="002B3F92" w:rsidRPr="00DE1967" w:rsidRDefault="002B3F92" w:rsidP="0003742E">
      <w:pPr>
        <w:widowControl w:val="0"/>
        <w:spacing w:line="240" w:lineRule="auto"/>
        <w:rPr>
          <w:rFonts w:eastAsia="SimSun"/>
          <w:szCs w:val="22"/>
          <w:lang w:val="sv-SE"/>
        </w:rPr>
      </w:pPr>
      <w:r w:rsidRPr="00DE1967">
        <w:rPr>
          <w:rFonts w:eastAsia="SimSun"/>
          <w:szCs w:val="22"/>
          <w:lang w:val="sv-SE"/>
        </w:rPr>
        <w:t>ul. Równoleg</w:t>
      </w:r>
      <w:r w:rsidR="000E3F48" w:rsidRPr="00DE1967">
        <w:rPr>
          <w:szCs w:val="22"/>
          <w:lang w:val="sv-SE" w:eastAsia="cs-CZ"/>
        </w:rPr>
        <w:t>ł</w:t>
      </w:r>
      <w:r w:rsidRPr="00DE1967">
        <w:rPr>
          <w:rFonts w:eastAsia="SimSun"/>
          <w:szCs w:val="22"/>
          <w:lang w:val="sv-SE"/>
        </w:rPr>
        <w:t>a 5</w:t>
      </w:r>
    </w:p>
    <w:p w:rsidR="002B3F92" w:rsidRPr="00DE1967" w:rsidRDefault="00D924BD" w:rsidP="0003742E">
      <w:pPr>
        <w:widowControl w:val="0"/>
        <w:spacing w:line="240" w:lineRule="auto"/>
        <w:rPr>
          <w:rFonts w:eastAsia="SimSun"/>
          <w:szCs w:val="22"/>
          <w:lang w:val="sv-SE"/>
        </w:rPr>
      </w:pPr>
      <w:r w:rsidRPr="00DE1967">
        <w:rPr>
          <w:rFonts w:eastAsia="SimSun"/>
          <w:szCs w:val="22"/>
          <w:lang w:val="sv-SE"/>
        </w:rPr>
        <w:t xml:space="preserve">02-235 </w:t>
      </w:r>
      <w:r w:rsidR="002B3F92" w:rsidRPr="00DE1967">
        <w:rPr>
          <w:rFonts w:eastAsia="SimSun"/>
          <w:szCs w:val="22"/>
          <w:lang w:val="sv-SE"/>
        </w:rPr>
        <w:t>Warszawa</w:t>
      </w:r>
    </w:p>
    <w:p w:rsidR="002B3F92" w:rsidRPr="00DE1967" w:rsidRDefault="002B3F92" w:rsidP="0003742E">
      <w:pPr>
        <w:widowControl w:val="0"/>
        <w:overflowPunct w:val="0"/>
        <w:autoSpaceDE w:val="0"/>
        <w:autoSpaceDN w:val="0"/>
        <w:adjustRightInd w:val="0"/>
        <w:spacing w:line="240" w:lineRule="auto"/>
        <w:textAlignment w:val="baseline"/>
        <w:rPr>
          <w:szCs w:val="22"/>
          <w:lang w:val="sv-SE" w:eastAsia="cs-CZ"/>
        </w:rPr>
      </w:pPr>
      <w:r w:rsidRPr="00DE1967">
        <w:rPr>
          <w:szCs w:val="22"/>
          <w:lang w:val="sv-SE" w:eastAsia="cs-CZ"/>
        </w:rPr>
        <w:t>Polen</w:t>
      </w:r>
    </w:p>
    <w:p w:rsidR="002B3F92" w:rsidRPr="00DE1967" w:rsidRDefault="002B3F92" w:rsidP="0003742E">
      <w:pPr>
        <w:widowControl w:val="0"/>
        <w:spacing w:line="240" w:lineRule="auto"/>
        <w:rPr>
          <w:szCs w:val="22"/>
          <w:lang w:val="sv-SE"/>
        </w:rPr>
      </w:pPr>
    </w:p>
    <w:p w:rsidR="002B3F92" w:rsidRPr="00DE1967" w:rsidRDefault="00D924BD" w:rsidP="0003742E">
      <w:pPr>
        <w:widowControl w:val="0"/>
        <w:spacing w:line="240" w:lineRule="auto"/>
        <w:rPr>
          <w:szCs w:val="22"/>
          <w:lang w:val="sv-SE"/>
        </w:rPr>
      </w:pPr>
      <w:r w:rsidRPr="00DE1967">
        <w:rPr>
          <w:szCs w:val="22"/>
          <w:lang w:val="sv-SE"/>
        </w:rPr>
        <w:t>KRKA</w:t>
      </w:r>
      <w:r w:rsidR="000E3F48" w:rsidRPr="00DE1967">
        <w:rPr>
          <w:szCs w:val="22"/>
          <w:lang w:val="sv-SE"/>
        </w:rPr>
        <w:t>,</w:t>
      </w:r>
      <w:r w:rsidR="00647DB0" w:rsidRPr="00DE1967">
        <w:rPr>
          <w:szCs w:val="22"/>
          <w:lang w:val="sv-SE"/>
        </w:rPr>
        <w:t xml:space="preserve"> d.d.</w:t>
      </w:r>
      <w:r w:rsidR="000E3F48" w:rsidRPr="00DE1967">
        <w:rPr>
          <w:szCs w:val="22"/>
          <w:lang w:val="sv-SE"/>
        </w:rPr>
        <w:t>,</w:t>
      </w:r>
      <w:r w:rsidR="00647DB0" w:rsidRPr="00DE1967">
        <w:rPr>
          <w:szCs w:val="22"/>
          <w:lang w:val="sv-SE"/>
        </w:rPr>
        <w:t xml:space="preserve"> </w:t>
      </w:r>
      <w:r w:rsidR="002B3F92" w:rsidRPr="00DE1967">
        <w:rPr>
          <w:szCs w:val="22"/>
          <w:lang w:val="sv-SE"/>
        </w:rPr>
        <w:t>Novo mesto,</w:t>
      </w:r>
    </w:p>
    <w:p w:rsidR="002B3F92" w:rsidRPr="00DE1967" w:rsidRDefault="002B3F92" w:rsidP="0003742E">
      <w:pPr>
        <w:widowControl w:val="0"/>
        <w:spacing w:line="240" w:lineRule="auto"/>
        <w:rPr>
          <w:szCs w:val="22"/>
          <w:lang w:val="sv-SE"/>
        </w:rPr>
      </w:pPr>
      <w:r w:rsidRPr="00DE1967">
        <w:rPr>
          <w:szCs w:val="22"/>
          <w:lang w:val="sv-SE"/>
        </w:rPr>
        <w:t>Šmarješka cesta 6</w:t>
      </w:r>
    </w:p>
    <w:p w:rsidR="002B3F92" w:rsidRPr="00DE1967" w:rsidRDefault="002B3F92" w:rsidP="0003742E">
      <w:pPr>
        <w:widowControl w:val="0"/>
        <w:spacing w:line="240" w:lineRule="auto"/>
        <w:rPr>
          <w:szCs w:val="22"/>
          <w:lang w:val="sv-SE"/>
        </w:rPr>
      </w:pPr>
      <w:r w:rsidRPr="00DE1967">
        <w:rPr>
          <w:szCs w:val="22"/>
          <w:lang w:val="sv-SE"/>
        </w:rPr>
        <w:t>8501 Novo mesto</w:t>
      </w:r>
    </w:p>
    <w:p w:rsidR="002B3F92" w:rsidRPr="00DE1967" w:rsidRDefault="002B3F92" w:rsidP="0003742E">
      <w:pPr>
        <w:widowControl w:val="0"/>
        <w:spacing w:line="240" w:lineRule="auto"/>
        <w:rPr>
          <w:szCs w:val="22"/>
          <w:lang w:val="sv-SE"/>
        </w:rPr>
      </w:pPr>
      <w:r w:rsidRPr="00DE1967">
        <w:rPr>
          <w:szCs w:val="22"/>
          <w:lang w:val="sv-SE"/>
        </w:rPr>
        <w:t>Slowenien</w:t>
      </w:r>
    </w:p>
    <w:p w:rsidR="002B3F92" w:rsidRPr="00DE1967" w:rsidRDefault="002B3F92" w:rsidP="0003742E">
      <w:pPr>
        <w:widowControl w:val="0"/>
        <w:spacing w:line="240" w:lineRule="auto"/>
        <w:rPr>
          <w:szCs w:val="22"/>
          <w:lang w:val="sv-SE"/>
        </w:rPr>
      </w:pPr>
    </w:p>
    <w:p w:rsidR="002B3F92" w:rsidRPr="00DE1967" w:rsidRDefault="002B3F92" w:rsidP="0003742E">
      <w:pPr>
        <w:widowControl w:val="0"/>
        <w:numPr>
          <w:ilvl w:val="12"/>
          <w:numId w:val="0"/>
        </w:numPr>
        <w:spacing w:line="240" w:lineRule="auto"/>
        <w:ind w:right="-2"/>
        <w:rPr>
          <w:szCs w:val="22"/>
          <w:lang w:val="sv-SE"/>
        </w:rPr>
      </w:pPr>
      <w:r w:rsidRPr="00DE1967">
        <w:rPr>
          <w:szCs w:val="22"/>
          <w:lang w:val="sv-SE"/>
        </w:rPr>
        <w:t>TAD Pharma GmbH</w:t>
      </w:r>
    </w:p>
    <w:p w:rsidR="002B3F92" w:rsidRPr="00DE1967" w:rsidRDefault="002B3F92" w:rsidP="0003742E">
      <w:pPr>
        <w:widowControl w:val="0"/>
        <w:numPr>
          <w:ilvl w:val="12"/>
          <w:numId w:val="0"/>
        </w:numPr>
        <w:spacing w:line="240" w:lineRule="auto"/>
        <w:ind w:right="-2"/>
        <w:rPr>
          <w:szCs w:val="22"/>
          <w:lang w:val="sv-SE"/>
        </w:rPr>
      </w:pPr>
      <w:r w:rsidRPr="00DE1967">
        <w:rPr>
          <w:szCs w:val="22"/>
          <w:lang w:val="sv-SE"/>
        </w:rPr>
        <w:t>Heinz-Lohmann-Stra</w:t>
      </w:r>
      <w:r w:rsidR="00F10DB1" w:rsidRPr="00DE1967">
        <w:rPr>
          <w:szCs w:val="22"/>
          <w:lang w:val="sv-SE"/>
        </w:rPr>
        <w:t>ß</w:t>
      </w:r>
      <w:r w:rsidRPr="00DE1967">
        <w:rPr>
          <w:szCs w:val="22"/>
          <w:lang w:val="sv-SE"/>
        </w:rPr>
        <w:t>e 5</w:t>
      </w:r>
    </w:p>
    <w:p w:rsidR="002B3F92" w:rsidRPr="00DE1967" w:rsidRDefault="002B3F92" w:rsidP="0003742E">
      <w:pPr>
        <w:widowControl w:val="0"/>
        <w:numPr>
          <w:ilvl w:val="12"/>
          <w:numId w:val="0"/>
        </w:numPr>
        <w:spacing w:line="240" w:lineRule="auto"/>
        <w:ind w:right="-2"/>
        <w:rPr>
          <w:szCs w:val="22"/>
          <w:lang w:val="de-DE"/>
        </w:rPr>
      </w:pPr>
      <w:r w:rsidRPr="00DE1967">
        <w:rPr>
          <w:szCs w:val="22"/>
          <w:lang w:val="de-DE"/>
        </w:rPr>
        <w:t>27472 Cuxhaven</w:t>
      </w:r>
    </w:p>
    <w:p w:rsidR="002B3F92" w:rsidRPr="00DE1967" w:rsidRDefault="002B3F92" w:rsidP="0003742E">
      <w:pPr>
        <w:widowControl w:val="0"/>
        <w:spacing w:line="240" w:lineRule="auto"/>
        <w:rPr>
          <w:szCs w:val="22"/>
          <w:lang w:val="de-DE"/>
        </w:rPr>
      </w:pPr>
      <w:r w:rsidRPr="00DE1967">
        <w:rPr>
          <w:szCs w:val="22"/>
          <w:lang w:val="de-DE"/>
        </w:rPr>
        <w:t>Deutschland</w:t>
      </w:r>
    </w:p>
    <w:p w:rsidR="00E8517F" w:rsidRPr="00DE1967" w:rsidRDefault="00E8517F" w:rsidP="0003742E">
      <w:pPr>
        <w:widowControl w:val="0"/>
        <w:spacing w:line="240" w:lineRule="auto"/>
        <w:rPr>
          <w:noProof/>
          <w:szCs w:val="22"/>
          <w:lang w:val="de-DE"/>
        </w:rPr>
      </w:pPr>
    </w:p>
    <w:p w:rsidR="002B3F92" w:rsidRPr="00DE1967" w:rsidRDefault="002B3F92" w:rsidP="0003742E">
      <w:pPr>
        <w:widowControl w:val="0"/>
        <w:spacing w:line="240" w:lineRule="auto"/>
        <w:rPr>
          <w:szCs w:val="22"/>
          <w:lang w:val="de-DE"/>
        </w:rPr>
      </w:pPr>
      <w:r w:rsidRPr="00DE1967">
        <w:rPr>
          <w:noProof/>
          <w:szCs w:val="22"/>
          <w:lang w:val="de-DE"/>
        </w:rPr>
        <w:t>In der Druckversion der Packungsbeilage des Arzneimittels müssen Name und Anschrift des Herstellers, der für die Freigabe der betreffenden Charge verantwortlich ist, angegeben werden.</w:t>
      </w:r>
    </w:p>
    <w:p w:rsidR="002B3F92" w:rsidRPr="00DE1967" w:rsidRDefault="002B3F92" w:rsidP="0003742E">
      <w:pPr>
        <w:widowControl w:val="0"/>
        <w:spacing w:line="240" w:lineRule="auto"/>
        <w:rPr>
          <w:szCs w:val="22"/>
          <w:lang w:val="de-DE"/>
        </w:rPr>
      </w:pPr>
    </w:p>
    <w:p w:rsidR="002B3F92" w:rsidRPr="00DE1967" w:rsidRDefault="002B3F92" w:rsidP="0003742E">
      <w:pPr>
        <w:widowControl w:val="0"/>
        <w:spacing w:line="240" w:lineRule="auto"/>
        <w:rPr>
          <w:szCs w:val="22"/>
          <w:lang w:val="de-DE"/>
        </w:rPr>
      </w:pPr>
    </w:p>
    <w:p w:rsidR="002B3F92" w:rsidRPr="00DE1967" w:rsidRDefault="002B3F92" w:rsidP="0003742E">
      <w:pPr>
        <w:pStyle w:val="TitleB"/>
        <w:widowControl w:val="0"/>
        <w:suppressLineNumbers w:val="0"/>
      </w:pPr>
      <w:r w:rsidRPr="00DE1967">
        <w:t>B.</w:t>
      </w:r>
      <w:r w:rsidRPr="00DE1967">
        <w:tab/>
        <w:t>BEDINGUNGEN ODER EINSCHRÄNKUNGEN FÜR DIE ABGABE UND DEN GEBRAUCH</w:t>
      </w:r>
    </w:p>
    <w:p w:rsidR="002B3F92" w:rsidRPr="00DE1967" w:rsidRDefault="002B3F92" w:rsidP="0003742E">
      <w:pPr>
        <w:widowControl w:val="0"/>
        <w:spacing w:line="240" w:lineRule="auto"/>
        <w:rPr>
          <w:szCs w:val="22"/>
          <w:lang w:val="de-DE"/>
        </w:rPr>
      </w:pPr>
    </w:p>
    <w:p w:rsidR="002B3F92" w:rsidRPr="00DE1967" w:rsidRDefault="002B3F92" w:rsidP="0003742E">
      <w:pPr>
        <w:widowControl w:val="0"/>
        <w:numPr>
          <w:ilvl w:val="12"/>
          <w:numId w:val="0"/>
        </w:numPr>
        <w:spacing w:line="240" w:lineRule="auto"/>
        <w:rPr>
          <w:szCs w:val="22"/>
          <w:lang w:val="de-DE"/>
        </w:rPr>
      </w:pPr>
      <w:r w:rsidRPr="00DE1967">
        <w:rPr>
          <w:noProof/>
          <w:szCs w:val="22"/>
          <w:lang w:val="de-DE"/>
        </w:rPr>
        <w:t>Arzneimittel, das der Verschreibungspflicht unterliegt.</w:t>
      </w:r>
    </w:p>
    <w:p w:rsidR="002B3F92" w:rsidRPr="00DE1967" w:rsidRDefault="002B3F92" w:rsidP="0003742E">
      <w:pPr>
        <w:widowControl w:val="0"/>
        <w:numPr>
          <w:ilvl w:val="12"/>
          <w:numId w:val="0"/>
        </w:numPr>
        <w:spacing w:line="240" w:lineRule="auto"/>
        <w:rPr>
          <w:noProof/>
          <w:szCs w:val="22"/>
          <w:lang w:val="de-DE"/>
        </w:rPr>
      </w:pPr>
    </w:p>
    <w:p w:rsidR="002B3F92" w:rsidRPr="00DE1967" w:rsidRDefault="002B3F92" w:rsidP="0003742E">
      <w:pPr>
        <w:widowControl w:val="0"/>
        <w:spacing w:line="240" w:lineRule="auto"/>
        <w:ind w:right="567"/>
        <w:rPr>
          <w:szCs w:val="22"/>
          <w:lang w:val="de-DE"/>
        </w:rPr>
      </w:pPr>
    </w:p>
    <w:p w:rsidR="002B3F92" w:rsidRPr="00DE1967" w:rsidRDefault="002B3F92" w:rsidP="0003742E">
      <w:pPr>
        <w:pStyle w:val="TitleB"/>
        <w:widowControl w:val="0"/>
        <w:suppressLineNumbers w:val="0"/>
      </w:pPr>
      <w:r w:rsidRPr="00DE1967">
        <w:t>C.</w:t>
      </w:r>
      <w:r w:rsidRPr="00DE1967">
        <w:tab/>
        <w:t>SONSTIGE BEDINGUNGEN UND AUFLAGEN FÜR DIE GENEHMIGUNG FÜR DAS INVERKEHRBRINGEN</w:t>
      </w:r>
    </w:p>
    <w:p w:rsidR="002B3F92" w:rsidRPr="00DE1967" w:rsidRDefault="002B3F92" w:rsidP="0003742E">
      <w:pPr>
        <w:widowControl w:val="0"/>
        <w:spacing w:line="240" w:lineRule="auto"/>
        <w:ind w:right="-1"/>
        <w:rPr>
          <w:i/>
          <w:noProof/>
          <w:szCs w:val="22"/>
          <w:u w:val="single"/>
          <w:lang w:val="de-DE"/>
        </w:rPr>
      </w:pPr>
    </w:p>
    <w:p w:rsidR="002B3F92" w:rsidRPr="00DE1967" w:rsidRDefault="002B3F92" w:rsidP="0003742E">
      <w:pPr>
        <w:widowControl w:val="0"/>
        <w:numPr>
          <w:ilvl w:val="0"/>
          <w:numId w:val="10"/>
        </w:numPr>
        <w:tabs>
          <w:tab w:val="left" w:pos="0"/>
        </w:tabs>
        <w:spacing w:line="240" w:lineRule="auto"/>
        <w:ind w:left="567" w:right="567" w:hanging="567"/>
        <w:rPr>
          <w:szCs w:val="22"/>
          <w:lang w:val="de-DE"/>
        </w:rPr>
      </w:pPr>
      <w:r w:rsidRPr="00DE1967">
        <w:rPr>
          <w:b/>
          <w:szCs w:val="22"/>
          <w:lang w:val="de-DE"/>
        </w:rPr>
        <w:t>Regelmäßig aktualisierte Unbedenklichkeitsberichte</w:t>
      </w:r>
      <w:r w:rsidR="00A1731C">
        <w:rPr>
          <w:b/>
          <w:szCs w:val="22"/>
          <w:lang w:val="de-DE"/>
        </w:rPr>
        <w:t xml:space="preserve"> [</w:t>
      </w:r>
      <w:proofErr w:type="spellStart"/>
      <w:r w:rsidR="00A1731C">
        <w:rPr>
          <w:b/>
          <w:szCs w:val="22"/>
          <w:lang w:val="de-DE"/>
        </w:rPr>
        <w:t>Periodic</w:t>
      </w:r>
      <w:proofErr w:type="spellEnd"/>
      <w:r w:rsidR="00A1731C">
        <w:rPr>
          <w:b/>
          <w:szCs w:val="22"/>
          <w:lang w:val="de-DE"/>
        </w:rPr>
        <w:t xml:space="preserve"> </w:t>
      </w:r>
      <w:proofErr w:type="spellStart"/>
      <w:r w:rsidR="00A1731C">
        <w:rPr>
          <w:b/>
          <w:szCs w:val="22"/>
          <w:lang w:val="de-DE"/>
        </w:rPr>
        <w:t>Safety</w:t>
      </w:r>
      <w:proofErr w:type="spellEnd"/>
      <w:r w:rsidR="00A1731C">
        <w:rPr>
          <w:b/>
          <w:szCs w:val="22"/>
          <w:lang w:val="de-DE"/>
        </w:rPr>
        <w:t xml:space="preserve"> Update Reports (PSURs)]</w:t>
      </w:r>
    </w:p>
    <w:p w:rsidR="002B3F92" w:rsidRPr="00DE1967" w:rsidRDefault="002B3F92" w:rsidP="0003742E">
      <w:pPr>
        <w:widowControl w:val="0"/>
        <w:tabs>
          <w:tab w:val="clear" w:pos="567"/>
          <w:tab w:val="left" w:pos="0"/>
          <w:tab w:val="left" w:pos="426"/>
        </w:tabs>
        <w:spacing w:line="240" w:lineRule="auto"/>
        <w:ind w:right="567"/>
        <w:rPr>
          <w:szCs w:val="22"/>
          <w:lang w:val="de-DE"/>
        </w:rPr>
      </w:pPr>
    </w:p>
    <w:p w:rsidR="002B3F92" w:rsidRPr="00DE1967" w:rsidRDefault="00A9660B" w:rsidP="0003742E">
      <w:pPr>
        <w:widowControl w:val="0"/>
        <w:tabs>
          <w:tab w:val="clear" w:pos="567"/>
        </w:tabs>
        <w:autoSpaceDE w:val="0"/>
        <w:autoSpaceDN w:val="0"/>
        <w:adjustRightInd w:val="0"/>
        <w:spacing w:line="240" w:lineRule="auto"/>
        <w:rPr>
          <w:szCs w:val="22"/>
          <w:lang w:val="de-DE"/>
        </w:rPr>
      </w:pPr>
      <w:r w:rsidRPr="00DE1967">
        <w:rPr>
          <w:szCs w:val="22"/>
          <w:lang w:val="de-DE"/>
        </w:rPr>
        <w:t>Die Anforderungen an die Einreichung von</w:t>
      </w:r>
      <w:r w:rsidR="000A588D" w:rsidRPr="00DE1967">
        <w:rPr>
          <w:szCs w:val="22"/>
          <w:lang w:val="de-DE"/>
        </w:rPr>
        <w:t xml:space="preserve"> </w:t>
      </w:r>
      <w:r w:rsidR="00A1731C">
        <w:rPr>
          <w:szCs w:val="22"/>
          <w:lang w:val="de-DE"/>
        </w:rPr>
        <w:t>PSURs</w:t>
      </w:r>
      <w:r w:rsidR="000A588D" w:rsidRPr="00DE1967">
        <w:rPr>
          <w:szCs w:val="22"/>
          <w:lang w:val="de-DE"/>
        </w:rPr>
        <w:t xml:space="preserve"> für dieses Arzneimittel </w:t>
      </w:r>
      <w:r w:rsidRPr="00DE1967">
        <w:rPr>
          <w:szCs w:val="22"/>
          <w:lang w:val="de-DE"/>
        </w:rPr>
        <w:t>sind in</w:t>
      </w:r>
      <w:r w:rsidR="000A588D" w:rsidRPr="00DE1967">
        <w:rPr>
          <w:szCs w:val="22"/>
          <w:lang w:val="de-DE"/>
        </w:rPr>
        <w:t xml:space="preserve"> der – nach Artikel 107 c Absatz 7 der Richtlinie 2001/83/</w:t>
      </w:r>
      <w:r w:rsidR="000A588D" w:rsidRPr="00DE1967">
        <w:rPr>
          <w:noProof/>
          <w:szCs w:val="22"/>
          <w:lang w:val="de-DE"/>
        </w:rPr>
        <w:t>EG</w:t>
      </w:r>
      <w:r w:rsidR="00920248" w:rsidRPr="00DE1967">
        <w:rPr>
          <w:szCs w:val="22"/>
          <w:lang w:val="de-DE"/>
        </w:rPr>
        <w:t xml:space="preserve"> </w:t>
      </w:r>
      <w:r w:rsidR="000A588D" w:rsidRPr="00DE1967">
        <w:rPr>
          <w:szCs w:val="22"/>
          <w:lang w:val="de-DE"/>
        </w:rPr>
        <w:t>vorgesehenen und im europäischen Internetportal für Arzneimittel</w:t>
      </w:r>
      <w:r w:rsidR="000A588D" w:rsidRPr="00DE1967">
        <w:rPr>
          <w:color w:val="000000"/>
          <w:szCs w:val="22"/>
          <w:lang w:val="de-DE"/>
        </w:rPr>
        <w:t xml:space="preserve"> </w:t>
      </w:r>
      <w:r w:rsidR="000A588D" w:rsidRPr="00DE1967">
        <w:rPr>
          <w:szCs w:val="22"/>
          <w:lang w:val="de-DE"/>
        </w:rPr>
        <w:t>veröffentlichten – Liste der in der Union festgelegten Stichtage (EURD-Liste)</w:t>
      </w:r>
      <w:r w:rsidRPr="00DE1967">
        <w:rPr>
          <w:szCs w:val="22"/>
          <w:lang w:val="de-DE"/>
        </w:rPr>
        <w:t xml:space="preserve"> – und allen künftigen Aktualisierungen – festgelegt</w:t>
      </w:r>
      <w:r w:rsidR="000A588D" w:rsidRPr="00DE1967">
        <w:rPr>
          <w:szCs w:val="22"/>
          <w:lang w:val="de-DE"/>
        </w:rPr>
        <w:t>.</w:t>
      </w:r>
    </w:p>
    <w:p w:rsidR="000A588D" w:rsidRPr="00DE1967" w:rsidRDefault="000A588D" w:rsidP="0003742E">
      <w:pPr>
        <w:widowControl w:val="0"/>
        <w:tabs>
          <w:tab w:val="clear" w:pos="567"/>
        </w:tabs>
        <w:autoSpaceDE w:val="0"/>
        <w:autoSpaceDN w:val="0"/>
        <w:adjustRightInd w:val="0"/>
        <w:spacing w:line="240" w:lineRule="auto"/>
        <w:rPr>
          <w:snapToGrid/>
          <w:szCs w:val="22"/>
          <w:lang w:val="de-DE" w:eastAsia="de-DE"/>
        </w:rPr>
      </w:pPr>
    </w:p>
    <w:p w:rsidR="002B3F92" w:rsidRPr="00DE1967" w:rsidRDefault="002B3F92" w:rsidP="0003742E">
      <w:pPr>
        <w:widowControl w:val="0"/>
        <w:tabs>
          <w:tab w:val="clear" w:pos="567"/>
        </w:tabs>
        <w:autoSpaceDE w:val="0"/>
        <w:autoSpaceDN w:val="0"/>
        <w:adjustRightInd w:val="0"/>
        <w:spacing w:line="240" w:lineRule="auto"/>
        <w:rPr>
          <w:snapToGrid/>
          <w:szCs w:val="22"/>
          <w:lang w:val="de-DE" w:eastAsia="de-DE"/>
        </w:rPr>
      </w:pPr>
    </w:p>
    <w:p w:rsidR="002B3F92" w:rsidRPr="00DE1967" w:rsidRDefault="002B3F92" w:rsidP="0003742E">
      <w:pPr>
        <w:pStyle w:val="TitleB"/>
        <w:widowControl w:val="0"/>
        <w:suppressLineNumbers w:val="0"/>
        <w:rPr>
          <w:rStyle w:val="PageNumber"/>
        </w:rPr>
      </w:pPr>
      <w:r w:rsidRPr="00DE1967">
        <w:rPr>
          <w:rStyle w:val="PageNumber"/>
        </w:rPr>
        <w:t>D.</w:t>
      </w:r>
      <w:r w:rsidRPr="00DE1967">
        <w:rPr>
          <w:rStyle w:val="PageNumber"/>
        </w:rPr>
        <w:tab/>
        <w:t>BEDINGUNGEN ODER EINSCHRÄNKUNGEN FÜR DIE SICHERE UND WIRKSAME ANWENDUNG DES ARZNEIMITTELS</w:t>
      </w:r>
    </w:p>
    <w:p w:rsidR="002B3F92" w:rsidRPr="00DE1967" w:rsidRDefault="002B3F92" w:rsidP="0003742E">
      <w:pPr>
        <w:pStyle w:val="TitleB"/>
        <w:widowControl w:val="0"/>
        <w:suppressLineNumbers w:val="0"/>
        <w:rPr>
          <w:snapToGrid/>
          <w:lang w:eastAsia="de-DE"/>
        </w:rPr>
      </w:pPr>
    </w:p>
    <w:p w:rsidR="002B3F92" w:rsidRPr="00DE1967" w:rsidRDefault="002B3F92" w:rsidP="0003742E">
      <w:pPr>
        <w:widowControl w:val="0"/>
        <w:numPr>
          <w:ilvl w:val="0"/>
          <w:numId w:val="11"/>
        </w:numPr>
        <w:tabs>
          <w:tab w:val="clear" w:pos="567"/>
        </w:tabs>
        <w:autoSpaceDE w:val="0"/>
        <w:autoSpaceDN w:val="0"/>
        <w:adjustRightInd w:val="0"/>
        <w:spacing w:line="240" w:lineRule="auto"/>
        <w:ind w:left="567" w:hanging="567"/>
        <w:rPr>
          <w:b/>
          <w:snapToGrid/>
          <w:szCs w:val="22"/>
          <w:lang w:val="de-DE" w:eastAsia="de-DE"/>
        </w:rPr>
      </w:pPr>
      <w:r w:rsidRPr="00DE1967">
        <w:rPr>
          <w:b/>
          <w:snapToGrid/>
          <w:szCs w:val="22"/>
          <w:lang w:val="de-DE" w:eastAsia="de-DE"/>
        </w:rPr>
        <w:t>Risikomanagement-Plan (RMP)</w:t>
      </w:r>
    </w:p>
    <w:p w:rsidR="002B3F92" w:rsidRPr="00DE1967" w:rsidRDefault="002B3F92" w:rsidP="0003742E">
      <w:pPr>
        <w:widowControl w:val="0"/>
        <w:tabs>
          <w:tab w:val="clear" w:pos="567"/>
        </w:tabs>
        <w:autoSpaceDE w:val="0"/>
        <w:autoSpaceDN w:val="0"/>
        <w:adjustRightInd w:val="0"/>
        <w:spacing w:line="240" w:lineRule="auto"/>
        <w:rPr>
          <w:b/>
          <w:snapToGrid/>
          <w:szCs w:val="22"/>
          <w:lang w:val="de-DE" w:eastAsia="de-DE"/>
        </w:rPr>
      </w:pPr>
    </w:p>
    <w:p w:rsidR="002B3F92" w:rsidRPr="00DE1967" w:rsidRDefault="002B3F92"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Der Inhaber der Genehmigung für das Inverkehrbringen </w:t>
      </w:r>
      <w:r w:rsidR="00A1731C">
        <w:rPr>
          <w:snapToGrid/>
          <w:szCs w:val="22"/>
          <w:lang w:val="de-DE" w:eastAsia="de-DE"/>
        </w:rPr>
        <w:t xml:space="preserve">(MAH) </w:t>
      </w:r>
      <w:r w:rsidRPr="00DE1967">
        <w:rPr>
          <w:szCs w:val="22"/>
          <w:lang w:val="de-DE"/>
        </w:rPr>
        <w:t xml:space="preserve">führt die notwendigen, im vereinbarten RMP beschriebenen und in Modul 1.8.2 der Zulassung dargelegten </w:t>
      </w:r>
      <w:proofErr w:type="spellStart"/>
      <w:r w:rsidRPr="00DE1967">
        <w:rPr>
          <w:szCs w:val="22"/>
          <w:lang w:val="de-DE"/>
        </w:rPr>
        <w:t>Pharmakovigilanzaktivitäten</w:t>
      </w:r>
      <w:proofErr w:type="spellEnd"/>
      <w:r w:rsidRPr="00DE1967">
        <w:rPr>
          <w:szCs w:val="22"/>
          <w:lang w:val="de-DE"/>
        </w:rPr>
        <w:t xml:space="preserve"> und Maßnahmen sowie</w:t>
      </w:r>
      <w:r w:rsidRPr="00DE1967">
        <w:rPr>
          <w:snapToGrid/>
          <w:szCs w:val="22"/>
          <w:lang w:val="de-DE" w:eastAsia="de-DE"/>
        </w:rPr>
        <w:t xml:space="preserve"> alle künftigen vereinbarten Aktualisierungen des RMP durch.</w:t>
      </w:r>
    </w:p>
    <w:p w:rsidR="002B3F92" w:rsidRPr="00DE1967" w:rsidRDefault="002B3F92" w:rsidP="0003742E">
      <w:pPr>
        <w:widowControl w:val="0"/>
        <w:spacing w:line="240" w:lineRule="auto"/>
        <w:ind w:right="-1"/>
        <w:rPr>
          <w:i/>
          <w:szCs w:val="22"/>
          <w:lang w:val="de-DE"/>
        </w:rPr>
      </w:pPr>
      <w:r w:rsidRPr="00DE1967">
        <w:rPr>
          <w:snapToGrid/>
          <w:szCs w:val="22"/>
          <w:lang w:val="de-DE" w:eastAsia="de-DE"/>
        </w:rPr>
        <w:t>Ein aktualisierter RMP</w:t>
      </w:r>
      <w:r w:rsidRPr="00DE1967">
        <w:rPr>
          <w:szCs w:val="22"/>
          <w:lang w:val="de-DE"/>
        </w:rPr>
        <w:t xml:space="preserve"> wird vorgelegt</w:t>
      </w:r>
      <w:r w:rsidR="000A588D" w:rsidRPr="00DE1967">
        <w:rPr>
          <w:szCs w:val="22"/>
          <w:lang w:val="de-DE"/>
        </w:rPr>
        <w:t>:</w:t>
      </w:r>
    </w:p>
    <w:p w:rsidR="002B3F92" w:rsidRPr="00DE1967" w:rsidRDefault="002B3F92" w:rsidP="0003742E">
      <w:pPr>
        <w:widowControl w:val="0"/>
        <w:spacing w:line="240" w:lineRule="auto"/>
        <w:ind w:right="-1"/>
        <w:rPr>
          <w:i/>
          <w:szCs w:val="22"/>
          <w:lang w:val="de-DE"/>
        </w:rPr>
      </w:pPr>
    </w:p>
    <w:p w:rsidR="002B3F92" w:rsidRPr="00DE1967" w:rsidRDefault="002B3F92" w:rsidP="0003742E">
      <w:pPr>
        <w:widowControl w:val="0"/>
        <w:numPr>
          <w:ilvl w:val="0"/>
          <w:numId w:val="8"/>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nach Aufforderung durch die Europäische Arzneimittel-Agentur;</w:t>
      </w:r>
    </w:p>
    <w:p w:rsidR="002B3F92" w:rsidRPr="00DE1967" w:rsidRDefault="002B3F92" w:rsidP="0003742E">
      <w:pPr>
        <w:widowControl w:val="0"/>
        <w:numPr>
          <w:ilvl w:val="0"/>
          <w:numId w:val="8"/>
        </w:numPr>
        <w:tabs>
          <w:tab w:val="clear" w:pos="567"/>
        </w:tabs>
        <w:autoSpaceDE w:val="0"/>
        <w:autoSpaceDN w:val="0"/>
        <w:adjustRightInd w:val="0"/>
        <w:spacing w:line="240" w:lineRule="auto"/>
        <w:ind w:left="567" w:hanging="567"/>
        <w:rPr>
          <w:snapToGrid/>
          <w:szCs w:val="22"/>
          <w:lang w:val="de-DE" w:eastAsia="de-DE"/>
        </w:rPr>
      </w:pPr>
      <w:r w:rsidRPr="00DE1967">
        <w:rPr>
          <w:szCs w:val="22"/>
          <w:lang w:val="de-DE"/>
        </w:rPr>
        <w:t xml:space="preserve">jedes Mal wenn das Risikomanagement-System geändert wird, insbesondere infolge neuer eingegangener Informationen, die zu einer wesentlichen Änderung des Nutzen-Risiko-Verhältnisses führen können oder infolge des Erreichens eines wichtigen Meilensteins (in Bezug auf </w:t>
      </w:r>
      <w:r w:rsidRPr="00DE1967">
        <w:rPr>
          <w:snapToGrid/>
          <w:szCs w:val="22"/>
          <w:lang w:val="de-DE" w:eastAsia="de-DE"/>
        </w:rPr>
        <w:t>Pharmakovigilanz oder Risikominimierung).</w:t>
      </w:r>
    </w:p>
    <w:p w:rsidR="000A588D" w:rsidRPr="00DE1967" w:rsidRDefault="000A588D" w:rsidP="0003742E">
      <w:pPr>
        <w:widowControl w:val="0"/>
        <w:tabs>
          <w:tab w:val="clear" w:pos="567"/>
          <w:tab w:val="left" w:pos="720"/>
        </w:tabs>
        <w:spacing w:line="240" w:lineRule="auto"/>
        <w:rPr>
          <w:snapToGrid/>
          <w:szCs w:val="22"/>
          <w:lang w:val="de-DE" w:eastAsia="de-DE"/>
        </w:rPr>
      </w:pPr>
    </w:p>
    <w:p w:rsidR="000A588D" w:rsidRPr="00DE1967" w:rsidRDefault="000A588D" w:rsidP="0003742E">
      <w:pPr>
        <w:widowControl w:val="0"/>
        <w:spacing w:line="240" w:lineRule="auto"/>
        <w:ind w:right="-1"/>
        <w:rPr>
          <w:i/>
          <w:szCs w:val="22"/>
          <w:lang w:val="de-DE"/>
        </w:rPr>
      </w:pPr>
      <w:r w:rsidRPr="00DE1967">
        <w:rPr>
          <w:szCs w:val="22"/>
          <w:lang w:val="de-DE"/>
        </w:rPr>
        <w:t>Fallen die Vorlage eines PSUR und die Aktualisierung eines RMP zeitlich zusammen, können beide gleichzeitig vorgelegt werden.</w:t>
      </w:r>
    </w:p>
    <w:p w:rsidR="000A588D" w:rsidRPr="00DE1967" w:rsidRDefault="000A588D" w:rsidP="0003742E">
      <w:pPr>
        <w:widowControl w:val="0"/>
        <w:spacing w:line="240" w:lineRule="auto"/>
        <w:ind w:right="-1"/>
        <w:rPr>
          <w:i/>
          <w:noProof/>
          <w:szCs w:val="22"/>
          <w:lang w:val="de-DE"/>
        </w:rPr>
      </w:pPr>
    </w:p>
    <w:p w:rsidR="000A588D" w:rsidRPr="00DE1967" w:rsidRDefault="000A588D" w:rsidP="0003742E">
      <w:pPr>
        <w:widowControl w:val="0"/>
        <w:spacing w:line="240" w:lineRule="auto"/>
        <w:ind w:right="-1"/>
        <w:rPr>
          <w:i/>
          <w:szCs w:val="22"/>
          <w:lang w:val="de-DE"/>
        </w:rPr>
      </w:pPr>
      <w:r w:rsidRPr="00DE1967">
        <w:rPr>
          <w:szCs w:val="22"/>
          <w:lang w:val="de-DE"/>
        </w:rPr>
        <w:t>Ein aktualisierter RMP wird zum vom CHMP vereinbarten Zeitplan vorgelegt.</w:t>
      </w:r>
    </w:p>
    <w:p w:rsidR="002F5882" w:rsidRPr="00DE1967" w:rsidRDefault="00B4575E" w:rsidP="0003742E">
      <w:pPr>
        <w:widowControl w:val="0"/>
        <w:tabs>
          <w:tab w:val="clear" w:pos="567"/>
          <w:tab w:val="left" w:pos="720"/>
        </w:tabs>
        <w:spacing w:line="240" w:lineRule="auto"/>
        <w:rPr>
          <w:snapToGrid/>
          <w:szCs w:val="22"/>
          <w:lang w:val="de-DE" w:eastAsia="de-DE"/>
        </w:rPr>
      </w:pPr>
      <w:r w:rsidRPr="00DE1967">
        <w:rPr>
          <w:snapToGrid/>
          <w:szCs w:val="22"/>
          <w:lang w:val="de-DE" w:eastAsia="de-DE"/>
        </w:rPr>
        <w:br w:type="page"/>
      </w:r>
    </w:p>
    <w:p w:rsidR="002F5882" w:rsidRPr="00DE1967" w:rsidRDefault="002F5882" w:rsidP="0003742E">
      <w:pPr>
        <w:widowControl w:val="0"/>
        <w:tabs>
          <w:tab w:val="clear" w:pos="567"/>
          <w:tab w:val="left" w:pos="720"/>
        </w:tabs>
        <w:spacing w:line="240" w:lineRule="auto"/>
        <w:ind w:right="-1"/>
        <w:rPr>
          <w:snapToGrid/>
          <w:szCs w:val="22"/>
          <w:lang w:val="de-DE" w:eastAsia="de-DE"/>
        </w:rPr>
      </w:pPr>
    </w:p>
    <w:p w:rsidR="00637E20" w:rsidRPr="00DE1967" w:rsidRDefault="00637E20" w:rsidP="0003742E">
      <w:pPr>
        <w:widowControl w:val="0"/>
        <w:spacing w:line="240" w:lineRule="auto"/>
        <w:ind w:right="566"/>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rPr>
          <w:szCs w:val="22"/>
          <w:lang w:val="de-DE"/>
        </w:rPr>
      </w:pPr>
    </w:p>
    <w:p w:rsidR="00637E20" w:rsidRPr="00DE1967" w:rsidRDefault="00637E20" w:rsidP="0003742E">
      <w:pPr>
        <w:widowControl w:val="0"/>
        <w:spacing w:line="240" w:lineRule="auto"/>
        <w:jc w:val="center"/>
        <w:outlineLvl w:val="0"/>
        <w:rPr>
          <w:b/>
          <w:szCs w:val="22"/>
          <w:lang w:val="de-DE"/>
        </w:rPr>
      </w:pPr>
    </w:p>
    <w:p w:rsidR="00637E20" w:rsidRPr="00DE1967" w:rsidRDefault="00637E20" w:rsidP="0003742E">
      <w:pPr>
        <w:widowControl w:val="0"/>
        <w:spacing w:line="240" w:lineRule="auto"/>
        <w:jc w:val="center"/>
        <w:outlineLvl w:val="0"/>
        <w:rPr>
          <w:b/>
          <w:szCs w:val="22"/>
          <w:lang w:val="de-DE"/>
        </w:rPr>
      </w:pPr>
    </w:p>
    <w:p w:rsidR="00637E20" w:rsidRPr="00DE1967" w:rsidRDefault="00637E20" w:rsidP="0003742E">
      <w:pPr>
        <w:widowControl w:val="0"/>
        <w:spacing w:line="240" w:lineRule="auto"/>
        <w:jc w:val="center"/>
        <w:outlineLvl w:val="0"/>
        <w:rPr>
          <w:b/>
          <w:szCs w:val="22"/>
          <w:lang w:val="de-DE"/>
        </w:rPr>
      </w:pPr>
    </w:p>
    <w:p w:rsidR="00637E20" w:rsidRPr="00DE1967" w:rsidRDefault="00637E20" w:rsidP="0003742E">
      <w:pPr>
        <w:widowControl w:val="0"/>
        <w:spacing w:line="240" w:lineRule="auto"/>
        <w:jc w:val="center"/>
        <w:outlineLvl w:val="0"/>
        <w:rPr>
          <w:b/>
          <w:szCs w:val="22"/>
          <w:lang w:val="de-DE"/>
        </w:rPr>
      </w:pPr>
    </w:p>
    <w:p w:rsidR="00637E20" w:rsidRPr="00DE1967" w:rsidRDefault="00637E20" w:rsidP="0003742E">
      <w:pPr>
        <w:widowControl w:val="0"/>
        <w:spacing w:line="240" w:lineRule="auto"/>
        <w:jc w:val="center"/>
        <w:outlineLvl w:val="0"/>
        <w:rPr>
          <w:b/>
          <w:szCs w:val="22"/>
          <w:lang w:val="de-DE"/>
        </w:rPr>
      </w:pPr>
    </w:p>
    <w:p w:rsidR="00637E20" w:rsidRPr="00DE1967" w:rsidRDefault="00637E20" w:rsidP="0003742E">
      <w:pPr>
        <w:widowControl w:val="0"/>
        <w:spacing w:line="240" w:lineRule="auto"/>
        <w:jc w:val="center"/>
        <w:outlineLvl w:val="0"/>
        <w:rPr>
          <w:b/>
          <w:szCs w:val="22"/>
          <w:lang w:val="de-DE"/>
        </w:rPr>
      </w:pPr>
    </w:p>
    <w:p w:rsidR="00637E20" w:rsidRPr="00DE1967" w:rsidRDefault="00637E20" w:rsidP="0003742E">
      <w:pPr>
        <w:widowControl w:val="0"/>
        <w:spacing w:line="240" w:lineRule="auto"/>
        <w:jc w:val="center"/>
        <w:outlineLvl w:val="0"/>
        <w:rPr>
          <w:b/>
          <w:szCs w:val="22"/>
          <w:lang w:val="de-DE"/>
        </w:rPr>
      </w:pPr>
      <w:r w:rsidRPr="00DE1967">
        <w:rPr>
          <w:b/>
          <w:noProof/>
          <w:szCs w:val="22"/>
          <w:lang w:val="de-DE"/>
        </w:rPr>
        <w:t>ANHANG III</w:t>
      </w:r>
    </w:p>
    <w:p w:rsidR="00637E20" w:rsidRPr="00DE1967" w:rsidRDefault="00637E20" w:rsidP="0003742E">
      <w:pPr>
        <w:widowControl w:val="0"/>
        <w:spacing w:line="240" w:lineRule="auto"/>
        <w:jc w:val="center"/>
        <w:rPr>
          <w:b/>
          <w:szCs w:val="22"/>
          <w:lang w:val="de-DE"/>
        </w:rPr>
      </w:pPr>
    </w:p>
    <w:p w:rsidR="00637E20" w:rsidRPr="00DE1967" w:rsidRDefault="00637E20" w:rsidP="0003742E">
      <w:pPr>
        <w:widowControl w:val="0"/>
        <w:spacing w:line="240" w:lineRule="auto"/>
        <w:jc w:val="center"/>
        <w:outlineLvl w:val="0"/>
        <w:rPr>
          <w:b/>
          <w:szCs w:val="22"/>
          <w:lang w:val="de-DE"/>
        </w:rPr>
      </w:pPr>
      <w:r w:rsidRPr="00DE1967">
        <w:rPr>
          <w:b/>
          <w:noProof/>
          <w:szCs w:val="22"/>
          <w:lang w:val="de-DE"/>
        </w:rPr>
        <w:t>ETIKETTIERUNG UND PACKUNGSBEILAGE</w:t>
      </w:r>
    </w:p>
    <w:p w:rsidR="00637E20" w:rsidRPr="00DE1967" w:rsidRDefault="00F323B2" w:rsidP="0003742E">
      <w:pPr>
        <w:widowControl w:val="0"/>
        <w:spacing w:line="240" w:lineRule="auto"/>
        <w:jc w:val="center"/>
        <w:rPr>
          <w:b/>
          <w:noProof/>
          <w:szCs w:val="22"/>
          <w:lang w:val="de-DE"/>
        </w:rPr>
      </w:pPr>
      <w:r w:rsidRPr="00DE1967">
        <w:rPr>
          <w:b/>
          <w:noProof/>
          <w:szCs w:val="22"/>
          <w:lang w:val="de-DE"/>
        </w:rPr>
        <w:br w:type="page"/>
      </w:r>
    </w:p>
    <w:p w:rsidR="00637E20" w:rsidRPr="00DE1967" w:rsidRDefault="00637E20" w:rsidP="0003742E">
      <w:pPr>
        <w:widowControl w:val="0"/>
        <w:spacing w:line="240" w:lineRule="auto"/>
        <w:jc w:val="center"/>
        <w:outlineLvl w:val="0"/>
        <w:rPr>
          <w:b/>
          <w:szCs w:val="22"/>
          <w:lang w:val="de-DE"/>
        </w:rPr>
      </w:pPr>
    </w:p>
    <w:p w:rsidR="00637E20" w:rsidRPr="00DE1967" w:rsidRDefault="00637E20" w:rsidP="0003742E">
      <w:pPr>
        <w:widowControl w:val="0"/>
        <w:spacing w:line="240" w:lineRule="auto"/>
        <w:jc w:val="center"/>
        <w:outlineLvl w:val="0"/>
        <w:rPr>
          <w:b/>
          <w:szCs w:val="22"/>
          <w:lang w:val="de-DE"/>
        </w:rPr>
      </w:pPr>
    </w:p>
    <w:p w:rsidR="00637E20" w:rsidRPr="00DE1967" w:rsidRDefault="00637E20" w:rsidP="0003742E">
      <w:pPr>
        <w:widowControl w:val="0"/>
        <w:spacing w:line="240" w:lineRule="auto"/>
        <w:jc w:val="center"/>
        <w:outlineLvl w:val="0"/>
        <w:rPr>
          <w:b/>
          <w:szCs w:val="22"/>
          <w:lang w:val="de-DE"/>
        </w:rPr>
      </w:pPr>
    </w:p>
    <w:p w:rsidR="00637E20" w:rsidRPr="00DE1967" w:rsidRDefault="00637E20" w:rsidP="0003742E">
      <w:pPr>
        <w:widowControl w:val="0"/>
        <w:spacing w:line="240" w:lineRule="auto"/>
        <w:jc w:val="center"/>
        <w:outlineLvl w:val="0"/>
        <w:rPr>
          <w:b/>
          <w:szCs w:val="22"/>
          <w:lang w:val="de-DE"/>
        </w:rPr>
      </w:pPr>
    </w:p>
    <w:p w:rsidR="00637E20" w:rsidRPr="00DE1967" w:rsidRDefault="00637E20" w:rsidP="0003742E">
      <w:pPr>
        <w:widowControl w:val="0"/>
        <w:spacing w:line="240" w:lineRule="auto"/>
        <w:jc w:val="center"/>
        <w:outlineLvl w:val="0"/>
        <w:rPr>
          <w:b/>
          <w:szCs w:val="22"/>
          <w:lang w:val="de-DE"/>
        </w:rPr>
      </w:pPr>
    </w:p>
    <w:p w:rsidR="00637E20" w:rsidRPr="00DE1967" w:rsidRDefault="00637E20" w:rsidP="0003742E">
      <w:pPr>
        <w:widowControl w:val="0"/>
        <w:spacing w:line="240" w:lineRule="auto"/>
        <w:jc w:val="center"/>
        <w:outlineLvl w:val="0"/>
        <w:rPr>
          <w:b/>
          <w:szCs w:val="22"/>
          <w:lang w:val="de-DE"/>
        </w:rPr>
      </w:pPr>
    </w:p>
    <w:p w:rsidR="00637E20" w:rsidRPr="00DE1967" w:rsidRDefault="00637E20" w:rsidP="0003742E">
      <w:pPr>
        <w:widowControl w:val="0"/>
        <w:spacing w:line="240" w:lineRule="auto"/>
        <w:jc w:val="center"/>
        <w:outlineLvl w:val="0"/>
        <w:rPr>
          <w:b/>
          <w:szCs w:val="22"/>
          <w:lang w:val="de-DE"/>
        </w:rPr>
      </w:pPr>
    </w:p>
    <w:p w:rsidR="00637E20" w:rsidRPr="00DE1967" w:rsidRDefault="00637E20" w:rsidP="0003742E">
      <w:pPr>
        <w:widowControl w:val="0"/>
        <w:spacing w:line="240" w:lineRule="auto"/>
        <w:jc w:val="center"/>
        <w:outlineLvl w:val="0"/>
        <w:rPr>
          <w:b/>
          <w:szCs w:val="22"/>
          <w:lang w:val="de-DE"/>
        </w:rPr>
      </w:pPr>
    </w:p>
    <w:p w:rsidR="00637E20" w:rsidRPr="00DE1967" w:rsidRDefault="00637E20" w:rsidP="0003742E">
      <w:pPr>
        <w:widowControl w:val="0"/>
        <w:spacing w:line="240" w:lineRule="auto"/>
        <w:jc w:val="center"/>
        <w:outlineLvl w:val="0"/>
        <w:rPr>
          <w:b/>
          <w:szCs w:val="22"/>
          <w:lang w:val="de-DE"/>
        </w:rPr>
      </w:pPr>
    </w:p>
    <w:p w:rsidR="00637E20" w:rsidRPr="00DE1967" w:rsidRDefault="00637E20" w:rsidP="0003742E">
      <w:pPr>
        <w:widowControl w:val="0"/>
        <w:spacing w:line="240" w:lineRule="auto"/>
        <w:jc w:val="center"/>
        <w:outlineLvl w:val="0"/>
        <w:rPr>
          <w:b/>
          <w:szCs w:val="22"/>
          <w:lang w:val="de-DE"/>
        </w:rPr>
      </w:pPr>
    </w:p>
    <w:p w:rsidR="00C951A2" w:rsidRPr="00DE1967" w:rsidRDefault="00C951A2" w:rsidP="0003742E">
      <w:pPr>
        <w:widowControl w:val="0"/>
        <w:spacing w:line="240" w:lineRule="auto"/>
        <w:jc w:val="center"/>
        <w:outlineLvl w:val="0"/>
        <w:rPr>
          <w:b/>
          <w:szCs w:val="22"/>
          <w:lang w:val="de-DE"/>
        </w:rPr>
      </w:pPr>
    </w:p>
    <w:p w:rsidR="00C951A2" w:rsidRPr="00DE1967" w:rsidRDefault="00C951A2" w:rsidP="0003742E">
      <w:pPr>
        <w:widowControl w:val="0"/>
        <w:spacing w:line="240" w:lineRule="auto"/>
        <w:jc w:val="center"/>
        <w:outlineLvl w:val="0"/>
        <w:rPr>
          <w:b/>
          <w:szCs w:val="22"/>
          <w:lang w:val="de-DE"/>
        </w:rPr>
      </w:pPr>
    </w:p>
    <w:p w:rsidR="00F323B2" w:rsidRPr="00DE1967" w:rsidRDefault="00F323B2" w:rsidP="0003742E">
      <w:pPr>
        <w:widowControl w:val="0"/>
        <w:spacing w:line="240" w:lineRule="auto"/>
        <w:jc w:val="center"/>
        <w:outlineLvl w:val="0"/>
        <w:rPr>
          <w:b/>
          <w:szCs w:val="22"/>
          <w:lang w:val="de-DE"/>
        </w:rPr>
      </w:pPr>
    </w:p>
    <w:p w:rsidR="00F323B2" w:rsidRPr="00DE1967" w:rsidRDefault="00F323B2" w:rsidP="0003742E">
      <w:pPr>
        <w:widowControl w:val="0"/>
        <w:spacing w:line="240" w:lineRule="auto"/>
        <w:jc w:val="center"/>
        <w:outlineLvl w:val="0"/>
        <w:rPr>
          <w:b/>
          <w:szCs w:val="22"/>
          <w:lang w:val="de-DE"/>
        </w:rPr>
      </w:pPr>
    </w:p>
    <w:p w:rsidR="00F323B2" w:rsidRPr="00DE1967" w:rsidRDefault="00F323B2" w:rsidP="0003742E">
      <w:pPr>
        <w:widowControl w:val="0"/>
        <w:spacing w:line="240" w:lineRule="auto"/>
        <w:jc w:val="center"/>
        <w:outlineLvl w:val="0"/>
        <w:rPr>
          <w:b/>
          <w:szCs w:val="22"/>
          <w:lang w:val="de-DE"/>
        </w:rPr>
      </w:pPr>
    </w:p>
    <w:p w:rsidR="00F323B2" w:rsidRPr="00DE1967" w:rsidRDefault="00F323B2" w:rsidP="0003742E">
      <w:pPr>
        <w:widowControl w:val="0"/>
        <w:spacing w:line="240" w:lineRule="auto"/>
        <w:jc w:val="center"/>
        <w:outlineLvl w:val="0"/>
        <w:rPr>
          <w:b/>
          <w:szCs w:val="22"/>
          <w:lang w:val="de-DE"/>
        </w:rPr>
      </w:pPr>
    </w:p>
    <w:p w:rsidR="00C951A2" w:rsidRPr="00DE1967" w:rsidRDefault="00C951A2" w:rsidP="0003742E">
      <w:pPr>
        <w:widowControl w:val="0"/>
        <w:spacing w:line="240" w:lineRule="auto"/>
        <w:jc w:val="center"/>
        <w:outlineLvl w:val="0"/>
        <w:rPr>
          <w:b/>
          <w:szCs w:val="22"/>
          <w:lang w:val="de-DE"/>
        </w:rPr>
      </w:pPr>
    </w:p>
    <w:p w:rsidR="00C951A2" w:rsidRPr="00DE1967" w:rsidRDefault="00C951A2" w:rsidP="0003742E">
      <w:pPr>
        <w:widowControl w:val="0"/>
        <w:spacing w:line="240" w:lineRule="auto"/>
        <w:jc w:val="center"/>
        <w:outlineLvl w:val="0"/>
        <w:rPr>
          <w:b/>
          <w:szCs w:val="22"/>
          <w:lang w:val="de-DE"/>
        </w:rPr>
      </w:pPr>
    </w:p>
    <w:p w:rsidR="00544F89" w:rsidRPr="00DE1967" w:rsidRDefault="00544F89" w:rsidP="0003742E">
      <w:pPr>
        <w:widowControl w:val="0"/>
        <w:spacing w:line="240" w:lineRule="auto"/>
        <w:jc w:val="center"/>
        <w:outlineLvl w:val="0"/>
        <w:rPr>
          <w:b/>
          <w:szCs w:val="22"/>
          <w:lang w:val="de-DE"/>
        </w:rPr>
      </w:pPr>
    </w:p>
    <w:p w:rsidR="00637E20" w:rsidRPr="00DE1967" w:rsidRDefault="00637E20" w:rsidP="0003742E">
      <w:pPr>
        <w:widowControl w:val="0"/>
        <w:spacing w:line="240" w:lineRule="auto"/>
        <w:jc w:val="center"/>
        <w:outlineLvl w:val="0"/>
        <w:rPr>
          <w:b/>
          <w:szCs w:val="22"/>
          <w:lang w:val="de-DE"/>
        </w:rPr>
      </w:pPr>
    </w:p>
    <w:p w:rsidR="00637E20" w:rsidRPr="00DE1967" w:rsidRDefault="00637E20" w:rsidP="0003742E">
      <w:pPr>
        <w:widowControl w:val="0"/>
        <w:spacing w:line="240" w:lineRule="auto"/>
        <w:jc w:val="center"/>
        <w:outlineLvl w:val="0"/>
        <w:rPr>
          <w:b/>
          <w:szCs w:val="22"/>
          <w:lang w:val="de-DE"/>
        </w:rPr>
      </w:pPr>
    </w:p>
    <w:p w:rsidR="00637E20" w:rsidRPr="00DE1967" w:rsidRDefault="00637E20" w:rsidP="0003742E">
      <w:pPr>
        <w:widowControl w:val="0"/>
        <w:spacing w:line="240" w:lineRule="auto"/>
        <w:jc w:val="center"/>
        <w:outlineLvl w:val="0"/>
        <w:rPr>
          <w:b/>
          <w:szCs w:val="22"/>
          <w:lang w:val="de-DE"/>
        </w:rPr>
      </w:pPr>
    </w:p>
    <w:p w:rsidR="00637E20" w:rsidRPr="00DE1967" w:rsidRDefault="00637E20" w:rsidP="0003742E">
      <w:pPr>
        <w:pStyle w:val="TitleA"/>
      </w:pPr>
      <w:r w:rsidRPr="00DE1967">
        <w:t>A. ETIKETTIERUNG</w:t>
      </w:r>
    </w:p>
    <w:p w:rsidR="00637E20" w:rsidRPr="00DE1967" w:rsidRDefault="00637E20" w:rsidP="0003742E">
      <w:pPr>
        <w:widowControl w:val="0"/>
        <w:spacing w:line="240" w:lineRule="auto"/>
        <w:rPr>
          <w:noProof/>
          <w:szCs w:val="22"/>
          <w:lang w:val="de-DE"/>
        </w:rPr>
      </w:pPr>
    </w:p>
    <w:p w:rsidR="00637E20" w:rsidRPr="00DE1967" w:rsidRDefault="00637E20" w:rsidP="0003742E">
      <w:pPr>
        <w:widowControl w:val="0"/>
        <w:shd w:val="clear" w:color="auto" w:fill="FFFFFF"/>
        <w:spacing w:line="240" w:lineRule="auto"/>
        <w:rPr>
          <w:noProof/>
          <w:szCs w:val="22"/>
          <w:lang w:val="de-DE"/>
        </w:rPr>
      </w:pPr>
      <w:r w:rsidRPr="00DE1967">
        <w:rPr>
          <w:noProof/>
          <w:szCs w:val="22"/>
          <w:lang w:val="de-DE"/>
        </w:rPr>
        <w:br w:type="page"/>
      </w:r>
    </w:p>
    <w:p w:rsidR="00544F89" w:rsidRPr="00DE1967" w:rsidRDefault="005317D2" w:rsidP="0003742E">
      <w:pPr>
        <w:widowControl w:val="0"/>
        <w:pBdr>
          <w:top w:val="single" w:sz="4" w:space="1" w:color="auto"/>
          <w:left w:val="single" w:sz="4" w:space="4" w:color="auto"/>
          <w:bottom w:val="single" w:sz="4" w:space="1" w:color="auto"/>
          <w:right w:val="single" w:sz="4" w:space="4" w:color="auto"/>
        </w:pBdr>
        <w:spacing w:line="240" w:lineRule="auto"/>
        <w:rPr>
          <w:b/>
          <w:noProof/>
          <w:szCs w:val="22"/>
          <w:lang w:val="de-DE"/>
        </w:rPr>
      </w:pPr>
      <w:r w:rsidRPr="00DE1967">
        <w:rPr>
          <w:b/>
          <w:noProof/>
          <w:szCs w:val="22"/>
          <w:lang w:val="de-DE"/>
        </w:rPr>
        <w:t xml:space="preserve">ANGABEN </w:t>
      </w:r>
      <w:r w:rsidR="00637E20" w:rsidRPr="00DE1967">
        <w:rPr>
          <w:b/>
          <w:noProof/>
          <w:szCs w:val="22"/>
          <w:lang w:val="de-DE"/>
        </w:rPr>
        <w:t>AUF DER ÄUSSEREN UMHÜLLUNG</w:t>
      </w:r>
    </w:p>
    <w:p w:rsidR="00637E20" w:rsidRPr="00DE1967" w:rsidRDefault="00637E20" w:rsidP="0003742E">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de-DE"/>
        </w:rPr>
      </w:pPr>
    </w:p>
    <w:p w:rsidR="00306D41" w:rsidRPr="00DE1967" w:rsidRDefault="00306D41" w:rsidP="0003742E">
      <w:pPr>
        <w:widowControl w:val="0"/>
        <w:pBdr>
          <w:top w:val="single" w:sz="4" w:space="1" w:color="auto"/>
          <w:left w:val="single" w:sz="4" w:space="4" w:color="auto"/>
          <w:bottom w:val="single" w:sz="4" w:space="1" w:color="auto"/>
          <w:right w:val="single" w:sz="4" w:space="4" w:color="auto"/>
        </w:pBdr>
        <w:spacing w:line="240" w:lineRule="auto"/>
        <w:rPr>
          <w:b/>
          <w:noProof/>
          <w:szCs w:val="22"/>
          <w:lang w:val="de-DE"/>
        </w:rPr>
      </w:pPr>
      <w:r w:rsidRPr="00DE1967">
        <w:rPr>
          <w:b/>
          <w:noProof/>
          <w:szCs w:val="22"/>
          <w:lang w:val="de-DE"/>
        </w:rPr>
        <w:t>UMKARTON</w:t>
      </w:r>
    </w:p>
    <w:p w:rsidR="00637E20" w:rsidRPr="00DE1967" w:rsidRDefault="00637E20" w:rsidP="0003742E">
      <w:pPr>
        <w:widowControl w:val="0"/>
        <w:spacing w:line="240" w:lineRule="auto"/>
        <w:rPr>
          <w:noProof/>
          <w:szCs w:val="22"/>
          <w:lang w:val="de-DE"/>
        </w:rPr>
      </w:pPr>
    </w:p>
    <w:p w:rsidR="0003742E" w:rsidRPr="00DE1967" w:rsidRDefault="0003742E" w:rsidP="0003742E">
      <w:pPr>
        <w:widowControl w:val="0"/>
        <w:spacing w:line="240" w:lineRule="auto"/>
        <w:rPr>
          <w:noProof/>
          <w:szCs w:val="22"/>
          <w:lang w:val="de-DE"/>
        </w:rPr>
      </w:pPr>
    </w:p>
    <w:p w:rsidR="00637E20" w:rsidRPr="00DE1967" w:rsidRDefault="00637E20"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lang w:val="de-DE"/>
        </w:rPr>
      </w:pPr>
      <w:r w:rsidRPr="00DE1967">
        <w:rPr>
          <w:b/>
          <w:noProof/>
          <w:szCs w:val="22"/>
          <w:lang w:val="de-DE"/>
        </w:rPr>
        <w:t>1.</w:t>
      </w:r>
      <w:r w:rsidRPr="00DE1967">
        <w:rPr>
          <w:b/>
          <w:noProof/>
          <w:szCs w:val="22"/>
          <w:lang w:val="de-DE"/>
        </w:rPr>
        <w:tab/>
        <w:t>BEZEICHNUNG DES ARZNEIMITTELS</w:t>
      </w:r>
    </w:p>
    <w:p w:rsidR="00637E20" w:rsidRPr="00DE1967" w:rsidRDefault="00637E20" w:rsidP="0003742E">
      <w:pPr>
        <w:widowControl w:val="0"/>
        <w:spacing w:line="240" w:lineRule="auto"/>
        <w:rPr>
          <w:szCs w:val="22"/>
          <w:lang w:val="de-DE"/>
        </w:rPr>
      </w:pPr>
    </w:p>
    <w:p w:rsidR="00637E20" w:rsidRPr="00DE1967" w:rsidRDefault="005317D2" w:rsidP="0003742E">
      <w:pPr>
        <w:widowControl w:val="0"/>
        <w:spacing w:line="240" w:lineRule="auto"/>
        <w:rPr>
          <w:szCs w:val="22"/>
          <w:lang w:val="de-DE"/>
        </w:rPr>
      </w:pPr>
      <w:r w:rsidRPr="00DE1967">
        <w:rPr>
          <w:noProof/>
          <w:szCs w:val="22"/>
          <w:lang w:val="de-DE"/>
        </w:rPr>
        <w:t>Tolucombi 40</w:t>
      </w:r>
      <w:r w:rsidR="00023E2B" w:rsidRPr="00DE1967">
        <w:rPr>
          <w:noProof/>
          <w:szCs w:val="22"/>
          <w:lang w:val="de-DE"/>
        </w:rPr>
        <w:t> mg</w:t>
      </w:r>
      <w:r w:rsidRPr="00DE1967">
        <w:rPr>
          <w:noProof/>
          <w:szCs w:val="22"/>
          <w:lang w:val="de-DE"/>
        </w:rPr>
        <w:t>/12,5</w:t>
      </w:r>
      <w:r w:rsidR="00023E2B" w:rsidRPr="00DE1967">
        <w:rPr>
          <w:noProof/>
          <w:szCs w:val="22"/>
          <w:lang w:val="de-DE"/>
        </w:rPr>
        <w:t> mg</w:t>
      </w:r>
      <w:r w:rsidRPr="00DE1967">
        <w:rPr>
          <w:noProof/>
          <w:szCs w:val="22"/>
          <w:lang w:val="de-DE"/>
        </w:rPr>
        <w:t xml:space="preserve"> Tabletten</w:t>
      </w:r>
    </w:p>
    <w:p w:rsidR="00637E20" w:rsidRPr="00DE1967" w:rsidRDefault="005317D2" w:rsidP="0003742E">
      <w:pPr>
        <w:widowControl w:val="0"/>
        <w:spacing w:line="240" w:lineRule="auto"/>
        <w:rPr>
          <w:snapToGrid/>
          <w:szCs w:val="22"/>
          <w:lang w:val="de-DE" w:eastAsia="de-DE"/>
        </w:rPr>
      </w:pPr>
      <w:r w:rsidRPr="00DE1967">
        <w:rPr>
          <w:snapToGrid/>
          <w:szCs w:val="22"/>
          <w:lang w:val="de-DE" w:eastAsia="de-DE"/>
        </w:rPr>
        <w:t>Telmisartan/Hydrochlorothiazid</w:t>
      </w:r>
    </w:p>
    <w:p w:rsidR="005317D2" w:rsidRPr="00DE1967" w:rsidRDefault="005317D2" w:rsidP="0003742E">
      <w:pPr>
        <w:widowControl w:val="0"/>
        <w:spacing w:line="240" w:lineRule="auto"/>
        <w:rPr>
          <w:szCs w:val="22"/>
          <w:lang w:val="de-DE"/>
        </w:rPr>
      </w:pPr>
    </w:p>
    <w:p w:rsidR="00637E20" w:rsidRPr="00DE1967" w:rsidRDefault="00637E20" w:rsidP="0003742E">
      <w:pPr>
        <w:widowControl w:val="0"/>
        <w:spacing w:line="240" w:lineRule="auto"/>
        <w:rPr>
          <w:szCs w:val="22"/>
          <w:lang w:val="de-DE"/>
        </w:rPr>
      </w:pPr>
    </w:p>
    <w:p w:rsidR="00637E20" w:rsidRPr="00DE1967" w:rsidRDefault="00637E20"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lang w:val="de-DE"/>
        </w:rPr>
      </w:pPr>
      <w:r w:rsidRPr="00DE1967">
        <w:rPr>
          <w:b/>
          <w:noProof/>
          <w:szCs w:val="22"/>
          <w:lang w:val="de-DE"/>
        </w:rPr>
        <w:t>2.</w:t>
      </w:r>
      <w:r w:rsidRPr="00DE1967">
        <w:rPr>
          <w:b/>
          <w:noProof/>
          <w:szCs w:val="22"/>
          <w:lang w:val="de-DE"/>
        </w:rPr>
        <w:tab/>
        <w:t>WIRKSTOFF(E)</w:t>
      </w:r>
    </w:p>
    <w:p w:rsidR="00637E20" w:rsidRPr="00DE1967" w:rsidRDefault="00637E20" w:rsidP="0003742E">
      <w:pPr>
        <w:widowControl w:val="0"/>
        <w:spacing w:line="240" w:lineRule="auto"/>
        <w:rPr>
          <w:i/>
          <w:szCs w:val="22"/>
          <w:lang w:val="de-DE"/>
        </w:rPr>
      </w:pPr>
    </w:p>
    <w:p w:rsidR="00637E20" w:rsidRPr="00DE1967" w:rsidRDefault="005317D2" w:rsidP="0003742E">
      <w:pPr>
        <w:widowControl w:val="0"/>
        <w:spacing w:line="240" w:lineRule="auto"/>
        <w:rPr>
          <w:snapToGrid/>
          <w:szCs w:val="22"/>
          <w:lang w:val="de-DE" w:eastAsia="de-DE"/>
        </w:rPr>
      </w:pPr>
      <w:r w:rsidRPr="00DE1967">
        <w:rPr>
          <w:snapToGrid/>
          <w:szCs w:val="22"/>
          <w:lang w:val="de-DE" w:eastAsia="de-DE"/>
        </w:rPr>
        <w:t>Jede Tablette enthält 40</w:t>
      </w:r>
      <w:r w:rsidR="00023E2B" w:rsidRPr="00DE1967">
        <w:rPr>
          <w:snapToGrid/>
          <w:szCs w:val="22"/>
          <w:lang w:val="de-DE" w:eastAsia="de-DE"/>
        </w:rPr>
        <w:t> mg</w:t>
      </w:r>
      <w:r w:rsidRPr="00DE1967">
        <w:rPr>
          <w:snapToGrid/>
          <w:szCs w:val="22"/>
          <w:lang w:val="de-DE" w:eastAsia="de-DE"/>
        </w:rPr>
        <w:t xml:space="preserve"> Telmisartan und 12,5</w:t>
      </w:r>
      <w:r w:rsidR="00023E2B" w:rsidRPr="00DE1967">
        <w:rPr>
          <w:snapToGrid/>
          <w:szCs w:val="22"/>
          <w:lang w:val="de-DE" w:eastAsia="de-DE"/>
        </w:rPr>
        <w:t> mg</w:t>
      </w:r>
      <w:r w:rsidRPr="00DE1967">
        <w:rPr>
          <w:snapToGrid/>
          <w:szCs w:val="22"/>
          <w:lang w:val="de-DE" w:eastAsia="de-DE"/>
        </w:rPr>
        <w:t xml:space="preserve"> Hydrochlorothiazid.</w:t>
      </w:r>
    </w:p>
    <w:p w:rsidR="005317D2" w:rsidRPr="00DE1967" w:rsidRDefault="005317D2" w:rsidP="0003742E">
      <w:pPr>
        <w:widowControl w:val="0"/>
        <w:spacing w:line="240" w:lineRule="auto"/>
        <w:rPr>
          <w:snapToGrid/>
          <w:szCs w:val="22"/>
          <w:lang w:val="de-DE" w:eastAsia="de-DE"/>
        </w:rPr>
      </w:pPr>
    </w:p>
    <w:p w:rsidR="005317D2" w:rsidRPr="00DE1967" w:rsidRDefault="005317D2" w:rsidP="0003742E">
      <w:pPr>
        <w:widowControl w:val="0"/>
        <w:spacing w:line="240" w:lineRule="auto"/>
        <w:rPr>
          <w:szCs w:val="22"/>
          <w:lang w:val="de-DE"/>
        </w:rPr>
      </w:pPr>
    </w:p>
    <w:p w:rsidR="00637E20" w:rsidRPr="00DE1967" w:rsidRDefault="00637E20"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lang w:val="de-DE"/>
        </w:rPr>
      </w:pPr>
      <w:r w:rsidRPr="00DE1967">
        <w:rPr>
          <w:b/>
          <w:noProof/>
          <w:szCs w:val="22"/>
          <w:lang w:val="de-DE"/>
        </w:rPr>
        <w:t>3.</w:t>
      </w:r>
      <w:r w:rsidRPr="00DE1967">
        <w:rPr>
          <w:b/>
          <w:noProof/>
          <w:szCs w:val="22"/>
          <w:lang w:val="de-DE"/>
        </w:rPr>
        <w:tab/>
        <w:t>SONSTIGE BESTANDTEILE</w:t>
      </w:r>
    </w:p>
    <w:p w:rsidR="005317D2" w:rsidRPr="00DE1967" w:rsidRDefault="005317D2" w:rsidP="0003742E">
      <w:pPr>
        <w:widowControl w:val="0"/>
        <w:tabs>
          <w:tab w:val="clear" w:pos="567"/>
        </w:tabs>
        <w:autoSpaceDE w:val="0"/>
        <w:autoSpaceDN w:val="0"/>
        <w:adjustRightInd w:val="0"/>
        <w:spacing w:line="240" w:lineRule="auto"/>
        <w:rPr>
          <w:snapToGrid/>
          <w:szCs w:val="22"/>
          <w:lang w:val="de-DE" w:eastAsia="de-DE"/>
        </w:rPr>
      </w:pPr>
    </w:p>
    <w:p w:rsidR="005317D2" w:rsidRPr="00DE1967" w:rsidRDefault="005317D2"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Enthält Lactose-Monohydrat und Sorbitol (E420).</w:t>
      </w:r>
    </w:p>
    <w:p w:rsidR="00637E20" w:rsidRPr="00DE1967" w:rsidRDefault="005317D2" w:rsidP="0003742E">
      <w:pPr>
        <w:widowControl w:val="0"/>
        <w:spacing w:line="240" w:lineRule="auto"/>
        <w:rPr>
          <w:snapToGrid/>
          <w:szCs w:val="22"/>
          <w:lang w:val="de-DE" w:eastAsia="de-DE"/>
        </w:rPr>
      </w:pPr>
      <w:r w:rsidRPr="00DE1967">
        <w:rPr>
          <w:snapToGrid/>
          <w:szCs w:val="22"/>
          <w:lang w:val="de-DE" w:eastAsia="de-DE"/>
        </w:rPr>
        <w:t>Packungsbeilage</w:t>
      </w:r>
      <w:r w:rsidR="00171E2D" w:rsidRPr="00DE1967">
        <w:rPr>
          <w:snapToGrid/>
          <w:szCs w:val="22"/>
          <w:lang w:val="de-DE" w:eastAsia="de-DE"/>
        </w:rPr>
        <w:t xml:space="preserve"> beachten</w:t>
      </w:r>
      <w:r w:rsidRPr="00DE1967">
        <w:rPr>
          <w:snapToGrid/>
          <w:szCs w:val="22"/>
          <w:lang w:val="de-DE" w:eastAsia="de-DE"/>
        </w:rPr>
        <w:t>.</w:t>
      </w:r>
    </w:p>
    <w:p w:rsidR="00C46FF1" w:rsidRPr="00DE1967" w:rsidRDefault="00C46FF1" w:rsidP="0003742E">
      <w:pPr>
        <w:widowControl w:val="0"/>
        <w:spacing w:line="240" w:lineRule="auto"/>
        <w:rPr>
          <w:noProof/>
          <w:szCs w:val="22"/>
          <w:lang w:val="de-DE"/>
        </w:rPr>
      </w:pPr>
    </w:p>
    <w:p w:rsidR="00637E20" w:rsidRPr="00DE1967" w:rsidRDefault="00637E20" w:rsidP="0003742E">
      <w:pPr>
        <w:widowControl w:val="0"/>
        <w:spacing w:line="240" w:lineRule="auto"/>
        <w:rPr>
          <w:noProof/>
          <w:szCs w:val="22"/>
          <w:lang w:val="de-DE"/>
        </w:rPr>
      </w:pPr>
    </w:p>
    <w:p w:rsidR="00637E20" w:rsidRPr="00DE1967" w:rsidRDefault="00637E20"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lang w:val="de-DE"/>
        </w:rPr>
      </w:pPr>
      <w:r w:rsidRPr="00DE1967">
        <w:rPr>
          <w:b/>
          <w:noProof/>
          <w:szCs w:val="22"/>
          <w:lang w:val="de-DE"/>
        </w:rPr>
        <w:t>4.</w:t>
      </w:r>
      <w:r w:rsidRPr="00DE1967">
        <w:rPr>
          <w:b/>
          <w:noProof/>
          <w:szCs w:val="22"/>
          <w:lang w:val="de-DE"/>
        </w:rPr>
        <w:tab/>
        <w:t>DARREICHUNGSFORM UND INHALT</w:t>
      </w:r>
    </w:p>
    <w:p w:rsidR="00637E20" w:rsidRPr="00DE1967" w:rsidRDefault="00637E20" w:rsidP="0003742E">
      <w:pPr>
        <w:widowControl w:val="0"/>
        <w:spacing w:line="240" w:lineRule="auto"/>
        <w:rPr>
          <w:noProof/>
          <w:szCs w:val="22"/>
          <w:lang w:val="de-DE"/>
        </w:rPr>
      </w:pPr>
    </w:p>
    <w:p w:rsidR="00797046" w:rsidRPr="00DE1967" w:rsidRDefault="00700858"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Tablette</w:t>
      </w:r>
      <w:r w:rsidR="00797046" w:rsidRPr="00DE1967">
        <w:rPr>
          <w:snapToGrid/>
          <w:szCs w:val="22"/>
          <w:lang w:val="de-DE" w:eastAsia="de-DE"/>
        </w:rPr>
        <w:t>.</w:t>
      </w:r>
    </w:p>
    <w:p w:rsidR="00797046" w:rsidRPr="00DE1967" w:rsidRDefault="00797046" w:rsidP="0003742E">
      <w:pPr>
        <w:widowControl w:val="0"/>
        <w:tabs>
          <w:tab w:val="clear" w:pos="567"/>
        </w:tabs>
        <w:autoSpaceDE w:val="0"/>
        <w:autoSpaceDN w:val="0"/>
        <w:adjustRightInd w:val="0"/>
        <w:spacing w:line="240" w:lineRule="auto"/>
        <w:rPr>
          <w:snapToGrid/>
          <w:szCs w:val="22"/>
          <w:lang w:val="de-DE" w:eastAsia="de-DE"/>
        </w:rPr>
      </w:pPr>
    </w:p>
    <w:p w:rsidR="00797046" w:rsidRPr="00DE1967" w:rsidRDefault="00797046" w:rsidP="0003742E">
      <w:pPr>
        <w:widowControl w:val="0"/>
        <w:tabs>
          <w:tab w:val="clear" w:pos="567"/>
        </w:tabs>
        <w:autoSpaceDE w:val="0"/>
        <w:autoSpaceDN w:val="0"/>
        <w:adjustRightInd w:val="0"/>
        <w:spacing w:line="240" w:lineRule="auto"/>
        <w:rPr>
          <w:i/>
          <w:szCs w:val="22"/>
          <w:u w:val="single"/>
          <w:lang w:val="da-DK"/>
        </w:rPr>
      </w:pPr>
      <w:r w:rsidRPr="00DE1967">
        <w:rPr>
          <w:i/>
          <w:szCs w:val="22"/>
          <w:u w:val="single"/>
          <w:lang w:val="da-DK"/>
        </w:rPr>
        <w:t>Blisterpackung (OPA/Al/PVC-Folie/</w:t>
      </w:r>
      <w:r w:rsidR="006C70AD" w:rsidRPr="00DE1967">
        <w:rPr>
          <w:i/>
          <w:szCs w:val="22"/>
          <w:u w:val="single"/>
          <w:lang w:val="da-DK"/>
        </w:rPr>
        <w:t>/</w:t>
      </w:r>
      <w:r w:rsidRPr="00DE1967">
        <w:rPr>
          <w:i/>
          <w:szCs w:val="22"/>
          <w:u w:val="single"/>
          <w:lang w:val="da-DK"/>
        </w:rPr>
        <w:t>Al-Folie):</w:t>
      </w:r>
    </w:p>
    <w:p w:rsidR="00797046" w:rsidRPr="00DE1967" w:rsidRDefault="00797046" w:rsidP="0003742E">
      <w:pPr>
        <w:widowControl w:val="0"/>
        <w:tabs>
          <w:tab w:val="clear" w:pos="567"/>
        </w:tabs>
        <w:autoSpaceDE w:val="0"/>
        <w:autoSpaceDN w:val="0"/>
        <w:adjustRightInd w:val="0"/>
        <w:spacing w:line="240" w:lineRule="auto"/>
        <w:rPr>
          <w:snapToGrid/>
          <w:szCs w:val="22"/>
          <w:lang w:val="da-DK" w:eastAsia="de-DE"/>
        </w:rPr>
      </w:pPr>
      <w:r w:rsidRPr="00DE1967">
        <w:rPr>
          <w:snapToGrid/>
          <w:szCs w:val="22"/>
          <w:lang w:val="da-DK" w:eastAsia="de-DE"/>
        </w:rPr>
        <w:t>14</w:t>
      </w:r>
      <w:r w:rsidR="00487B8C" w:rsidRPr="00DE1967">
        <w:rPr>
          <w:snapToGrid/>
          <w:szCs w:val="22"/>
          <w:lang w:val="da-DK" w:eastAsia="de-DE"/>
        </w:rPr>
        <w:t> x 1</w:t>
      </w:r>
      <w:r w:rsidRPr="00DE1967">
        <w:rPr>
          <w:snapToGrid/>
          <w:szCs w:val="22"/>
          <w:lang w:val="da-DK" w:eastAsia="de-DE"/>
        </w:rPr>
        <w:t xml:space="preserve"> Tablette</w:t>
      </w:r>
    </w:p>
    <w:p w:rsidR="00797046" w:rsidRPr="00DE1967" w:rsidRDefault="00797046" w:rsidP="0003742E">
      <w:pPr>
        <w:widowControl w:val="0"/>
        <w:tabs>
          <w:tab w:val="clear" w:pos="567"/>
        </w:tabs>
        <w:autoSpaceDE w:val="0"/>
        <w:autoSpaceDN w:val="0"/>
        <w:adjustRightInd w:val="0"/>
        <w:spacing w:line="240" w:lineRule="auto"/>
        <w:rPr>
          <w:snapToGrid/>
          <w:szCs w:val="22"/>
          <w:lang w:val="da-DK" w:eastAsia="de-DE"/>
        </w:rPr>
      </w:pPr>
      <w:r w:rsidRPr="00DE1967">
        <w:rPr>
          <w:snapToGrid/>
          <w:szCs w:val="22"/>
          <w:lang w:val="da-DK" w:eastAsia="de-DE"/>
        </w:rPr>
        <w:t>28</w:t>
      </w:r>
      <w:r w:rsidR="00487B8C" w:rsidRPr="00DE1967">
        <w:rPr>
          <w:snapToGrid/>
          <w:szCs w:val="22"/>
          <w:lang w:val="da-DK" w:eastAsia="de-DE"/>
        </w:rPr>
        <w:t> x 1</w:t>
      </w:r>
      <w:r w:rsidRPr="00DE1967">
        <w:rPr>
          <w:snapToGrid/>
          <w:szCs w:val="22"/>
          <w:lang w:val="da-DK" w:eastAsia="de-DE"/>
        </w:rPr>
        <w:t xml:space="preserve"> Tablette</w:t>
      </w:r>
    </w:p>
    <w:p w:rsidR="00797046" w:rsidRPr="00DE1967" w:rsidRDefault="00797046" w:rsidP="0003742E">
      <w:pPr>
        <w:widowControl w:val="0"/>
        <w:tabs>
          <w:tab w:val="clear" w:pos="567"/>
        </w:tabs>
        <w:autoSpaceDE w:val="0"/>
        <w:autoSpaceDN w:val="0"/>
        <w:adjustRightInd w:val="0"/>
        <w:spacing w:line="240" w:lineRule="auto"/>
        <w:rPr>
          <w:snapToGrid/>
          <w:szCs w:val="22"/>
          <w:lang w:val="da-DK" w:eastAsia="de-DE"/>
        </w:rPr>
      </w:pPr>
      <w:r w:rsidRPr="00DE1967">
        <w:rPr>
          <w:snapToGrid/>
          <w:szCs w:val="22"/>
          <w:lang w:val="da-DK" w:eastAsia="de-DE"/>
        </w:rPr>
        <w:t>30</w:t>
      </w:r>
      <w:r w:rsidR="00487B8C" w:rsidRPr="00DE1967">
        <w:rPr>
          <w:snapToGrid/>
          <w:szCs w:val="22"/>
          <w:lang w:val="da-DK" w:eastAsia="de-DE"/>
        </w:rPr>
        <w:t> x 1</w:t>
      </w:r>
      <w:r w:rsidRPr="00DE1967">
        <w:rPr>
          <w:snapToGrid/>
          <w:szCs w:val="22"/>
          <w:lang w:val="da-DK" w:eastAsia="de-DE"/>
        </w:rPr>
        <w:t xml:space="preserve"> Tablette</w:t>
      </w:r>
    </w:p>
    <w:p w:rsidR="00797046" w:rsidRPr="00DE1967" w:rsidRDefault="00797046" w:rsidP="0003742E">
      <w:pPr>
        <w:widowControl w:val="0"/>
        <w:tabs>
          <w:tab w:val="clear" w:pos="567"/>
        </w:tabs>
        <w:autoSpaceDE w:val="0"/>
        <w:autoSpaceDN w:val="0"/>
        <w:adjustRightInd w:val="0"/>
        <w:spacing w:line="240" w:lineRule="auto"/>
        <w:rPr>
          <w:snapToGrid/>
          <w:szCs w:val="22"/>
          <w:lang w:val="da-DK" w:eastAsia="de-DE"/>
        </w:rPr>
      </w:pPr>
      <w:r w:rsidRPr="00DE1967">
        <w:rPr>
          <w:snapToGrid/>
          <w:szCs w:val="22"/>
          <w:lang w:val="da-DK" w:eastAsia="de-DE"/>
        </w:rPr>
        <w:t>56</w:t>
      </w:r>
      <w:r w:rsidR="00487B8C" w:rsidRPr="00DE1967">
        <w:rPr>
          <w:snapToGrid/>
          <w:szCs w:val="22"/>
          <w:lang w:val="da-DK" w:eastAsia="de-DE"/>
        </w:rPr>
        <w:t> x 1</w:t>
      </w:r>
      <w:r w:rsidRPr="00DE1967">
        <w:rPr>
          <w:snapToGrid/>
          <w:szCs w:val="22"/>
          <w:lang w:val="da-DK" w:eastAsia="de-DE"/>
        </w:rPr>
        <w:t xml:space="preserve"> Tablette</w:t>
      </w:r>
    </w:p>
    <w:p w:rsidR="00797046" w:rsidRPr="00DE1967" w:rsidRDefault="00797046" w:rsidP="0003742E">
      <w:pPr>
        <w:widowControl w:val="0"/>
        <w:tabs>
          <w:tab w:val="clear" w:pos="567"/>
        </w:tabs>
        <w:autoSpaceDE w:val="0"/>
        <w:autoSpaceDN w:val="0"/>
        <w:adjustRightInd w:val="0"/>
        <w:spacing w:line="240" w:lineRule="auto"/>
        <w:rPr>
          <w:snapToGrid/>
          <w:szCs w:val="22"/>
          <w:lang w:val="da-DK" w:eastAsia="de-DE"/>
        </w:rPr>
      </w:pPr>
      <w:r w:rsidRPr="00DE1967">
        <w:rPr>
          <w:snapToGrid/>
          <w:szCs w:val="22"/>
          <w:lang w:val="da-DK" w:eastAsia="de-DE"/>
        </w:rPr>
        <w:t>60</w:t>
      </w:r>
      <w:r w:rsidR="00487B8C" w:rsidRPr="00DE1967">
        <w:rPr>
          <w:snapToGrid/>
          <w:szCs w:val="22"/>
          <w:lang w:val="da-DK" w:eastAsia="de-DE"/>
        </w:rPr>
        <w:t> x 1</w:t>
      </w:r>
      <w:r w:rsidRPr="00DE1967">
        <w:rPr>
          <w:snapToGrid/>
          <w:szCs w:val="22"/>
          <w:lang w:val="da-DK" w:eastAsia="de-DE"/>
        </w:rPr>
        <w:t xml:space="preserve"> Tablette</w:t>
      </w:r>
    </w:p>
    <w:p w:rsidR="00797046" w:rsidRPr="00DE1967" w:rsidRDefault="00797046" w:rsidP="0003742E">
      <w:pPr>
        <w:widowControl w:val="0"/>
        <w:tabs>
          <w:tab w:val="clear" w:pos="567"/>
        </w:tabs>
        <w:autoSpaceDE w:val="0"/>
        <w:autoSpaceDN w:val="0"/>
        <w:adjustRightInd w:val="0"/>
        <w:spacing w:line="240" w:lineRule="auto"/>
        <w:rPr>
          <w:snapToGrid/>
          <w:szCs w:val="22"/>
          <w:lang w:val="da-DK" w:eastAsia="de-DE"/>
        </w:rPr>
      </w:pPr>
      <w:r w:rsidRPr="00DE1967">
        <w:rPr>
          <w:snapToGrid/>
          <w:szCs w:val="22"/>
          <w:lang w:val="da-DK" w:eastAsia="de-DE"/>
        </w:rPr>
        <w:t>84</w:t>
      </w:r>
      <w:r w:rsidR="00487B8C" w:rsidRPr="00DE1967">
        <w:rPr>
          <w:snapToGrid/>
          <w:szCs w:val="22"/>
          <w:lang w:val="da-DK" w:eastAsia="de-DE"/>
        </w:rPr>
        <w:t> x 1</w:t>
      </w:r>
      <w:r w:rsidRPr="00DE1967">
        <w:rPr>
          <w:snapToGrid/>
          <w:szCs w:val="22"/>
          <w:lang w:val="da-DK" w:eastAsia="de-DE"/>
        </w:rPr>
        <w:t xml:space="preserve"> Tablette</w:t>
      </w:r>
    </w:p>
    <w:p w:rsidR="00797046" w:rsidRPr="00DE1967" w:rsidRDefault="00797046" w:rsidP="0003742E">
      <w:pPr>
        <w:widowControl w:val="0"/>
        <w:tabs>
          <w:tab w:val="clear" w:pos="567"/>
        </w:tabs>
        <w:autoSpaceDE w:val="0"/>
        <w:autoSpaceDN w:val="0"/>
        <w:adjustRightInd w:val="0"/>
        <w:spacing w:line="240" w:lineRule="auto"/>
        <w:rPr>
          <w:snapToGrid/>
          <w:szCs w:val="22"/>
          <w:lang w:val="da-DK" w:eastAsia="de-DE"/>
        </w:rPr>
      </w:pPr>
      <w:r w:rsidRPr="00DE1967">
        <w:rPr>
          <w:snapToGrid/>
          <w:szCs w:val="22"/>
          <w:lang w:val="da-DK" w:eastAsia="de-DE"/>
        </w:rPr>
        <w:t>90</w:t>
      </w:r>
      <w:r w:rsidR="00487B8C" w:rsidRPr="00DE1967">
        <w:rPr>
          <w:snapToGrid/>
          <w:szCs w:val="22"/>
          <w:lang w:val="da-DK" w:eastAsia="de-DE"/>
        </w:rPr>
        <w:t> x 1</w:t>
      </w:r>
      <w:r w:rsidRPr="00DE1967">
        <w:rPr>
          <w:snapToGrid/>
          <w:szCs w:val="22"/>
          <w:lang w:val="da-DK" w:eastAsia="de-DE"/>
        </w:rPr>
        <w:t xml:space="preserve"> Tablette</w:t>
      </w:r>
    </w:p>
    <w:p w:rsidR="00544F89" w:rsidRPr="00DE1967" w:rsidRDefault="00797046" w:rsidP="0003742E">
      <w:pPr>
        <w:widowControl w:val="0"/>
        <w:autoSpaceDE w:val="0"/>
        <w:autoSpaceDN w:val="0"/>
        <w:adjustRightInd w:val="0"/>
        <w:spacing w:line="240" w:lineRule="auto"/>
        <w:rPr>
          <w:szCs w:val="22"/>
          <w:lang w:val="da-DK"/>
        </w:rPr>
      </w:pPr>
      <w:r w:rsidRPr="00DE1967">
        <w:rPr>
          <w:snapToGrid/>
          <w:szCs w:val="22"/>
          <w:lang w:val="da-DK" w:eastAsia="de-DE"/>
        </w:rPr>
        <w:t>98</w:t>
      </w:r>
      <w:r w:rsidR="00487B8C" w:rsidRPr="00DE1967">
        <w:rPr>
          <w:snapToGrid/>
          <w:szCs w:val="22"/>
          <w:lang w:val="da-DK" w:eastAsia="de-DE"/>
        </w:rPr>
        <w:t> x 1</w:t>
      </w:r>
      <w:r w:rsidRPr="00DE1967">
        <w:rPr>
          <w:snapToGrid/>
          <w:szCs w:val="22"/>
          <w:lang w:val="da-DK" w:eastAsia="de-DE"/>
        </w:rPr>
        <w:t xml:space="preserve"> Tablette</w:t>
      </w:r>
    </w:p>
    <w:p w:rsidR="0003742E" w:rsidRPr="00DE1967" w:rsidRDefault="0003742E" w:rsidP="0003742E">
      <w:pPr>
        <w:widowControl w:val="0"/>
        <w:autoSpaceDE w:val="0"/>
        <w:autoSpaceDN w:val="0"/>
        <w:adjustRightInd w:val="0"/>
        <w:spacing w:line="240" w:lineRule="auto"/>
        <w:rPr>
          <w:szCs w:val="22"/>
          <w:lang w:val="da-DK"/>
        </w:rPr>
      </w:pPr>
      <w:r w:rsidRPr="00DE1967">
        <w:rPr>
          <w:snapToGrid/>
          <w:szCs w:val="22"/>
          <w:lang w:val="da-DK" w:eastAsia="de-DE"/>
        </w:rPr>
        <w:t>100</w:t>
      </w:r>
      <w:r w:rsidR="00487B8C" w:rsidRPr="00DE1967">
        <w:rPr>
          <w:snapToGrid/>
          <w:szCs w:val="22"/>
          <w:lang w:val="da-DK" w:eastAsia="de-DE"/>
        </w:rPr>
        <w:t> x 1</w:t>
      </w:r>
      <w:r w:rsidRPr="00DE1967">
        <w:rPr>
          <w:snapToGrid/>
          <w:szCs w:val="22"/>
          <w:lang w:val="da-DK" w:eastAsia="de-DE"/>
        </w:rPr>
        <w:t xml:space="preserve"> Tablette</w:t>
      </w:r>
    </w:p>
    <w:p w:rsidR="00797046" w:rsidRPr="00DE1967" w:rsidRDefault="00797046" w:rsidP="0003742E">
      <w:pPr>
        <w:widowControl w:val="0"/>
        <w:autoSpaceDE w:val="0"/>
        <w:autoSpaceDN w:val="0"/>
        <w:adjustRightInd w:val="0"/>
        <w:spacing w:line="240" w:lineRule="auto"/>
        <w:rPr>
          <w:szCs w:val="22"/>
          <w:lang w:val="da-DK"/>
        </w:rPr>
      </w:pPr>
    </w:p>
    <w:p w:rsidR="00797046" w:rsidRPr="00DE1967" w:rsidRDefault="00D60896" w:rsidP="0003742E">
      <w:pPr>
        <w:widowControl w:val="0"/>
        <w:autoSpaceDE w:val="0"/>
        <w:autoSpaceDN w:val="0"/>
        <w:adjustRightInd w:val="0"/>
        <w:spacing w:line="240" w:lineRule="auto"/>
        <w:rPr>
          <w:i/>
          <w:snapToGrid/>
          <w:szCs w:val="22"/>
          <w:u w:val="single"/>
          <w:lang w:val="da-DK" w:eastAsia="de-DE"/>
        </w:rPr>
      </w:pPr>
      <w:r w:rsidRPr="00DE1967">
        <w:rPr>
          <w:i/>
          <w:snapToGrid/>
          <w:szCs w:val="22"/>
          <w:u w:val="single"/>
          <w:lang w:val="da-DK" w:eastAsia="de-DE"/>
        </w:rPr>
        <w:t>Blisterpackung (OPA/Al/PE</w:t>
      </w:r>
      <w:r w:rsidR="00797046" w:rsidRPr="00DE1967">
        <w:rPr>
          <w:i/>
          <w:snapToGrid/>
          <w:szCs w:val="22"/>
          <w:u w:val="single"/>
          <w:lang w:val="da-DK" w:eastAsia="de-DE"/>
        </w:rPr>
        <w:t>-Folie mit Trockenmittel/</w:t>
      </w:r>
      <w:r w:rsidR="006C70AD" w:rsidRPr="00DE1967">
        <w:rPr>
          <w:i/>
          <w:snapToGrid/>
          <w:szCs w:val="22"/>
          <w:u w:val="single"/>
          <w:lang w:val="da-DK" w:eastAsia="de-DE"/>
        </w:rPr>
        <w:t>/</w:t>
      </w:r>
      <w:r w:rsidR="00797046" w:rsidRPr="00DE1967">
        <w:rPr>
          <w:i/>
          <w:snapToGrid/>
          <w:szCs w:val="22"/>
          <w:u w:val="single"/>
          <w:lang w:val="da-DK" w:eastAsia="de-DE"/>
        </w:rPr>
        <w:t>Al-Folie):</w:t>
      </w:r>
    </w:p>
    <w:p w:rsidR="00797046" w:rsidRPr="00DE1967" w:rsidRDefault="00797046" w:rsidP="0003742E">
      <w:pPr>
        <w:widowControl w:val="0"/>
        <w:autoSpaceDE w:val="0"/>
        <w:autoSpaceDN w:val="0"/>
        <w:adjustRightInd w:val="0"/>
        <w:spacing w:line="240" w:lineRule="auto"/>
        <w:rPr>
          <w:szCs w:val="22"/>
          <w:lang w:val="de-DE"/>
        </w:rPr>
      </w:pPr>
      <w:r w:rsidRPr="00DE1967">
        <w:rPr>
          <w:szCs w:val="22"/>
          <w:lang w:val="de-DE"/>
        </w:rPr>
        <w:t>14</w:t>
      </w:r>
      <w:r w:rsidR="00487B8C" w:rsidRPr="00DE1967">
        <w:rPr>
          <w:snapToGrid/>
          <w:szCs w:val="22"/>
          <w:lang w:val="de-DE" w:eastAsia="de-DE"/>
        </w:rPr>
        <w:t> x 1</w:t>
      </w:r>
      <w:r w:rsidRPr="00DE1967">
        <w:rPr>
          <w:szCs w:val="22"/>
          <w:lang w:val="de-DE"/>
        </w:rPr>
        <w:t xml:space="preserve"> Tablette</w:t>
      </w:r>
    </w:p>
    <w:p w:rsidR="00797046" w:rsidRPr="00DE1967" w:rsidRDefault="00797046" w:rsidP="0003742E">
      <w:pPr>
        <w:widowControl w:val="0"/>
        <w:autoSpaceDE w:val="0"/>
        <w:autoSpaceDN w:val="0"/>
        <w:adjustRightInd w:val="0"/>
        <w:spacing w:line="240" w:lineRule="auto"/>
        <w:rPr>
          <w:snapToGrid/>
          <w:szCs w:val="22"/>
          <w:lang w:val="de-DE" w:eastAsia="de-DE"/>
        </w:rPr>
      </w:pPr>
      <w:r w:rsidRPr="00DE1967">
        <w:rPr>
          <w:snapToGrid/>
          <w:szCs w:val="22"/>
          <w:lang w:val="de-DE" w:eastAsia="de-DE"/>
        </w:rPr>
        <w:t>98</w:t>
      </w:r>
      <w:r w:rsidR="00487B8C" w:rsidRPr="00DE1967">
        <w:rPr>
          <w:snapToGrid/>
          <w:szCs w:val="22"/>
          <w:lang w:val="de-DE" w:eastAsia="de-DE"/>
        </w:rPr>
        <w:t> x 1</w:t>
      </w:r>
      <w:r w:rsidRPr="00DE1967">
        <w:rPr>
          <w:snapToGrid/>
          <w:szCs w:val="22"/>
          <w:lang w:val="de-DE" w:eastAsia="de-DE"/>
        </w:rPr>
        <w:t xml:space="preserve"> Tablette</w:t>
      </w:r>
    </w:p>
    <w:p w:rsidR="00797046" w:rsidRPr="00DE1967" w:rsidRDefault="00797046" w:rsidP="0003742E">
      <w:pPr>
        <w:widowControl w:val="0"/>
        <w:autoSpaceDE w:val="0"/>
        <w:autoSpaceDN w:val="0"/>
        <w:adjustRightInd w:val="0"/>
        <w:spacing w:line="240" w:lineRule="auto"/>
        <w:rPr>
          <w:snapToGrid/>
          <w:szCs w:val="22"/>
          <w:lang w:val="de-DE" w:eastAsia="de-DE"/>
        </w:rPr>
      </w:pPr>
    </w:p>
    <w:p w:rsidR="00797046" w:rsidRPr="00DE1967" w:rsidRDefault="00797046" w:rsidP="0003742E">
      <w:pPr>
        <w:widowControl w:val="0"/>
        <w:tabs>
          <w:tab w:val="clear" w:pos="567"/>
        </w:tabs>
        <w:autoSpaceDE w:val="0"/>
        <w:autoSpaceDN w:val="0"/>
        <w:adjustRightInd w:val="0"/>
        <w:spacing w:line="240" w:lineRule="auto"/>
        <w:rPr>
          <w:snapToGrid/>
          <w:szCs w:val="22"/>
          <w:lang w:val="de-DE" w:eastAsia="de-DE"/>
        </w:rPr>
      </w:pPr>
    </w:p>
    <w:p w:rsidR="00637E20" w:rsidRPr="00DE1967" w:rsidRDefault="00637E20"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lang w:val="de-DE"/>
        </w:rPr>
      </w:pPr>
      <w:r w:rsidRPr="00DE1967">
        <w:rPr>
          <w:b/>
          <w:noProof/>
          <w:szCs w:val="22"/>
          <w:lang w:val="de-DE"/>
        </w:rPr>
        <w:t>5.</w:t>
      </w:r>
      <w:r w:rsidRPr="00DE1967">
        <w:rPr>
          <w:b/>
          <w:noProof/>
          <w:szCs w:val="22"/>
          <w:lang w:val="de-DE"/>
        </w:rPr>
        <w:tab/>
      </w:r>
      <w:r w:rsidRPr="00DE1967">
        <w:rPr>
          <w:b/>
          <w:caps/>
          <w:noProof/>
          <w:szCs w:val="22"/>
          <w:lang w:val="de-DE"/>
        </w:rPr>
        <w:t>Hinweise zur</w:t>
      </w:r>
      <w:r w:rsidRPr="00DE1967">
        <w:rPr>
          <w:b/>
          <w:noProof/>
          <w:szCs w:val="22"/>
          <w:lang w:val="de-DE"/>
        </w:rPr>
        <w:t xml:space="preserve"> UND ART(EN) DER ANWENDUNG</w:t>
      </w:r>
    </w:p>
    <w:p w:rsidR="00637E20" w:rsidRPr="00DE1967" w:rsidRDefault="00637E20" w:rsidP="0003742E">
      <w:pPr>
        <w:widowControl w:val="0"/>
        <w:spacing w:line="240" w:lineRule="auto"/>
        <w:rPr>
          <w:szCs w:val="22"/>
          <w:lang w:val="de-DE"/>
        </w:rPr>
      </w:pPr>
    </w:p>
    <w:p w:rsidR="00637E20" w:rsidRPr="00DE1967" w:rsidRDefault="00637E20" w:rsidP="0003742E">
      <w:pPr>
        <w:widowControl w:val="0"/>
        <w:spacing w:line="240" w:lineRule="auto"/>
        <w:rPr>
          <w:noProof/>
          <w:szCs w:val="22"/>
          <w:lang w:val="de-DE"/>
        </w:rPr>
      </w:pPr>
      <w:r w:rsidRPr="00DE1967">
        <w:rPr>
          <w:noProof/>
          <w:szCs w:val="22"/>
          <w:lang w:val="de-DE"/>
        </w:rPr>
        <w:t>Packungsbeilage beachten.</w:t>
      </w:r>
    </w:p>
    <w:p w:rsidR="00797046" w:rsidRPr="00DE1967" w:rsidRDefault="00797046" w:rsidP="0003742E">
      <w:pPr>
        <w:widowControl w:val="0"/>
        <w:spacing w:line="240" w:lineRule="auto"/>
        <w:rPr>
          <w:szCs w:val="22"/>
          <w:lang w:val="de-DE"/>
        </w:rPr>
      </w:pPr>
      <w:r w:rsidRPr="00DE1967">
        <w:rPr>
          <w:noProof/>
          <w:szCs w:val="22"/>
          <w:lang w:val="de-DE"/>
        </w:rPr>
        <w:t>Zum Einnehmen</w:t>
      </w:r>
      <w:r w:rsidR="00F710EE" w:rsidRPr="00DE1967">
        <w:rPr>
          <w:noProof/>
          <w:szCs w:val="22"/>
          <w:lang w:val="de-DE"/>
        </w:rPr>
        <w:t>.</w:t>
      </w:r>
    </w:p>
    <w:p w:rsidR="00637E20" w:rsidRPr="00DE1967" w:rsidRDefault="00637E20" w:rsidP="0003742E">
      <w:pPr>
        <w:widowControl w:val="0"/>
        <w:autoSpaceDE w:val="0"/>
        <w:autoSpaceDN w:val="0"/>
        <w:adjustRightInd w:val="0"/>
        <w:spacing w:line="240" w:lineRule="auto"/>
        <w:rPr>
          <w:szCs w:val="22"/>
          <w:lang w:val="de-DE"/>
        </w:rPr>
      </w:pPr>
    </w:p>
    <w:p w:rsidR="00637E20" w:rsidRPr="00DE1967" w:rsidRDefault="00637E20" w:rsidP="0003742E">
      <w:pPr>
        <w:widowControl w:val="0"/>
        <w:autoSpaceDE w:val="0"/>
        <w:autoSpaceDN w:val="0"/>
        <w:adjustRightInd w:val="0"/>
        <w:spacing w:line="240" w:lineRule="auto"/>
        <w:rPr>
          <w:szCs w:val="22"/>
          <w:lang w:val="de-DE"/>
        </w:rPr>
      </w:pPr>
    </w:p>
    <w:p w:rsidR="00637E20" w:rsidRPr="00DE1967" w:rsidRDefault="00637E20"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lang w:val="de-DE"/>
        </w:rPr>
      </w:pPr>
      <w:r w:rsidRPr="00DE1967">
        <w:rPr>
          <w:b/>
          <w:noProof/>
          <w:szCs w:val="22"/>
          <w:lang w:val="de-DE"/>
        </w:rPr>
        <w:t>6.</w:t>
      </w:r>
      <w:r w:rsidRPr="00DE1967">
        <w:rPr>
          <w:b/>
          <w:noProof/>
          <w:szCs w:val="22"/>
          <w:lang w:val="de-DE"/>
        </w:rPr>
        <w:tab/>
        <w:t xml:space="preserve">WARNHINWEIS, DASS DAS ARZNEIMITTEL FÜR KINDER </w:t>
      </w:r>
      <w:r w:rsidR="00171E2D" w:rsidRPr="00DE1967">
        <w:rPr>
          <w:b/>
          <w:noProof/>
          <w:szCs w:val="22"/>
          <w:lang w:val="de-DE"/>
        </w:rPr>
        <w:t>UNZUGÄNGLICH</w:t>
      </w:r>
      <w:r w:rsidRPr="00DE1967">
        <w:rPr>
          <w:b/>
          <w:noProof/>
          <w:szCs w:val="22"/>
          <w:lang w:val="de-DE"/>
        </w:rPr>
        <w:t xml:space="preserve"> AUFZUBEWAHREN IST</w:t>
      </w:r>
    </w:p>
    <w:p w:rsidR="00637E20" w:rsidRPr="00DE1967" w:rsidRDefault="00637E20" w:rsidP="0003742E">
      <w:pPr>
        <w:widowControl w:val="0"/>
        <w:spacing w:line="240" w:lineRule="auto"/>
        <w:rPr>
          <w:szCs w:val="22"/>
          <w:lang w:val="de-DE"/>
        </w:rPr>
      </w:pPr>
    </w:p>
    <w:p w:rsidR="00637E20" w:rsidRPr="00DE1967" w:rsidRDefault="00637E20" w:rsidP="0003742E">
      <w:pPr>
        <w:widowControl w:val="0"/>
        <w:spacing w:line="240" w:lineRule="auto"/>
        <w:outlineLvl w:val="0"/>
        <w:rPr>
          <w:szCs w:val="22"/>
          <w:lang w:val="de-DE"/>
        </w:rPr>
      </w:pPr>
      <w:r w:rsidRPr="00DE1967">
        <w:rPr>
          <w:noProof/>
          <w:szCs w:val="22"/>
          <w:lang w:val="de-DE"/>
        </w:rPr>
        <w:t>Arzneimittel für Kinder unzugänglich aufbewahren.</w:t>
      </w:r>
    </w:p>
    <w:p w:rsidR="00637E20" w:rsidRPr="00DE1967" w:rsidRDefault="00637E20" w:rsidP="0003742E">
      <w:pPr>
        <w:widowControl w:val="0"/>
        <w:spacing w:line="240" w:lineRule="auto"/>
        <w:rPr>
          <w:szCs w:val="22"/>
          <w:lang w:val="de-DE"/>
        </w:rPr>
      </w:pPr>
    </w:p>
    <w:p w:rsidR="00637E20" w:rsidRPr="00DE1967" w:rsidRDefault="00637E20" w:rsidP="0003742E">
      <w:pPr>
        <w:widowControl w:val="0"/>
        <w:spacing w:line="240" w:lineRule="auto"/>
        <w:rPr>
          <w:szCs w:val="22"/>
          <w:lang w:val="de-DE"/>
        </w:rPr>
      </w:pPr>
    </w:p>
    <w:p w:rsidR="00637E20" w:rsidRPr="00DE1967" w:rsidRDefault="00637E20"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lang w:val="de-DE"/>
        </w:rPr>
      </w:pPr>
      <w:r w:rsidRPr="00DE1967">
        <w:rPr>
          <w:b/>
          <w:noProof/>
          <w:szCs w:val="22"/>
          <w:lang w:val="de-DE"/>
        </w:rPr>
        <w:t>7.</w:t>
      </w:r>
      <w:r w:rsidRPr="00DE1967">
        <w:rPr>
          <w:b/>
          <w:noProof/>
          <w:szCs w:val="22"/>
          <w:lang w:val="de-DE"/>
        </w:rPr>
        <w:tab/>
        <w:t>WEITERE WARNHINWEISE, FALLS ERFORDERLICH</w:t>
      </w:r>
    </w:p>
    <w:p w:rsidR="00637E20" w:rsidRPr="00DE1967" w:rsidRDefault="00637E20" w:rsidP="0003742E">
      <w:pPr>
        <w:widowControl w:val="0"/>
        <w:spacing w:line="240" w:lineRule="auto"/>
        <w:rPr>
          <w:szCs w:val="22"/>
          <w:lang w:val="de-DE"/>
        </w:rPr>
      </w:pPr>
    </w:p>
    <w:p w:rsidR="00637E20" w:rsidRPr="00DE1967" w:rsidRDefault="00637E20" w:rsidP="0003742E">
      <w:pPr>
        <w:widowControl w:val="0"/>
        <w:tabs>
          <w:tab w:val="left" w:pos="749"/>
        </w:tabs>
        <w:spacing w:line="240" w:lineRule="auto"/>
        <w:rPr>
          <w:szCs w:val="22"/>
          <w:lang w:val="de-DE"/>
        </w:rPr>
      </w:pPr>
    </w:p>
    <w:p w:rsidR="00637E20" w:rsidRPr="00DE1967" w:rsidRDefault="00637E20"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lang w:val="de-DE"/>
        </w:rPr>
      </w:pPr>
      <w:r w:rsidRPr="00DE1967">
        <w:rPr>
          <w:b/>
          <w:noProof/>
          <w:szCs w:val="22"/>
          <w:lang w:val="de-DE"/>
        </w:rPr>
        <w:t>8.</w:t>
      </w:r>
      <w:r w:rsidRPr="00DE1967">
        <w:rPr>
          <w:b/>
          <w:noProof/>
          <w:szCs w:val="22"/>
          <w:lang w:val="de-DE"/>
        </w:rPr>
        <w:tab/>
        <w:t>VERFALLDATUM</w:t>
      </w:r>
    </w:p>
    <w:p w:rsidR="00797046" w:rsidRPr="00DE1967" w:rsidRDefault="00797046" w:rsidP="0003742E">
      <w:pPr>
        <w:widowControl w:val="0"/>
        <w:spacing w:line="240" w:lineRule="auto"/>
        <w:rPr>
          <w:snapToGrid/>
          <w:szCs w:val="22"/>
          <w:lang w:val="de-DE" w:eastAsia="de-DE"/>
        </w:rPr>
      </w:pPr>
    </w:p>
    <w:p w:rsidR="0009359E" w:rsidRPr="00DE1967" w:rsidRDefault="00171E2D" w:rsidP="0009359E">
      <w:pPr>
        <w:widowControl w:val="0"/>
        <w:spacing w:line="240" w:lineRule="auto"/>
        <w:rPr>
          <w:noProof/>
          <w:szCs w:val="22"/>
          <w:lang w:val="de-DE"/>
        </w:rPr>
      </w:pPr>
      <w:r w:rsidRPr="00DE1967">
        <w:rPr>
          <w:snapToGrid/>
          <w:szCs w:val="22"/>
          <w:lang w:val="de-DE" w:eastAsia="de-DE"/>
        </w:rPr>
        <w:t>v</w:t>
      </w:r>
      <w:r w:rsidR="0009359E" w:rsidRPr="00DE1967">
        <w:rPr>
          <w:snapToGrid/>
          <w:szCs w:val="22"/>
          <w:lang w:val="de-DE" w:eastAsia="de-DE"/>
        </w:rPr>
        <w:t>erwendbar bis</w:t>
      </w:r>
    </w:p>
    <w:p w:rsidR="0003742E" w:rsidRPr="00DE1967" w:rsidRDefault="0003742E" w:rsidP="0003742E">
      <w:pPr>
        <w:widowControl w:val="0"/>
        <w:spacing w:line="240" w:lineRule="auto"/>
        <w:rPr>
          <w:noProof/>
          <w:szCs w:val="22"/>
          <w:lang w:val="de-DE"/>
        </w:rPr>
      </w:pPr>
    </w:p>
    <w:p w:rsidR="00637E20" w:rsidRPr="00DE1967" w:rsidRDefault="00637E20" w:rsidP="0003742E">
      <w:pPr>
        <w:widowControl w:val="0"/>
        <w:spacing w:line="240" w:lineRule="auto"/>
        <w:rPr>
          <w:noProof/>
          <w:szCs w:val="22"/>
          <w:lang w:val="de-DE"/>
        </w:rPr>
      </w:pPr>
    </w:p>
    <w:p w:rsidR="00544F89" w:rsidRPr="00DE1967" w:rsidRDefault="00637E20"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b/>
          <w:szCs w:val="22"/>
          <w:lang w:val="de-DE"/>
        </w:rPr>
      </w:pPr>
      <w:r w:rsidRPr="00DE1967">
        <w:rPr>
          <w:b/>
          <w:noProof/>
          <w:szCs w:val="22"/>
          <w:lang w:val="de-DE"/>
        </w:rPr>
        <w:t>9.</w:t>
      </w:r>
      <w:r w:rsidRPr="00DE1967">
        <w:rPr>
          <w:b/>
          <w:noProof/>
          <w:szCs w:val="22"/>
          <w:lang w:val="de-DE"/>
        </w:rPr>
        <w:tab/>
        <w:t>BESONDERE VORSICHTSMASSNAHMEN FÜR DIE AUFBEWAHRUNG</w:t>
      </w:r>
    </w:p>
    <w:p w:rsidR="00637E20" w:rsidRPr="00DE1967" w:rsidRDefault="00637E20" w:rsidP="0003742E">
      <w:pPr>
        <w:widowControl w:val="0"/>
        <w:spacing w:line="240" w:lineRule="auto"/>
        <w:ind w:left="567" w:hanging="567"/>
        <w:rPr>
          <w:noProof/>
          <w:szCs w:val="22"/>
          <w:lang w:val="de-DE"/>
        </w:rPr>
      </w:pPr>
    </w:p>
    <w:p w:rsidR="005653E6" w:rsidRPr="00DE1967" w:rsidRDefault="005653E6" w:rsidP="005653E6">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 der Originalpackung aufbewahren, um den Inhalt vor Licht zu schützen.</w:t>
      </w:r>
    </w:p>
    <w:p w:rsidR="00AF2380" w:rsidRPr="00DE1967" w:rsidRDefault="00AF2380" w:rsidP="0003742E">
      <w:pPr>
        <w:widowControl w:val="0"/>
        <w:spacing w:line="240" w:lineRule="auto"/>
        <w:ind w:left="567" w:hanging="567"/>
        <w:rPr>
          <w:noProof/>
          <w:szCs w:val="22"/>
          <w:lang w:val="de-DE"/>
        </w:rPr>
      </w:pPr>
    </w:p>
    <w:p w:rsidR="0003742E" w:rsidRPr="00DE1967" w:rsidRDefault="0003742E" w:rsidP="0003742E">
      <w:pPr>
        <w:widowControl w:val="0"/>
        <w:spacing w:line="240" w:lineRule="auto"/>
        <w:ind w:left="567" w:hanging="567"/>
        <w:rPr>
          <w:noProof/>
          <w:szCs w:val="22"/>
          <w:lang w:val="de-DE"/>
        </w:rPr>
      </w:pPr>
    </w:p>
    <w:p w:rsidR="00637E20" w:rsidRPr="00DE1967" w:rsidRDefault="00637E20"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lang w:val="de-DE"/>
        </w:rPr>
      </w:pPr>
      <w:r w:rsidRPr="00DE1967">
        <w:rPr>
          <w:b/>
          <w:noProof/>
          <w:szCs w:val="22"/>
          <w:lang w:val="de-DE"/>
        </w:rPr>
        <w:t>10.</w:t>
      </w:r>
      <w:r w:rsidRPr="00DE1967">
        <w:rPr>
          <w:b/>
          <w:noProof/>
          <w:szCs w:val="22"/>
          <w:lang w:val="de-DE"/>
        </w:rPr>
        <w:tab/>
        <w:t>GEGEBENENFALLS BESONDERE VORSICHTSMASSNAHMEN FÜR DIE BESEITIGUNG VON NICHT VERWENDETEM ARZNEIMITTEL ODER DAVON STAMMENDEN ABFALLMATERIALIEN</w:t>
      </w:r>
    </w:p>
    <w:p w:rsidR="00637E20" w:rsidRPr="00DE1967" w:rsidRDefault="00637E20" w:rsidP="0003742E">
      <w:pPr>
        <w:widowControl w:val="0"/>
        <w:spacing w:line="240" w:lineRule="auto"/>
        <w:rPr>
          <w:noProof/>
          <w:szCs w:val="22"/>
          <w:lang w:val="de-DE"/>
        </w:rPr>
      </w:pPr>
    </w:p>
    <w:p w:rsidR="00637E20" w:rsidRPr="00DE1967" w:rsidRDefault="00637E20" w:rsidP="0003742E">
      <w:pPr>
        <w:widowControl w:val="0"/>
        <w:spacing w:line="240" w:lineRule="auto"/>
        <w:rPr>
          <w:noProof/>
          <w:szCs w:val="22"/>
          <w:lang w:val="de-DE"/>
        </w:rPr>
      </w:pPr>
    </w:p>
    <w:p w:rsidR="00637E20" w:rsidRPr="00DE1967" w:rsidRDefault="00637E20" w:rsidP="0003742E">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lang w:val="de-DE"/>
        </w:rPr>
      </w:pPr>
      <w:r w:rsidRPr="00DE1967">
        <w:rPr>
          <w:b/>
          <w:noProof/>
          <w:szCs w:val="22"/>
          <w:lang w:val="de-DE"/>
        </w:rPr>
        <w:t>11.</w:t>
      </w:r>
      <w:r w:rsidRPr="00DE1967">
        <w:rPr>
          <w:b/>
          <w:noProof/>
          <w:szCs w:val="22"/>
          <w:lang w:val="de-DE"/>
        </w:rPr>
        <w:tab/>
        <w:t>NAME UND ANSCHRIFT DES PHARMAZEUTISCHEN UNTERNEHMERS</w:t>
      </w:r>
    </w:p>
    <w:p w:rsidR="00637E20" w:rsidRPr="00DE1967" w:rsidRDefault="00637E20" w:rsidP="0003742E">
      <w:pPr>
        <w:widowControl w:val="0"/>
        <w:spacing w:line="240" w:lineRule="auto"/>
        <w:rPr>
          <w:szCs w:val="22"/>
          <w:lang w:val="de-DE"/>
        </w:rPr>
      </w:pPr>
    </w:p>
    <w:p w:rsidR="00AF2380" w:rsidRPr="00DE1967" w:rsidRDefault="00AF2380" w:rsidP="0003742E">
      <w:pPr>
        <w:widowControl w:val="0"/>
        <w:spacing w:line="240" w:lineRule="auto"/>
        <w:jc w:val="both"/>
        <w:rPr>
          <w:szCs w:val="22"/>
          <w:lang w:val="it-IT"/>
        </w:rPr>
      </w:pPr>
      <w:r w:rsidRPr="00DE1967">
        <w:rPr>
          <w:szCs w:val="22"/>
          <w:lang w:val="it-IT"/>
        </w:rPr>
        <w:t xml:space="preserve">KRKA, </w:t>
      </w:r>
      <w:proofErr w:type="spellStart"/>
      <w:r w:rsidRPr="00DE1967">
        <w:rPr>
          <w:szCs w:val="22"/>
          <w:lang w:val="it-IT"/>
        </w:rPr>
        <w:t>d.d</w:t>
      </w:r>
      <w:proofErr w:type="spellEnd"/>
      <w:r w:rsidRPr="00DE1967">
        <w:rPr>
          <w:szCs w:val="22"/>
          <w:lang w:val="it-IT"/>
        </w:rPr>
        <w:t xml:space="preserve">., Novo mesto, </w:t>
      </w:r>
      <w:proofErr w:type="spellStart"/>
      <w:r w:rsidRPr="00DE1967">
        <w:rPr>
          <w:szCs w:val="22"/>
          <w:lang w:val="it-IT"/>
        </w:rPr>
        <w:t>Šmarješka</w:t>
      </w:r>
      <w:proofErr w:type="spellEnd"/>
      <w:r w:rsidRPr="00DE1967">
        <w:rPr>
          <w:szCs w:val="22"/>
          <w:lang w:val="it-IT"/>
        </w:rPr>
        <w:t xml:space="preserve"> cesta 6, 8501 Novo mesto, </w:t>
      </w:r>
      <w:proofErr w:type="spellStart"/>
      <w:r w:rsidRPr="00DE1967">
        <w:rPr>
          <w:szCs w:val="22"/>
          <w:lang w:val="it-IT"/>
        </w:rPr>
        <w:t>Slowenien</w:t>
      </w:r>
      <w:proofErr w:type="spellEnd"/>
    </w:p>
    <w:p w:rsidR="00637E20" w:rsidRPr="00DE1967" w:rsidRDefault="00637E20" w:rsidP="0003742E">
      <w:pPr>
        <w:widowControl w:val="0"/>
        <w:spacing w:line="240" w:lineRule="auto"/>
        <w:rPr>
          <w:szCs w:val="22"/>
          <w:lang w:val="it-IT"/>
        </w:rPr>
      </w:pPr>
    </w:p>
    <w:p w:rsidR="00637E20" w:rsidRPr="00DE1967" w:rsidRDefault="00637E20" w:rsidP="0003742E">
      <w:pPr>
        <w:widowControl w:val="0"/>
        <w:spacing w:line="240" w:lineRule="auto"/>
        <w:rPr>
          <w:szCs w:val="22"/>
          <w:lang w:val="it-IT"/>
        </w:rPr>
      </w:pPr>
    </w:p>
    <w:p w:rsidR="00544F89" w:rsidRPr="00DE1967" w:rsidRDefault="00637E20"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lang w:val="de-DE"/>
        </w:rPr>
      </w:pPr>
      <w:r w:rsidRPr="00DE1967">
        <w:rPr>
          <w:b/>
          <w:noProof/>
          <w:szCs w:val="22"/>
          <w:lang w:val="de-DE"/>
        </w:rPr>
        <w:t>12.</w:t>
      </w:r>
      <w:r w:rsidRPr="00DE1967">
        <w:rPr>
          <w:b/>
          <w:noProof/>
          <w:szCs w:val="22"/>
          <w:lang w:val="de-DE"/>
        </w:rPr>
        <w:tab/>
        <w:t>ZULASSUNGSNUMMER(N)</w:t>
      </w:r>
    </w:p>
    <w:p w:rsidR="00637E20" w:rsidRPr="00DE1967" w:rsidRDefault="00637E20" w:rsidP="0003742E">
      <w:pPr>
        <w:widowControl w:val="0"/>
        <w:spacing w:line="240" w:lineRule="auto"/>
        <w:rPr>
          <w:szCs w:val="22"/>
          <w:lang w:val="de-DE"/>
        </w:rPr>
      </w:pPr>
    </w:p>
    <w:p w:rsidR="00DD6D65" w:rsidRPr="00DE1967" w:rsidRDefault="00DD6D65" w:rsidP="0003742E">
      <w:pPr>
        <w:widowControl w:val="0"/>
        <w:tabs>
          <w:tab w:val="clear" w:pos="567"/>
        </w:tabs>
        <w:spacing w:line="240" w:lineRule="auto"/>
        <w:rPr>
          <w:rFonts w:eastAsia="Calibri"/>
          <w:snapToGrid/>
          <w:szCs w:val="22"/>
          <w:lang w:val="de-DE"/>
        </w:rPr>
      </w:pPr>
      <w:r w:rsidRPr="00DE1967">
        <w:rPr>
          <w:rFonts w:eastAsia="Calibri"/>
          <w:snapToGrid/>
          <w:szCs w:val="22"/>
          <w:lang w:val="de-DE"/>
        </w:rPr>
        <w:t>EU/1/13/821/001</w:t>
      </w:r>
    </w:p>
    <w:p w:rsidR="00DD6D65" w:rsidRPr="00DE1967" w:rsidRDefault="00DD6D65" w:rsidP="0003742E">
      <w:pPr>
        <w:widowControl w:val="0"/>
        <w:tabs>
          <w:tab w:val="clear" w:pos="567"/>
        </w:tabs>
        <w:spacing w:line="240" w:lineRule="auto"/>
        <w:rPr>
          <w:rFonts w:eastAsia="Calibri"/>
          <w:snapToGrid/>
          <w:szCs w:val="22"/>
          <w:lang w:val="de-DE"/>
        </w:rPr>
      </w:pPr>
      <w:r w:rsidRPr="00DE1967">
        <w:rPr>
          <w:rFonts w:eastAsia="Calibri"/>
          <w:snapToGrid/>
          <w:szCs w:val="22"/>
          <w:lang w:val="de-DE"/>
        </w:rPr>
        <w:t>EU/1/13/821/002</w:t>
      </w:r>
    </w:p>
    <w:p w:rsidR="00DD6D65" w:rsidRPr="00DE1967" w:rsidRDefault="00DD6D65" w:rsidP="0003742E">
      <w:pPr>
        <w:widowControl w:val="0"/>
        <w:tabs>
          <w:tab w:val="clear" w:pos="567"/>
        </w:tabs>
        <w:spacing w:line="240" w:lineRule="auto"/>
        <w:rPr>
          <w:rFonts w:eastAsia="Calibri"/>
          <w:snapToGrid/>
          <w:szCs w:val="22"/>
          <w:lang w:val="de-DE"/>
        </w:rPr>
      </w:pPr>
      <w:r w:rsidRPr="00DE1967">
        <w:rPr>
          <w:rFonts w:eastAsia="Calibri"/>
          <w:snapToGrid/>
          <w:szCs w:val="22"/>
          <w:lang w:val="de-DE"/>
        </w:rPr>
        <w:t>EU/1/13/821/003</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EU/1/13/821/004</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EU/1/13/821/005</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EU/1/13/821/006</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EU/1/13/821/007</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EU/1/13/821/008</w:t>
      </w:r>
    </w:p>
    <w:p w:rsidR="00DD6D65" w:rsidRPr="00DE1967" w:rsidRDefault="00DD6D65" w:rsidP="0003742E">
      <w:pPr>
        <w:widowControl w:val="0"/>
        <w:tabs>
          <w:tab w:val="clear" w:pos="567"/>
        </w:tabs>
        <w:spacing w:line="240" w:lineRule="auto"/>
        <w:rPr>
          <w:rFonts w:eastAsia="Calibri"/>
          <w:snapToGrid/>
          <w:szCs w:val="22"/>
          <w:lang w:val="de-DE"/>
        </w:rPr>
      </w:pPr>
      <w:r w:rsidRPr="00DE1967">
        <w:rPr>
          <w:rFonts w:eastAsia="Calibri"/>
          <w:snapToGrid/>
          <w:szCs w:val="22"/>
          <w:lang w:val="de-DE"/>
        </w:rPr>
        <w:t>EU/1/13/821/009</w:t>
      </w:r>
    </w:p>
    <w:p w:rsidR="00DD6D65" w:rsidRPr="00DE1967" w:rsidRDefault="00DD6D65" w:rsidP="0003742E">
      <w:pPr>
        <w:widowControl w:val="0"/>
        <w:tabs>
          <w:tab w:val="clear" w:pos="567"/>
        </w:tabs>
        <w:spacing w:line="240" w:lineRule="auto"/>
        <w:rPr>
          <w:rFonts w:eastAsia="Calibri"/>
          <w:snapToGrid/>
          <w:szCs w:val="22"/>
          <w:lang w:val="de-DE"/>
        </w:rPr>
      </w:pPr>
      <w:r w:rsidRPr="00DE1967">
        <w:rPr>
          <w:rFonts w:eastAsia="Calibri"/>
          <w:snapToGrid/>
          <w:szCs w:val="22"/>
          <w:lang w:val="de-DE"/>
        </w:rPr>
        <w:t>EU/1/13/821/010</w:t>
      </w:r>
    </w:p>
    <w:p w:rsidR="0003742E" w:rsidRPr="00DE1967" w:rsidRDefault="0003742E" w:rsidP="0003742E">
      <w:pPr>
        <w:widowControl w:val="0"/>
        <w:tabs>
          <w:tab w:val="clear" w:pos="567"/>
        </w:tabs>
        <w:spacing w:line="240" w:lineRule="auto"/>
        <w:rPr>
          <w:rFonts w:eastAsia="Calibri"/>
          <w:snapToGrid/>
          <w:szCs w:val="22"/>
          <w:lang w:val="de-DE"/>
        </w:rPr>
      </w:pPr>
      <w:r w:rsidRPr="00DE1967">
        <w:rPr>
          <w:rFonts w:eastAsia="Calibri"/>
          <w:snapToGrid/>
          <w:szCs w:val="22"/>
          <w:lang w:val="de-DE"/>
        </w:rPr>
        <w:t>EU/1/13/821/031</w:t>
      </w:r>
    </w:p>
    <w:p w:rsidR="00637E20" w:rsidRPr="00DE1967" w:rsidRDefault="00637E20" w:rsidP="0003742E">
      <w:pPr>
        <w:widowControl w:val="0"/>
        <w:spacing w:line="240" w:lineRule="auto"/>
        <w:rPr>
          <w:szCs w:val="22"/>
          <w:lang w:val="de-DE"/>
        </w:rPr>
      </w:pPr>
    </w:p>
    <w:p w:rsidR="00637E20" w:rsidRPr="00DE1967" w:rsidRDefault="00637E20" w:rsidP="0003742E">
      <w:pPr>
        <w:widowControl w:val="0"/>
        <w:spacing w:line="240" w:lineRule="auto"/>
        <w:rPr>
          <w:szCs w:val="22"/>
          <w:lang w:val="de-DE"/>
        </w:rPr>
      </w:pPr>
    </w:p>
    <w:p w:rsidR="00637E20" w:rsidRPr="00DE1967" w:rsidRDefault="00637E20" w:rsidP="0003742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lang w:val="de-DE"/>
        </w:rPr>
      </w:pPr>
      <w:r w:rsidRPr="00DE1967">
        <w:rPr>
          <w:b/>
          <w:noProof/>
          <w:szCs w:val="22"/>
          <w:lang w:val="de-DE"/>
        </w:rPr>
        <w:t>13.</w:t>
      </w:r>
      <w:r w:rsidRPr="00DE1967">
        <w:rPr>
          <w:b/>
          <w:noProof/>
          <w:szCs w:val="22"/>
          <w:lang w:val="de-DE"/>
        </w:rPr>
        <w:tab/>
      </w:r>
      <w:r w:rsidRPr="00DE1967">
        <w:rPr>
          <w:b/>
          <w:caps/>
          <w:noProof/>
          <w:szCs w:val="22"/>
          <w:lang w:val="de-DE"/>
        </w:rPr>
        <w:t>Chargenbezeichnung</w:t>
      </w:r>
    </w:p>
    <w:p w:rsidR="00AF2380" w:rsidRPr="00DE1967" w:rsidRDefault="00AF2380" w:rsidP="0003742E">
      <w:pPr>
        <w:widowControl w:val="0"/>
        <w:spacing w:line="240" w:lineRule="auto"/>
        <w:rPr>
          <w:snapToGrid/>
          <w:szCs w:val="22"/>
          <w:lang w:val="de-DE" w:eastAsia="de-DE"/>
        </w:rPr>
      </w:pPr>
    </w:p>
    <w:p w:rsidR="0009359E" w:rsidRPr="00DE1967" w:rsidRDefault="0009359E" w:rsidP="0009359E">
      <w:pPr>
        <w:widowControl w:val="0"/>
        <w:spacing w:line="240" w:lineRule="auto"/>
        <w:rPr>
          <w:i/>
          <w:noProof/>
          <w:szCs w:val="22"/>
          <w:lang w:val="de-DE"/>
        </w:rPr>
      </w:pPr>
      <w:r w:rsidRPr="00DE1967">
        <w:rPr>
          <w:snapToGrid/>
          <w:szCs w:val="22"/>
          <w:lang w:val="de-DE" w:eastAsia="de-DE"/>
        </w:rPr>
        <w:t>Ch.-B.</w:t>
      </w:r>
    </w:p>
    <w:p w:rsidR="0003742E" w:rsidRPr="00DE1967" w:rsidRDefault="0003742E" w:rsidP="0003742E">
      <w:pPr>
        <w:widowControl w:val="0"/>
        <w:spacing w:line="240" w:lineRule="auto"/>
        <w:rPr>
          <w:i/>
          <w:noProof/>
          <w:szCs w:val="22"/>
          <w:lang w:val="de-DE"/>
        </w:rPr>
      </w:pPr>
    </w:p>
    <w:p w:rsidR="00637E20" w:rsidRPr="00DE1967" w:rsidRDefault="00637E20" w:rsidP="0003742E">
      <w:pPr>
        <w:widowControl w:val="0"/>
        <w:spacing w:line="240" w:lineRule="auto"/>
        <w:rPr>
          <w:noProof/>
          <w:szCs w:val="22"/>
          <w:lang w:val="de-DE"/>
        </w:rPr>
      </w:pPr>
    </w:p>
    <w:p w:rsidR="00637E20" w:rsidRPr="00DE1967" w:rsidRDefault="00637E20" w:rsidP="0003742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lang w:val="de-DE"/>
        </w:rPr>
      </w:pPr>
      <w:r w:rsidRPr="00DE1967">
        <w:rPr>
          <w:b/>
          <w:noProof/>
          <w:szCs w:val="22"/>
          <w:lang w:val="de-DE"/>
        </w:rPr>
        <w:t>14.</w:t>
      </w:r>
      <w:r w:rsidRPr="00DE1967">
        <w:rPr>
          <w:b/>
          <w:noProof/>
          <w:szCs w:val="22"/>
          <w:lang w:val="de-DE"/>
        </w:rPr>
        <w:tab/>
        <w:t>VERKAUFSABGRENZUNG</w:t>
      </w:r>
    </w:p>
    <w:p w:rsidR="00637E20" w:rsidRPr="00DE1967" w:rsidRDefault="00637E20" w:rsidP="0003742E">
      <w:pPr>
        <w:widowControl w:val="0"/>
        <w:spacing w:line="240" w:lineRule="auto"/>
        <w:rPr>
          <w:i/>
          <w:szCs w:val="22"/>
          <w:lang w:val="de-DE"/>
        </w:rPr>
      </w:pPr>
    </w:p>
    <w:p w:rsidR="00637E20" w:rsidRPr="00DE1967" w:rsidRDefault="00637E20" w:rsidP="0003742E">
      <w:pPr>
        <w:widowControl w:val="0"/>
        <w:spacing w:line="240" w:lineRule="auto"/>
        <w:rPr>
          <w:szCs w:val="22"/>
          <w:lang w:val="de-DE"/>
        </w:rPr>
      </w:pPr>
    </w:p>
    <w:p w:rsidR="00637E20" w:rsidRPr="00DE1967" w:rsidRDefault="00637E20" w:rsidP="0003742E">
      <w:pPr>
        <w:widowControl w:val="0"/>
        <w:pBdr>
          <w:top w:val="single" w:sz="4" w:space="2" w:color="auto"/>
          <w:left w:val="single" w:sz="4" w:space="4" w:color="auto"/>
          <w:bottom w:val="single" w:sz="4" w:space="1" w:color="auto"/>
          <w:right w:val="single" w:sz="4" w:space="4" w:color="auto"/>
        </w:pBdr>
        <w:spacing w:line="240" w:lineRule="auto"/>
        <w:outlineLvl w:val="0"/>
        <w:rPr>
          <w:noProof/>
          <w:szCs w:val="22"/>
          <w:lang w:val="de-DE"/>
        </w:rPr>
      </w:pPr>
      <w:r w:rsidRPr="00DE1967">
        <w:rPr>
          <w:b/>
          <w:noProof/>
          <w:szCs w:val="22"/>
          <w:lang w:val="de-DE"/>
        </w:rPr>
        <w:t>15.</w:t>
      </w:r>
      <w:r w:rsidRPr="00DE1967">
        <w:rPr>
          <w:b/>
          <w:noProof/>
          <w:szCs w:val="22"/>
          <w:lang w:val="de-DE"/>
        </w:rPr>
        <w:tab/>
        <w:t>HINWEISE FÜR DEN GEBRAUCH</w:t>
      </w:r>
    </w:p>
    <w:p w:rsidR="00637E20" w:rsidRPr="00DE1967" w:rsidRDefault="00637E20" w:rsidP="0003742E">
      <w:pPr>
        <w:widowControl w:val="0"/>
        <w:spacing w:line="240" w:lineRule="auto"/>
        <w:rPr>
          <w:noProof/>
          <w:szCs w:val="22"/>
          <w:lang w:val="de-DE"/>
        </w:rPr>
      </w:pPr>
    </w:p>
    <w:p w:rsidR="00637E20" w:rsidRPr="00DE1967" w:rsidRDefault="00637E20" w:rsidP="0003742E">
      <w:pPr>
        <w:widowControl w:val="0"/>
        <w:spacing w:line="240" w:lineRule="auto"/>
        <w:rPr>
          <w:noProof/>
          <w:szCs w:val="22"/>
          <w:lang w:val="de-DE"/>
        </w:rPr>
      </w:pPr>
    </w:p>
    <w:p w:rsidR="00637E20" w:rsidRPr="00DE1967" w:rsidRDefault="00637E20" w:rsidP="0003742E">
      <w:pPr>
        <w:widowControl w:val="0"/>
        <w:pBdr>
          <w:top w:val="single" w:sz="4" w:space="1" w:color="auto"/>
          <w:left w:val="single" w:sz="4" w:space="4" w:color="auto"/>
          <w:bottom w:val="single" w:sz="4" w:space="0" w:color="auto"/>
          <w:right w:val="single" w:sz="4" w:space="4" w:color="auto"/>
        </w:pBdr>
        <w:spacing w:line="240" w:lineRule="auto"/>
        <w:rPr>
          <w:noProof/>
          <w:szCs w:val="22"/>
          <w:lang w:val="de-DE"/>
        </w:rPr>
      </w:pPr>
      <w:r w:rsidRPr="00DE1967">
        <w:rPr>
          <w:b/>
          <w:noProof/>
          <w:szCs w:val="22"/>
          <w:lang w:val="de-DE"/>
        </w:rPr>
        <w:t>16.</w:t>
      </w:r>
      <w:r w:rsidRPr="00DE1967">
        <w:rPr>
          <w:b/>
          <w:noProof/>
          <w:szCs w:val="22"/>
          <w:lang w:val="de-DE"/>
        </w:rPr>
        <w:tab/>
        <w:t>ANGABEN IN BLINDENSCHRIFT</w:t>
      </w:r>
    </w:p>
    <w:p w:rsidR="00637E20" w:rsidRPr="00DE1967" w:rsidRDefault="00637E20" w:rsidP="0003742E">
      <w:pPr>
        <w:widowControl w:val="0"/>
        <w:spacing w:line="240" w:lineRule="auto"/>
        <w:rPr>
          <w:szCs w:val="22"/>
          <w:lang w:val="de-DE"/>
        </w:rPr>
      </w:pPr>
    </w:p>
    <w:p w:rsidR="00637E20" w:rsidRPr="00DE1967" w:rsidRDefault="00AF2380" w:rsidP="0003742E">
      <w:pPr>
        <w:widowControl w:val="0"/>
        <w:spacing w:line="240" w:lineRule="auto"/>
        <w:rPr>
          <w:snapToGrid/>
          <w:szCs w:val="22"/>
          <w:lang w:val="de-DE" w:eastAsia="de-DE"/>
        </w:rPr>
      </w:pPr>
      <w:proofErr w:type="spellStart"/>
      <w:r w:rsidRPr="00DE1967">
        <w:rPr>
          <w:snapToGrid/>
          <w:szCs w:val="22"/>
          <w:lang w:val="de-DE" w:eastAsia="de-DE"/>
        </w:rPr>
        <w:t>Tolucombi</w:t>
      </w:r>
      <w:proofErr w:type="spellEnd"/>
      <w:r w:rsidRPr="00DE1967">
        <w:rPr>
          <w:snapToGrid/>
          <w:szCs w:val="22"/>
          <w:lang w:val="de-DE" w:eastAsia="de-DE"/>
        </w:rPr>
        <w:t xml:space="preserve"> 40</w:t>
      </w:r>
      <w:r w:rsidR="00023E2B" w:rsidRPr="00DE1967">
        <w:rPr>
          <w:snapToGrid/>
          <w:szCs w:val="22"/>
          <w:lang w:val="de-DE" w:eastAsia="de-DE"/>
        </w:rPr>
        <w:t> mg</w:t>
      </w:r>
      <w:r w:rsidRPr="00DE1967">
        <w:rPr>
          <w:snapToGrid/>
          <w:szCs w:val="22"/>
          <w:lang w:val="de-DE" w:eastAsia="de-DE"/>
        </w:rPr>
        <w:t>/12,5</w:t>
      </w:r>
      <w:r w:rsidR="00023E2B" w:rsidRPr="00DE1967">
        <w:rPr>
          <w:snapToGrid/>
          <w:szCs w:val="22"/>
          <w:lang w:val="de-DE" w:eastAsia="de-DE"/>
        </w:rPr>
        <w:t> mg</w:t>
      </w:r>
    </w:p>
    <w:p w:rsidR="003F3B5D" w:rsidRPr="00DE1967" w:rsidRDefault="003F3B5D" w:rsidP="0003742E">
      <w:pPr>
        <w:widowControl w:val="0"/>
        <w:spacing w:line="240" w:lineRule="auto"/>
        <w:rPr>
          <w:snapToGrid/>
          <w:szCs w:val="22"/>
          <w:lang w:val="de-DE" w:eastAsia="de-DE"/>
        </w:rPr>
      </w:pPr>
    </w:p>
    <w:p w:rsidR="003F3B5D" w:rsidRPr="00DE1967" w:rsidRDefault="003F3B5D" w:rsidP="0003742E">
      <w:pPr>
        <w:widowControl w:val="0"/>
        <w:spacing w:line="240" w:lineRule="auto"/>
        <w:rPr>
          <w:snapToGrid/>
          <w:szCs w:val="22"/>
          <w:lang w:val="de-DE" w:eastAsia="de-DE"/>
        </w:rPr>
      </w:pPr>
    </w:p>
    <w:p w:rsidR="003F3B5D" w:rsidRPr="00DE1967" w:rsidRDefault="003F3B5D" w:rsidP="003F3B5D">
      <w:pPr>
        <w:widowControl w:val="0"/>
        <w:pBdr>
          <w:top w:val="single" w:sz="4" w:space="1" w:color="auto"/>
          <w:left w:val="single" w:sz="4" w:space="4" w:color="auto"/>
          <w:bottom w:val="single" w:sz="4" w:space="1" w:color="auto"/>
          <w:right w:val="single" w:sz="4" w:space="4" w:color="auto"/>
        </w:pBdr>
        <w:spacing w:line="240" w:lineRule="auto"/>
        <w:rPr>
          <w:szCs w:val="22"/>
          <w:lang w:val="de-DE"/>
        </w:rPr>
      </w:pPr>
      <w:r w:rsidRPr="00DE1967">
        <w:rPr>
          <w:b/>
          <w:caps/>
          <w:szCs w:val="22"/>
          <w:lang w:val="de-DE"/>
        </w:rPr>
        <w:t>17.</w:t>
      </w:r>
      <w:r w:rsidRPr="00DE1967">
        <w:rPr>
          <w:b/>
          <w:caps/>
          <w:szCs w:val="22"/>
          <w:lang w:val="de-DE"/>
        </w:rPr>
        <w:tab/>
      </w:r>
      <w:r w:rsidRPr="00DE1967">
        <w:rPr>
          <w:b/>
          <w:noProof/>
          <w:szCs w:val="22"/>
          <w:lang w:val="de-DE"/>
        </w:rPr>
        <w:t>INDIVIDUELLES ERKENNUNGSMERKMAL – 2D-BARCODE</w:t>
      </w:r>
    </w:p>
    <w:p w:rsidR="003F3B5D" w:rsidRPr="00DE1967" w:rsidRDefault="003F3B5D" w:rsidP="003F3B5D">
      <w:pPr>
        <w:widowControl w:val="0"/>
        <w:spacing w:line="240" w:lineRule="auto"/>
        <w:rPr>
          <w:szCs w:val="22"/>
          <w:lang w:val="de-DE"/>
        </w:rPr>
      </w:pPr>
    </w:p>
    <w:p w:rsidR="003F3B5D" w:rsidRPr="00DE1967" w:rsidRDefault="003F3B5D" w:rsidP="003F3B5D">
      <w:pPr>
        <w:widowControl w:val="0"/>
        <w:spacing w:line="240" w:lineRule="auto"/>
        <w:rPr>
          <w:szCs w:val="22"/>
          <w:lang w:val="de-DE"/>
        </w:rPr>
      </w:pPr>
      <w:r w:rsidRPr="00DE1967">
        <w:rPr>
          <w:szCs w:val="22"/>
          <w:lang w:val="de-DE"/>
        </w:rPr>
        <w:t>2D-Barcode mit individuellem Erkennungsmerkmal.</w:t>
      </w:r>
    </w:p>
    <w:p w:rsidR="003F3B5D" w:rsidRPr="00DE1967" w:rsidRDefault="003F3B5D" w:rsidP="003F3B5D">
      <w:pPr>
        <w:widowControl w:val="0"/>
        <w:spacing w:line="240" w:lineRule="auto"/>
        <w:rPr>
          <w:szCs w:val="22"/>
          <w:lang w:val="de-DE"/>
        </w:rPr>
      </w:pPr>
    </w:p>
    <w:p w:rsidR="003F3B5D" w:rsidRPr="00DE1967" w:rsidRDefault="003F3B5D" w:rsidP="003F3B5D">
      <w:pPr>
        <w:widowControl w:val="0"/>
        <w:spacing w:line="240" w:lineRule="auto"/>
        <w:rPr>
          <w:szCs w:val="22"/>
          <w:lang w:val="de-DE"/>
        </w:rPr>
      </w:pPr>
    </w:p>
    <w:p w:rsidR="003F3B5D" w:rsidRPr="00DE1967" w:rsidRDefault="003F3B5D" w:rsidP="003F3B5D">
      <w:pPr>
        <w:widowControl w:val="0"/>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DE1967">
        <w:rPr>
          <w:b/>
          <w:caps/>
          <w:szCs w:val="22"/>
          <w:lang w:val="de-DE"/>
        </w:rPr>
        <w:t>18.</w:t>
      </w:r>
      <w:r w:rsidRPr="00DE1967">
        <w:rPr>
          <w:b/>
          <w:caps/>
          <w:szCs w:val="22"/>
          <w:lang w:val="de-DE"/>
        </w:rPr>
        <w:tab/>
      </w:r>
      <w:r w:rsidRPr="00DE1967">
        <w:rPr>
          <w:b/>
          <w:noProof/>
          <w:szCs w:val="22"/>
          <w:lang w:val="de-DE"/>
        </w:rPr>
        <w:t>INDIVIDUELLES ERKENNUNGSMERKMAL – VOM MENSCHEN LESBARES FORMAT</w:t>
      </w:r>
    </w:p>
    <w:p w:rsidR="003F3B5D" w:rsidRPr="00DE1967" w:rsidRDefault="003F3B5D" w:rsidP="003F3B5D">
      <w:pPr>
        <w:widowControl w:val="0"/>
        <w:spacing w:line="240" w:lineRule="auto"/>
        <w:rPr>
          <w:szCs w:val="22"/>
          <w:lang w:val="de-DE"/>
        </w:rPr>
      </w:pPr>
    </w:p>
    <w:p w:rsidR="003F3B5D" w:rsidRPr="00DE1967" w:rsidRDefault="003F3B5D" w:rsidP="003F3B5D">
      <w:pPr>
        <w:widowControl w:val="0"/>
        <w:spacing w:line="240" w:lineRule="auto"/>
        <w:rPr>
          <w:szCs w:val="22"/>
          <w:lang w:val="de-DE"/>
        </w:rPr>
      </w:pPr>
      <w:r w:rsidRPr="00DE1967">
        <w:rPr>
          <w:szCs w:val="22"/>
          <w:lang w:val="de-DE"/>
        </w:rPr>
        <w:t>PC</w:t>
      </w:r>
    </w:p>
    <w:p w:rsidR="003F3B5D" w:rsidRPr="00DE1967" w:rsidRDefault="003F3B5D" w:rsidP="003F3B5D">
      <w:pPr>
        <w:widowControl w:val="0"/>
        <w:spacing w:line="240" w:lineRule="auto"/>
        <w:rPr>
          <w:szCs w:val="22"/>
          <w:lang w:val="de-DE"/>
        </w:rPr>
      </w:pPr>
      <w:r w:rsidRPr="00DE1967">
        <w:rPr>
          <w:szCs w:val="22"/>
          <w:lang w:val="de-DE"/>
        </w:rPr>
        <w:t>SN</w:t>
      </w:r>
    </w:p>
    <w:p w:rsidR="003F3B5D" w:rsidRPr="00DE1967" w:rsidRDefault="003F3B5D" w:rsidP="003F3B5D">
      <w:pPr>
        <w:widowControl w:val="0"/>
        <w:spacing w:line="240" w:lineRule="auto"/>
        <w:rPr>
          <w:szCs w:val="22"/>
          <w:lang w:val="de-DE"/>
        </w:rPr>
      </w:pPr>
      <w:r w:rsidRPr="00DE1967">
        <w:rPr>
          <w:szCs w:val="22"/>
          <w:lang w:val="de-DE"/>
        </w:rPr>
        <w:t>NN</w:t>
      </w:r>
    </w:p>
    <w:p w:rsidR="003F3B5D" w:rsidRPr="00DE1967" w:rsidRDefault="003F3B5D" w:rsidP="0003742E">
      <w:pPr>
        <w:widowControl w:val="0"/>
        <w:spacing w:line="240" w:lineRule="auto"/>
        <w:rPr>
          <w:szCs w:val="22"/>
          <w:lang w:val="de-DE"/>
        </w:rPr>
      </w:pPr>
    </w:p>
    <w:p w:rsidR="00637E20" w:rsidRPr="00DE1967" w:rsidRDefault="00637E20" w:rsidP="0003742E">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lang w:val="de-DE"/>
        </w:rPr>
      </w:pPr>
      <w:r w:rsidRPr="00DE1967">
        <w:rPr>
          <w:b/>
          <w:noProof/>
          <w:szCs w:val="22"/>
          <w:u w:val="single"/>
          <w:lang w:val="de-DE"/>
        </w:rPr>
        <w:br w:type="page"/>
      </w:r>
      <w:r w:rsidRPr="00DE1967">
        <w:rPr>
          <w:b/>
          <w:noProof/>
          <w:szCs w:val="22"/>
          <w:lang w:val="de-DE"/>
        </w:rPr>
        <w:t>MINDESTANGABEN AUF BLISTERPACKUNGEN ODER FOLIENSTREIFEN</w:t>
      </w:r>
    </w:p>
    <w:p w:rsidR="00637E20" w:rsidRPr="00DE1967" w:rsidRDefault="00637E20" w:rsidP="0003742E">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de-DE"/>
        </w:rPr>
      </w:pPr>
    </w:p>
    <w:p w:rsidR="00637E20" w:rsidRPr="00DE1967" w:rsidRDefault="00AF2380" w:rsidP="0003742E">
      <w:pPr>
        <w:widowControl w:val="0"/>
        <w:pBdr>
          <w:top w:val="single" w:sz="4" w:space="1" w:color="auto"/>
          <w:left w:val="single" w:sz="4" w:space="4" w:color="auto"/>
          <w:bottom w:val="single" w:sz="4" w:space="1" w:color="auto"/>
          <w:right w:val="single" w:sz="4" w:space="4" w:color="auto"/>
        </w:pBdr>
        <w:spacing w:line="240" w:lineRule="auto"/>
        <w:ind w:left="567" w:hanging="567"/>
        <w:rPr>
          <w:caps/>
          <w:noProof/>
          <w:szCs w:val="22"/>
          <w:lang w:val="de-DE"/>
        </w:rPr>
      </w:pPr>
      <w:r w:rsidRPr="00DE1967">
        <w:rPr>
          <w:b/>
          <w:caps/>
          <w:noProof/>
          <w:szCs w:val="22"/>
          <w:lang w:val="de-DE"/>
        </w:rPr>
        <w:t>Blisterpackung</w:t>
      </w:r>
    </w:p>
    <w:p w:rsidR="00637E20" w:rsidRPr="00DE1967" w:rsidRDefault="00637E20" w:rsidP="0003742E">
      <w:pPr>
        <w:widowControl w:val="0"/>
        <w:spacing w:line="240" w:lineRule="auto"/>
        <w:rPr>
          <w:noProof/>
          <w:szCs w:val="22"/>
          <w:lang w:val="de-DE"/>
        </w:rPr>
      </w:pPr>
    </w:p>
    <w:p w:rsidR="0003742E" w:rsidRPr="00DE1967" w:rsidRDefault="0003742E" w:rsidP="0003742E">
      <w:pPr>
        <w:widowControl w:val="0"/>
        <w:spacing w:line="240" w:lineRule="auto"/>
        <w:rPr>
          <w:noProof/>
          <w:szCs w:val="22"/>
          <w:lang w:val="de-DE"/>
        </w:rPr>
      </w:pPr>
    </w:p>
    <w:p w:rsidR="00637E20" w:rsidRPr="00DE1967" w:rsidRDefault="00637E20" w:rsidP="0003742E">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lang w:val="de-DE"/>
        </w:rPr>
      </w:pPr>
      <w:r w:rsidRPr="00DE1967">
        <w:rPr>
          <w:b/>
          <w:noProof/>
          <w:szCs w:val="22"/>
          <w:lang w:val="de-DE"/>
        </w:rPr>
        <w:t>1.</w:t>
      </w:r>
      <w:r w:rsidRPr="00DE1967">
        <w:rPr>
          <w:b/>
          <w:noProof/>
          <w:szCs w:val="22"/>
          <w:lang w:val="de-DE"/>
        </w:rPr>
        <w:tab/>
        <w:t>BEZEICHNUNG DES ARZNEIMITTELS</w:t>
      </w:r>
    </w:p>
    <w:p w:rsidR="00637E20" w:rsidRPr="00DE1967" w:rsidRDefault="00637E20" w:rsidP="0003742E">
      <w:pPr>
        <w:widowControl w:val="0"/>
        <w:spacing w:line="240" w:lineRule="auto"/>
        <w:rPr>
          <w:i/>
          <w:szCs w:val="22"/>
          <w:lang w:val="de-DE"/>
        </w:rPr>
      </w:pPr>
    </w:p>
    <w:p w:rsidR="00AF2380" w:rsidRPr="00DE1967" w:rsidRDefault="00AF2380" w:rsidP="0003742E">
      <w:pPr>
        <w:widowControl w:val="0"/>
        <w:tabs>
          <w:tab w:val="clear" w:pos="567"/>
        </w:tabs>
        <w:autoSpaceDE w:val="0"/>
        <w:autoSpaceDN w:val="0"/>
        <w:adjustRightInd w:val="0"/>
        <w:spacing w:line="240" w:lineRule="auto"/>
        <w:rPr>
          <w:snapToGrid/>
          <w:szCs w:val="22"/>
          <w:lang w:val="de-DE" w:eastAsia="de-DE"/>
        </w:rPr>
      </w:pPr>
      <w:proofErr w:type="spellStart"/>
      <w:r w:rsidRPr="00DE1967">
        <w:rPr>
          <w:snapToGrid/>
          <w:szCs w:val="22"/>
          <w:lang w:val="de-DE" w:eastAsia="de-DE"/>
        </w:rPr>
        <w:t>Tolucombi</w:t>
      </w:r>
      <w:proofErr w:type="spellEnd"/>
      <w:r w:rsidRPr="00DE1967">
        <w:rPr>
          <w:snapToGrid/>
          <w:szCs w:val="22"/>
          <w:lang w:val="de-DE" w:eastAsia="de-DE"/>
        </w:rPr>
        <w:t xml:space="preserve"> 40</w:t>
      </w:r>
      <w:r w:rsidR="00023E2B" w:rsidRPr="00DE1967">
        <w:rPr>
          <w:snapToGrid/>
          <w:szCs w:val="22"/>
          <w:lang w:val="de-DE" w:eastAsia="de-DE"/>
        </w:rPr>
        <w:t> mg</w:t>
      </w:r>
      <w:r w:rsidRPr="00DE1967">
        <w:rPr>
          <w:snapToGrid/>
          <w:szCs w:val="22"/>
          <w:lang w:val="de-DE" w:eastAsia="de-DE"/>
        </w:rPr>
        <w:t>/12,5</w:t>
      </w:r>
      <w:r w:rsidR="00023E2B" w:rsidRPr="00DE1967">
        <w:rPr>
          <w:snapToGrid/>
          <w:szCs w:val="22"/>
          <w:lang w:val="de-DE" w:eastAsia="de-DE"/>
        </w:rPr>
        <w:t> mg</w:t>
      </w:r>
      <w:r w:rsidRPr="00DE1967">
        <w:rPr>
          <w:snapToGrid/>
          <w:szCs w:val="22"/>
          <w:lang w:val="de-DE" w:eastAsia="de-DE"/>
        </w:rPr>
        <w:t xml:space="preserve"> Tabletten</w:t>
      </w:r>
    </w:p>
    <w:p w:rsidR="00637E20" w:rsidRPr="00DE1967" w:rsidRDefault="00AF2380" w:rsidP="0003742E">
      <w:pPr>
        <w:widowControl w:val="0"/>
        <w:spacing w:line="240" w:lineRule="auto"/>
        <w:rPr>
          <w:szCs w:val="22"/>
          <w:lang w:val="de-DE"/>
        </w:rPr>
      </w:pPr>
      <w:r w:rsidRPr="00DE1967">
        <w:rPr>
          <w:snapToGrid/>
          <w:szCs w:val="22"/>
          <w:lang w:val="de-DE" w:eastAsia="de-DE"/>
        </w:rPr>
        <w:t>Telmisartan/Hydrochlorothiazid</w:t>
      </w:r>
    </w:p>
    <w:p w:rsidR="00637E20" w:rsidRPr="00DE1967" w:rsidRDefault="00637E20" w:rsidP="0003742E">
      <w:pPr>
        <w:widowControl w:val="0"/>
        <w:spacing w:line="240" w:lineRule="auto"/>
        <w:rPr>
          <w:szCs w:val="22"/>
          <w:lang w:val="de-DE"/>
        </w:rPr>
      </w:pPr>
    </w:p>
    <w:p w:rsidR="00C46FF1" w:rsidRPr="00DE1967" w:rsidRDefault="00C46FF1" w:rsidP="0003742E">
      <w:pPr>
        <w:widowControl w:val="0"/>
        <w:spacing w:line="240" w:lineRule="auto"/>
        <w:rPr>
          <w:szCs w:val="22"/>
          <w:lang w:val="de-DE"/>
        </w:rPr>
      </w:pPr>
    </w:p>
    <w:p w:rsidR="00637E20" w:rsidRPr="00DE1967" w:rsidRDefault="00637E20" w:rsidP="0003742E">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lang w:val="de-DE"/>
        </w:rPr>
      </w:pPr>
      <w:r w:rsidRPr="00DE1967">
        <w:rPr>
          <w:b/>
          <w:noProof/>
          <w:szCs w:val="22"/>
          <w:lang w:val="de-DE"/>
        </w:rPr>
        <w:t>2.</w:t>
      </w:r>
      <w:r w:rsidRPr="00DE1967">
        <w:rPr>
          <w:b/>
          <w:noProof/>
          <w:szCs w:val="22"/>
          <w:lang w:val="de-DE"/>
        </w:rPr>
        <w:tab/>
        <w:t>NAME DES PHARMAZEUTISCHEN UNTERNEHMERS</w:t>
      </w:r>
    </w:p>
    <w:p w:rsidR="00637E20" w:rsidRPr="00DE1967" w:rsidRDefault="00637E20" w:rsidP="0003742E">
      <w:pPr>
        <w:widowControl w:val="0"/>
        <w:spacing w:line="240" w:lineRule="auto"/>
        <w:rPr>
          <w:szCs w:val="22"/>
          <w:lang w:val="de-DE"/>
        </w:rPr>
      </w:pPr>
    </w:p>
    <w:p w:rsidR="00637E20" w:rsidRPr="00DE1967" w:rsidRDefault="00AF2380" w:rsidP="0003742E">
      <w:pPr>
        <w:widowControl w:val="0"/>
        <w:spacing w:line="240" w:lineRule="auto"/>
        <w:rPr>
          <w:szCs w:val="22"/>
          <w:lang w:val="de-DE"/>
        </w:rPr>
      </w:pPr>
      <w:r w:rsidRPr="00DE1967">
        <w:rPr>
          <w:noProof/>
          <w:szCs w:val="22"/>
          <w:lang w:val="de-DE"/>
        </w:rPr>
        <w:t>KRKA</w:t>
      </w:r>
    </w:p>
    <w:p w:rsidR="00544F89" w:rsidRPr="00DE1967" w:rsidRDefault="00544F89" w:rsidP="0003742E">
      <w:pPr>
        <w:widowControl w:val="0"/>
        <w:spacing w:line="240" w:lineRule="auto"/>
        <w:rPr>
          <w:noProof/>
          <w:szCs w:val="22"/>
          <w:lang w:val="de-DE"/>
        </w:rPr>
      </w:pPr>
    </w:p>
    <w:p w:rsidR="00637E20" w:rsidRPr="00DE1967" w:rsidRDefault="00637E20" w:rsidP="0003742E">
      <w:pPr>
        <w:widowControl w:val="0"/>
        <w:spacing w:line="240" w:lineRule="auto"/>
        <w:rPr>
          <w:noProof/>
          <w:szCs w:val="22"/>
          <w:lang w:val="de-DE"/>
        </w:rPr>
      </w:pPr>
    </w:p>
    <w:p w:rsidR="00637E20" w:rsidRPr="00DE1967" w:rsidRDefault="00637E20" w:rsidP="0003742E">
      <w:pPr>
        <w:widowControl w:val="0"/>
        <w:pBdr>
          <w:top w:val="single" w:sz="4" w:space="1" w:color="auto"/>
          <w:left w:val="single" w:sz="4" w:space="4" w:color="auto"/>
          <w:bottom w:val="single" w:sz="4" w:space="2" w:color="auto"/>
          <w:right w:val="single" w:sz="4" w:space="4" w:color="auto"/>
        </w:pBdr>
        <w:spacing w:line="240" w:lineRule="auto"/>
        <w:outlineLvl w:val="0"/>
        <w:rPr>
          <w:b/>
          <w:noProof/>
          <w:szCs w:val="22"/>
          <w:lang w:val="de-DE"/>
        </w:rPr>
      </w:pPr>
      <w:r w:rsidRPr="00DE1967">
        <w:rPr>
          <w:b/>
          <w:noProof/>
          <w:szCs w:val="22"/>
          <w:lang w:val="de-DE"/>
        </w:rPr>
        <w:t>3.</w:t>
      </w:r>
      <w:r w:rsidRPr="00DE1967">
        <w:rPr>
          <w:b/>
          <w:noProof/>
          <w:szCs w:val="22"/>
          <w:lang w:val="de-DE"/>
        </w:rPr>
        <w:tab/>
        <w:t>VERFALLDATUM</w:t>
      </w:r>
    </w:p>
    <w:p w:rsidR="00637E20" w:rsidRPr="00DE1967" w:rsidRDefault="00637E20" w:rsidP="0003742E">
      <w:pPr>
        <w:widowControl w:val="0"/>
        <w:spacing w:line="240" w:lineRule="auto"/>
        <w:rPr>
          <w:noProof/>
          <w:szCs w:val="22"/>
          <w:lang w:val="de-DE"/>
        </w:rPr>
      </w:pPr>
    </w:p>
    <w:p w:rsidR="00396FDA" w:rsidRPr="00DE1967" w:rsidRDefault="00396FDA" w:rsidP="0003742E">
      <w:pPr>
        <w:widowControl w:val="0"/>
        <w:spacing w:line="240" w:lineRule="auto"/>
        <w:rPr>
          <w:snapToGrid/>
          <w:szCs w:val="22"/>
          <w:lang w:val="de-DE" w:eastAsia="de-DE"/>
        </w:rPr>
      </w:pPr>
      <w:r w:rsidRPr="00DE1967">
        <w:rPr>
          <w:snapToGrid/>
          <w:szCs w:val="22"/>
          <w:lang w:val="de-DE" w:eastAsia="de-DE"/>
        </w:rPr>
        <w:t>EXP</w:t>
      </w:r>
    </w:p>
    <w:p w:rsidR="00AF2380" w:rsidRPr="00DE1967" w:rsidRDefault="00AF2380" w:rsidP="0003742E">
      <w:pPr>
        <w:widowControl w:val="0"/>
        <w:spacing w:line="240" w:lineRule="auto"/>
        <w:rPr>
          <w:snapToGrid/>
          <w:szCs w:val="22"/>
          <w:lang w:val="de-DE" w:eastAsia="de-DE"/>
        </w:rPr>
      </w:pPr>
    </w:p>
    <w:p w:rsidR="00AF2380" w:rsidRPr="00DE1967" w:rsidRDefault="00AF2380" w:rsidP="0003742E">
      <w:pPr>
        <w:widowControl w:val="0"/>
        <w:spacing w:line="240" w:lineRule="auto"/>
        <w:rPr>
          <w:noProof/>
          <w:szCs w:val="22"/>
          <w:lang w:val="de-DE"/>
        </w:rPr>
      </w:pPr>
    </w:p>
    <w:p w:rsidR="00544F89" w:rsidRPr="00DE1967" w:rsidRDefault="00637E20" w:rsidP="0003742E">
      <w:pPr>
        <w:widowControl w:val="0"/>
        <w:pBdr>
          <w:top w:val="single" w:sz="4" w:space="1" w:color="auto"/>
          <w:left w:val="single" w:sz="4" w:space="4" w:color="auto"/>
          <w:bottom w:val="single" w:sz="4" w:space="1" w:color="auto"/>
          <w:right w:val="single" w:sz="4" w:space="4" w:color="auto"/>
        </w:pBdr>
        <w:spacing w:line="240" w:lineRule="auto"/>
        <w:outlineLvl w:val="0"/>
        <w:rPr>
          <w:b/>
          <w:szCs w:val="22"/>
          <w:lang w:val="de-DE"/>
        </w:rPr>
      </w:pPr>
      <w:r w:rsidRPr="00DE1967">
        <w:rPr>
          <w:b/>
          <w:noProof/>
          <w:szCs w:val="22"/>
          <w:lang w:val="de-DE"/>
        </w:rPr>
        <w:t>4.</w:t>
      </w:r>
      <w:r w:rsidRPr="00DE1967">
        <w:rPr>
          <w:b/>
          <w:noProof/>
          <w:szCs w:val="22"/>
          <w:lang w:val="de-DE"/>
        </w:rPr>
        <w:tab/>
      </w:r>
      <w:r w:rsidRPr="00DE1967">
        <w:rPr>
          <w:b/>
          <w:caps/>
          <w:noProof/>
          <w:szCs w:val="22"/>
          <w:lang w:val="de-DE"/>
        </w:rPr>
        <w:t>Chargenbezeichnung</w:t>
      </w:r>
    </w:p>
    <w:p w:rsidR="00637E20" w:rsidRPr="00DE1967" w:rsidRDefault="00637E20" w:rsidP="0003742E">
      <w:pPr>
        <w:widowControl w:val="0"/>
        <w:spacing w:line="240" w:lineRule="auto"/>
        <w:rPr>
          <w:noProof/>
          <w:szCs w:val="22"/>
          <w:lang w:val="de-DE"/>
        </w:rPr>
      </w:pPr>
    </w:p>
    <w:p w:rsidR="00396FDA" w:rsidRPr="00DE1967" w:rsidRDefault="00396FDA" w:rsidP="0003742E">
      <w:pPr>
        <w:widowControl w:val="0"/>
        <w:spacing w:line="240" w:lineRule="auto"/>
        <w:rPr>
          <w:snapToGrid/>
          <w:szCs w:val="22"/>
          <w:lang w:val="de-DE" w:eastAsia="de-DE"/>
        </w:rPr>
      </w:pPr>
      <w:r w:rsidRPr="00DE1967">
        <w:rPr>
          <w:snapToGrid/>
          <w:szCs w:val="22"/>
          <w:lang w:val="de-DE" w:eastAsia="de-DE"/>
        </w:rPr>
        <w:t>Lot</w:t>
      </w:r>
    </w:p>
    <w:p w:rsidR="00AF2380" w:rsidRPr="00DE1967" w:rsidRDefault="00AF2380" w:rsidP="0003742E">
      <w:pPr>
        <w:widowControl w:val="0"/>
        <w:spacing w:line="240" w:lineRule="auto"/>
        <w:rPr>
          <w:snapToGrid/>
          <w:szCs w:val="22"/>
          <w:lang w:val="de-DE" w:eastAsia="de-DE"/>
        </w:rPr>
      </w:pPr>
    </w:p>
    <w:p w:rsidR="00AF2380" w:rsidRPr="00DE1967" w:rsidRDefault="00AF2380" w:rsidP="0003742E">
      <w:pPr>
        <w:widowControl w:val="0"/>
        <w:spacing w:line="240" w:lineRule="auto"/>
        <w:rPr>
          <w:noProof/>
          <w:szCs w:val="22"/>
          <w:lang w:val="de-DE"/>
        </w:rPr>
      </w:pPr>
    </w:p>
    <w:p w:rsidR="00637E20" w:rsidRPr="00DE1967" w:rsidRDefault="00637E20" w:rsidP="0003742E">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lang w:val="de-DE"/>
        </w:rPr>
      </w:pPr>
      <w:r w:rsidRPr="00DE1967">
        <w:rPr>
          <w:b/>
          <w:noProof/>
          <w:szCs w:val="22"/>
          <w:lang w:val="de-DE"/>
        </w:rPr>
        <w:t>5.</w:t>
      </w:r>
      <w:r w:rsidRPr="00DE1967">
        <w:rPr>
          <w:b/>
          <w:noProof/>
          <w:szCs w:val="22"/>
          <w:lang w:val="de-DE"/>
        </w:rPr>
        <w:tab/>
        <w:t>WEITERE ANGABEN</w:t>
      </w:r>
    </w:p>
    <w:p w:rsidR="00637E20" w:rsidRPr="00DE1967" w:rsidRDefault="00637E20" w:rsidP="0003742E">
      <w:pPr>
        <w:widowControl w:val="0"/>
        <w:spacing w:line="240" w:lineRule="auto"/>
        <w:rPr>
          <w:szCs w:val="22"/>
          <w:lang w:val="de-DE"/>
        </w:rPr>
      </w:pPr>
    </w:p>
    <w:p w:rsidR="00306D41" w:rsidRPr="00DE1967" w:rsidRDefault="00306D41" w:rsidP="0003742E">
      <w:pPr>
        <w:widowControl w:val="0"/>
        <w:spacing w:line="240" w:lineRule="auto"/>
        <w:rPr>
          <w:noProof/>
          <w:szCs w:val="22"/>
          <w:lang w:val="de-DE"/>
        </w:rPr>
      </w:pPr>
      <w:r w:rsidRPr="00DE1967">
        <w:rPr>
          <w:noProof/>
          <w:szCs w:val="22"/>
          <w:lang w:val="de-DE"/>
        </w:rPr>
        <w:t>Nur auf Blisterpackungen mit 7 Tabletten</w:t>
      </w:r>
    </w:p>
    <w:p w:rsidR="00AF2380" w:rsidRPr="00DE1967" w:rsidRDefault="00AF2380"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MO</w:t>
      </w:r>
    </w:p>
    <w:p w:rsidR="00AF2380" w:rsidRPr="00DE1967" w:rsidRDefault="00AF2380" w:rsidP="0003742E">
      <w:pPr>
        <w:widowControl w:val="0"/>
        <w:tabs>
          <w:tab w:val="clear" w:pos="567"/>
        </w:tabs>
        <w:autoSpaceDE w:val="0"/>
        <w:autoSpaceDN w:val="0"/>
        <w:adjustRightInd w:val="0"/>
        <w:spacing w:line="240" w:lineRule="auto"/>
        <w:rPr>
          <w:snapToGrid/>
          <w:szCs w:val="22"/>
          <w:lang w:val="it-IT" w:eastAsia="de-DE"/>
        </w:rPr>
      </w:pPr>
      <w:r w:rsidRPr="00DE1967">
        <w:rPr>
          <w:snapToGrid/>
          <w:szCs w:val="22"/>
          <w:lang w:val="it-IT" w:eastAsia="de-DE"/>
        </w:rPr>
        <w:t>DI</w:t>
      </w:r>
    </w:p>
    <w:p w:rsidR="00AF2380" w:rsidRPr="00DE1967" w:rsidRDefault="00AF2380" w:rsidP="0003742E">
      <w:pPr>
        <w:widowControl w:val="0"/>
        <w:tabs>
          <w:tab w:val="clear" w:pos="567"/>
        </w:tabs>
        <w:autoSpaceDE w:val="0"/>
        <w:autoSpaceDN w:val="0"/>
        <w:adjustRightInd w:val="0"/>
        <w:spacing w:line="240" w:lineRule="auto"/>
        <w:rPr>
          <w:snapToGrid/>
          <w:szCs w:val="22"/>
          <w:lang w:val="it-IT" w:eastAsia="de-DE"/>
        </w:rPr>
      </w:pPr>
      <w:r w:rsidRPr="00DE1967">
        <w:rPr>
          <w:snapToGrid/>
          <w:szCs w:val="22"/>
          <w:lang w:val="it-IT" w:eastAsia="de-DE"/>
        </w:rPr>
        <w:t>MI</w:t>
      </w:r>
    </w:p>
    <w:p w:rsidR="00AF2380" w:rsidRPr="00DE1967" w:rsidRDefault="00AF2380" w:rsidP="0003742E">
      <w:pPr>
        <w:widowControl w:val="0"/>
        <w:tabs>
          <w:tab w:val="clear" w:pos="567"/>
        </w:tabs>
        <w:autoSpaceDE w:val="0"/>
        <w:autoSpaceDN w:val="0"/>
        <w:adjustRightInd w:val="0"/>
        <w:spacing w:line="240" w:lineRule="auto"/>
        <w:rPr>
          <w:snapToGrid/>
          <w:szCs w:val="22"/>
          <w:lang w:val="it-IT" w:eastAsia="de-DE"/>
        </w:rPr>
      </w:pPr>
      <w:r w:rsidRPr="00DE1967">
        <w:rPr>
          <w:snapToGrid/>
          <w:szCs w:val="22"/>
          <w:lang w:val="it-IT" w:eastAsia="de-DE"/>
        </w:rPr>
        <w:t>DO</w:t>
      </w:r>
    </w:p>
    <w:p w:rsidR="00AF2380" w:rsidRPr="00DE1967" w:rsidRDefault="00AF2380" w:rsidP="0003742E">
      <w:pPr>
        <w:widowControl w:val="0"/>
        <w:tabs>
          <w:tab w:val="clear" w:pos="567"/>
        </w:tabs>
        <w:autoSpaceDE w:val="0"/>
        <w:autoSpaceDN w:val="0"/>
        <w:adjustRightInd w:val="0"/>
        <w:spacing w:line="240" w:lineRule="auto"/>
        <w:rPr>
          <w:snapToGrid/>
          <w:szCs w:val="22"/>
          <w:lang w:val="it-IT" w:eastAsia="de-DE"/>
        </w:rPr>
      </w:pPr>
      <w:r w:rsidRPr="00DE1967">
        <w:rPr>
          <w:snapToGrid/>
          <w:szCs w:val="22"/>
          <w:lang w:val="it-IT" w:eastAsia="de-DE"/>
        </w:rPr>
        <w:t>FR</w:t>
      </w:r>
    </w:p>
    <w:p w:rsidR="00AF2380" w:rsidRPr="00DE1967" w:rsidRDefault="00AF2380" w:rsidP="0003742E">
      <w:pPr>
        <w:widowControl w:val="0"/>
        <w:tabs>
          <w:tab w:val="clear" w:pos="567"/>
        </w:tabs>
        <w:autoSpaceDE w:val="0"/>
        <w:autoSpaceDN w:val="0"/>
        <w:adjustRightInd w:val="0"/>
        <w:spacing w:line="240" w:lineRule="auto"/>
        <w:rPr>
          <w:snapToGrid/>
          <w:szCs w:val="22"/>
          <w:lang w:val="it-IT" w:eastAsia="de-DE"/>
        </w:rPr>
      </w:pPr>
      <w:r w:rsidRPr="00DE1967">
        <w:rPr>
          <w:snapToGrid/>
          <w:szCs w:val="22"/>
          <w:lang w:val="it-IT" w:eastAsia="de-DE"/>
        </w:rPr>
        <w:t>SA</w:t>
      </w:r>
    </w:p>
    <w:p w:rsidR="00AF2380" w:rsidRPr="00DE1967" w:rsidRDefault="00AF2380" w:rsidP="0003742E">
      <w:pPr>
        <w:widowControl w:val="0"/>
        <w:spacing w:line="240" w:lineRule="auto"/>
        <w:rPr>
          <w:szCs w:val="22"/>
          <w:lang w:val="it-IT"/>
        </w:rPr>
      </w:pPr>
      <w:r w:rsidRPr="00DE1967">
        <w:rPr>
          <w:snapToGrid/>
          <w:szCs w:val="22"/>
          <w:lang w:val="it-IT" w:eastAsia="de-DE"/>
        </w:rPr>
        <w:t>SO</w:t>
      </w:r>
    </w:p>
    <w:p w:rsidR="00637E20" w:rsidRPr="00DE1967" w:rsidRDefault="00544F89" w:rsidP="0003742E">
      <w:pPr>
        <w:widowControl w:val="0"/>
        <w:spacing w:line="240" w:lineRule="auto"/>
        <w:rPr>
          <w:noProof/>
          <w:szCs w:val="22"/>
          <w:lang w:val="it-IT"/>
        </w:rPr>
      </w:pPr>
      <w:r w:rsidRPr="00DE1967">
        <w:rPr>
          <w:noProof/>
          <w:szCs w:val="22"/>
          <w:lang w:val="it-IT"/>
        </w:rPr>
        <w:br w:type="page"/>
      </w:r>
    </w:p>
    <w:p w:rsidR="00544F89"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rPr>
          <w:b/>
          <w:noProof/>
          <w:szCs w:val="22"/>
          <w:lang w:val="de-DE"/>
        </w:rPr>
      </w:pPr>
      <w:r w:rsidRPr="00DE1967">
        <w:rPr>
          <w:b/>
          <w:noProof/>
          <w:szCs w:val="22"/>
          <w:lang w:val="de-DE"/>
        </w:rPr>
        <w:t>ANGABEN AUF DER ÄUSSEREN UMHÜLLUNG</w:t>
      </w: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de-DE"/>
        </w:rPr>
      </w:pPr>
    </w:p>
    <w:p w:rsidR="000F4F3A" w:rsidRPr="00DE1967" w:rsidRDefault="000F4F3A" w:rsidP="0003742E">
      <w:pPr>
        <w:widowControl w:val="0"/>
        <w:pBdr>
          <w:top w:val="single" w:sz="4" w:space="1" w:color="auto"/>
          <w:left w:val="single" w:sz="4" w:space="4" w:color="auto"/>
          <w:bottom w:val="single" w:sz="4" w:space="1" w:color="auto"/>
          <w:right w:val="single" w:sz="4" w:space="4" w:color="auto"/>
        </w:pBdr>
        <w:spacing w:line="240" w:lineRule="auto"/>
        <w:rPr>
          <w:b/>
          <w:noProof/>
          <w:szCs w:val="22"/>
          <w:lang w:val="de-DE"/>
        </w:rPr>
      </w:pPr>
      <w:r w:rsidRPr="00DE1967">
        <w:rPr>
          <w:b/>
          <w:noProof/>
          <w:szCs w:val="22"/>
          <w:lang w:val="de-DE"/>
        </w:rPr>
        <w:t>UMKARTON</w:t>
      </w:r>
    </w:p>
    <w:p w:rsidR="00B4575E" w:rsidRPr="00DE1967" w:rsidRDefault="00B4575E" w:rsidP="0003742E">
      <w:pPr>
        <w:widowControl w:val="0"/>
        <w:spacing w:line="240" w:lineRule="auto"/>
        <w:rPr>
          <w:noProof/>
          <w:szCs w:val="22"/>
          <w:lang w:val="de-DE"/>
        </w:rPr>
      </w:pPr>
    </w:p>
    <w:p w:rsidR="0003742E" w:rsidRPr="00DE1967" w:rsidRDefault="0003742E" w:rsidP="0003742E">
      <w:pPr>
        <w:widowControl w:val="0"/>
        <w:spacing w:line="240" w:lineRule="auto"/>
        <w:rPr>
          <w:noProof/>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lang w:val="de-DE"/>
        </w:rPr>
      </w:pPr>
      <w:r w:rsidRPr="00DE1967">
        <w:rPr>
          <w:b/>
          <w:noProof/>
          <w:szCs w:val="22"/>
          <w:lang w:val="de-DE"/>
        </w:rPr>
        <w:t>1.</w:t>
      </w:r>
      <w:r w:rsidRPr="00DE1967">
        <w:rPr>
          <w:b/>
          <w:noProof/>
          <w:szCs w:val="22"/>
          <w:lang w:val="de-DE"/>
        </w:rPr>
        <w:tab/>
        <w:t>BEZEICHNUNG DES ARZNEIMITTELS</w:t>
      </w:r>
    </w:p>
    <w:p w:rsidR="00B4575E" w:rsidRPr="00DE1967" w:rsidRDefault="00B4575E" w:rsidP="0003742E">
      <w:pPr>
        <w:widowControl w:val="0"/>
        <w:spacing w:line="240" w:lineRule="auto"/>
        <w:rPr>
          <w:szCs w:val="22"/>
          <w:lang w:val="de-DE"/>
        </w:rPr>
      </w:pPr>
    </w:p>
    <w:p w:rsidR="00B4575E" w:rsidRPr="00DE1967" w:rsidRDefault="00B4575E" w:rsidP="0003742E">
      <w:pPr>
        <w:widowControl w:val="0"/>
        <w:spacing w:line="240" w:lineRule="auto"/>
        <w:rPr>
          <w:szCs w:val="22"/>
          <w:lang w:val="de-DE"/>
        </w:rPr>
      </w:pPr>
      <w:r w:rsidRPr="00DE1967">
        <w:rPr>
          <w:noProof/>
          <w:szCs w:val="22"/>
          <w:lang w:val="de-DE"/>
        </w:rPr>
        <w:t>Tolucombi 80</w:t>
      </w:r>
      <w:r w:rsidR="00023E2B" w:rsidRPr="00DE1967">
        <w:rPr>
          <w:noProof/>
          <w:szCs w:val="22"/>
          <w:lang w:val="de-DE"/>
        </w:rPr>
        <w:t> mg</w:t>
      </w:r>
      <w:r w:rsidRPr="00DE1967">
        <w:rPr>
          <w:noProof/>
          <w:szCs w:val="22"/>
          <w:lang w:val="de-DE"/>
        </w:rPr>
        <w:t>/12,5</w:t>
      </w:r>
      <w:r w:rsidR="00023E2B" w:rsidRPr="00DE1967">
        <w:rPr>
          <w:noProof/>
          <w:szCs w:val="22"/>
          <w:lang w:val="de-DE"/>
        </w:rPr>
        <w:t> mg</w:t>
      </w:r>
      <w:r w:rsidRPr="00DE1967">
        <w:rPr>
          <w:noProof/>
          <w:szCs w:val="22"/>
          <w:lang w:val="de-DE"/>
        </w:rPr>
        <w:t xml:space="preserve"> Tabletten</w:t>
      </w:r>
    </w:p>
    <w:p w:rsidR="00B4575E" w:rsidRPr="00DE1967" w:rsidRDefault="00B4575E" w:rsidP="0003742E">
      <w:pPr>
        <w:widowControl w:val="0"/>
        <w:spacing w:line="240" w:lineRule="auto"/>
        <w:rPr>
          <w:snapToGrid/>
          <w:szCs w:val="22"/>
          <w:lang w:val="de-DE" w:eastAsia="de-DE"/>
        </w:rPr>
      </w:pPr>
      <w:r w:rsidRPr="00DE1967">
        <w:rPr>
          <w:snapToGrid/>
          <w:szCs w:val="22"/>
          <w:lang w:val="de-DE" w:eastAsia="de-DE"/>
        </w:rPr>
        <w:t>Telmisartan/Hydrochlorothiazid</w:t>
      </w:r>
    </w:p>
    <w:p w:rsidR="00B4575E" w:rsidRPr="00DE1967" w:rsidRDefault="00B4575E" w:rsidP="0003742E">
      <w:pPr>
        <w:widowControl w:val="0"/>
        <w:spacing w:line="240" w:lineRule="auto"/>
        <w:rPr>
          <w:szCs w:val="22"/>
          <w:lang w:val="de-DE"/>
        </w:rPr>
      </w:pPr>
    </w:p>
    <w:p w:rsidR="00B4575E" w:rsidRPr="00DE1967" w:rsidRDefault="00B4575E" w:rsidP="0003742E">
      <w:pPr>
        <w:widowControl w:val="0"/>
        <w:spacing w:line="240" w:lineRule="auto"/>
        <w:rPr>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lang w:val="de-DE"/>
        </w:rPr>
      </w:pPr>
      <w:r w:rsidRPr="00DE1967">
        <w:rPr>
          <w:b/>
          <w:noProof/>
          <w:szCs w:val="22"/>
          <w:lang w:val="de-DE"/>
        </w:rPr>
        <w:t>2.</w:t>
      </w:r>
      <w:r w:rsidRPr="00DE1967">
        <w:rPr>
          <w:b/>
          <w:noProof/>
          <w:szCs w:val="22"/>
          <w:lang w:val="de-DE"/>
        </w:rPr>
        <w:tab/>
        <w:t>WIRKSTOFF(E)</w:t>
      </w:r>
    </w:p>
    <w:p w:rsidR="00B4575E" w:rsidRPr="00DE1967" w:rsidRDefault="00B4575E" w:rsidP="0003742E">
      <w:pPr>
        <w:widowControl w:val="0"/>
        <w:spacing w:line="240" w:lineRule="auto"/>
        <w:rPr>
          <w:i/>
          <w:szCs w:val="22"/>
          <w:lang w:val="de-DE"/>
        </w:rPr>
      </w:pPr>
    </w:p>
    <w:p w:rsidR="00B4575E" w:rsidRPr="00DE1967" w:rsidRDefault="00B4575E" w:rsidP="0003742E">
      <w:pPr>
        <w:widowControl w:val="0"/>
        <w:spacing w:line="240" w:lineRule="auto"/>
        <w:rPr>
          <w:snapToGrid/>
          <w:szCs w:val="22"/>
          <w:lang w:val="de-DE" w:eastAsia="de-DE"/>
        </w:rPr>
      </w:pPr>
      <w:r w:rsidRPr="00DE1967">
        <w:rPr>
          <w:snapToGrid/>
          <w:szCs w:val="22"/>
          <w:lang w:val="de-DE" w:eastAsia="de-DE"/>
        </w:rPr>
        <w:t>Jede Tablette enthält 80</w:t>
      </w:r>
      <w:r w:rsidR="00023E2B" w:rsidRPr="00DE1967">
        <w:rPr>
          <w:snapToGrid/>
          <w:szCs w:val="22"/>
          <w:lang w:val="de-DE" w:eastAsia="de-DE"/>
        </w:rPr>
        <w:t> mg</w:t>
      </w:r>
      <w:r w:rsidRPr="00DE1967">
        <w:rPr>
          <w:snapToGrid/>
          <w:szCs w:val="22"/>
          <w:lang w:val="de-DE" w:eastAsia="de-DE"/>
        </w:rPr>
        <w:t xml:space="preserve"> Telmisartan und 12,5</w:t>
      </w:r>
      <w:r w:rsidR="00023E2B" w:rsidRPr="00DE1967">
        <w:rPr>
          <w:snapToGrid/>
          <w:szCs w:val="22"/>
          <w:lang w:val="de-DE" w:eastAsia="de-DE"/>
        </w:rPr>
        <w:t> mg</w:t>
      </w:r>
      <w:r w:rsidRPr="00DE1967">
        <w:rPr>
          <w:snapToGrid/>
          <w:szCs w:val="22"/>
          <w:lang w:val="de-DE" w:eastAsia="de-DE"/>
        </w:rPr>
        <w:t xml:space="preserve"> Hydrochlorothiazid.</w:t>
      </w:r>
    </w:p>
    <w:p w:rsidR="00B4575E" w:rsidRPr="00DE1967" w:rsidRDefault="00B4575E" w:rsidP="0003742E">
      <w:pPr>
        <w:widowControl w:val="0"/>
        <w:spacing w:line="240" w:lineRule="auto"/>
        <w:rPr>
          <w:snapToGrid/>
          <w:szCs w:val="22"/>
          <w:lang w:val="de-DE" w:eastAsia="de-DE"/>
        </w:rPr>
      </w:pPr>
    </w:p>
    <w:p w:rsidR="00B4575E" w:rsidRPr="00DE1967" w:rsidRDefault="00B4575E" w:rsidP="0003742E">
      <w:pPr>
        <w:widowControl w:val="0"/>
        <w:spacing w:line="240" w:lineRule="auto"/>
        <w:rPr>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lang w:val="de-DE"/>
        </w:rPr>
      </w:pPr>
      <w:r w:rsidRPr="00DE1967">
        <w:rPr>
          <w:b/>
          <w:noProof/>
          <w:szCs w:val="22"/>
          <w:lang w:val="de-DE"/>
        </w:rPr>
        <w:t>3.</w:t>
      </w:r>
      <w:r w:rsidRPr="00DE1967">
        <w:rPr>
          <w:b/>
          <w:noProof/>
          <w:szCs w:val="22"/>
          <w:lang w:val="de-DE"/>
        </w:rPr>
        <w:tab/>
        <w:t>SONSTIGE BESTANDTEILE</w:t>
      </w:r>
    </w:p>
    <w:p w:rsidR="00B4575E" w:rsidRPr="00DE1967" w:rsidRDefault="00B4575E" w:rsidP="0003742E">
      <w:pPr>
        <w:widowControl w:val="0"/>
        <w:tabs>
          <w:tab w:val="clear" w:pos="567"/>
        </w:tabs>
        <w:autoSpaceDE w:val="0"/>
        <w:autoSpaceDN w:val="0"/>
        <w:adjustRightInd w:val="0"/>
        <w:spacing w:line="240" w:lineRule="auto"/>
        <w:rPr>
          <w:snapToGrid/>
          <w:szCs w:val="22"/>
          <w:lang w:val="de-DE" w:eastAsia="de-DE"/>
        </w:rPr>
      </w:pPr>
    </w:p>
    <w:p w:rsidR="00B4575E" w:rsidRPr="00DE1967" w:rsidRDefault="00B4575E"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Enthält Lactose-Monohydrat und Sorbitol (E420).</w:t>
      </w:r>
    </w:p>
    <w:p w:rsidR="00B4575E" w:rsidRPr="00DE1967" w:rsidRDefault="00B4575E" w:rsidP="0003742E">
      <w:pPr>
        <w:widowControl w:val="0"/>
        <w:spacing w:line="240" w:lineRule="auto"/>
        <w:rPr>
          <w:noProof/>
          <w:szCs w:val="22"/>
          <w:lang w:val="de-DE"/>
        </w:rPr>
      </w:pPr>
      <w:r w:rsidRPr="00DE1967">
        <w:rPr>
          <w:snapToGrid/>
          <w:szCs w:val="22"/>
          <w:lang w:val="de-DE" w:eastAsia="de-DE"/>
        </w:rPr>
        <w:t>Packungsbeilage</w:t>
      </w:r>
      <w:r w:rsidR="00171E2D" w:rsidRPr="00DE1967">
        <w:rPr>
          <w:snapToGrid/>
          <w:szCs w:val="22"/>
          <w:lang w:val="de-DE" w:eastAsia="de-DE"/>
        </w:rPr>
        <w:t xml:space="preserve"> beachten</w:t>
      </w:r>
      <w:r w:rsidRPr="00DE1967">
        <w:rPr>
          <w:snapToGrid/>
          <w:szCs w:val="22"/>
          <w:lang w:val="de-DE" w:eastAsia="de-DE"/>
        </w:rPr>
        <w:t>.</w:t>
      </w:r>
    </w:p>
    <w:p w:rsidR="00B4575E" w:rsidRPr="00DE1967" w:rsidRDefault="00B4575E" w:rsidP="0003742E">
      <w:pPr>
        <w:widowControl w:val="0"/>
        <w:spacing w:line="240" w:lineRule="auto"/>
        <w:rPr>
          <w:noProof/>
          <w:szCs w:val="22"/>
          <w:lang w:val="de-DE"/>
        </w:rPr>
      </w:pPr>
    </w:p>
    <w:p w:rsidR="00FE17A7" w:rsidRPr="00DE1967" w:rsidRDefault="00FE17A7" w:rsidP="0003742E">
      <w:pPr>
        <w:widowControl w:val="0"/>
        <w:spacing w:line="240" w:lineRule="auto"/>
        <w:rPr>
          <w:noProof/>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lang w:val="de-DE"/>
        </w:rPr>
      </w:pPr>
      <w:r w:rsidRPr="00DE1967">
        <w:rPr>
          <w:b/>
          <w:noProof/>
          <w:szCs w:val="22"/>
          <w:lang w:val="de-DE"/>
        </w:rPr>
        <w:t>4.</w:t>
      </w:r>
      <w:r w:rsidRPr="00DE1967">
        <w:rPr>
          <w:b/>
          <w:noProof/>
          <w:szCs w:val="22"/>
          <w:lang w:val="de-DE"/>
        </w:rPr>
        <w:tab/>
        <w:t>DARREICHUNGSFORM UND INHALT</w:t>
      </w:r>
    </w:p>
    <w:p w:rsidR="00B4575E" w:rsidRPr="00DE1967" w:rsidRDefault="00B4575E" w:rsidP="0003742E">
      <w:pPr>
        <w:widowControl w:val="0"/>
        <w:spacing w:line="240" w:lineRule="auto"/>
        <w:rPr>
          <w:noProof/>
          <w:szCs w:val="22"/>
          <w:lang w:val="de-DE"/>
        </w:rPr>
      </w:pPr>
    </w:p>
    <w:p w:rsidR="00B4575E" w:rsidRPr="00DE1967" w:rsidRDefault="00700858"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Tablette</w:t>
      </w:r>
      <w:r w:rsidR="00B4575E" w:rsidRPr="00DE1967">
        <w:rPr>
          <w:snapToGrid/>
          <w:szCs w:val="22"/>
          <w:lang w:val="de-DE" w:eastAsia="de-DE"/>
        </w:rPr>
        <w:t>.</w:t>
      </w:r>
    </w:p>
    <w:p w:rsidR="00B4575E" w:rsidRPr="00DE1967" w:rsidRDefault="00B4575E" w:rsidP="0003742E">
      <w:pPr>
        <w:widowControl w:val="0"/>
        <w:tabs>
          <w:tab w:val="clear" w:pos="567"/>
        </w:tabs>
        <w:autoSpaceDE w:val="0"/>
        <w:autoSpaceDN w:val="0"/>
        <w:adjustRightInd w:val="0"/>
        <w:spacing w:line="240" w:lineRule="auto"/>
        <w:rPr>
          <w:snapToGrid/>
          <w:szCs w:val="22"/>
          <w:lang w:val="de-DE" w:eastAsia="de-DE"/>
        </w:rPr>
      </w:pPr>
    </w:p>
    <w:p w:rsidR="00B4575E" w:rsidRPr="00DE1967" w:rsidRDefault="00B4575E" w:rsidP="0003742E">
      <w:pPr>
        <w:widowControl w:val="0"/>
        <w:tabs>
          <w:tab w:val="clear" w:pos="567"/>
        </w:tabs>
        <w:autoSpaceDE w:val="0"/>
        <w:autoSpaceDN w:val="0"/>
        <w:adjustRightInd w:val="0"/>
        <w:spacing w:line="240" w:lineRule="auto"/>
        <w:rPr>
          <w:i/>
          <w:szCs w:val="22"/>
          <w:u w:val="single"/>
          <w:lang w:val="da-DK"/>
        </w:rPr>
      </w:pPr>
      <w:r w:rsidRPr="00DE1967">
        <w:rPr>
          <w:i/>
          <w:szCs w:val="22"/>
          <w:u w:val="single"/>
          <w:lang w:val="da-DK"/>
        </w:rPr>
        <w:t>B</w:t>
      </w:r>
      <w:r w:rsidR="006C70AD" w:rsidRPr="00DE1967">
        <w:rPr>
          <w:i/>
          <w:szCs w:val="22"/>
          <w:u w:val="single"/>
          <w:lang w:val="da-DK"/>
        </w:rPr>
        <w:t>listerpackung (OPA/Al/PVC-Folie</w:t>
      </w:r>
      <w:r w:rsidRPr="00DE1967">
        <w:rPr>
          <w:i/>
          <w:szCs w:val="22"/>
          <w:u w:val="single"/>
          <w:lang w:val="da-DK"/>
        </w:rPr>
        <w:t>/</w:t>
      </w:r>
      <w:r w:rsidR="006C70AD" w:rsidRPr="00DE1967">
        <w:rPr>
          <w:i/>
          <w:szCs w:val="22"/>
          <w:u w:val="single"/>
          <w:lang w:val="da-DK"/>
        </w:rPr>
        <w:t>/</w:t>
      </w:r>
      <w:r w:rsidRPr="00DE1967">
        <w:rPr>
          <w:i/>
          <w:szCs w:val="22"/>
          <w:u w:val="single"/>
          <w:lang w:val="da-DK"/>
        </w:rPr>
        <w:t>Al-Folie):</w:t>
      </w:r>
    </w:p>
    <w:p w:rsidR="00B4575E" w:rsidRPr="00DE1967" w:rsidRDefault="00B4575E" w:rsidP="0003742E">
      <w:pPr>
        <w:widowControl w:val="0"/>
        <w:tabs>
          <w:tab w:val="clear" w:pos="567"/>
        </w:tabs>
        <w:autoSpaceDE w:val="0"/>
        <w:autoSpaceDN w:val="0"/>
        <w:adjustRightInd w:val="0"/>
        <w:spacing w:line="240" w:lineRule="auto"/>
        <w:rPr>
          <w:snapToGrid/>
          <w:szCs w:val="22"/>
          <w:lang w:val="da-DK" w:eastAsia="de-DE"/>
        </w:rPr>
      </w:pPr>
      <w:r w:rsidRPr="00DE1967">
        <w:rPr>
          <w:snapToGrid/>
          <w:szCs w:val="22"/>
          <w:lang w:val="da-DK" w:eastAsia="de-DE"/>
        </w:rPr>
        <w:t>14</w:t>
      </w:r>
      <w:r w:rsidR="00487B8C" w:rsidRPr="00DE1967">
        <w:rPr>
          <w:snapToGrid/>
          <w:szCs w:val="22"/>
          <w:lang w:val="da-DK" w:eastAsia="de-DE"/>
        </w:rPr>
        <w:t xml:space="preserve">  x 1</w:t>
      </w:r>
      <w:r w:rsidRPr="00DE1967">
        <w:rPr>
          <w:snapToGrid/>
          <w:szCs w:val="22"/>
          <w:lang w:val="da-DK" w:eastAsia="de-DE"/>
        </w:rPr>
        <w:t xml:space="preserve"> Tablette</w:t>
      </w:r>
    </w:p>
    <w:p w:rsidR="00B4575E" w:rsidRPr="00DE1967" w:rsidRDefault="00B4575E" w:rsidP="0003742E">
      <w:pPr>
        <w:widowControl w:val="0"/>
        <w:tabs>
          <w:tab w:val="clear" w:pos="567"/>
        </w:tabs>
        <w:autoSpaceDE w:val="0"/>
        <w:autoSpaceDN w:val="0"/>
        <w:adjustRightInd w:val="0"/>
        <w:spacing w:line="240" w:lineRule="auto"/>
        <w:rPr>
          <w:snapToGrid/>
          <w:szCs w:val="22"/>
          <w:lang w:val="da-DK" w:eastAsia="de-DE"/>
        </w:rPr>
      </w:pPr>
      <w:r w:rsidRPr="00DE1967">
        <w:rPr>
          <w:snapToGrid/>
          <w:szCs w:val="22"/>
          <w:lang w:val="da-DK" w:eastAsia="de-DE"/>
        </w:rPr>
        <w:t>28</w:t>
      </w:r>
      <w:r w:rsidR="00487B8C" w:rsidRPr="00DE1967">
        <w:rPr>
          <w:snapToGrid/>
          <w:szCs w:val="22"/>
          <w:lang w:val="da-DK" w:eastAsia="de-DE"/>
        </w:rPr>
        <w:t> x 1</w:t>
      </w:r>
      <w:r w:rsidRPr="00DE1967">
        <w:rPr>
          <w:snapToGrid/>
          <w:szCs w:val="22"/>
          <w:lang w:val="da-DK" w:eastAsia="de-DE"/>
        </w:rPr>
        <w:t xml:space="preserve"> Tablette</w:t>
      </w:r>
    </w:p>
    <w:p w:rsidR="00B4575E" w:rsidRPr="00DE1967" w:rsidRDefault="00B4575E" w:rsidP="0003742E">
      <w:pPr>
        <w:widowControl w:val="0"/>
        <w:tabs>
          <w:tab w:val="clear" w:pos="567"/>
        </w:tabs>
        <w:autoSpaceDE w:val="0"/>
        <w:autoSpaceDN w:val="0"/>
        <w:adjustRightInd w:val="0"/>
        <w:spacing w:line="240" w:lineRule="auto"/>
        <w:rPr>
          <w:snapToGrid/>
          <w:szCs w:val="22"/>
          <w:lang w:val="da-DK" w:eastAsia="de-DE"/>
        </w:rPr>
      </w:pPr>
      <w:r w:rsidRPr="00DE1967">
        <w:rPr>
          <w:snapToGrid/>
          <w:szCs w:val="22"/>
          <w:lang w:val="da-DK" w:eastAsia="de-DE"/>
        </w:rPr>
        <w:t>30</w:t>
      </w:r>
      <w:r w:rsidR="00487B8C" w:rsidRPr="00DE1967">
        <w:rPr>
          <w:snapToGrid/>
          <w:szCs w:val="22"/>
          <w:lang w:val="da-DK" w:eastAsia="de-DE"/>
        </w:rPr>
        <w:t> x 1</w:t>
      </w:r>
      <w:r w:rsidRPr="00DE1967">
        <w:rPr>
          <w:snapToGrid/>
          <w:szCs w:val="22"/>
          <w:lang w:val="da-DK" w:eastAsia="de-DE"/>
        </w:rPr>
        <w:t xml:space="preserve"> Tablette</w:t>
      </w:r>
    </w:p>
    <w:p w:rsidR="00B4575E" w:rsidRPr="00DE1967" w:rsidRDefault="00B4575E" w:rsidP="0003742E">
      <w:pPr>
        <w:widowControl w:val="0"/>
        <w:tabs>
          <w:tab w:val="clear" w:pos="567"/>
        </w:tabs>
        <w:autoSpaceDE w:val="0"/>
        <w:autoSpaceDN w:val="0"/>
        <w:adjustRightInd w:val="0"/>
        <w:spacing w:line="240" w:lineRule="auto"/>
        <w:rPr>
          <w:snapToGrid/>
          <w:szCs w:val="22"/>
          <w:lang w:val="da-DK" w:eastAsia="de-DE"/>
        </w:rPr>
      </w:pPr>
      <w:r w:rsidRPr="00DE1967">
        <w:rPr>
          <w:snapToGrid/>
          <w:szCs w:val="22"/>
          <w:lang w:val="da-DK" w:eastAsia="de-DE"/>
        </w:rPr>
        <w:t>56</w:t>
      </w:r>
      <w:r w:rsidR="00487B8C" w:rsidRPr="00DE1967">
        <w:rPr>
          <w:snapToGrid/>
          <w:szCs w:val="22"/>
          <w:lang w:val="da-DK" w:eastAsia="de-DE"/>
        </w:rPr>
        <w:t> x 1</w:t>
      </w:r>
      <w:r w:rsidRPr="00DE1967">
        <w:rPr>
          <w:snapToGrid/>
          <w:szCs w:val="22"/>
          <w:lang w:val="da-DK" w:eastAsia="de-DE"/>
        </w:rPr>
        <w:t xml:space="preserve"> Tablette</w:t>
      </w:r>
    </w:p>
    <w:p w:rsidR="00B4575E" w:rsidRPr="00DE1967" w:rsidRDefault="00B4575E" w:rsidP="0003742E">
      <w:pPr>
        <w:widowControl w:val="0"/>
        <w:tabs>
          <w:tab w:val="clear" w:pos="567"/>
        </w:tabs>
        <w:autoSpaceDE w:val="0"/>
        <w:autoSpaceDN w:val="0"/>
        <w:adjustRightInd w:val="0"/>
        <w:spacing w:line="240" w:lineRule="auto"/>
        <w:rPr>
          <w:snapToGrid/>
          <w:szCs w:val="22"/>
          <w:lang w:val="da-DK" w:eastAsia="de-DE"/>
        </w:rPr>
      </w:pPr>
      <w:r w:rsidRPr="00DE1967">
        <w:rPr>
          <w:snapToGrid/>
          <w:szCs w:val="22"/>
          <w:lang w:val="da-DK" w:eastAsia="de-DE"/>
        </w:rPr>
        <w:t>60</w:t>
      </w:r>
      <w:r w:rsidR="00487B8C" w:rsidRPr="00DE1967">
        <w:rPr>
          <w:snapToGrid/>
          <w:szCs w:val="22"/>
          <w:lang w:val="da-DK" w:eastAsia="de-DE"/>
        </w:rPr>
        <w:t> x 1</w:t>
      </w:r>
      <w:r w:rsidRPr="00DE1967">
        <w:rPr>
          <w:snapToGrid/>
          <w:szCs w:val="22"/>
          <w:lang w:val="da-DK" w:eastAsia="de-DE"/>
        </w:rPr>
        <w:t xml:space="preserve"> Tablette</w:t>
      </w:r>
    </w:p>
    <w:p w:rsidR="00B4575E" w:rsidRPr="00DE1967" w:rsidRDefault="00B4575E" w:rsidP="0003742E">
      <w:pPr>
        <w:widowControl w:val="0"/>
        <w:tabs>
          <w:tab w:val="clear" w:pos="567"/>
        </w:tabs>
        <w:autoSpaceDE w:val="0"/>
        <w:autoSpaceDN w:val="0"/>
        <w:adjustRightInd w:val="0"/>
        <w:spacing w:line="240" w:lineRule="auto"/>
        <w:rPr>
          <w:snapToGrid/>
          <w:szCs w:val="22"/>
          <w:lang w:val="da-DK" w:eastAsia="de-DE"/>
        </w:rPr>
      </w:pPr>
      <w:r w:rsidRPr="00DE1967">
        <w:rPr>
          <w:snapToGrid/>
          <w:szCs w:val="22"/>
          <w:lang w:val="da-DK" w:eastAsia="de-DE"/>
        </w:rPr>
        <w:t>84</w:t>
      </w:r>
      <w:r w:rsidR="00487B8C" w:rsidRPr="00DE1967">
        <w:rPr>
          <w:snapToGrid/>
          <w:szCs w:val="22"/>
          <w:lang w:val="da-DK" w:eastAsia="de-DE"/>
        </w:rPr>
        <w:t> x 1</w:t>
      </w:r>
      <w:r w:rsidRPr="00DE1967">
        <w:rPr>
          <w:snapToGrid/>
          <w:szCs w:val="22"/>
          <w:lang w:val="da-DK" w:eastAsia="de-DE"/>
        </w:rPr>
        <w:t xml:space="preserve"> Tablette</w:t>
      </w:r>
    </w:p>
    <w:p w:rsidR="00B4575E" w:rsidRPr="00DE1967" w:rsidRDefault="00B4575E" w:rsidP="0003742E">
      <w:pPr>
        <w:widowControl w:val="0"/>
        <w:tabs>
          <w:tab w:val="clear" w:pos="567"/>
        </w:tabs>
        <w:autoSpaceDE w:val="0"/>
        <w:autoSpaceDN w:val="0"/>
        <w:adjustRightInd w:val="0"/>
        <w:spacing w:line="240" w:lineRule="auto"/>
        <w:rPr>
          <w:snapToGrid/>
          <w:szCs w:val="22"/>
          <w:lang w:val="da-DK" w:eastAsia="de-DE"/>
        </w:rPr>
      </w:pPr>
      <w:r w:rsidRPr="00DE1967">
        <w:rPr>
          <w:snapToGrid/>
          <w:szCs w:val="22"/>
          <w:lang w:val="da-DK" w:eastAsia="de-DE"/>
        </w:rPr>
        <w:t>90</w:t>
      </w:r>
      <w:r w:rsidR="00487B8C" w:rsidRPr="00DE1967">
        <w:rPr>
          <w:snapToGrid/>
          <w:szCs w:val="22"/>
          <w:lang w:val="da-DK" w:eastAsia="de-DE"/>
        </w:rPr>
        <w:t> x 1</w:t>
      </w:r>
      <w:r w:rsidRPr="00DE1967">
        <w:rPr>
          <w:snapToGrid/>
          <w:szCs w:val="22"/>
          <w:lang w:val="da-DK" w:eastAsia="de-DE"/>
        </w:rPr>
        <w:t xml:space="preserve"> Tablette</w:t>
      </w:r>
    </w:p>
    <w:p w:rsidR="00544F89" w:rsidRPr="00DE1967" w:rsidRDefault="00B4575E" w:rsidP="0003742E">
      <w:pPr>
        <w:widowControl w:val="0"/>
        <w:autoSpaceDE w:val="0"/>
        <w:autoSpaceDN w:val="0"/>
        <w:adjustRightInd w:val="0"/>
        <w:spacing w:line="240" w:lineRule="auto"/>
        <w:rPr>
          <w:szCs w:val="22"/>
          <w:lang w:val="da-DK"/>
        </w:rPr>
      </w:pPr>
      <w:r w:rsidRPr="00DE1967">
        <w:rPr>
          <w:snapToGrid/>
          <w:szCs w:val="22"/>
          <w:lang w:val="da-DK" w:eastAsia="de-DE"/>
        </w:rPr>
        <w:t>98</w:t>
      </w:r>
      <w:r w:rsidR="00487B8C" w:rsidRPr="00DE1967">
        <w:rPr>
          <w:snapToGrid/>
          <w:szCs w:val="22"/>
          <w:lang w:val="da-DK" w:eastAsia="de-DE"/>
        </w:rPr>
        <w:t> x 1</w:t>
      </w:r>
      <w:r w:rsidRPr="00DE1967">
        <w:rPr>
          <w:snapToGrid/>
          <w:szCs w:val="22"/>
          <w:lang w:val="da-DK" w:eastAsia="de-DE"/>
        </w:rPr>
        <w:t xml:space="preserve"> Tablette</w:t>
      </w:r>
    </w:p>
    <w:p w:rsidR="0003742E" w:rsidRPr="00DE1967" w:rsidRDefault="0003742E" w:rsidP="0003742E">
      <w:pPr>
        <w:widowControl w:val="0"/>
        <w:autoSpaceDE w:val="0"/>
        <w:autoSpaceDN w:val="0"/>
        <w:adjustRightInd w:val="0"/>
        <w:spacing w:line="240" w:lineRule="auto"/>
        <w:rPr>
          <w:szCs w:val="22"/>
          <w:lang w:val="da-DK"/>
        </w:rPr>
      </w:pPr>
      <w:r w:rsidRPr="00DE1967">
        <w:rPr>
          <w:snapToGrid/>
          <w:szCs w:val="22"/>
          <w:lang w:val="da-DK" w:eastAsia="de-DE"/>
        </w:rPr>
        <w:t>100</w:t>
      </w:r>
      <w:r w:rsidR="00487B8C" w:rsidRPr="00DE1967">
        <w:rPr>
          <w:snapToGrid/>
          <w:szCs w:val="22"/>
          <w:lang w:val="da-DK" w:eastAsia="de-DE"/>
        </w:rPr>
        <w:t> x 1</w:t>
      </w:r>
      <w:r w:rsidRPr="00DE1967">
        <w:rPr>
          <w:snapToGrid/>
          <w:szCs w:val="22"/>
          <w:lang w:val="da-DK" w:eastAsia="de-DE"/>
        </w:rPr>
        <w:t xml:space="preserve"> Tablette</w:t>
      </w:r>
    </w:p>
    <w:p w:rsidR="00B4575E" w:rsidRPr="00DE1967" w:rsidRDefault="00B4575E" w:rsidP="0003742E">
      <w:pPr>
        <w:widowControl w:val="0"/>
        <w:autoSpaceDE w:val="0"/>
        <w:autoSpaceDN w:val="0"/>
        <w:adjustRightInd w:val="0"/>
        <w:spacing w:line="240" w:lineRule="auto"/>
        <w:rPr>
          <w:szCs w:val="22"/>
          <w:lang w:val="da-DK"/>
        </w:rPr>
      </w:pPr>
    </w:p>
    <w:p w:rsidR="00B4575E" w:rsidRPr="00DE1967" w:rsidRDefault="00B4575E" w:rsidP="0003742E">
      <w:pPr>
        <w:widowControl w:val="0"/>
        <w:autoSpaceDE w:val="0"/>
        <w:autoSpaceDN w:val="0"/>
        <w:adjustRightInd w:val="0"/>
        <w:spacing w:line="240" w:lineRule="auto"/>
        <w:rPr>
          <w:i/>
          <w:snapToGrid/>
          <w:szCs w:val="22"/>
          <w:u w:val="single"/>
          <w:lang w:val="da-DK" w:eastAsia="de-DE"/>
        </w:rPr>
      </w:pPr>
      <w:r w:rsidRPr="00DE1967">
        <w:rPr>
          <w:i/>
          <w:snapToGrid/>
          <w:szCs w:val="22"/>
          <w:u w:val="single"/>
          <w:lang w:val="da-DK" w:eastAsia="de-DE"/>
        </w:rPr>
        <w:t>Blisterp</w:t>
      </w:r>
      <w:r w:rsidR="00D60896" w:rsidRPr="00DE1967">
        <w:rPr>
          <w:i/>
          <w:snapToGrid/>
          <w:szCs w:val="22"/>
          <w:u w:val="single"/>
          <w:lang w:val="da-DK" w:eastAsia="de-DE"/>
        </w:rPr>
        <w:t>ackung (OPA/Al/PE</w:t>
      </w:r>
      <w:r w:rsidR="006C70AD" w:rsidRPr="00DE1967">
        <w:rPr>
          <w:i/>
          <w:snapToGrid/>
          <w:szCs w:val="22"/>
          <w:u w:val="single"/>
          <w:lang w:val="da-DK" w:eastAsia="de-DE"/>
        </w:rPr>
        <w:t>-Folie mit Trockenmittel</w:t>
      </w:r>
      <w:r w:rsidRPr="00DE1967">
        <w:rPr>
          <w:i/>
          <w:snapToGrid/>
          <w:szCs w:val="22"/>
          <w:u w:val="single"/>
          <w:lang w:val="da-DK" w:eastAsia="de-DE"/>
        </w:rPr>
        <w:t>/</w:t>
      </w:r>
      <w:r w:rsidR="006C70AD" w:rsidRPr="00DE1967">
        <w:rPr>
          <w:i/>
          <w:snapToGrid/>
          <w:szCs w:val="22"/>
          <w:u w:val="single"/>
          <w:lang w:val="da-DK" w:eastAsia="de-DE"/>
        </w:rPr>
        <w:t>/</w:t>
      </w:r>
      <w:r w:rsidRPr="00DE1967">
        <w:rPr>
          <w:i/>
          <w:snapToGrid/>
          <w:szCs w:val="22"/>
          <w:u w:val="single"/>
          <w:lang w:val="da-DK" w:eastAsia="de-DE"/>
        </w:rPr>
        <w:t>Al-Folie):</w:t>
      </w:r>
    </w:p>
    <w:p w:rsidR="00B4575E" w:rsidRPr="00DE1967" w:rsidRDefault="00B4575E" w:rsidP="0003742E">
      <w:pPr>
        <w:widowControl w:val="0"/>
        <w:autoSpaceDE w:val="0"/>
        <w:autoSpaceDN w:val="0"/>
        <w:adjustRightInd w:val="0"/>
        <w:spacing w:line="240" w:lineRule="auto"/>
        <w:rPr>
          <w:szCs w:val="22"/>
          <w:lang w:val="de-DE"/>
        </w:rPr>
      </w:pPr>
      <w:r w:rsidRPr="00DE1967">
        <w:rPr>
          <w:szCs w:val="22"/>
          <w:lang w:val="de-DE"/>
        </w:rPr>
        <w:t>14</w:t>
      </w:r>
      <w:r w:rsidR="00487B8C" w:rsidRPr="00DE1967">
        <w:rPr>
          <w:snapToGrid/>
          <w:szCs w:val="22"/>
          <w:lang w:val="de-DE" w:eastAsia="de-DE"/>
        </w:rPr>
        <w:t> x 1</w:t>
      </w:r>
      <w:r w:rsidRPr="00DE1967">
        <w:rPr>
          <w:szCs w:val="22"/>
          <w:lang w:val="de-DE"/>
        </w:rPr>
        <w:t xml:space="preserve"> Tablette</w:t>
      </w:r>
    </w:p>
    <w:p w:rsidR="00B4575E" w:rsidRPr="00DE1967" w:rsidRDefault="00B4575E" w:rsidP="0003742E">
      <w:pPr>
        <w:widowControl w:val="0"/>
        <w:autoSpaceDE w:val="0"/>
        <w:autoSpaceDN w:val="0"/>
        <w:adjustRightInd w:val="0"/>
        <w:spacing w:line="240" w:lineRule="auto"/>
        <w:rPr>
          <w:snapToGrid/>
          <w:szCs w:val="22"/>
          <w:lang w:val="de-DE" w:eastAsia="de-DE"/>
        </w:rPr>
      </w:pPr>
      <w:r w:rsidRPr="00DE1967">
        <w:rPr>
          <w:snapToGrid/>
          <w:szCs w:val="22"/>
          <w:lang w:val="de-DE" w:eastAsia="de-DE"/>
        </w:rPr>
        <w:t>98</w:t>
      </w:r>
      <w:r w:rsidR="00487B8C" w:rsidRPr="00DE1967">
        <w:rPr>
          <w:snapToGrid/>
          <w:szCs w:val="22"/>
          <w:lang w:val="de-DE" w:eastAsia="de-DE"/>
        </w:rPr>
        <w:t> x 1</w:t>
      </w:r>
      <w:r w:rsidRPr="00DE1967">
        <w:rPr>
          <w:snapToGrid/>
          <w:szCs w:val="22"/>
          <w:lang w:val="de-DE" w:eastAsia="de-DE"/>
        </w:rPr>
        <w:t xml:space="preserve"> Tablette</w:t>
      </w:r>
    </w:p>
    <w:p w:rsidR="00B4575E" w:rsidRPr="00DE1967" w:rsidRDefault="00B4575E" w:rsidP="0003742E">
      <w:pPr>
        <w:widowControl w:val="0"/>
        <w:autoSpaceDE w:val="0"/>
        <w:autoSpaceDN w:val="0"/>
        <w:adjustRightInd w:val="0"/>
        <w:spacing w:line="240" w:lineRule="auto"/>
        <w:rPr>
          <w:snapToGrid/>
          <w:szCs w:val="22"/>
          <w:lang w:val="de-DE" w:eastAsia="de-DE"/>
        </w:rPr>
      </w:pPr>
    </w:p>
    <w:p w:rsidR="00B4575E" w:rsidRPr="00DE1967" w:rsidRDefault="00B4575E" w:rsidP="0003742E">
      <w:pPr>
        <w:widowControl w:val="0"/>
        <w:tabs>
          <w:tab w:val="clear" w:pos="567"/>
        </w:tabs>
        <w:autoSpaceDE w:val="0"/>
        <w:autoSpaceDN w:val="0"/>
        <w:adjustRightInd w:val="0"/>
        <w:spacing w:line="240" w:lineRule="auto"/>
        <w:rPr>
          <w:snapToGrid/>
          <w:szCs w:val="22"/>
          <w:lang w:val="de-DE" w:eastAsia="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lang w:val="de-DE"/>
        </w:rPr>
      </w:pPr>
      <w:r w:rsidRPr="00DE1967">
        <w:rPr>
          <w:b/>
          <w:noProof/>
          <w:szCs w:val="22"/>
          <w:lang w:val="de-DE"/>
        </w:rPr>
        <w:t>5.</w:t>
      </w:r>
      <w:r w:rsidRPr="00DE1967">
        <w:rPr>
          <w:b/>
          <w:noProof/>
          <w:szCs w:val="22"/>
          <w:lang w:val="de-DE"/>
        </w:rPr>
        <w:tab/>
      </w:r>
      <w:r w:rsidRPr="00DE1967">
        <w:rPr>
          <w:b/>
          <w:caps/>
          <w:noProof/>
          <w:szCs w:val="22"/>
          <w:lang w:val="de-DE"/>
        </w:rPr>
        <w:t>Hinweise zur</w:t>
      </w:r>
      <w:r w:rsidRPr="00DE1967">
        <w:rPr>
          <w:b/>
          <w:noProof/>
          <w:szCs w:val="22"/>
          <w:lang w:val="de-DE"/>
        </w:rPr>
        <w:t xml:space="preserve"> UND ART(EN) DER ANWENDUNG</w:t>
      </w:r>
    </w:p>
    <w:p w:rsidR="00B4575E" w:rsidRPr="00DE1967" w:rsidRDefault="00B4575E" w:rsidP="0003742E">
      <w:pPr>
        <w:widowControl w:val="0"/>
        <w:spacing w:line="240" w:lineRule="auto"/>
        <w:rPr>
          <w:szCs w:val="22"/>
          <w:lang w:val="de-DE"/>
        </w:rPr>
      </w:pPr>
    </w:p>
    <w:p w:rsidR="00B4575E" w:rsidRPr="00DE1967" w:rsidRDefault="00B4575E" w:rsidP="0003742E">
      <w:pPr>
        <w:widowControl w:val="0"/>
        <w:spacing w:line="240" w:lineRule="auto"/>
        <w:rPr>
          <w:noProof/>
          <w:szCs w:val="22"/>
          <w:lang w:val="de-DE"/>
        </w:rPr>
      </w:pPr>
      <w:r w:rsidRPr="00DE1967">
        <w:rPr>
          <w:noProof/>
          <w:szCs w:val="22"/>
          <w:lang w:val="de-DE"/>
        </w:rPr>
        <w:t>Packungsbeilage beachten.</w:t>
      </w:r>
    </w:p>
    <w:p w:rsidR="00B4575E" w:rsidRPr="00DE1967" w:rsidRDefault="00B4575E" w:rsidP="0003742E">
      <w:pPr>
        <w:widowControl w:val="0"/>
        <w:spacing w:line="240" w:lineRule="auto"/>
        <w:rPr>
          <w:szCs w:val="22"/>
          <w:lang w:val="de-DE"/>
        </w:rPr>
      </w:pPr>
      <w:r w:rsidRPr="00DE1967">
        <w:rPr>
          <w:noProof/>
          <w:szCs w:val="22"/>
          <w:lang w:val="de-DE"/>
        </w:rPr>
        <w:t>Zum Einnehmen</w:t>
      </w:r>
      <w:r w:rsidR="00F710EE" w:rsidRPr="00DE1967">
        <w:rPr>
          <w:noProof/>
          <w:szCs w:val="22"/>
          <w:lang w:val="de-DE"/>
        </w:rPr>
        <w:t>.</w:t>
      </w:r>
    </w:p>
    <w:p w:rsidR="00B4575E" w:rsidRPr="00DE1967" w:rsidRDefault="00B4575E" w:rsidP="0003742E">
      <w:pPr>
        <w:widowControl w:val="0"/>
        <w:autoSpaceDE w:val="0"/>
        <w:autoSpaceDN w:val="0"/>
        <w:adjustRightInd w:val="0"/>
        <w:spacing w:line="240" w:lineRule="auto"/>
        <w:rPr>
          <w:szCs w:val="22"/>
          <w:lang w:val="de-DE"/>
        </w:rPr>
      </w:pPr>
    </w:p>
    <w:p w:rsidR="00B4575E" w:rsidRPr="00DE1967" w:rsidRDefault="00B4575E" w:rsidP="0003742E">
      <w:pPr>
        <w:widowControl w:val="0"/>
        <w:autoSpaceDE w:val="0"/>
        <w:autoSpaceDN w:val="0"/>
        <w:adjustRightInd w:val="0"/>
        <w:spacing w:line="240" w:lineRule="auto"/>
        <w:rPr>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lang w:val="de-DE"/>
        </w:rPr>
      </w:pPr>
      <w:r w:rsidRPr="00DE1967">
        <w:rPr>
          <w:b/>
          <w:noProof/>
          <w:szCs w:val="22"/>
          <w:lang w:val="de-DE"/>
        </w:rPr>
        <w:t>6.</w:t>
      </w:r>
      <w:r w:rsidRPr="00DE1967">
        <w:rPr>
          <w:b/>
          <w:noProof/>
          <w:szCs w:val="22"/>
          <w:lang w:val="de-DE"/>
        </w:rPr>
        <w:tab/>
        <w:t xml:space="preserve">WARNHINWEIS, DASS DAS ARZNEIMITTEL FÜR KINDER </w:t>
      </w:r>
      <w:r w:rsidR="00171E2D" w:rsidRPr="00DE1967">
        <w:rPr>
          <w:b/>
          <w:noProof/>
          <w:szCs w:val="22"/>
          <w:lang w:val="de-DE"/>
        </w:rPr>
        <w:t>UNZUGÄNGLICH</w:t>
      </w:r>
      <w:r w:rsidRPr="00DE1967">
        <w:rPr>
          <w:b/>
          <w:noProof/>
          <w:szCs w:val="22"/>
          <w:lang w:val="de-DE"/>
        </w:rPr>
        <w:t xml:space="preserve"> AUFZUBEWAHREN IST</w:t>
      </w:r>
    </w:p>
    <w:p w:rsidR="00B4575E" w:rsidRPr="00DE1967" w:rsidRDefault="00B4575E" w:rsidP="0003742E">
      <w:pPr>
        <w:widowControl w:val="0"/>
        <w:spacing w:line="240" w:lineRule="auto"/>
        <w:rPr>
          <w:szCs w:val="22"/>
          <w:lang w:val="de-DE"/>
        </w:rPr>
      </w:pPr>
    </w:p>
    <w:p w:rsidR="00B4575E" w:rsidRPr="00DE1967" w:rsidRDefault="00B4575E" w:rsidP="0003742E">
      <w:pPr>
        <w:widowControl w:val="0"/>
        <w:spacing w:line="240" w:lineRule="auto"/>
        <w:outlineLvl w:val="0"/>
        <w:rPr>
          <w:szCs w:val="22"/>
          <w:lang w:val="de-DE"/>
        </w:rPr>
      </w:pPr>
      <w:r w:rsidRPr="00DE1967">
        <w:rPr>
          <w:noProof/>
          <w:szCs w:val="22"/>
          <w:lang w:val="de-DE"/>
        </w:rPr>
        <w:t>Arzneimittel für Kinder unzugänglich aufbewahren.</w:t>
      </w:r>
    </w:p>
    <w:p w:rsidR="00B4575E" w:rsidRPr="00DE1967" w:rsidRDefault="00B4575E" w:rsidP="0003742E">
      <w:pPr>
        <w:widowControl w:val="0"/>
        <w:spacing w:line="240" w:lineRule="auto"/>
        <w:rPr>
          <w:szCs w:val="22"/>
          <w:lang w:val="de-DE"/>
        </w:rPr>
      </w:pPr>
    </w:p>
    <w:p w:rsidR="00B4575E" w:rsidRPr="00DE1967" w:rsidRDefault="00B4575E" w:rsidP="0003742E">
      <w:pPr>
        <w:widowControl w:val="0"/>
        <w:spacing w:line="240" w:lineRule="auto"/>
        <w:rPr>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lang w:val="de-DE"/>
        </w:rPr>
      </w:pPr>
      <w:r w:rsidRPr="00DE1967">
        <w:rPr>
          <w:b/>
          <w:noProof/>
          <w:szCs w:val="22"/>
          <w:lang w:val="de-DE"/>
        </w:rPr>
        <w:t>7.</w:t>
      </w:r>
      <w:r w:rsidRPr="00DE1967">
        <w:rPr>
          <w:b/>
          <w:noProof/>
          <w:szCs w:val="22"/>
          <w:lang w:val="de-DE"/>
        </w:rPr>
        <w:tab/>
        <w:t>WEITERE WARNHINWEISE, FALLS ERFORDERLICH</w:t>
      </w:r>
    </w:p>
    <w:p w:rsidR="00B4575E" w:rsidRPr="00DE1967" w:rsidRDefault="00B4575E" w:rsidP="0003742E">
      <w:pPr>
        <w:widowControl w:val="0"/>
        <w:spacing w:line="240" w:lineRule="auto"/>
        <w:rPr>
          <w:noProof/>
          <w:szCs w:val="22"/>
          <w:lang w:val="de-DE"/>
        </w:rPr>
      </w:pPr>
    </w:p>
    <w:p w:rsidR="00B4575E" w:rsidRPr="00DE1967" w:rsidRDefault="00B4575E" w:rsidP="0003742E">
      <w:pPr>
        <w:widowControl w:val="0"/>
        <w:tabs>
          <w:tab w:val="left" w:pos="749"/>
        </w:tabs>
        <w:spacing w:line="240" w:lineRule="auto"/>
        <w:rPr>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lang w:val="de-DE"/>
        </w:rPr>
      </w:pPr>
      <w:r w:rsidRPr="00DE1967">
        <w:rPr>
          <w:b/>
          <w:noProof/>
          <w:szCs w:val="22"/>
          <w:lang w:val="de-DE"/>
        </w:rPr>
        <w:t>8.</w:t>
      </w:r>
      <w:r w:rsidRPr="00DE1967">
        <w:rPr>
          <w:b/>
          <w:noProof/>
          <w:szCs w:val="22"/>
          <w:lang w:val="de-DE"/>
        </w:rPr>
        <w:tab/>
        <w:t>VERFALLDATUM</w:t>
      </w:r>
    </w:p>
    <w:p w:rsidR="00B4575E" w:rsidRPr="00DE1967" w:rsidRDefault="00B4575E" w:rsidP="0003742E">
      <w:pPr>
        <w:widowControl w:val="0"/>
        <w:spacing w:line="240" w:lineRule="auto"/>
        <w:rPr>
          <w:snapToGrid/>
          <w:szCs w:val="22"/>
          <w:lang w:val="de-DE" w:eastAsia="de-DE"/>
        </w:rPr>
      </w:pPr>
    </w:p>
    <w:p w:rsidR="0009359E" w:rsidRPr="00DE1967" w:rsidRDefault="00171E2D" w:rsidP="0009359E">
      <w:pPr>
        <w:widowControl w:val="0"/>
        <w:spacing w:line="240" w:lineRule="auto"/>
        <w:rPr>
          <w:noProof/>
          <w:szCs w:val="22"/>
          <w:lang w:val="de-DE"/>
        </w:rPr>
      </w:pPr>
      <w:r w:rsidRPr="00DE1967">
        <w:rPr>
          <w:snapToGrid/>
          <w:szCs w:val="22"/>
          <w:lang w:val="de-DE" w:eastAsia="de-DE"/>
        </w:rPr>
        <w:t>v</w:t>
      </w:r>
      <w:r w:rsidR="0009359E" w:rsidRPr="00DE1967">
        <w:rPr>
          <w:snapToGrid/>
          <w:szCs w:val="22"/>
          <w:lang w:val="de-DE" w:eastAsia="de-DE"/>
        </w:rPr>
        <w:t>erwendbar bis</w:t>
      </w:r>
    </w:p>
    <w:p w:rsidR="00B4575E" w:rsidRPr="00DE1967" w:rsidRDefault="00B4575E" w:rsidP="0003742E">
      <w:pPr>
        <w:widowControl w:val="0"/>
        <w:spacing w:line="240" w:lineRule="auto"/>
        <w:rPr>
          <w:noProof/>
          <w:szCs w:val="22"/>
          <w:lang w:val="de-DE"/>
        </w:rPr>
      </w:pPr>
    </w:p>
    <w:p w:rsidR="0068417B" w:rsidRPr="00DE1967" w:rsidRDefault="0068417B" w:rsidP="0003742E">
      <w:pPr>
        <w:widowControl w:val="0"/>
        <w:spacing w:line="240" w:lineRule="auto"/>
        <w:rPr>
          <w:noProof/>
          <w:szCs w:val="22"/>
          <w:lang w:val="de-DE"/>
        </w:rPr>
      </w:pPr>
    </w:p>
    <w:p w:rsidR="00544F89"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b/>
          <w:szCs w:val="22"/>
          <w:lang w:val="de-DE"/>
        </w:rPr>
      </w:pPr>
      <w:r w:rsidRPr="00DE1967">
        <w:rPr>
          <w:b/>
          <w:noProof/>
          <w:szCs w:val="22"/>
          <w:lang w:val="de-DE"/>
        </w:rPr>
        <w:t>9.</w:t>
      </w:r>
      <w:r w:rsidRPr="00DE1967">
        <w:rPr>
          <w:b/>
          <w:noProof/>
          <w:szCs w:val="22"/>
          <w:lang w:val="de-DE"/>
        </w:rPr>
        <w:tab/>
        <w:t>BESONDERE VORSICHTSMASSNAHMEN FÜR DIE AUFBEWAHRUNG</w:t>
      </w:r>
    </w:p>
    <w:p w:rsidR="00B4575E" w:rsidRPr="00DE1967" w:rsidRDefault="00B4575E" w:rsidP="0003742E">
      <w:pPr>
        <w:widowControl w:val="0"/>
        <w:spacing w:line="240" w:lineRule="auto"/>
        <w:ind w:left="567" w:hanging="567"/>
        <w:rPr>
          <w:noProof/>
          <w:szCs w:val="22"/>
          <w:lang w:val="de-DE"/>
        </w:rPr>
      </w:pPr>
    </w:p>
    <w:p w:rsidR="005653E6" w:rsidRPr="00DE1967" w:rsidRDefault="005653E6" w:rsidP="005653E6">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 der Originalpackung aufbewahren, um den Inhalt vor Licht zu schützen.</w:t>
      </w:r>
    </w:p>
    <w:p w:rsidR="00B4575E" w:rsidRPr="00DE1967" w:rsidRDefault="00B4575E" w:rsidP="0003742E">
      <w:pPr>
        <w:widowControl w:val="0"/>
        <w:spacing w:line="240" w:lineRule="auto"/>
        <w:ind w:left="567" w:hanging="567"/>
        <w:rPr>
          <w:noProof/>
          <w:szCs w:val="22"/>
          <w:lang w:val="de-DE"/>
        </w:rPr>
      </w:pPr>
    </w:p>
    <w:p w:rsidR="0068417B" w:rsidRPr="00DE1967" w:rsidRDefault="0068417B" w:rsidP="0003742E">
      <w:pPr>
        <w:widowControl w:val="0"/>
        <w:spacing w:line="240" w:lineRule="auto"/>
        <w:ind w:left="567" w:hanging="567"/>
        <w:rPr>
          <w:noProof/>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lang w:val="de-DE"/>
        </w:rPr>
      </w:pPr>
      <w:r w:rsidRPr="00DE1967">
        <w:rPr>
          <w:b/>
          <w:noProof/>
          <w:szCs w:val="22"/>
          <w:lang w:val="de-DE"/>
        </w:rPr>
        <w:t>10.</w:t>
      </w:r>
      <w:r w:rsidRPr="00DE1967">
        <w:rPr>
          <w:b/>
          <w:noProof/>
          <w:szCs w:val="22"/>
          <w:lang w:val="de-DE"/>
        </w:rPr>
        <w:tab/>
        <w:t>GEGEBENENFALLS BESONDERE VORSICHTSMASSNAHMEN FÜR DIE BESEITIGUNG VON NICHT VERWENDETEM ARZNEIMITTEL ODER DAVON STAMMENDEN ABFALLMATERIALIEN</w:t>
      </w:r>
    </w:p>
    <w:p w:rsidR="00B4575E" w:rsidRPr="00DE1967" w:rsidRDefault="00B4575E" w:rsidP="0003742E">
      <w:pPr>
        <w:widowControl w:val="0"/>
        <w:spacing w:line="240" w:lineRule="auto"/>
        <w:rPr>
          <w:noProof/>
          <w:szCs w:val="22"/>
          <w:lang w:val="de-DE"/>
        </w:rPr>
      </w:pPr>
    </w:p>
    <w:p w:rsidR="00B4575E" w:rsidRPr="00DE1967" w:rsidRDefault="00B4575E" w:rsidP="0003742E">
      <w:pPr>
        <w:widowControl w:val="0"/>
        <w:spacing w:line="240" w:lineRule="auto"/>
        <w:rPr>
          <w:noProof/>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lang w:val="de-DE"/>
        </w:rPr>
      </w:pPr>
      <w:r w:rsidRPr="00DE1967">
        <w:rPr>
          <w:b/>
          <w:noProof/>
          <w:szCs w:val="22"/>
          <w:lang w:val="de-DE"/>
        </w:rPr>
        <w:t>11.</w:t>
      </w:r>
      <w:r w:rsidRPr="00DE1967">
        <w:rPr>
          <w:b/>
          <w:noProof/>
          <w:szCs w:val="22"/>
          <w:lang w:val="de-DE"/>
        </w:rPr>
        <w:tab/>
        <w:t>NAME UND ANSCHRIFT DES PHARMAZEUTISCHEN UNTERNEHMERS</w:t>
      </w:r>
    </w:p>
    <w:p w:rsidR="00B4575E" w:rsidRPr="00DE1967" w:rsidRDefault="00B4575E" w:rsidP="0003742E">
      <w:pPr>
        <w:widowControl w:val="0"/>
        <w:spacing w:line="240" w:lineRule="auto"/>
        <w:rPr>
          <w:szCs w:val="22"/>
          <w:lang w:val="de-DE"/>
        </w:rPr>
      </w:pPr>
    </w:p>
    <w:p w:rsidR="00B4575E" w:rsidRPr="00DE1967" w:rsidRDefault="00B4575E" w:rsidP="0003742E">
      <w:pPr>
        <w:widowControl w:val="0"/>
        <w:spacing w:line="240" w:lineRule="auto"/>
        <w:jc w:val="both"/>
        <w:rPr>
          <w:szCs w:val="22"/>
          <w:lang w:val="it-IT"/>
        </w:rPr>
      </w:pPr>
      <w:r w:rsidRPr="00DE1967">
        <w:rPr>
          <w:szCs w:val="22"/>
          <w:lang w:val="it-IT"/>
        </w:rPr>
        <w:t xml:space="preserve">KRKA, </w:t>
      </w:r>
      <w:proofErr w:type="spellStart"/>
      <w:r w:rsidRPr="00DE1967">
        <w:rPr>
          <w:szCs w:val="22"/>
          <w:lang w:val="it-IT"/>
        </w:rPr>
        <w:t>d.d</w:t>
      </w:r>
      <w:proofErr w:type="spellEnd"/>
      <w:r w:rsidRPr="00DE1967">
        <w:rPr>
          <w:szCs w:val="22"/>
          <w:lang w:val="it-IT"/>
        </w:rPr>
        <w:t xml:space="preserve">., Novo mesto, </w:t>
      </w:r>
      <w:proofErr w:type="spellStart"/>
      <w:r w:rsidRPr="00DE1967">
        <w:rPr>
          <w:szCs w:val="22"/>
          <w:lang w:val="it-IT"/>
        </w:rPr>
        <w:t>Šmarješka</w:t>
      </w:r>
      <w:proofErr w:type="spellEnd"/>
      <w:r w:rsidRPr="00DE1967">
        <w:rPr>
          <w:szCs w:val="22"/>
          <w:lang w:val="it-IT"/>
        </w:rPr>
        <w:t xml:space="preserve"> cesta 6, 8501 Novo mesto, </w:t>
      </w:r>
      <w:proofErr w:type="spellStart"/>
      <w:r w:rsidRPr="00DE1967">
        <w:rPr>
          <w:szCs w:val="22"/>
          <w:lang w:val="it-IT"/>
        </w:rPr>
        <w:t>Slowenien</w:t>
      </w:r>
      <w:proofErr w:type="spellEnd"/>
    </w:p>
    <w:p w:rsidR="00B4575E" w:rsidRPr="00DE1967" w:rsidRDefault="00B4575E" w:rsidP="0003742E">
      <w:pPr>
        <w:widowControl w:val="0"/>
        <w:spacing w:line="240" w:lineRule="auto"/>
        <w:rPr>
          <w:szCs w:val="22"/>
          <w:lang w:val="it-IT"/>
        </w:rPr>
      </w:pPr>
    </w:p>
    <w:p w:rsidR="00B4575E" w:rsidRPr="00DE1967" w:rsidRDefault="00B4575E" w:rsidP="0003742E">
      <w:pPr>
        <w:widowControl w:val="0"/>
        <w:spacing w:line="240" w:lineRule="auto"/>
        <w:rPr>
          <w:szCs w:val="22"/>
          <w:lang w:val="it-IT"/>
        </w:rPr>
      </w:pPr>
    </w:p>
    <w:p w:rsidR="00544F89"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lang w:val="de-DE"/>
        </w:rPr>
      </w:pPr>
      <w:r w:rsidRPr="00DE1967">
        <w:rPr>
          <w:b/>
          <w:noProof/>
          <w:szCs w:val="22"/>
          <w:lang w:val="de-DE"/>
        </w:rPr>
        <w:t>12.</w:t>
      </w:r>
      <w:r w:rsidRPr="00DE1967">
        <w:rPr>
          <w:b/>
          <w:noProof/>
          <w:szCs w:val="22"/>
          <w:lang w:val="de-DE"/>
        </w:rPr>
        <w:tab/>
        <w:t>ZULASSUNGSNUMMER(N)</w:t>
      </w:r>
    </w:p>
    <w:p w:rsidR="00B4575E" w:rsidRPr="00DE1967" w:rsidRDefault="00B4575E" w:rsidP="0003742E">
      <w:pPr>
        <w:widowControl w:val="0"/>
        <w:spacing w:line="240" w:lineRule="auto"/>
        <w:rPr>
          <w:szCs w:val="22"/>
          <w:lang w:val="de-DE"/>
        </w:rPr>
      </w:pPr>
    </w:p>
    <w:p w:rsidR="00DD6D65" w:rsidRPr="00DE1967" w:rsidRDefault="00DD6D65" w:rsidP="0003742E">
      <w:pPr>
        <w:widowControl w:val="0"/>
        <w:tabs>
          <w:tab w:val="clear" w:pos="567"/>
        </w:tabs>
        <w:spacing w:line="240" w:lineRule="auto"/>
        <w:rPr>
          <w:rFonts w:eastAsia="Calibri"/>
          <w:snapToGrid/>
          <w:szCs w:val="22"/>
          <w:lang w:val="de-DE"/>
        </w:rPr>
      </w:pPr>
      <w:r w:rsidRPr="00DE1967">
        <w:rPr>
          <w:rFonts w:eastAsia="Calibri"/>
          <w:snapToGrid/>
          <w:szCs w:val="22"/>
          <w:lang w:val="de-DE"/>
        </w:rPr>
        <w:t>EU/1/13/821/011</w:t>
      </w:r>
    </w:p>
    <w:p w:rsidR="00DD6D65" w:rsidRPr="00DE1967" w:rsidRDefault="00DD6D65" w:rsidP="0003742E">
      <w:pPr>
        <w:widowControl w:val="0"/>
        <w:tabs>
          <w:tab w:val="clear" w:pos="567"/>
        </w:tabs>
        <w:spacing w:line="240" w:lineRule="auto"/>
        <w:rPr>
          <w:rFonts w:eastAsia="Calibri"/>
          <w:snapToGrid/>
          <w:szCs w:val="22"/>
          <w:lang w:val="de-DE"/>
        </w:rPr>
      </w:pPr>
      <w:r w:rsidRPr="00DE1967">
        <w:rPr>
          <w:rFonts w:eastAsia="Calibri"/>
          <w:snapToGrid/>
          <w:szCs w:val="22"/>
          <w:lang w:val="de-DE"/>
        </w:rPr>
        <w:t>EU/1/13/821/012</w:t>
      </w:r>
    </w:p>
    <w:p w:rsidR="00DD6D65" w:rsidRPr="00DE1967" w:rsidRDefault="00DD6D65" w:rsidP="0003742E">
      <w:pPr>
        <w:widowControl w:val="0"/>
        <w:tabs>
          <w:tab w:val="clear" w:pos="567"/>
        </w:tabs>
        <w:spacing w:line="240" w:lineRule="auto"/>
        <w:rPr>
          <w:rFonts w:eastAsia="Calibri"/>
          <w:snapToGrid/>
          <w:szCs w:val="22"/>
          <w:lang w:val="de-DE"/>
        </w:rPr>
      </w:pPr>
      <w:r w:rsidRPr="00DE1967">
        <w:rPr>
          <w:rFonts w:eastAsia="Calibri"/>
          <w:snapToGrid/>
          <w:szCs w:val="22"/>
          <w:lang w:val="de-DE"/>
        </w:rPr>
        <w:t>EU/1/13/821/013</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EU/1/13/821/014</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EU/1/13/821/015</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EU/1/13/821/016</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EU/1/13/821/017</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EU/1/13/821/018</w:t>
      </w:r>
    </w:p>
    <w:p w:rsidR="00DD6D65" w:rsidRPr="00DE1967" w:rsidRDefault="00DD6D65" w:rsidP="0003742E">
      <w:pPr>
        <w:widowControl w:val="0"/>
        <w:tabs>
          <w:tab w:val="clear" w:pos="567"/>
        </w:tabs>
        <w:spacing w:line="240" w:lineRule="auto"/>
        <w:rPr>
          <w:rFonts w:eastAsia="Calibri"/>
          <w:snapToGrid/>
          <w:szCs w:val="22"/>
          <w:lang w:val="de-DE"/>
        </w:rPr>
      </w:pPr>
      <w:r w:rsidRPr="00DE1967">
        <w:rPr>
          <w:rFonts w:eastAsia="Calibri"/>
          <w:snapToGrid/>
          <w:szCs w:val="22"/>
          <w:lang w:val="de-DE"/>
        </w:rPr>
        <w:t>EU/1/13/821/019</w:t>
      </w:r>
    </w:p>
    <w:p w:rsidR="00DD6D65" w:rsidRPr="00DE1967" w:rsidRDefault="00DD6D65" w:rsidP="0003742E">
      <w:pPr>
        <w:widowControl w:val="0"/>
        <w:tabs>
          <w:tab w:val="clear" w:pos="567"/>
        </w:tabs>
        <w:spacing w:line="240" w:lineRule="auto"/>
        <w:rPr>
          <w:rFonts w:eastAsia="Calibri"/>
          <w:snapToGrid/>
          <w:szCs w:val="22"/>
          <w:lang w:val="de-DE"/>
        </w:rPr>
      </w:pPr>
      <w:r w:rsidRPr="00DE1967">
        <w:rPr>
          <w:rFonts w:eastAsia="Calibri"/>
          <w:snapToGrid/>
          <w:szCs w:val="22"/>
          <w:lang w:val="de-DE"/>
        </w:rPr>
        <w:t>EU/1/13/821/020</w:t>
      </w:r>
    </w:p>
    <w:p w:rsidR="0003742E" w:rsidRPr="00DE1967" w:rsidRDefault="0003742E" w:rsidP="0003742E">
      <w:pPr>
        <w:widowControl w:val="0"/>
        <w:tabs>
          <w:tab w:val="clear" w:pos="567"/>
        </w:tabs>
        <w:spacing w:line="240" w:lineRule="auto"/>
        <w:rPr>
          <w:rFonts w:eastAsia="Calibri"/>
          <w:snapToGrid/>
          <w:szCs w:val="22"/>
          <w:lang w:val="de-DE"/>
        </w:rPr>
      </w:pPr>
      <w:r w:rsidRPr="00DE1967">
        <w:rPr>
          <w:rFonts w:eastAsia="Calibri"/>
          <w:snapToGrid/>
          <w:szCs w:val="22"/>
          <w:lang w:val="de-DE"/>
        </w:rPr>
        <w:t>EU/1/13/821/032</w:t>
      </w:r>
    </w:p>
    <w:p w:rsidR="00B4575E" w:rsidRPr="00DE1967" w:rsidRDefault="00B4575E" w:rsidP="0003742E">
      <w:pPr>
        <w:widowControl w:val="0"/>
        <w:spacing w:line="240" w:lineRule="auto"/>
        <w:rPr>
          <w:szCs w:val="22"/>
          <w:lang w:val="de-DE"/>
        </w:rPr>
      </w:pPr>
    </w:p>
    <w:p w:rsidR="00B4575E" w:rsidRPr="00DE1967" w:rsidRDefault="00B4575E" w:rsidP="0003742E">
      <w:pPr>
        <w:widowControl w:val="0"/>
        <w:spacing w:line="240" w:lineRule="auto"/>
        <w:rPr>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lang w:val="de-DE"/>
        </w:rPr>
      </w:pPr>
      <w:r w:rsidRPr="00DE1967">
        <w:rPr>
          <w:b/>
          <w:noProof/>
          <w:szCs w:val="22"/>
          <w:lang w:val="de-DE"/>
        </w:rPr>
        <w:t>13.</w:t>
      </w:r>
      <w:r w:rsidRPr="00DE1967">
        <w:rPr>
          <w:b/>
          <w:noProof/>
          <w:szCs w:val="22"/>
          <w:lang w:val="de-DE"/>
        </w:rPr>
        <w:tab/>
      </w:r>
      <w:r w:rsidRPr="00DE1967">
        <w:rPr>
          <w:b/>
          <w:caps/>
          <w:noProof/>
          <w:szCs w:val="22"/>
          <w:lang w:val="de-DE"/>
        </w:rPr>
        <w:t>Chargenbezeichnung</w:t>
      </w:r>
    </w:p>
    <w:p w:rsidR="00B4575E" w:rsidRPr="00DE1967" w:rsidRDefault="00B4575E" w:rsidP="0003742E">
      <w:pPr>
        <w:widowControl w:val="0"/>
        <w:spacing w:line="240" w:lineRule="auto"/>
        <w:rPr>
          <w:snapToGrid/>
          <w:szCs w:val="22"/>
          <w:lang w:val="de-DE" w:eastAsia="de-DE"/>
        </w:rPr>
      </w:pPr>
    </w:p>
    <w:p w:rsidR="0009359E" w:rsidRPr="00DE1967" w:rsidRDefault="0009359E" w:rsidP="0009359E">
      <w:pPr>
        <w:widowControl w:val="0"/>
        <w:spacing w:line="240" w:lineRule="auto"/>
        <w:rPr>
          <w:i/>
          <w:noProof/>
          <w:szCs w:val="22"/>
          <w:lang w:val="de-DE"/>
        </w:rPr>
      </w:pPr>
      <w:r w:rsidRPr="00DE1967">
        <w:rPr>
          <w:snapToGrid/>
          <w:szCs w:val="22"/>
          <w:lang w:val="de-DE" w:eastAsia="de-DE"/>
        </w:rPr>
        <w:t>Ch.-B.</w:t>
      </w:r>
    </w:p>
    <w:p w:rsidR="00B4575E" w:rsidRPr="00DE1967" w:rsidRDefault="00B4575E" w:rsidP="0003742E">
      <w:pPr>
        <w:widowControl w:val="0"/>
        <w:spacing w:line="240" w:lineRule="auto"/>
        <w:rPr>
          <w:noProof/>
          <w:szCs w:val="22"/>
          <w:lang w:val="de-DE"/>
        </w:rPr>
      </w:pPr>
    </w:p>
    <w:p w:rsidR="001575AC" w:rsidRPr="00DE1967" w:rsidRDefault="001575AC" w:rsidP="0003742E">
      <w:pPr>
        <w:widowControl w:val="0"/>
        <w:spacing w:line="240" w:lineRule="auto"/>
        <w:rPr>
          <w:noProof/>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lang w:val="de-DE"/>
        </w:rPr>
      </w:pPr>
      <w:r w:rsidRPr="00DE1967">
        <w:rPr>
          <w:b/>
          <w:noProof/>
          <w:szCs w:val="22"/>
          <w:lang w:val="de-DE"/>
        </w:rPr>
        <w:t>14.</w:t>
      </w:r>
      <w:r w:rsidRPr="00DE1967">
        <w:rPr>
          <w:b/>
          <w:noProof/>
          <w:szCs w:val="22"/>
          <w:lang w:val="de-DE"/>
        </w:rPr>
        <w:tab/>
        <w:t>VERKAUFSABGRENZUNG</w:t>
      </w:r>
    </w:p>
    <w:p w:rsidR="00B4575E" w:rsidRPr="00DE1967" w:rsidRDefault="00B4575E" w:rsidP="0003742E">
      <w:pPr>
        <w:widowControl w:val="0"/>
        <w:spacing w:line="240" w:lineRule="auto"/>
        <w:rPr>
          <w:szCs w:val="22"/>
          <w:lang w:val="de-DE"/>
        </w:rPr>
      </w:pPr>
    </w:p>
    <w:p w:rsidR="00B4575E" w:rsidRPr="00DE1967" w:rsidRDefault="00B4575E" w:rsidP="0003742E">
      <w:pPr>
        <w:widowControl w:val="0"/>
        <w:spacing w:line="240" w:lineRule="auto"/>
        <w:rPr>
          <w:szCs w:val="22"/>
          <w:lang w:val="de-DE"/>
        </w:rPr>
      </w:pPr>
    </w:p>
    <w:p w:rsidR="00B4575E" w:rsidRPr="00DE1967" w:rsidRDefault="00B4575E" w:rsidP="0003742E">
      <w:pPr>
        <w:widowControl w:val="0"/>
        <w:pBdr>
          <w:top w:val="single" w:sz="4" w:space="2" w:color="auto"/>
          <w:left w:val="single" w:sz="4" w:space="4" w:color="auto"/>
          <w:bottom w:val="single" w:sz="4" w:space="1" w:color="auto"/>
          <w:right w:val="single" w:sz="4" w:space="4" w:color="auto"/>
        </w:pBdr>
        <w:spacing w:line="240" w:lineRule="auto"/>
        <w:outlineLvl w:val="0"/>
        <w:rPr>
          <w:noProof/>
          <w:szCs w:val="22"/>
          <w:lang w:val="de-DE"/>
        </w:rPr>
      </w:pPr>
      <w:r w:rsidRPr="00DE1967">
        <w:rPr>
          <w:b/>
          <w:noProof/>
          <w:szCs w:val="22"/>
          <w:lang w:val="de-DE"/>
        </w:rPr>
        <w:t>15.</w:t>
      </w:r>
      <w:r w:rsidRPr="00DE1967">
        <w:rPr>
          <w:b/>
          <w:noProof/>
          <w:szCs w:val="22"/>
          <w:lang w:val="de-DE"/>
        </w:rPr>
        <w:tab/>
        <w:t>HINWEISE FÜR DEN GEBRAUCH</w:t>
      </w:r>
    </w:p>
    <w:p w:rsidR="00B4575E" w:rsidRPr="00DE1967" w:rsidRDefault="00B4575E" w:rsidP="0003742E">
      <w:pPr>
        <w:widowControl w:val="0"/>
        <w:spacing w:line="240" w:lineRule="auto"/>
        <w:rPr>
          <w:noProof/>
          <w:szCs w:val="22"/>
          <w:lang w:val="de-DE"/>
        </w:rPr>
      </w:pPr>
    </w:p>
    <w:p w:rsidR="00B4575E" w:rsidRPr="00DE1967" w:rsidRDefault="00B4575E" w:rsidP="0003742E">
      <w:pPr>
        <w:widowControl w:val="0"/>
        <w:spacing w:line="240" w:lineRule="auto"/>
        <w:rPr>
          <w:noProof/>
          <w:szCs w:val="22"/>
          <w:lang w:val="de-DE"/>
        </w:rPr>
      </w:pPr>
    </w:p>
    <w:p w:rsidR="00B4575E" w:rsidRPr="00DE1967" w:rsidRDefault="00B4575E" w:rsidP="0003742E">
      <w:pPr>
        <w:widowControl w:val="0"/>
        <w:pBdr>
          <w:top w:val="single" w:sz="4" w:space="1" w:color="auto"/>
          <w:left w:val="single" w:sz="4" w:space="4" w:color="auto"/>
          <w:bottom w:val="single" w:sz="4" w:space="0" w:color="auto"/>
          <w:right w:val="single" w:sz="4" w:space="4" w:color="auto"/>
        </w:pBdr>
        <w:spacing w:line="240" w:lineRule="auto"/>
        <w:rPr>
          <w:noProof/>
          <w:szCs w:val="22"/>
          <w:lang w:val="de-DE"/>
        </w:rPr>
      </w:pPr>
      <w:r w:rsidRPr="00DE1967">
        <w:rPr>
          <w:b/>
          <w:noProof/>
          <w:szCs w:val="22"/>
          <w:lang w:val="de-DE"/>
        </w:rPr>
        <w:t>16.</w:t>
      </w:r>
      <w:r w:rsidRPr="00DE1967">
        <w:rPr>
          <w:b/>
          <w:noProof/>
          <w:szCs w:val="22"/>
          <w:lang w:val="de-DE"/>
        </w:rPr>
        <w:tab/>
        <w:t>ANGABEN IN BLINDENSCHRIFT</w:t>
      </w:r>
    </w:p>
    <w:p w:rsidR="00B4575E" w:rsidRPr="00DE1967" w:rsidRDefault="00B4575E" w:rsidP="0003742E">
      <w:pPr>
        <w:widowControl w:val="0"/>
        <w:spacing w:line="240" w:lineRule="auto"/>
        <w:rPr>
          <w:szCs w:val="22"/>
          <w:lang w:val="de-DE"/>
        </w:rPr>
      </w:pPr>
    </w:p>
    <w:p w:rsidR="00B4575E" w:rsidRPr="00DE1967" w:rsidRDefault="00B4575E" w:rsidP="0003742E">
      <w:pPr>
        <w:widowControl w:val="0"/>
        <w:spacing w:line="240" w:lineRule="auto"/>
        <w:rPr>
          <w:snapToGrid/>
          <w:szCs w:val="22"/>
          <w:lang w:val="de-DE" w:eastAsia="de-DE"/>
        </w:rPr>
      </w:pPr>
      <w:proofErr w:type="spellStart"/>
      <w:r w:rsidRPr="00DE1967">
        <w:rPr>
          <w:snapToGrid/>
          <w:szCs w:val="22"/>
          <w:lang w:val="de-DE" w:eastAsia="de-DE"/>
        </w:rPr>
        <w:t>Tolucombi</w:t>
      </w:r>
      <w:proofErr w:type="spellEnd"/>
      <w:r w:rsidRPr="00DE1967">
        <w:rPr>
          <w:snapToGrid/>
          <w:szCs w:val="22"/>
          <w:lang w:val="de-DE" w:eastAsia="de-DE"/>
        </w:rPr>
        <w:t xml:space="preserve"> 80</w:t>
      </w:r>
      <w:r w:rsidR="00023E2B" w:rsidRPr="00DE1967">
        <w:rPr>
          <w:snapToGrid/>
          <w:szCs w:val="22"/>
          <w:lang w:val="de-DE" w:eastAsia="de-DE"/>
        </w:rPr>
        <w:t> mg</w:t>
      </w:r>
      <w:r w:rsidRPr="00DE1967">
        <w:rPr>
          <w:snapToGrid/>
          <w:szCs w:val="22"/>
          <w:lang w:val="de-DE" w:eastAsia="de-DE"/>
        </w:rPr>
        <w:t>/12,5</w:t>
      </w:r>
      <w:r w:rsidR="00023E2B" w:rsidRPr="00DE1967">
        <w:rPr>
          <w:snapToGrid/>
          <w:szCs w:val="22"/>
          <w:lang w:val="de-DE" w:eastAsia="de-DE"/>
        </w:rPr>
        <w:t> mg</w:t>
      </w:r>
    </w:p>
    <w:p w:rsidR="003F3B5D" w:rsidRPr="00DE1967" w:rsidRDefault="003F3B5D" w:rsidP="0003742E">
      <w:pPr>
        <w:widowControl w:val="0"/>
        <w:spacing w:line="240" w:lineRule="auto"/>
        <w:rPr>
          <w:snapToGrid/>
          <w:szCs w:val="22"/>
          <w:lang w:val="de-DE" w:eastAsia="de-DE"/>
        </w:rPr>
      </w:pPr>
    </w:p>
    <w:p w:rsidR="0081134B" w:rsidRPr="00DE1967" w:rsidRDefault="0081134B" w:rsidP="0003742E">
      <w:pPr>
        <w:widowControl w:val="0"/>
        <w:spacing w:line="240" w:lineRule="auto"/>
        <w:rPr>
          <w:snapToGrid/>
          <w:szCs w:val="22"/>
          <w:lang w:val="de-DE" w:eastAsia="de-DE"/>
        </w:rPr>
      </w:pPr>
    </w:p>
    <w:p w:rsidR="003F3B5D" w:rsidRPr="00DE1967" w:rsidRDefault="003F3B5D" w:rsidP="003F3B5D">
      <w:pPr>
        <w:widowControl w:val="0"/>
        <w:pBdr>
          <w:top w:val="single" w:sz="4" w:space="1" w:color="auto"/>
          <w:left w:val="single" w:sz="4" w:space="4" w:color="auto"/>
          <w:bottom w:val="single" w:sz="4" w:space="1" w:color="auto"/>
          <w:right w:val="single" w:sz="4" w:space="4" w:color="auto"/>
        </w:pBdr>
        <w:spacing w:line="240" w:lineRule="auto"/>
        <w:rPr>
          <w:szCs w:val="22"/>
          <w:lang w:val="de-DE"/>
        </w:rPr>
      </w:pPr>
      <w:r w:rsidRPr="00DE1967">
        <w:rPr>
          <w:b/>
          <w:caps/>
          <w:szCs w:val="22"/>
          <w:lang w:val="de-DE"/>
        </w:rPr>
        <w:t>17.</w:t>
      </w:r>
      <w:r w:rsidRPr="00DE1967">
        <w:rPr>
          <w:b/>
          <w:caps/>
          <w:szCs w:val="22"/>
          <w:lang w:val="de-DE"/>
        </w:rPr>
        <w:tab/>
      </w:r>
      <w:r w:rsidRPr="00DE1967">
        <w:rPr>
          <w:b/>
          <w:noProof/>
          <w:szCs w:val="22"/>
          <w:lang w:val="de-DE"/>
        </w:rPr>
        <w:t>INDIVIDUELLES ERKENNUNGSMERKMAL – 2D-BARCODE</w:t>
      </w:r>
    </w:p>
    <w:p w:rsidR="003F3B5D" w:rsidRPr="00DE1967" w:rsidRDefault="003F3B5D" w:rsidP="003F3B5D">
      <w:pPr>
        <w:widowControl w:val="0"/>
        <w:spacing w:line="240" w:lineRule="auto"/>
        <w:rPr>
          <w:szCs w:val="22"/>
          <w:lang w:val="de-DE"/>
        </w:rPr>
      </w:pPr>
    </w:p>
    <w:p w:rsidR="003F3B5D" w:rsidRPr="00DE1967" w:rsidRDefault="003F3B5D" w:rsidP="003F3B5D">
      <w:pPr>
        <w:widowControl w:val="0"/>
        <w:spacing w:line="240" w:lineRule="auto"/>
        <w:rPr>
          <w:szCs w:val="22"/>
          <w:lang w:val="de-DE"/>
        </w:rPr>
      </w:pPr>
      <w:r w:rsidRPr="00DE1967">
        <w:rPr>
          <w:szCs w:val="22"/>
          <w:lang w:val="de-DE"/>
        </w:rPr>
        <w:t>2D-Barcode mit individuellem Erkennungsmerkmal.</w:t>
      </w:r>
    </w:p>
    <w:p w:rsidR="003F3B5D" w:rsidRPr="00DE1967" w:rsidRDefault="003F3B5D" w:rsidP="003F3B5D">
      <w:pPr>
        <w:widowControl w:val="0"/>
        <w:spacing w:line="240" w:lineRule="auto"/>
        <w:rPr>
          <w:szCs w:val="22"/>
          <w:lang w:val="de-DE"/>
        </w:rPr>
      </w:pPr>
    </w:p>
    <w:p w:rsidR="003F3B5D" w:rsidRPr="00DE1967" w:rsidRDefault="003F3B5D" w:rsidP="003F3B5D">
      <w:pPr>
        <w:widowControl w:val="0"/>
        <w:spacing w:line="240" w:lineRule="auto"/>
        <w:rPr>
          <w:szCs w:val="22"/>
          <w:lang w:val="de-DE"/>
        </w:rPr>
      </w:pPr>
    </w:p>
    <w:p w:rsidR="003F3B5D" w:rsidRPr="00DE1967" w:rsidRDefault="003F3B5D" w:rsidP="003F3B5D">
      <w:pPr>
        <w:widowControl w:val="0"/>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DE1967">
        <w:rPr>
          <w:b/>
          <w:caps/>
          <w:szCs w:val="22"/>
          <w:lang w:val="de-DE"/>
        </w:rPr>
        <w:t>18.</w:t>
      </w:r>
      <w:r w:rsidRPr="00DE1967">
        <w:rPr>
          <w:b/>
          <w:caps/>
          <w:szCs w:val="22"/>
          <w:lang w:val="de-DE"/>
        </w:rPr>
        <w:tab/>
      </w:r>
      <w:r w:rsidRPr="00DE1967">
        <w:rPr>
          <w:b/>
          <w:noProof/>
          <w:szCs w:val="22"/>
          <w:lang w:val="de-DE"/>
        </w:rPr>
        <w:t>INDIVIDUELLES ERKENNUNGSMERKMAL – VOM MENSCHEN LESBARES FORMAT</w:t>
      </w:r>
    </w:p>
    <w:p w:rsidR="003F3B5D" w:rsidRPr="00DE1967" w:rsidRDefault="003F3B5D" w:rsidP="003F3B5D">
      <w:pPr>
        <w:widowControl w:val="0"/>
        <w:spacing w:line="240" w:lineRule="auto"/>
        <w:rPr>
          <w:szCs w:val="22"/>
          <w:lang w:val="de-DE"/>
        </w:rPr>
      </w:pPr>
    </w:p>
    <w:p w:rsidR="003F3B5D" w:rsidRPr="00DE1967" w:rsidRDefault="003F3B5D" w:rsidP="003F3B5D">
      <w:pPr>
        <w:widowControl w:val="0"/>
        <w:spacing w:line="240" w:lineRule="auto"/>
        <w:rPr>
          <w:szCs w:val="22"/>
          <w:lang w:val="de-DE"/>
        </w:rPr>
      </w:pPr>
      <w:r w:rsidRPr="00DE1967">
        <w:rPr>
          <w:szCs w:val="22"/>
          <w:lang w:val="de-DE"/>
        </w:rPr>
        <w:t>PC</w:t>
      </w:r>
    </w:p>
    <w:p w:rsidR="003F3B5D" w:rsidRPr="00DE1967" w:rsidRDefault="003F3B5D" w:rsidP="003F3B5D">
      <w:pPr>
        <w:widowControl w:val="0"/>
        <w:spacing w:line="240" w:lineRule="auto"/>
        <w:rPr>
          <w:szCs w:val="22"/>
          <w:lang w:val="de-DE"/>
        </w:rPr>
      </w:pPr>
      <w:r w:rsidRPr="00DE1967">
        <w:rPr>
          <w:szCs w:val="22"/>
          <w:lang w:val="de-DE"/>
        </w:rPr>
        <w:t>SN</w:t>
      </w:r>
    </w:p>
    <w:p w:rsidR="003F3B5D" w:rsidRPr="00DE1967" w:rsidRDefault="003F3B5D" w:rsidP="003F3B5D">
      <w:pPr>
        <w:widowControl w:val="0"/>
        <w:spacing w:line="240" w:lineRule="auto"/>
        <w:rPr>
          <w:szCs w:val="22"/>
          <w:lang w:val="de-DE"/>
        </w:rPr>
      </w:pPr>
      <w:r w:rsidRPr="00DE1967">
        <w:rPr>
          <w:szCs w:val="22"/>
          <w:lang w:val="de-DE"/>
        </w:rPr>
        <w:t>NN</w:t>
      </w:r>
    </w:p>
    <w:p w:rsidR="003F3B5D" w:rsidRPr="00DE1967" w:rsidRDefault="003F3B5D" w:rsidP="0003742E">
      <w:pPr>
        <w:widowControl w:val="0"/>
        <w:spacing w:line="240" w:lineRule="auto"/>
        <w:rPr>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lang w:val="de-DE"/>
        </w:rPr>
      </w:pPr>
      <w:r w:rsidRPr="00DE1967">
        <w:rPr>
          <w:b/>
          <w:noProof/>
          <w:szCs w:val="22"/>
          <w:u w:val="single"/>
          <w:lang w:val="de-DE"/>
        </w:rPr>
        <w:br w:type="page"/>
      </w:r>
      <w:r w:rsidRPr="00DE1967">
        <w:rPr>
          <w:b/>
          <w:noProof/>
          <w:szCs w:val="22"/>
          <w:lang w:val="de-DE"/>
        </w:rPr>
        <w:t>MINDESTANGABEN AUF BLISTERPACKUNGEN ODER FOLIENSTREIFEN</w:t>
      </w: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rPr>
          <w:caps/>
          <w:noProof/>
          <w:szCs w:val="22"/>
          <w:lang w:val="de-DE"/>
        </w:rPr>
      </w:pPr>
      <w:r w:rsidRPr="00DE1967">
        <w:rPr>
          <w:b/>
          <w:caps/>
          <w:noProof/>
          <w:szCs w:val="22"/>
          <w:lang w:val="de-DE"/>
        </w:rPr>
        <w:t>Blisterpackung</w:t>
      </w:r>
    </w:p>
    <w:p w:rsidR="00B4575E" w:rsidRPr="00DE1967" w:rsidRDefault="00B4575E" w:rsidP="0003742E">
      <w:pPr>
        <w:widowControl w:val="0"/>
        <w:spacing w:line="240" w:lineRule="auto"/>
        <w:rPr>
          <w:noProof/>
          <w:szCs w:val="22"/>
          <w:lang w:val="de-DE"/>
        </w:rPr>
      </w:pPr>
    </w:p>
    <w:p w:rsidR="0003742E" w:rsidRPr="00DE1967" w:rsidRDefault="0003742E" w:rsidP="0003742E">
      <w:pPr>
        <w:widowControl w:val="0"/>
        <w:spacing w:line="240" w:lineRule="auto"/>
        <w:rPr>
          <w:noProof/>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lang w:val="de-DE"/>
        </w:rPr>
      </w:pPr>
      <w:r w:rsidRPr="00DE1967">
        <w:rPr>
          <w:b/>
          <w:noProof/>
          <w:szCs w:val="22"/>
          <w:lang w:val="de-DE"/>
        </w:rPr>
        <w:t>1.</w:t>
      </w:r>
      <w:r w:rsidRPr="00DE1967">
        <w:rPr>
          <w:b/>
          <w:noProof/>
          <w:szCs w:val="22"/>
          <w:lang w:val="de-DE"/>
        </w:rPr>
        <w:tab/>
        <w:t>BEZEICHNUNG DES ARZNEIMITTELS</w:t>
      </w:r>
    </w:p>
    <w:p w:rsidR="00B4575E" w:rsidRPr="00DE1967" w:rsidRDefault="00B4575E" w:rsidP="0003742E">
      <w:pPr>
        <w:widowControl w:val="0"/>
        <w:spacing w:line="240" w:lineRule="auto"/>
        <w:rPr>
          <w:i/>
          <w:szCs w:val="22"/>
          <w:lang w:val="de-DE"/>
        </w:rPr>
      </w:pPr>
    </w:p>
    <w:p w:rsidR="00B4575E" w:rsidRPr="00DE1967" w:rsidRDefault="00B4575E" w:rsidP="0003742E">
      <w:pPr>
        <w:widowControl w:val="0"/>
        <w:tabs>
          <w:tab w:val="clear" w:pos="567"/>
        </w:tabs>
        <w:autoSpaceDE w:val="0"/>
        <w:autoSpaceDN w:val="0"/>
        <w:adjustRightInd w:val="0"/>
        <w:spacing w:line="240" w:lineRule="auto"/>
        <w:rPr>
          <w:snapToGrid/>
          <w:szCs w:val="22"/>
          <w:lang w:val="de-DE" w:eastAsia="de-DE"/>
        </w:rPr>
      </w:pPr>
      <w:proofErr w:type="spellStart"/>
      <w:r w:rsidRPr="00DE1967">
        <w:rPr>
          <w:snapToGrid/>
          <w:szCs w:val="22"/>
          <w:lang w:val="de-DE" w:eastAsia="de-DE"/>
        </w:rPr>
        <w:t>Tolucombi</w:t>
      </w:r>
      <w:proofErr w:type="spellEnd"/>
      <w:r w:rsidRPr="00DE1967">
        <w:rPr>
          <w:snapToGrid/>
          <w:szCs w:val="22"/>
          <w:lang w:val="de-DE" w:eastAsia="de-DE"/>
        </w:rPr>
        <w:t xml:space="preserve"> 80</w:t>
      </w:r>
      <w:r w:rsidR="00023E2B" w:rsidRPr="00DE1967">
        <w:rPr>
          <w:snapToGrid/>
          <w:szCs w:val="22"/>
          <w:lang w:val="de-DE" w:eastAsia="de-DE"/>
        </w:rPr>
        <w:t> mg</w:t>
      </w:r>
      <w:r w:rsidRPr="00DE1967">
        <w:rPr>
          <w:snapToGrid/>
          <w:szCs w:val="22"/>
          <w:lang w:val="de-DE" w:eastAsia="de-DE"/>
        </w:rPr>
        <w:t>/12,5</w:t>
      </w:r>
      <w:r w:rsidR="00023E2B" w:rsidRPr="00DE1967">
        <w:rPr>
          <w:snapToGrid/>
          <w:szCs w:val="22"/>
          <w:lang w:val="de-DE" w:eastAsia="de-DE"/>
        </w:rPr>
        <w:t> mg</w:t>
      </w:r>
      <w:r w:rsidRPr="00DE1967">
        <w:rPr>
          <w:snapToGrid/>
          <w:szCs w:val="22"/>
          <w:lang w:val="de-DE" w:eastAsia="de-DE"/>
        </w:rPr>
        <w:t xml:space="preserve"> Tabletten</w:t>
      </w:r>
    </w:p>
    <w:p w:rsidR="00B4575E" w:rsidRPr="00DE1967" w:rsidRDefault="00B4575E" w:rsidP="0003742E">
      <w:pPr>
        <w:widowControl w:val="0"/>
        <w:spacing w:line="240" w:lineRule="auto"/>
        <w:rPr>
          <w:szCs w:val="22"/>
          <w:lang w:val="de-DE"/>
        </w:rPr>
      </w:pPr>
      <w:r w:rsidRPr="00DE1967">
        <w:rPr>
          <w:snapToGrid/>
          <w:szCs w:val="22"/>
          <w:lang w:val="de-DE" w:eastAsia="de-DE"/>
        </w:rPr>
        <w:t>Telmisartan/Hydrochlorothiazid</w:t>
      </w:r>
    </w:p>
    <w:p w:rsidR="00B4575E" w:rsidRPr="00DE1967" w:rsidRDefault="00B4575E" w:rsidP="0003742E">
      <w:pPr>
        <w:widowControl w:val="0"/>
        <w:spacing w:line="240" w:lineRule="auto"/>
        <w:rPr>
          <w:szCs w:val="22"/>
          <w:lang w:val="de-DE"/>
        </w:rPr>
      </w:pPr>
    </w:p>
    <w:p w:rsidR="00091E55" w:rsidRPr="00DE1967" w:rsidRDefault="00091E55" w:rsidP="0003742E">
      <w:pPr>
        <w:widowControl w:val="0"/>
        <w:spacing w:line="240" w:lineRule="auto"/>
        <w:rPr>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lang w:val="de-DE"/>
        </w:rPr>
      </w:pPr>
      <w:r w:rsidRPr="00DE1967">
        <w:rPr>
          <w:b/>
          <w:noProof/>
          <w:szCs w:val="22"/>
          <w:lang w:val="de-DE"/>
        </w:rPr>
        <w:t>2.</w:t>
      </w:r>
      <w:r w:rsidRPr="00DE1967">
        <w:rPr>
          <w:b/>
          <w:noProof/>
          <w:szCs w:val="22"/>
          <w:lang w:val="de-DE"/>
        </w:rPr>
        <w:tab/>
        <w:t>NAME DES PHARMAZEUTISCHEN UNTERNEHMERS</w:t>
      </w:r>
    </w:p>
    <w:p w:rsidR="00B4575E" w:rsidRPr="00DE1967" w:rsidRDefault="00B4575E" w:rsidP="0003742E">
      <w:pPr>
        <w:widowControl w:val="0"/>
        <w:spacing w:line="240" w:lineRule="auto"/>
        <w:rPr>
          <w:szCs w:val="22"/>
          <w:lang w:val="de-DE"/>
        </w:rPr>
      </w:pPr>
    </w:p>
    <w:p w:rsidR="00B4575E" w:rsidRPr="00DE1967" w:rsidRDefault="00B4575E" w:rsidP="0003742E">
      <w:pPr>
        <w:widowControl w:val="0"/>
        <w:spacing w:line="240" w:lineRule="auto"/>
        <w:rPr>
          <w:szCs w:val="22"/>
          <w:lang w:val="de-DE"/>
        </w:rPr>
      </w:pPr>
      <w:r w:rsidRPr="00DE1967">
        <w:rPr>
          <w:noProof/>
          <w:szCs w:val="22"/>
          <w:lang w:val="de-DE"/>
        </w:rPr>
        <w:t>KRKA</w:t>
      </w:r>
    </w:p>
    <w:p w:rsidR="00544F89" w:rsidRPr="00DE1967" w:rsidRDefault="00544F89" w:rsidP="0003742E">
      <w:pPr>
        <w:widowControl w:val="0"/>
        <w:spacing w:line="240" w:lineRule="auto"/>
        <w:rPr>
          <w:noProof/>
          <w:szCs w:val="22"/>
          <w:lang w:val="de-DE"/>
        </w:rPr>
      </w:pPr>
    </w:p>
    <w:p w:rsidR="00B4575E" w:rsidRPr="00DE1967" w:rsidRDefault="00B4575E" w:rsidP="0003742E">
      <w:pPr>
        <w:widowControl w:val="0"/>
        <w:spacing w:line="240" w:lineRule="auto"/>
        <w:rPr>
          <w:noProof/>
          <w:szCs w:val="22"/>
          <w:lang w:val="de-DE"/>
        </w:rPr>
      </w:pPr>
    </w:p>
    <w:p w:rsidR="00B4575E" w:rsidRPr="00DE1967" w:rsidRDefault="00B4575E" w:rsidP="0003742E">
      <w:pPr>
        <w:widowControl w:val="0"/>
        <w:pBdr>
          <w:top w:val="single" w:sz="4" w:space="1" w:color="auto"/>
          <w:left w:val="single" w:sz="4" w:space="4" w:color="auto"/>
          <w:bottom w:val="single" w:sz="4" w:space="2" w:color="auto"/>
          <w:right w:val="single" w:sz="4" w:space="4" w:color="auto"/>
        </w:pBdr>
        <w:spacing w:line="240" w:lineRule="auto"/>
        <w:outlineLvl w:val="0"/>
        <w:rPr>
          <w:b/>
          <w:noProof/>
          <w:szCs w:val="22"/>
          <w:lang w:val="de-DE"/>
        </w:rPr>
      </w:pPr>
      <w:r w:rsidRPr="00DE1967">
        <w:rPr>
          <w:b/>
          <w:noProof/>
          <w:szCs w:val="22"/>
          <w:lang w:val="de-DE"/>
        </w:rPr>
        <w:t>3.</w:t>
      </w:r>
      <w:r w:rsidRPr="00DE1967">
        <w:rPr>
          <w:b/>
          <w:noProof/>
          <w:szCs w:val="22"/>
          <w:lang w:val="de-DE"/>
        </w:rPr>
        <w:tab/>
        <w:t>VERFALLDATUM</w:t>
      </w:r>
    </w:p>
    <w:p w:rsidR="00B4575E" w:rsidRPr="00DE1967" w:rsidRDefault="00B4575E" w:rsidP="0003742E">
      <w:pPr>
        <w:widowControl w:val="0"/>
        <w:spacing w:line="240" w:lineRule="auto"/>
        <w:rPr>
          <w:noProof/>
          <w:szCs w:val="22"/>
          <w:lang w:val="de-DE"/>
        </w:rPr>
      </w:pPr>
    </w:p>
    <w:p w:rsidR="00580BC1" w:rsidRPr="00DE1967" w:rsidRDefault="00580BC1" w:rsidP="0003742E">
      <w:pPr>
        <w:widowControl w:val="0"/>
        <w:spacing w:line="240" w:lineRule="auto"/>
        <w:rPr>
          <w:snapToGrid/>
          <w:szCs w:val="22"/>
          <w:lang w:val="de-DE" w:eastAsia="de-DE"/>
        </w:rPr>
      </w:pPr>
      <w:r w:rsidRPr="00DE1967">
        <w:rPr>
          <w:snapToGrid/>
          <w:szCs w:val="22"/>
          <w:lang w:val="de-DE" w:eastAsia="de-DE"/>
        </w:rPr>
        <w:t>EXP</w:t>
      </w:r>
    </w:p>
    <w:p w:rsidR="00B4575E" w:rsidRPr="00DE1967" w:rsidRDefault="00B4575E" w:rsidP="0003742E">
      <w:pPr>
        <w:widowControl w:val="0"/>
        <w:spacing w:line="240" w:lineRule="auto"/>
        <w:rPr>
          <w:snapToGrid/>
          <w:szCs w:val="22"/>
          <w:lang w:val="de-DE" w:eastAsia="de-DE"/>
        </w:rPr>
      </w:pPr>
    </w:p>
    <w:p w:rsidR="00B4575E" w:rsidRPr="00DE1967" w:rsidRDefault="00B4575E" w:rsidP="0003742E">
      <w:pPr>
        <w:widowControl w:val="0"/>
        <w:spacing w:line="240" w:lineRule="auto"/>
        <w:rPr>
          <w:noProof/>
          <w:szCs w:val="22"/>
          <w:lang w:val="de-DE"/>
        </w:rPr>
      </w:pPr>
    </w:p>
    <w:p w:rsidR="00544F89"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outlineLvl w:val="0"/>
        <w:rPr>
          <w:b/>
          <w:szCs w:val="22"/>
          <w:lang w:val="de-DE"/>
        </w:rPr>
      </w:pPr>
      <w:r w:rsidRPr="00DE1967">
        <w:rPr>
          <w:b/>
          <w:noProof/>
          <w:szCs w:val="22"/>
          <w:lang w:val="de-DE"/>
        </w:rPr>
        <w:t>4.</w:t>
      </w:r>
      <w:r w:rsidRPr="00DE1967">
        <w:rPr>
          <w:b/>
          <w:noProof/>
          <w:szCs w:val="22"/>
          <w:lang w:val="de-DE"/>
        </w:rPr>
        <w:tab/>
      </w:r>
      <w:r w:rsidRPr="00DE1967">
        <w:rPr>
          <w:b/>
          <w:caps/>
          <w:noProof/>
          <w:szCs w:val="22"/>
          <w:lang w:val="de-DE"/>
        </w:rPr>
        <w:t>Chargenbezeichnung</w:t>
      </w:r>
    </w:p>
    <w:p w:rsidR="00B4575E" w:rsidRPr="00DE1967" w:rsidRDefault="00B4575E" w:rsidP="0003742E">
      <w:pPr>
        <w:widowControl w:val="0"/>
        <w:spacing w:line="240" w:lineRule="auto"/>
        <w:rPr>
          <w:noProof/>
          <w:szCs w:val="22"/>
          <w:lang w:val="de-DE"/>
        </w:rPr>
      </w:pPr>
    </w:p>
    <w:p w:rsidR="00580BC1" w:rsidRPr="00DE1967" w:rsidRDefault="00580BC1" w:rsidP="0003742E">
      <w:pPr>
        <w:widowControl w:val="0"/>
        <w:spacing w:line="240" w:lineRule="auto"/>
        <w:rPr>
          <w:snapToGrid/>
          <w:szCs w:val="22"/>
          <w:lang w:val="de-DE" w:eastAsia="de-DE"/>
        </w:rPr>
      </w:pPr>
      <w:r w:rsidRPr="00DE1967">
        <w:rPr>
          <w:snapToGrid/>
          <w:szCs w:val="22"/>
          <w:lang w:val="de-DE" w:eastAsia="de-DE"/>
        </w:rPr>
        <w:t>Lot</w:t>
      </w:r>
    </w:p>
    <w:p w:rsidR="00B4575E" w:rsidRPr="00DE1967" w:rsidRDefault="00B4575E" w:rsidP="0003742E">
      <w:pPr>
        <w:widowControl w:val="0"/>
        <w:spacing w:line="240" w:lineRule="auto"/>
        <w:rPr>
          <w:snapToGrid/>
          <w:szCs w:val="22"/>
          <w:lang w:val="de-DE" w:eastAsia="de-DE"/>
        </w:rPr>
      </w:pPr>
    </w:p>
    <w:p w:rsidR="00B4575E" w:rsidRPr="00DE1967" w:rsidRDefault="00B4575E" w:rsidP="0003742E">
      <w:pPr>
        <w:widowControl w:val="0"/>
        <w:spacing w:line="240" w:lineRule="auto"/>
        <w:rPr>
          <w:noProof/>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lang w:val="de-DE"/>
        </w:rPr>
      </w:pPr>
      <w:r w:rsidRPr="00DE1967">
        <w:rPr>
          <w:b/>
          <w:noProof/>
          <w:szCs w:val="22"/>
          <w:lang w:val="de-DE"/>
        </w:rPr>
        <w:t>5.</w:t>
      </w:r>
      <w:r w:rsidRPr="00DE1967">
        <w:rPr>
          <w:b/>
          <w:noProof/>
          <w:szCs w:val="22"/>
          <w:lang w:val="de-DE"/>
        </w:rPr>
        <w:tab/>
        <w:t>WEITERE ANGABEN</w:t>
      </w:r>
    </w:p>
    <w:p w:rsidR="00B4575E" w:rsidRPr="00DE1967" w:rsidRDefault="00B4575E" w:rsidP="0003742E">
      <w:pPr>
        <w:widowControl w:val="0"/>
        <w:spacing w:line="240" w:lineRule="auto"/>
        <w:rPr>
          <w:szCs w:val="22"/>
          <w:lang w:val="de-DE"/>
        </w:rPr>
      </w:pPr>
    </w:p>
    <w:p w:rsidR="000F4F3A" w:rsidRPr="00DE1967" w:rsidRDefault="000F4F3A" w:rsidP="0003742E">
      <w:pPr>
        <w:widowControl w:val="0"/>
        <w:spacing w:line="240" w:lineRule="auto"/>
        <w:rPr>
          <w:noProof/>
          <w:szCs w:val="22"/>
          <w:lang w:val="de-DE"/>
        </w:rPr>
      </w:pPr>
      <w:r w:rsidRPr="00DE1967">
        <w:rPr>
          <w:noProof/>
          <w:szCs w:val="22"/>
          <w:lang w:val="de-DE"/>
        </w:rPr>
        <w:t>Nur auf Blisterpackungen mit 7 Tabletten</w:t>
      </w:r>
    </w:p>
    <w:p w:rsidR="00B4575E" w:rsidRPr="00DE1967" w:rsidRDefault="00B4575E"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MO</w:t>
      </w:r>
    </w:p>
    <w:p w:rsidR="00B4575E" w:rsidRPr="00DE1967" w:rsidRDefault="00B4575E" w:rsidP="0003742E">
      <w:pPr>
        <w:widowControl w:val="0"/>
        <w:tabs>
          <w:tab w:val="clear" w:pos="567"/>
        </w:tabs>
        <w:autoSpaceDE w:val="0"/>
        <w:autoSpaceDN w:val="0"/>
        <w:adjustRightInd w:val="0"/>
        <w:spacing w:line="240" w:lineRule="auto"/>
        <w:rPr>
          <w:snapToGrid/>
          <w:szCs w:val="22"/>
          <w:lang w:val="it-IT" w:eastAsia="de-DE"/>
        </w:rPr>
      </w:pPr>
      <w:r w:rsidRPr="00DE1967">
        <w:rPr>
          <w:snapToGrid/>
          <w:szCs w:val="22"/>
          <w:lang w:val="it-IT" w:eastAsia="de-DE"/>
        </w:rPr>
        <w:t>DI</w:t>
      </w:r>
    </w:p>
    <w:p w:rsidR="00B4575E" w:rsidRPr="00DE1967" w:rsidRDefault="00B4575E" w:rsidP="0003742E">
      <w:pPr>
        <w:widowControl w:val="0"/>
        <w:tabs>
          <w:tab w:val="clear" w:pos="567"/>
        </w:tabs>
        <w:autoSpaceDE w:val="0"/>
        <w:autoSpaceDN w:val="0"/>
        <w:adjustRightInd w:val="0"/>
        <w:spacing w:line="240" w:lineRule="auto"/>
        <w:rPr>
          <w:snapToGrid/>
          <w:szCs w:val="22"/>
          <w:lang w:val="it-IT" w:eastAsia="de-DE"/>
        </w:rPr>
      </w:pPr>
      <w:r w:rsidRPr="00DE1967">
        <w:rPr>
          <w:snapToGrid/>
          <w:szCs w:val="22"/>
          <w:lang w:val="it-IT" w:eastAsia="de-DE"/>
        </w:rPr>
        <w:t>MI</w:t>
      </w:r>
    </w:p>
    <w:p w:rsidR="00B4575E" w:rsidRPr="00DE1967" w:rsidRDefault="00B4575E" w:rsidP="0003742E">
      <w:pPr>
        <w:widowControl w:val="0"/>
        <w:tabs>
          <w:tab w:val="clear" w:pos="567"/>
        </w:tabs>
        <w:autoSpaceDE w:val="0"/>
        <w:autoSpaceDN w:val="0"/>
        <w:adjustRightInd w:val="0"/>
        <w:spacing w:line="240" w:lineRule="auto"/>
        <w:rPr>
          <w:snapToGrid/>
          <w:szCs w:val="22"/>
          <w:lang w:val="it-IT" w:eastAsia="de-DE"/>
        </w:rPr>
      </w:pPr>
      <w:r w:rsidRPr="00DE1967">
        <w:rPr>
          <w:snapToGrid/>
          <w:szCs w:val="22"/>
          <w:lang w:val="it-IT" w:eastAsia="de-DE"/>
        </w:rPr>
        <w:t>DO</w:t>
      </w:r>
    </w:p>
    <w:p w:rsidR="00B4575E" w:rsidRPr="00DE1967" w:rsidRDefault="00B4575E" w:rsidP="0003742E">
      <w:pPr>
        <w:widowControl w:val="0"/>
        <w:tabs>
          <w:tab w:val="clear" w:pos="567"/>
        </w:tabs>
        <w:autoSpaceDE w:val="0"/>
        <w:autoSpaceDN w:val="0"/>
        <w:adjustRightInd w:val="0"/>
        <w:spacing w:line="240" w:lineRule="auto"/>
        <w:rPr>
          <w:snapToGrid/>
          <w:szCs w:val="22"/>
          <w:lang w:val="it-IT" w:eastAsia="de-DE"/>
        </w:rPr>
      </w:pPr>
      <w:r w:rsidRPr="00DE1967">
        <w:rPr>
          <w:snapToGrid/>
          <w:szCs w:val="22"/>
          <w:lang w:val="it-IT" w:eastAsia="de-DE"/>
        </w:rPr>
        <w:t>FR</w:t>
      </w:r>
    </w:p>
    <w:p w:rsidR="00B4575E" w:rsidRPr="00DE1967" w:rsidRDefault="00B4575E" w:rsidP="0003742E">
      <w:pPr>
        <w:widowControl w:val="0"/>
        <w:tabs>
          <w:tab w:val="clear" w:pos="567"/>
        </w:tabs>
        <w:autoSpaceDE w:val="0"/>
        <w:autoSpaceDN w:val="0"/>
        <w:adjustRightInd w:val="0"/>
        <w:spacing w:line="240" w:lineRule="auto"/>
        <w:rPr>
          <w:snapToGrid/>
          <w:szCs w:val="22"/>
          <w:lang w:val="it-IT" w:eastAsia="de-DE"/>
        </w:rPr>
      </w:pPr>
      <w:r w:rsidRPr="00DE1967">
        <w:rPr>
          <w:snapToGrid/>
          <w:szCs w:val="22"/>
          <w:lang w:val="it-IT" w:eastAsia="de-DE"/>
        </w:rPr>
        <w:t>SA</w:t>
      </w:r>
    </w:p>
    <w:p w:rsidR="00B4575E" w:rsidRPr="00DE1967" w:rsidRDefault="00B4575E" w:rsidP="0003742E">
      <w:pPr>
        <w:widowControl w:val="0"/>
        <w:spacing w:line="240" w:lineRule="auto"/>
        <w:rPr>
          <w:snapToGrid/>
          <w:szCs w:val="22"/>
          <w:lang w:val="it-IT" w:eastAsia="de-DE"/>
        </w:rPr>
      </w:pPr>
      <w:r w:rsidRPr="00DE1967">
        <w:rPr>
          <w:snapToGrid/>
          <w:szCs w:val="22"/>
          <w:lang w:val="it-IT" w:eastAsia="de-DE"/>
        </w:rPr>
        <w:t>SO</w:t>
      </w:r>
    </w:p>
    <w:p w:rsidR="00B4575E" w:rsidRPr="00DE1967" w:rsidRDefault="00B4575E" w:rsidP="0003742E">
      <w:pPr>
        <w:widowControl w:val="0"/>
        <w:shd w:val="clear" w:color="auto" w:fill="FFFFFF"/>
        <w:spacing w:line="240" w:lineRule="auto"/>
        <w:rPr>
          <w:noProof/>
          <w:szCs w:val="22"/>
          <w:lang w:val="it-IT"/>
        </w:rPr>
      </w:pPr>
      <w:r w:rsidRPr="00DE1967">
        <w:rPr>
          <w:snapToGrid/>
          <w:szCs w:val="22"/>
          <w:lang w:val="it-IT" w:eastAsia="de-DE"/>
        </w:rPr>
        <w:br w:type="page"/>
      </w:r>
    </w:p>
    <w:p w:rsidR="00544F89"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rPr>
          <w:b/>
          <w:noProof/>
          <w:szCs w:val="22"/>
          <w:lang w:val="de-DE"/>
        </w:rPr>
      </w:pPr>
      <w:r w:rsidRPr="00DE1967">
        <w:rPr>
          <w:b/>
          <w:noProof/>
          <w:szCs w:val="22"/>
          <w:lang w:val="de-DE"/>
        </w:rPr>
        <w:t>ANGABEN AUF DER ÄUSSEREN UMHÜLLUNG</w:t>
      </w: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de-DE"/>
        </w:rPr>
      </w:pPr>
    </w:p>
    <w:p w:rsidR="000F4F3A" w:rsidRPr="00DE1967" w:rsidRDefault="000F4F3A" w:rsidP="0003742E">
      <w:pPr>
        <w:widowControl w:val="0"/>
        <w:pBdr>
          <w:top w:val="single" w:sz="4" w:space="1" w:color="auto"/>
          <w:left w:val="single" w:sz="4" w:space="4" w:color="auto"/>
          <w:bottom w:val="single" w:sz="4" w:space="1" w:color="auto"/>
          <w:right w:val="single" w:sz="4" w:space="4" w:color="auto"/>
        </w:pBdr>
        <w:spacing w:line="240" w:lineRule="auto"/>
        <w:rPr>
          <w:b/>
          <w:noProof/>
          <w:szCs w:val="22"/>
          <w:lang w:val="de-DE"/>
        </w:rPr>
      </w:pPr>
      <w:r w:rsidRPr="00DE1967">
        <w:rPr>
          <w:b/>
          <w:noProof/>
          <w:szCs w:val="22"/>
          <w:lang w:val="de-DE"/>
        </w:rPr>
        <w:t>UMKARTON</w:t>
      </w:r>
    </w:p>
    <w:p w:rsidR="00B4575E" w:rsidRPr="00DE1967" w:rsidRDefault="00B4575E" w:rsidP="0003742E">
      <w:pPr>
        <w:widowControl w:val="0"/>
        <w:spacing w:line="240" w:lineRule="auto"/>
        <w:rPr>
          <w:noProof/>
          <w:szCs w:val="22"/>
          <w:lang w:val="de-DE"/>
        </w:rPr>
      </w:pPr>
    </w:p>
    <w:p w:rsidR="0003742E" w:rsidRPr="00DE1967" w:rsidRDefault="0003742E" w:rsidP="0003742E">
      <w:pPr>
        <w:widowControl w:val="0"/>
        <w:spacing w:line="240" w:lineRule="auto"/>
        <w:rPr>
          <w:noProof/>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lang w:val="de-DE"/>
        </w:rPr>
      </w:pPr>
      <w:r w:rsidRPr="00DE1967">
        <w:rPr>
          <w:b/>
          <w:noProof/>
          <w:szCs w:val="22"/>
          <w:lang w:val="de-DE"/>
        </w:rPr>
        <w:t>1.</w:t>
      </w:r>
      <w:r w:rsidRPr="00DE1967">
        <w:rPr>
          <w:b/>
          <w:noProof/>
          <w:szCs w:val="22"/>
          <w:lang w:val="de-DE"/>
        </w:rPr>
        <w:tab/>
        <w:t>BEZEICHNUNG DES ARZNEIMITTELS</w:t>
      </w:r>
    </w:p>
    <w:p w:rsidR="00B4575E" w:rsidRPr="00DE1967" w:rsidRDefault="00B4575E" w:rsidP="0003742E">
      <w:pPr>
        <w:widowControl w:val="0"/>
        <w:spacing w:line="240" w:lineRule="auto"/>
        <w:rPr>
          <w:szCs w:val="22"/>
          <w:lang w:val="de-DE"/>
        </w:rPr>
      </w:pPr>
    </w:p>
    <w:p w:rsidR="00B4575E" w:rsidRPr="00DE1967" w:rsidRDefault="00B4575E" w:rsidP="0003742E">
      <w:pPr>
        <w:widowControl w:val="0"/>
        <w:spacing w:line="240" w:lineRule="auto"/>
        <w:rPr>
          <w:szCs w:val="22"/>
          <w:lang w:val="de-DE"/>
        </w:rPr>
      </w:pPr>
      <w:r w:rsidRPr="00DE1967">
        <w:rPr>
          <w:noProof/>
          <w:szCs w:val="22"/>
          <w:lang w:val="de-DE"/>
        </w:rPr>
        <w:t>Tolucombi 80</w:t>
      </w:r>
      <w:r w:rsidR="00023E2B" w:rsidRPr="00DE1967">
        <w:rPr>
          <w:noProof/>
          <w:szCs w:val="22"/>
          <w:lang w:val="de-DE"/>
        </w:rPr>
        <w:t> mg</w:t>
      </w:r>
      <w:r w:rsidRPr="00DE1967">
        <w:rPr>
          <w:noProof/>
          <w:szCs w:val="22"/>
          <w:lang w:val="de-DE"/>
        </w:rPr>
        <w:t>/25</w:t>
      </w:r>
      <w:r w:rsidR="00023E2B" w:rsidRPr="00DE1967">
        <w:rPr>
          <w:noProof/>
          <w:szCs w:val="22"/>
          <w:lang w:val="de-DE"/>
        </w:rPr>
        <w:t> mg</w:t>
      </w:r>
      <w:r w:rsidRPr="00DE1967">
        <w:rPr>
          <w:noProof/>
          <w:szCs w:val="22"/>
          <w:lang w:val="de-DE"/>
        </w:rPr>
        <w:t xml:space="preserve"> Tabletten</w:t>
      </w:r>
    </w:p>
    <w:p w:rsidR="00B4575E" w:rsidRPr="00DE1967" w:rsidRDefault="00B4575E" w:rsidP="0003742E">
      <w:pPr>
        <w:widowControl w:val="0"/>
        <w:spacing w:line="240" w:lineRule="auto"/>
        <w:rPr>
          <w:snapToGrid/>
          <w:szCs w:val="22"/>
          <w:lang w:val="de-DE" w:eastAsia="de-DE"/>
        </w:rPr>
      </w:pPr>
      <w:r w:rsidRPr="00DE1967">
        <w:rPr>
          <w:snapToGrid/>
          <w:szCs w:val="22"/>
          <w:lang w:val="de-DE" w:eastAsia="de-DE"/>
        </w:rPr>
        <w:t>Telmisartan/Hydrochlorothiazid</w:t>
      </w:r>
    </w:p>
    <w:p w:rsidR="00B4575E" w:rsidRPr="00DE1967" w:rsidRDefault="00B4575E" w:rsidP="0003742E">
      <w:pPr>
        <w:widowControl w:val="0"/>
        <w:spacing w:line="240" w:lineRule="auto"/>
        <w:rPr>
          <w:szCs w:val="22"/>
          <w:lang w:val="de-DE"/>
        </w:rPr>
      </w:pPr>
    </w:p>
    <w:p w:rsidR="00B4575E" w:rsidRPr="00DE1967" w:rsidRDefault="00B4575E" w:rsidP="0003742E">
      <w:pPr>
        <w:widowControl w:val="0"/>
        <w:spacing w:line="240" w:lineRule="auto"/>
        <w:rPr>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lang w:val="de-DE"/>
        </w:rPr>
      </w:pPr>
      <w:r w:rsidRPr="00DE1967">
        <w:rPr>
          <w:b/>
          <w:noProof/>
          <w:szCs w:val="22"/>
          <w:lang w:val="de-DE"/>
        </w:rPr>
        <w:t>2.</w:t>
      </w:r>
      <w:r w:rsidRPr="00DE1967">
        <w:rPr>
          <w:b/>
          <w:noProof/>
          <w:szCs w:val="22"/>
          <w:lang w:val="de-DE"/>
        </w:rPr>
        <w:tab/>
        <w:t>WIRKSTOFF(E)</w:t>
      </w:r>
    </w:p>
    <w:p w:rsidR="00B4575E" w:rsidRPr="00DE1967" w:rsidRDefault="00B4575E" w:rsidP="0003742E">
      <w:pPr>
        <w:widowControl w:val="0"/>
        <w:spacing w:line="240" w:lineRule="auto"/>
        <w:rPr>
          <w:i/>
          <w:szCs w:val="22"/>
          <w:lang w:val="de-DE"/>
        </w:rPr>
      </w:pPr>
    </w:p>
    <w:p w:rsidR="00B4575E" w:rsidRPr="00DE1967" w:rsidRDefault="00B4575E" w:rsidP="0003742E">
      <w:pPr>
        <w:widowControl w:val="0"/>
        <w:spacing w:line="240" w:lineRule="auto"/>
        <w:rPr>
          <w:snapToGrid/>
          <w:szCs w:val="22"/>
          <w:lang w:val="de-DE" w:eastAsia="de-DE"/>
        </w:rPr>
      </w:pPr>
      <w:r w:rsidRPr="00DE1967">
        <w:rPr>
          <w:snapToGrid/>
          <w:szCs w:val="22"/>
          <w:lang w:val="de-DE" w:eastAsia="de-DE"/>
        </w:rPr>
        <w:t>Jede Tablette enthält 80</w:t>
      </w:r>
      <w:r w:rsidR="00023E2B" w:rsidRPr="00DE1967">
        <w:rPr>
          <w:snapToGrid/>
          <w:szCs w:val="22"/>
          <w:lang w:val="de-DE" w:eastAsia="de-DE"/>
        </w:rPr>
        <w:t> mg</w:t>
      </w:r>
      <w:r w:rsidRPr="00DE1967">
        <w:rPr>
          <w:snapToGrid/>
          <w:szCs w:val="22"/>
          <w:lang w:val="de-DE" w:eastAsia="de-DE"/>
        </w:rPr>
        <w:t xml:space="preserve"> Telmisartan und 25</w:t>
      </w:r>
      <w:r w:rsidR="00023E2B" w:rsidRPr="00DE1967">
        <w:rPr>
          <w:snapToGrid/>
          <w:szCs w:val="22"/>
          <w:lang w:val="de-DE" w:eastAsia="de-DE"/>
        </w:rPr>
        <w:t> mg</w:t>
      </w:r>
      <w:r w:rsidRPr="00DE1967">
        <w:rPr>
          <w:snapToGrid/>
          <w:szCs w:val="22"/>
          <w:lang w:val="de-DE" w:eastAsia="de-DE"/>
        </w:rPr>
        <w:t xml:space="preserve"> Hydrochlorothiazid.</w:t>
      </w:r>
    </w:p>
    <w:p w:rsidR="00B4575E" w:rsidRPr="00DE1967" w:rsidRDefault="00B4575E" w:rsidP="0003742E">
      <w:pPr>
        <w:widowControl w:val="0"/>
        <w:spacing w:line="240" w:lineRule="auto"/>
        <w:rPr>
          <w:snapToGrid/>
          <w:szCs w:val="22"/>
          <w:lang w:val="de-DE" w:eastAsia="de-DE"/>
        </w:rPr>
      </w:pPr>
    </w:p>
    <w:p w:rsidR="00B4575E" w:rsidRPr="00DE1967" w:rsidRDefault="00B4575E" w:rsidP="0003742E">
      <w:pPr>
        <w:widowControl w:val="0"/>
        <w:spacing w:line="240" w:lineRule="auto"/>
        <w:rPr>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lang w:val="de-DE"/>
        </w:rPr>
      </w:pPr>
      <w:r w:rsidRPr="00DE1967">
        <w:rPr>
          <w:b/>
          <w:noProof/>
          <w:szCs w:val="22"/>
          <w:lang w:val="de-DE"/>
        </w:rPr>
        <w:t>3.</w:t>
      </w:r>
      <w:r w:rsidRPr="00DE1967">
        <w:rPr>
          <w:b/>
          <w:noProof/>
          <w:szCs w:val="22"/>
          <w:lang w:val="de-DE"/>
        </w:rPr>
        <w:tab/>
        <w:t>SONSTIGE BESTANDTEILE</w:t>
      </w:r>
    </w:p>
    <w:p w:rsidR="00B4575E" w:rsidRPr="00DE1967" w:rsidRDefault="00B4575E" w:rsidP="0003742E">
      <w:pPr>
        <w:widowControl w:val="0"/>
        <w:tabs>
          <w:tab w:val="clear" w:pos="567"/>
        </w:tabs>
        <w:autoSpaceDE w:val="0"/>
        <w:autoSpaceDN w:val="0"/>
        <w:adjustRightInd w:val="0"/>
        <w:spacing w:line="240" w:lineRule="auto"/>
        <w:rPr>
          <w:snapToGrid/>
          <w:szCs w:val="22"/>
          <w:lang w:val="de-DE" w:eastAsia="de-DE"/>
        </w:rPr>
      </w:pPr>
    </w:p>
    <w:p w:rsidR="00B4575E" w:rsidRPr="00DE1967" w:rsidRDefault="00B4575E"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Enthält Lactose-Monohydrat und Sorbitol (E420).</w:t>
      </w:r>
    </w:p>
    <w:p w:rsidR="00B4575E" w:rsidRPr="00DE1967" w:rsidRDefault="00B4575E" w:rsidP="0003742E">
      <w:pPr>
        <w:widowControl w:val="0"/>
        <w:spacing w:line="240" w:lineRule="auto"/>
        <w:rPr>
          <w:noProof/>
          <w:szCs w:val="22"/>
          <w:lang w:val="de-DE"/>
        </w:rPr>
      </w:pPr>
      <w:r w:rsidRPr="00DE1967">
        <w:rPr>
          <w:snapToGrid/>
          <w:szCs w:val="22"/>
          <w:lang w:val="de-DE" w:eastAsia="de-DE"/>
        </w:rPr>
        <w:t>Packungsbeilage</w:t>
      </w:r>
      <w:r w:rsidR="00171E2D" w:rsidRPr="00DE1967">
        <w:rPr>
          <w:snapToGrid/>
          <w:szCs w:val="22"/>
          <w:lang w:val="de-DE" w:eastAsia="de-DE"/>
        </w:rPr>
        <w:t xml:space="preserve"> beachten</w:t>
      </w:r>
      <w:r w:rsidRPr="00DE1967">
        <w:rPr>
          <w:snapToGrid/>
          <w:szCs w:val="22"/>
          <w:lang w:val="de-DE" w:eastAsia="de-DE"/>
        </w:rPr>
        <w:t>.</w:t>
      </w:r>
    </w:p>
    <w:p w:rsidR="00B4575E" w:rsidRPr="00DE1967" w:rsidRDefault="00B4575E" w:rsidP="0003742E">
      <w:pPr>
        <w:widowControl w:val="0"/>
        <w:spacing w:line="240" w:lineRule="auto"/>
        <w:rPr>
          <w:noProof/>
          <w:szCs w:val="22"/>
          <w:lang w:val="de-DE"/>
        </w:rPr>
      </w:pPr>
    </w:p>
    <w:p w:rsidR="00274A7D" w:rsidRPr="00DE1967" w:rsidRDefault="00274A7D" w:rsidP="0003742E">
      <w:pPr>
        <w:widowControl w:val="0"/>
        <w:spacing w:line="240" w:lineRule="auto"/>
        <w:rPr>
          <w:noProof/>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lang w:val="de-DE"/>
        </w:rPr>
      </w:pPr>
      <w:r w:rsidRPr="00DE1967">
        <w:rPr>
          <w:b/>
          <w:noProof/>
          <w:szCs w:val="22"/>
          <w:lang w:val="de-DE"/>
        </w:rPr>
        <w:t>4.</w:t>
      </w:r>
      <w:r w:rsidRPr="00DE1967">
        <w:rPr>
          <w:b/>
          <w:noProof/>
          <w:szCs w:val="22"/>
          <w:lang w:val="de-DE"/>
        </w:rPr>
        <w:tab/>
        <w:t>DARREICHUNGSFORM UND INHALT</w:t>
      </w:r>
    </w:p>
    <w:p w:rsidR="00B4575E" w:rsidRPr="00DE1967" w:rsidRDefault="00B4575E" w:rsidP="0003742E">
      <w:pPr>
        <w:widowControl w:val="0"/>
        <w:spacing w:line="240" w:lineRule="auto"/>
        <w:rPr>
          <w:noProof/>
          <w:szCs w:val="22"/>
          <w:lang w:val="de-DE"/>
        </w:rPr>
      </w:pPr>
    </w:p>
    <w:p w:rsidR="00B4575E" w:rsidRPr="00DE1967" w:rsidRDefault="00700858"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Tablette</w:t>
      </w:r>
      <w:r w:rsidR="00B4575E" w:rsidRPr="00DE1967">
        <w:rPr>
          <w:snapToGrid/>
          <w:szCs w:val="22"/>
          <w:lang w:val="de-DE" w:eastAsia="de-DE"/>
        </w:rPr>
        <w:t>.</w:t>
      </w:r>
    </w:p>
    <w:p w:rsidR="00B4575E" w:rsidRPr="00DE1967" w:rsidRDefault="00B4575E" w:rsidP="0003742E">
      <w:pPr>
        <w:widowControl w:val="0"/>
        <w:tabs>
          <w:tab w:val="clear" w:pos="567"/>
        </w:tabs>
        <w:autoSpaceDE w:val="0"/>
        <w:autoSpaceDN w:val="0"/>
        <w:adjustRightInd w:val="0"/>
        <w:spacing w:line="240" w:lineRule="auto"/>
        <w:rPr>
          <w:snapToGrid/>
          <w:szCs w:val="22"/>
          <w:lang w:val="de-DE" w:eastAsia="de-DE"/>
        </w:rPr>
      </w:pPr>
    </w:p>
    <w:p w:rsidR="00B4575E" w:rsidRPr="00DE1967" w:rsidRDefault="00B4575E" w:rsidP="0003742E">
      <w:pPr>
        <w:widowControl w:val="0"/>
        <w:tabs>
          <w:tab w:val="clear" w:pos="567"/>
        </w:tabs>
        <w:autoSpaceDE w:val="0"/>
        <w:autoSpaceDN w:val="0"/>
        <w:adjustRightInd w:val="0"/>
        <w:spacing w:line="240" w:lineRule="auto"/>
        <w:rPr>
          <w:i/>
          <w:szCs w:val="22"/>
          <w:u w:val="single"/>
          <w:lang w:val="da-DK"/>
        </w:rPr>
      </w:pPr>
      <w:r w:rsidRPr="00DE1967">
        <w:rPr>
          <w:i/>
          <w:szCs w:val="22"/>
          <w:u w:val="single"/>
          <w:lang w:val="da-DK"/>
        </w:rPr>
        <w:t>Blisterpackung (OPA/Al/PVC-Folie/</w:t>
      </w:r>
      <w:r w:rsidR="006C70AD" w:rsidRPr="00DE1967">
        <w:rPr>
          <w:i/>
          <w:szCs w:val="22"/>
          <w:u w:val="single"/>
          <w:lang w:val="da-DK"/>
        </w:rPr>
        <w:t>/</w:t>
      </w:r>
      <w:r w:rsidRPr="00DE1967">
        <w:rPr>
          <w:i/>
          <w:szCs w:val="22"/>
          <w:u w:val="single"/>
          <w:lang w:val="da-DK"/>
        </w:rPr>
        <w:t>Al-Folie):</w:t>
      </w:r>
    </w:p>
    <w:p w:rsidR="00B4575E" w:rsidRPr="00DE1967" w:rsidRDefault="00B4575E" w:rsidP="0003742E">
      <w:pPr>
        <w:widowControl w:val="0"/>
        <w:tabs>
          <w:tab w:val="clear" w:pos="567"/>
        </w:tabs>
        <w:autoSpaceDE w:val="0"/>
        <w:autoSpaceDN w:val="0"/>
        <w:adjustRightInd w:val="0"/>
        <w:spacing w:line="240" w:lineRule="auto"/>
        <w:rPr>
          <w:snapToGrid/>
          <w:szCs w:val="22"/>
          <w:lang w:val="da-DK" w:eastAsia="de-DE"/>
        </w:rPr>
      </w:pPr>
      <w:r w:rsidRPr="00DE1967">
        <w:rPr>
          <w:snapToGrid/>
          <w:szCs w:val="22"/>
          <w:lang w:val="da-DK" w:eastAsia="de-DE"/>
        </w:rPr>
        <w:t>14</w:t>
      </w:r>
      <w:r w:rsidR="00487B8C" w:rsidRPr="00DE1967">
        <w:rPr>
          <w:snapToGrid/>
          <w:szCs w:val="22"/>
          <w:lang w:val="da-DK" w:eastAsia="de-DE"/>
        </w:rPr>
        <w:t> x 1</w:t>
      </w:r>
      <w:r w:rsidRPr="00DE1967">
        <w:rPr>
          <w:snapToGrid/>
          <w:szCs w:val="22"/>
          <w:lang w:val="da-DK" w:eastAsia="de-DE"/>
        </w:rPr>
        <w:t xml:space="preserve"> Tablette</w:t>
      </w:r>
    </w:p>
    <w:p w:rsidR="00B4575E" w:rsidRPr="00DE1967" w:rsidRDefault="00B4575E" w:rsidP="0003742E">
      <w:pPr>
        <w:widowControl w:val="0"/>
        <w:tabs>
          <w:tab w:val="clear" w:pos="567"/>
        </w:tabs>
        <w:autoSpaceDE w:val="0"/>
        <w:autoSpaceDN w:val="0"/>
        <w:adjustRightInd w:val="0"/>
        <w:spacing w:line="240" w:lineRule="auto"/>
        <w:rPr>
          <w:snapToGrid/>
          <w:szCs w:val="22"/>
          <w:lang w:val="da-DK" w:eastAsia="de-DE"/>
        </w:rPr>
      </w:pPr>
      <w:r w:rsidRPr="00DE1967">
        <w:rPr>
          <w:snapToGrid/>
          <w:szCs w:val="22"/>
          <w:lang w:val="da-DK" w:eastAsia="de-DE"/>
        </w:rPr>
        <w:t>28</w:t>
      </w:r>
      <w:r w:rsidR="00487B8C" w:rsidRPr="00DE1967">
        <w:rPr>
          <w:snapToGrid/>
          <w:szCs w:val="22"/>
          <w:lang w:val="da-DK" w:eastAsia="de-DE"/>
        </w:rPr>
        <w:t> x 1</w:t>
      </w:r>
      <w:r w:rsidRPr="00DE1967">
        <w:rPr>
          <w:snapToGrid/>
          <w:szCs w:val="22"/>
          <w:lang w:val="da-DK" w:eastAsia="de-DE"/>
        </w:rPr>
        <w:t xml:space="preserve"> Tablette</w:t>
      </w:r>
    </w:p>
    <w:p w:rsidR="00B4575E" w:rsidRPr="00DE1967" w:rsidRDefault="00B4575E" w:rsidP="0003742E">
      <w:pPr>
        <w:widowControl w:val="0"/>
        <w:tabs>
          <w:tab w:val="clear" w:pos="567"/>
        </w:tabs>
        <w:autoSpaceDE w:val="0"/>
        <w:autoSpaceDN w:val="0"/>
        <w:adjustRightInd w:val="0"/>
        <w:spacing w:line="240" w:lineRule="auto"/>
        <w:rPr>
          <w:snapToGrid/>
          <w:szCs w:val="22"/>
          <w:lang w:val="da-DK" w:eastAsia="de-DE"/>
        </w:rPr>
      </w:pPr>
      <w:r w:rsidRPr="00DE1967">
        <w:rPr>
          <w:snapToGrid/>
          <w:szCs w:val="22"/>
          <w:lang w:val="da-DK" w:eastAsia="de-DE"/>
        </w:rPr>
        <w:t>30</w:t>
      </w:r>
      <w:r w:rsidR="00487B8C" w:rsidRPr="00DE1967">
        <w:rPr>
          <w:snapToGrid/>
          <w:szCs w:val="22"/>
          <w:lang w:val="da-DK" w:eastAsia="de-DE"/>
        </w:rPr>
        <w:t> x 1</w:t>
      </w:r>
      <w:r w:rsidRPr="00DE1967">
        <w:rPr>
          <w:snapToGrid/>
          <w:szCs w:val="22"/>
          <w:lang w:val="da-DK" w:eastAsia="de-DE"/>
        </w:rPr>
        <w:t xml:space="preserve"> Tablette</w:t>
      </w:r>
    </w:p>
    <w:p w:rsidR="00B4575E" w:rsidRPr="00DE1967" w:rsidRDefault="00B4575E" w:rsidP="0003742E">
      <w:pPr>
        <w:widowControl w:val="0"/>
        <w:tabs>
          <w:tab w:val="clear" w:pos="567"/>
        </w:tabs>
        <w:autoSpaceDE w:val="0"/>
        <w:autoSpaceDN w:val="0"/>
        <w:adjustRightInd w:val="0"/>
        <w:spacing w:line="240" w:lineRule="auto"/>
        <w:rPr>
          <w:snapToGrid/>
          <w:szCs w:val="22"/>
          <w:lang w:val="da-DK" w:eastAsia="de-DE"/>
        </w:rPr>
      </w:pPr>
      <w:r w:rsidRPr="00DE1967">
        <w:rPr>
          <w:snapToGrid/>
          <w:szCs w:val="22"/>
          <w:lang w:val="da-DK" w:eastAsia="de-DE"/>
        </w:rPr>
        <w:t>56</w:t>
      </w:r>
      <w:r w:rsidR="00487B8C" w:rsidRPr="00DE1967">
        <w:rPr>
          <w:snapToGrid/>
          <w:szCs w:val="22"/>
          <w:lang w:val="da-DK" w:eastAsia="de-DE"/>
        </w:rPr>
        <w:t xml:space="preserve"> x 1 </w:t>
      </w:r>
      <w:r w:rsidRPr="00DE1967">
        <w:rPr>
          <w:snapToGrid/>
          <w:szCs w:val="22"/>
          <w:lang w:val="da-DK" w:eastAsia="de-DE"/>
        </w:rPr>
        <w:t>Tablette</w:t>
      </w:r>
    </w:p>
    <w:p w:rsidR="00B4575E" w:rsidRPr="00DE1967" w:rsidRDefault="00B4575E" w:rsidP="0003742E">
      <w:pPr>
        <w:widowControl w:val="0"/>
        <w:tabs>
          <w:tab w:val="clear" w:pos="567"/>
        </w:tabs>
        <w:autoSpaceDE w:val="0"/>
        <w:autoSpaceDN w:val="0"/>
        <w:adjustRightInd w:val="0"/>
        <w:spacing w:line="240" w:lineRule="auto"/>
        <w:rPr>
          <w:snapToGrid/>
          <w:szCs w:val="22"/>
          <w:lang w:val="da-DK" w:eastAsia="de-DE"/>
        </w:rPr>
      </w:pPr>
      <w:r w:rsidRPr="00DE1967">
        <w:rPr>
          <w:snapToGrid/>
          <w:szCs w:val="22"/>
          <w:lang w:val="da-DK" w:eastAsia="de-DE"/>
        </w:rPr>
        <w:t>60</w:t>
      </w:r>
      <w:r w:rsidR="00487B8C" w:rsidRPr="00DE1967">
        <w:rPr>
          <w:snapToGrid/>
          <w:szCs w:val="22"/>
          <w:lang w:val="da-DK" w:eastAsia="de-DE"/>
        </w:rPr>
        <w:t> x 1</w:t>
      </w:r>
      <w:r w:rsidRPr="00DE1967">
        <w:rPr>
          <w:snapToGrid/>
          <w:szCs w:val="22"/>
          <w:lang w:val="da-DK" w:eastAsia="de-DE"/>
        </w:rPr>
        <w:t xml:space="preserve"> Tablette</w:t>
      </w:r>
    </w:p>
    <w:p w:rsidR="00B4575E" w:rsidRPr="00DE1967" w:rsidRDefault="00B4575E" w:rsidP="0003742E">
      <w:pPr>
        <w:widowControl w:val="0"/>
        <w:tabs>
          <w:tab w:val="clear" w:pos="567"/>
        </w:tabs>
        <w:autoSpaceDE w:val="0"/>
        <w:autoSpaceDN w:val="0"/>
        <w:adjustRightInd w:val="0"/>
        <w:spacing w:line="240" w:lineRule="auto"/>
        <w:rPr>
          <w:snapToGrid/>
          <w:szCs w:val="22"/>
          <w:lang w:val="da-DK" w:eastAsia="de-DE"/>
        </w:rPr>
      </w:pPr>
      <w:r w:rsidRPr="00DE1967">
        <w:rPr>
          <w:snapToGrid/>
          <w:szCs w:val="22"/>
          <w:lang w:val="da-DK" w:eastAsia="de-DE"/>
        </w:rPr>
        <w:t>84</w:t>
      </w:r>
      <w:r w:rsidR="00487B8C" w:rsidRPr="00DE1967">
        <w:rPr>
          <w:snapToGrid/>
          <w:szCs w:val="22"/>
          <w:lang w:val="da-DK" w:eastAsia="de-DE"/>
        </w:rPr>
        <w:t> x 1</w:t>
      </w:r>
      <w:r w:rsidRPr="00DE1967">
        <w:rPr>
          <w:snapToGrid/>
          <w:szCs w:val="22"/>
          <w:lang w:val="da-DK" w:eastAsia="de-DE"/>
        </w:rPr>
        <w:t xml:space="preserve"> Tablette</w:t>
      </w:r>
    </w:p>
    <w:p w:rsidR="00B4575E" w:rsidRPr="00DE1967" w:rsidRDefault="00B4575E" w:rsidP="0003742E">
      <w:pPr>
        <w:widowControl w:val="0"/>
        <w:tabs>
          <w:tab w:val="clear" w:pos="567"/>
        </w:tabs>
        <w:autoSpaceDE w:val="0"/>
        <w:autoSpaceDN w:val="0"/>
        <w:adjustRightInd w:val="0"/>
        <w:spacing w:line="240" w:lineRule="auto"/>
        <w:rPr>
          <w:snapToGrid/>
          <w:szCs w:val="22"/>
          <w:lang w:val="da-DK" w:eastAsia="de-DE"/>
        </w:rPr>
      </w:pPr>
      <w:r w:rsidRPr="00DE1967">
        <w:rPr>
          <w:snapToGrid/>
          <w:szCs w:val="22"/>
          <w:lang w:val="da-DK" w:eastAsia="de-DE"/>
        </w:rPr>
        <w:t>90</w:t>
      </w:r>
      <w:r w:rsidR="00487B8C" w:rsidRPr="00DE1967">
        <w:rPr>
          <w:snapToGrid/>
          <w:szCs w:val="22"/>
          <w:lang w:val="da-DK" w:eastAsia="de-DE"/>
        </w:rPr>
        <w:t> x 1</w:t>
      </w:r>
      <w:r w:rsidRPr="00DE1967">
        <w:rPr>
          <w:snapToGrid/>
          <w:szCs w:val="22"/>
          <w:lang w:val="da-DK" w:eastAsia="de-DE"/>
        </w:rPr>
        <w:t xml:space="preserve"> Tablette</w:t>
      </w:r>
    </w:p>
    <w:p w:rsidR="00544F89" w:rsidRPr="00DE1967" w:rsidRDefault="00B4575E" w:rsidP="0003742E">
      <w:pPr>
        <w:widowControl w:val="0"/>
        <w:autoSpaceDE w:val="0"/>
        <w:autoSpaceDN w:val="0"/>
        <w:adjustRightInd w:val="0"/>
        <w:spacing w:line="240" w:lineRule="auto"/>
        <w:rPr>
          <w:szCs w:val="22"/>
          <w:lang w:val="da-DK"/>
        </w:rPr>
      </w:pPr>
      <w:r w:rsidRPr="00DE1967">
        <w:rPr>
          <w:snapToGrid/>
          <w:szCs w:val="22"/>
          <w:lang w:val="da-DK" w:eastAsia="de-DE"/>
        </w:rPr>
        <w:t>98</w:t>
      </w:r>
      <w:r w:rsidR="00487B8C" w:rsidRPr="00DE1967">
        <w:rPr>
          <w:snapToGrid/>
          <w:szCs w:val="22"/>
          <w:lang w:val="da-DK" w:eastAsia="de-DE"/>
        </w:rPr>
        <w:t> x 1</w:t>
      </w:r>
      <w:r w:rsidRPr="00DE1967">
        <w:rPr>
          <w:snapToGrid/>
          <w:szCs w:val="22"/>
          <w:lang w:val="da-DK" w:eastAsia="de-DE"/>
        </w:rPr>
        <w:t xml:space="preserve"> Tablette</w:t>
      </w:r>
    </w:p>
    <w:p w:rsidR="0003742E" w:rsidRPr="00DE1967" w:rsidRDefault="0003742E" w:rsidP="0003742E">
      <w:pPr>
        <w:widowControl w:val="0"/>
        <w:autoSpaceDE w:val="0"/>
        <w:autoSpaceDN w:val="0"/>
        <w:adjustRightInd w:val="0"/>
        <w:spacing w:line="240" w:lineRule="auto"/>
        <w:rPr>
          <w:szCs w:val="22"/>
          <w:lang w:val="da-DK"/>
        </w:rPr>
      </w:pPr>
      <w:r w:rsidRPr="00DE1967">
        <w:rPr>
          <w:snapToGrid/>
          <w:szCs w:val="22"/>
          <w:lang w:val="da-DK" w:eastAsia="de-DE"/>
        </w:rPr>
        <w:t>100</w:t>
      </w:r>
      <w:r w:rsidR="00487B8C" w:rsidRPr="00DE1967">
        <w:rPr>
          <w:snapToGrid/>
          <w:szCs w:val="22"/>
          <w:lang w:val="da-DK" w:eastAsia="de-DE"/>
        </w:rPr>
        <w:t xml:space="preserve"> x 1 </w:t>
      </w:r>
      <w:r w:rsidRPr="00DE1967">
        <w:rPr>
          <w:snapToGrid/>
          <w:szCs w:val="22"/>
          <w:lang w:val="da-DK" w:eastAsia="de-DE"/>
        </w:rPr>
        <w:t>Tablette</w:t>
      </w:r>
    </w:p>
    <w:p w:rsidR="00B4575E" w:rsidRPr="00DE1967" w:rsidRDefault="00B4575E" w:rsidP="0003742E">
      <w:pPr>
        <w:widowControl w:val="0"/>
        <w:autoSpaceDE w:val="0"/>
        <w:autoSpaceDN w:val="0"/>
        <w:adjustRightInd w:val="0"/>
        <w:spacing w:line="240" w:lineRule="auto"/>
        <w:rPr>
          <w:szCs w:val="22"/>
          <w:lang w:val="da-DK"/>
        </w:rPr>
      </w:pPr>
    </w:p>
    <w:p w:rsidR="00B4575E" w:rsidRPr="00DE1967" w:rsidRDefault="00D60896" w:rsidP="0003742E">
      <w:pPr>
        <w:widowControl w:val="0"/>
        <w:autoSpaceDE w:val="0"/>
        <w:autoSpaceDN w:val="0"/>
        <w:adjustRightInd w:val="0"/>
        <w:spacing w:line="240" w:lineRule="auto"/>
        <w:rPr>
          <w:i/>
          <w:snapToGrid/>
          <w:szCs w:val="22"/>
          <w:u w:val="single"/>
          <w:lang w:val="da-DK" w:eastAsia="de-DE"/>
        </w:rPr>
      </w:pPr>
      <w:r w:rsidRPr="00DE1967">
        <w:rPr>
          <w:i/>
          <w:snapToGrid/>
          <w:szCs w:val="22"/>
          <w:u w:val="single"/>
          <w:lang w:val="da-DK" w:eastAsia="de-DE"/>
        </w:rPr>
        <w:t>Blisterpackung (OPA/Al/PE</w:t>
      </w:r>
      <w:r w:rsidR="006C70AD" w:rsidRPr="00DE1967">
        <w:rPr>
          <w:i/>
          <w:snapToGrid/>
          <w:szCs w:val="22"/>
          <w:u w:val="single"/>
          <w:lang w:val="da-DK" w:eastAsia="de-DE"/>
        </w:rPr>
        <w:t>-Folie mit Trockenmittel</w:t>
      </w:r>
      <w:r w:rsidR="00B4575E" w:rsidRPr="00DE1967">
        <w:rPr>
          <w:i/>
          <w:snapToGrid/>
          <w:szCs w:val="22"/>
          <w:u w:val="single"/>
          <w:lang w:val="da-DK" w:eastAsia="de-DE"/>
        </w:rPr>
        <w:t>/</w:t>
      </w:r>
      <w:r w:rsidR="006C70AD" w:rsidRPr="00DE1967">
        <w:rPr>
          <w:i/>
          <w:snapToGrid/>
          <w:szCs w:val="22"/>
          <w:u w:val="single"/>
          <w:lang w:val="da-DK" w:eastAsia="de-DE"/>
        </w:rPr>
        <w:t>/</w:t>
      </w:r>
      <w:r w:rsidR="00B4575E" w:rsidRPr="00DE1967">
        <w:rPr>
          <w:i/>
          <w:snapToGrid/>
          <w:szCs w:val="22"/>
          <w:u w:val="single"/>
          <w:lang w:val="da-DK" w:eastAsia="de-DE"/>
        </w:rPr>
        <w:t>Al-Folie):</w:t>
      </w:r>
    </w:p>
    <w:p w:rsidR="00B4575E" w:rsidRPr="00DE1967" w:rsidRDefault="00B4575E" w:rsidP="0003742E">
      <w:pPr>
        <w:widowControl w:val="0"/>
        <w:autoSpaceDE w:val="0"/>
        <w:autoSpaceDN w:val="0"/>
        <w:adjustRightInd w:val="0"/>
        <w:spacing w:line="240" w:lineRule="auto"/>
        <w:rPr>
          <w:szCs w:val="22"/>
          <w:lang w:val="de-DE"/>
        </w:rPr>
      </w:pPr>
      <w:r w:rsidRPr="00DE1967">
        <w:rPr>
          <w:szCs w:val="22"/>
          <w:lang w:val="de-DE"/>
        </w:rPr>
        <w:t>14</w:t>
      </w:r>
      <w:r w:rsidR="00487B8C" w:rsidRPr="00DE1967">
        <w:rPr>
          <w:snapToGrid/>
          <w:szCs w:val="22"/>
          <w:lang w:val="de-DE" w:eastAsia="de-DE"/>
        </w:rPr>
        <w:t> x 1</w:t>
      </w:r>
      <w:r w:rsidRPr="00DE1967">
        <w:rPr>
          <w:szCs w:val="22"/>
          <w:lang w:val="de-DE"/>
        </w:rPr>
        <w:t xml:space="preserve"> Tablette</w:t>
      </w:r>
    </w:p>
    <w:p w:rsidR="00B4575E" w:rsidRPr="00DE1967" w:rsidRDefault="00B4575E" w:rsidP="0003742E">
      <w:pPr>
        <w:widowControl w:val="0"/>
        <w:autoSpaceDE w:val="0"/>
        <w:autoSpaceDN w:val="0"/>
        <w:adjustRightInd w:val="0"/>
        <w:spacing w:line="240" w:lineRule="auto"/>
        <w:rPr>
          <w:snapToGrid/>
          <w:szCs w:val="22"/>
          <w:lang w:val="de-DE" w:eastAsia="de-DE"/>
        </w:rPr>
      </w:pPr>
      <w:r w:rsidRPr="00DE1967">
        <w:rPr>
          <w:snapToGrid/>
          <w:szCs w:val="22"/>
          <w:lang w:val="de-DE" w:eastAsia="de-DE"/>
        </w:rPr>
        <w:t>98</w:t>
      </w:r>
      <w:r w:rsidR="00487B8C" w:rsidRPr="00DE1967">
        <w:rPr>
          <w:snapToGrid/>
          <w:szCs w:val="22"/>
          <w:lang w:val="de-DE" w:eastAsia="de-DE"/>
        </w:rPr>
        <w:t> x 1</w:t>
      </w:r>
      <w:r w:rsidRPr="00DE1967">
        <w:rPr>
          <w:snapToGrid/>
          <w:szCs w:val="22"/>
          <w:lang w:val="de-DE" w:eastAsia="de-DE"/>
        </w:rPr>
        <w:t xml:space="preserve"> Tablette</w:t>
      </w:r>
    </w:p>
    <w:p w:rsidR="00B4575E" w:rsidRPr="00DE1967" w:rsidRDefault="00B4575E" w:rsidP="0003742E">
      <w:pPr>
        <w:widowControl w:val="0"/>
        <w:autoSpaceDE w:val="0"/>
        <w:autoSpaceDN w:val="0"/>
        <w:adjustRightInd w:val="0"/>
        <w:spacing w:line="240" w:lineRule="auto"/>
        <w:rPr>
          <w:snapToGrid/>
          <w:szCs w:val="22"/>
          <w:lang w:val="de-DE" w:eastAsia="de-DE"/>
        </w:rPr>
      </w:pPr>
    </w:p>
    <w:p w:rsidR="00B4575E" w:rsidRPr="00DE1967" w:rsidRDefault="00B4575E" w:rsidP="0003742E">
      <w:pPr>
        <w:widowControl w:val="0"/>
        <w:tabs>
          <w:tab w:val="clear" w:pos="567"/>
        </w:tabs>
        <w:autoSpaceDE w:val="0"/>
        <w:autoSpaceDN w:val="0"/>
        <w:adjustRightInd w:val="0"/>
        <w:spacing w:line="240" w:lineRule="auto"/>
        <w:rPr>
          <w:snapToGrid/>
          <w:szCs w:val="22"/>
          <w:lang w:val="de-DE" w:eastAsia="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lang w:val="de-DE"/>
        </w:rPr>
      </w:pPr>
      <w:r w:rsidRPr="00DE1967">
        <w:rPr>
          <w:b/>
          <w:noProof/>
          <w:szCs w:val="22"/>
          <w:lang w:val="de-DE"/>
        </w:rPr>
        <w:t>5.</w:t>
      </w:r>
      <w:r w:rsidRPr="00DE1967">
        <w:rPr>
          <w:b/>
          <w:noProof/>
          <w:szCs w:val="22"/>
          <w:lang w:val="de-DE"/>
        </w:rPr>
        <w:tab/>
      </w:r>
      <w:r w:rsidRPr="00DE1967">
        <w:rPr>
          <w:b/>
          <w:caps/>
          <w:noProof/>
          <w:szCs w:val="22"/>
          <w:lang w:val="de-DE"/>
        </w:rPr>
        <w:t>Hinweise zur</w:t>
      </w:r>
      <w:r w:rsidRPr="00DE1967">
        <w:rPr>
          <w:b/>
          <w:noProof/>
          <w:szCs w:val="22"/>
          <w:lang w:val="de-DE"/>
        </w:rPr>
        <w:t xml:space="preserve"> UND ART(EN) DER ANWENDUNG</w:t>
      </w:r>
    </w:p>
    <w:p w:rsidR="00B4575E" w:rsidRPr="00DE1967" w:rsidRDefault="00B4575E" w:rsidP="0003742E">
      <w:pPr>
        <w:widowControl w:val="0"/>
        <w:spacing w:line="240" w:lineRule="auto"/>
        <w:rPr>
          <w:szCs w:val="22"/>
          <w:lang w:val="de-DE"/>
        </w:rPr>
      </w:pPr>
    </w:p>
    <w:p w:rsidR="00B4575E" w:rsidRPr="00DE1967" w:rsidRDefault="00B4575E" w:rsidP="0003742E">
      <w:pPr>
        <w:widowControl w:val="0"/>
        <w:spacing w:line="240" w:lineRule="auto"/>
        <w:rPr>
          <w:noProof/>
          <w:szCs w:val="22"/>
          <w:lang w:val="de-DE"/>
        </w:rPr>
      </w:pPr>
      <w:r w:rsidRPr="00DE1967">
        <w:rPr>
          <w:noProof/>
          <w:szCs w:val="22"/>
          <w:lang w:val="de-DE"/>
        </w:rPr>
        <w:t>Packungsbeilage beachten.</w:t>
      </w:r>
    </w:p>
    <w:p w:rsidR="00B4575E" w:rsidRPr="00DE1967" w:rsidRDefault="00B4575E" w:rsidP="0003742E">
      <w:pPr>
        <w:widowControl w:val="0"/>
        <w:spacing w:line="240" w:lineRule="auto"/>
        <w:rPr>
          <w:szCs w:val="22"/>
          <w:lang w:val="de-DE"/>
        </w:rPr>
      </w:pPr>
      <w:r w:rsidRPr="00DE1967">
        <w:rPr>
          <w:noProof/>
          <w:szCs w:val="22"/>
          <w:lang w:val="de-DE"/>
        </w:rPr>
        <w:t>Zum Einnehmen</w:t>
      </w:r>
    </w:p>
    <w:p w:rsidR="00B4575E" w:rsidRPr="00DE1967" w:rsidRDefault="00B4575E" w:rsidP="0003742E">
      <w:pPr>
        <w:widowControl w:val="0"/>
        <w:autoSpaceDE w:val="0"/>
        <w:autoSpaceDN w:val="0"/>
        <w:adjustRightInd w:val="0"/>
        <w:spacing w:line="240" w:lineRule="auto"/>
        <w:rPr>
          <w:szCs w:val="22"/>
          <w:lang w:val="de-DE"/>
        </w:rPr>
      </w:pPr>
    </w:p>
    <w:p w:rsidR="00B4575E" w:rsidRPr="00DE1967" w:rsidRDefault="00B4575E" w:rsidP="0003742E">
      <w:pPr>
        <w:widowControl w:val="0"/>
        <w:autoSpaceDE w:val="0"/>
        <w:autoSpaceDN w:val="0"/>
        <w:adjustRightInd w:val="0"/>
        <w:spacing w:line="240" w:lineRule="auto"/>
        <w:rPr>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lang w:val="de-DE"/>
        </w:rPr>
      </w:pPr>
      <w:r w:rsidRPr="00DE1967">
        <w:rPr>
          <w:b/>
          <w:noProof/>
          <w:szCs w:val="22"/>
          <w:lang w:val="de-DE"/>
        </w:rPr>
        <w:t>6.</w:t>
      </w:r>
      <w:r w:rsidRPr="00DE1967">
        <w:rPr>
          <w:b/>
          <w:noProof/>
          <w:szCs w:val="22"/>
          <w:lang w:val="de-DE"/>
        </w:rPr>
        <w:tab/>
        <w:t xml:space="preserve">WARNHINWEIS, DASS DAS ARZNEIMITTEL FÜR KINDER </w:t>
      </w:r>
      <w:r w:rsidR="00171E2D" w:rsidRPr="00DE1967">
        <w:rPr>
          <w:b/>
          <w:noProof/>
          <w:szCs w:val="22"/>
          <w:lang w:val="de-DE"/>
        </w:rPr>
        <w:t>UNZUGÄNGLICH</w:t>
      </w:r>
      <w:r w:rsidRPr="00DE1967">
        <w:rPr>
          <w:b/>
          <w:noProof/>
          <w:szCs w:val="22"/>
          <w:lang w:val="de-DE"/>
        </w:rPr>
        <w:t xml:space="preserve"> AUFZUBEWAHREN IST</w:t>
      </w:r>
    </w:p>
    <w:p w:rsidR="00B4575E" w:rsidRPr="00DE1967" w:rsidRDefault="00B4575E" w:rsidP="0003742E">
      <w:pPr>
        <w:widowControl w:val="0"/>
        <w:spacing w:line="240" w:lineRule="auto"/>
        <w:rPr>
          <w:szCs w:val="22"/>
          <w:lang w:val="de-DE"/>
        </w:rPr>
      </w:pPr>
    </w:p>
    <w:p w:rsidR="00B4575E" w:rsidRPr="00DE1967" w:rsidRDefault="00B4575E" w:rsidP="0003742E">
      <w:pPr>
        <w:widowControl w:val="0"/>
        <w:spacing w:line="240" w:lineRule="auto"/>
        <w:outlineLvl w:val="0"/>
        <w:rPr>
          <w:szCs w:val="22"/>
          <w:lang w:val="de-DE"/>
        </w:rPr>
      </w:pPr>
      <w:r w:rsidRPr="00DE1967">
        <w:rPr>
          <w:noProof/>
          <w:szCs w:val="22"/>
          <w:lang w:val="de-DE"/>
        </w:rPr>
        <w:t>Arzneimittel für Kinder unzugänglich aufbewahren.</w:t>
      </w:r>
    </w:p>
    <w:p w:rsidR="00B4575E" w:rsidRPr="00DE1967" w:rsidRDefault="00B4575E" w:rsidP="0003742E">
      <w:pPr>
        <w:widowControl w:val="0"/>
        <w:spacing w:line="240" w:lineRule="auto"/>
        <w:rPr>
          <w:szCs w:val="22"/>
          <w:lang w:val="de-DE"/>
        </w:rPr>
      </w:pPr>
    </w:p>
    <w:p w:rsidR="00B4575E" w:rsidRPr="00DE1967" w:rsidRDefault="00B4575E" w:rsidP="0003742E">
      <w:pPr>
        <w:widowControl w:val="0"/>
        <w:spacing w:line="240" w:lineRule="auto"/>
        <w:rPr>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lang w:val="de-DE"/>
        </w:rPr>
      </w:pPr>
      <w:r w:rsidRPr="00DE1967">
        <w:rPr>
          <w:b/>
          <w:noProof/>
          <w:szCs w:val="22"/>
          <w:lang w:val="de-DE"/>
        </w:rPr>
        <w:t>7.</w:t>
      </w:r>
      <w:r w:rsidRPr="00DE1967">
        <w:rPr>
          <w:b/>
          <w:noProof/>
          <w:szCs w:val="22"/>
          <w:lang w:val="de-DE"/>
        </w:rPr>
        <w:tab/>
        <w:t>WEITERE WARNHINWEISE, FALLS ERFORDERLICH</w:t>
      </w:r>
    </w:p>
    <w:p w:rsidR="00B4575E" w:rsidRPr="00DE1967" w:rsidRDefault="00B4575E" w:rsidP="0003742E">
      <w:pPr>
        <w:widowControl w:val="0"/>
        <w:spacing w:line="240" w:lineRule="auto"/>
        <w:rPr>
          <w:noProof/>
          <w:szCs w:val="22"/>
          <w:lang w:val="de-DE"/>
        </w:rPr>
      </w:pPr>
    </w:p>
    <w:p w:rsidR="00B4575E" w:rsidRPr="00DE1967" w:rsidRDefault="00B4575E" w:rsidP="0003742E">
      <w:pPr>
        <w:widowControl w:val="0"/>
        <w:tabs>
          <w:tab w:val="left" w:pos="749"/>
        </w:tabs>
        <w:spacing w:line="240" w:lineRule="auto"/>
        <w:rPr>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lang w:val="de-DE"/>
        </w:rPr>
      </w:pPr>
      <w:r w:rsidRPr="00DE1967">
        <w:rPr>
          <w:b/>
          <w:noProof/>
          <w:szCs w:val="22"/>
          <w:lang w:val="de-DE"/>
        </w:rPr>
        <w:t>8.</w:t>
      </w:r>
      <w:r w:rsidRPr="00DE1967">
        <w:rPr>
          <w:b/>
          <w:noProof/>
          <w:szCs w:val="22"/>
          <w:lang w:val="de-DE"/>
        </w:rPr>
        <w:tab/>
        <w:t>VERFALLDATUM</w:t>
      </w:r>
    </w:p>
    <w:p w:rsidR="00B4575E" w:rsidRPr="00DE1967" w:rsidRDefault="00B4575E" w:rsidP="0003742E">
      <w:pPr>
        <w:widowControl w:val="0"/>
        <w:spacing w:line="240" w:lineRule="auto"/>
        <w:rPr>
          <w:snapToGrid/>
          <w:szCs w:val="22"/>
          <w:lang w:val="de-DE" w:eastAsia="de-DE"/>
        </w:rPr>
      </w:pPr>
    </w:p>
    <w:p w:rsidR="0009359E" w:rsidRPr="00DE1967" w:rsidRDefault="00171E2D" w:rsidP="0009359E">
      <w:pPr>
        <w:widowControl w:val="0"/>
        <w:spacing w:line="240" w:lineRule="auto"/>
        <w:rPr>
          <w:noProof/>
          <w:szCs w:val="22"/>
          <w:lang w:val="de-DE"/>
        </w:rPr>
      </w:pPr>
      <w:r w:rsidRPr="00DE1967">
        <w:rPr>
          <w:snapToGrid/>
          <w:szCs w:val="22"/>
          <w:lang w:val="de-DE" w:eastAsia="de-DE"/>
        </w:rPr>
        <w:t>v</w:t>
      </w:r>
      <w:r w:rsidR="0009359E" w:rsidRPr="00DE1967">
        <w:rPr>
          <w:snapToGrid/>
          <w:szCs w:val="22"/>
          <w:lang w:val="de-DE" w:eastAsia="de-DE"/>
        </w:rPr>
        <w:t>erwendbar bis</w:t>
      </w:r>
    </w:p>
    <w:p w:rsidR="00C46FF1" w:rsidRPr="00DE1967" w:rsidRDefault="00C46FF1" w:rsidP="0003742E">
      <w:pPr>
        <w:widowControl w:val="0"/>
        <w:spacing w:line="240" w:lineRule="auto"/>
        <w:rPr>
          <w:noProof/>
          <w:szCs w:val="22"/>
          <w:lang w:val="de-DE"/>
        </w:rPr>
      </w:pPr>
    </w:p>
    <w:p w:rsidR="00274A7D" w:rsidRPr="00DE1967" w:rsidRDefault="00274A7D" w:rsidP="0003742E">
      <w:pPr>
        <w:widowControl w:val="0"/>
        <w:spacing w:line="240" w:lineRule="auto"/>
        <w:rPr>
          <w:noProof/>
          <w:szCs w:val="22"/>
          <w:lang w:val="de-DE"/>
        </w:rPr>
      </w:pPr>
    </w:p>
    <w:p w:rsidR="00544F89"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b/>
          <w:szCs w:val="22"/>
          <w:lang w:val="de-DE"/>
        </w:rPr>
      </w:pPr>
      <w:r w:rsidRPr="00DE1967">
        <w:rPr>
          <w:b/>
          <w:noProof/>
          <w:szCs w:val="22"/>
          <w:lang w:val="de-DE"/>
        </w:rPr>
        <w:t>9.</w:t>
      </w:r>
      <w:r w:rsidRPr="00DE1967">
        <w:rPr>
          <w:b/>
          <w:noProof/>
          <w:szCs w:val="22"/>
          <w:lang w:val="de-DE"/>
        </w:rPr>
        <w:tab/>
        <w:t>BESONDERE VORSICHTSMASSNAHMEN FÜR DIE AUFBEWAHRUNG</w:t>
      </w:r>
    </w:p>
    <w:p w:rsidR="00B4575E" w:rsidRPr="00DE1967" w:rsidRDefault="00B4575E" w:rsidP="0003742E">
      <w:pPr>
        <w:widowControl w:val="0"/>
        <w:spacing w:line="240" w:lineRule="auto"/>
        <w:ind w:left="567" w:hanging="567"/>
        <w:rPr>
          <w:noProof/>
          <w:szCs w:val="22"/>
          <w:lang w:val="de-DE"/>
        </w:rPr>
      </w:pPr>
    </w:p>
    <w:p w:rsidR="005653E6" w:rsidRPr="00DE1967" w:rsidRDefault="005653E6" w:rsidP="005653E6">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 der Originalpackung aufbewahren, um den Inhalt vor Licht zu schützen.</w:t>
      </w:r>
    </w:p>
    <w:p w:rsidR="00B4575E" w:rsidRPr="00DE1967" w:rsidRDefault="00B4575E" w:rsidP="0003742E">
      <w:pPr>
        <w:widowControl w:val="0"/>
        <w:spacing w:line="240" w:lineRule="auto"/>
        <w:ind w:left="567" w:hanging="567"/>
        <w:rPr>
          <w:noProof/>
          <w:szCs w:val="22"/>
          <w:lang w:val="de-DE"/>
        </w:rPr>
      </w:pPr>
    </w:p>
    <w:p w:rsidR="00274A7D" w:rsidRPr="00DE1967" w:rsidRDefault="00274A7D" w:rsidP="0003742E">
      <w:pPr>
        <w:widowControl w:val="0"/>
        <w:spacing w:line="240" w:lineRule="auto"/>
        <w:ind w:left="567" w:hanging="567"/>
        <w:rPr>
          <w:noProof/>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lang w:val="de-DE"/>
        </w:rPr>
      </w:pPr>
      <w:r w:rsidRPr="00DE1967">
        <w:rPr>
          <w:b/>
          <w:noProof/>
          <w:szCs w:val="22"/>
          <w:lang w:val="de-DE"/>
        </w:rPr>
        <w:t>10.</w:t>
      </w:r>
      <w:r w:rsidRPr="00DE1967">
        <w:rPr>
          <w:b/>
          <w:noProof/>
          <w:szCs w:val="22"/>
          <w:lang w:val="de-DE"/>
        </w:rPr>
        <w:tab/>
        <w:t>GEGEBENENFALLS BESONDERE VORSICHTSMASSNAHMEN FÜR DIE BESEITIGUNG VON NICHT VERWENDETEM ARZNEIMITTEL ODER DAVON STAMMENDEN ABFALLMATERIALIEN</w:t>
      </w:r>
    </w:p>
    <w:p w:rsidR="00B4575E" w:rsidRPr="00DE1967" w:rsidRDefault="00B4575E" w:rsidP="0003742E">
      <w:pPr>
        <w:widowControl w:val="0"/>
        <w:spacing w:line="240" w:lineRule="auto"/>
        <w:rPr>
          <w:noProof/>
          <w:szCs w:val="22"/>
          <w:lang w:val="de-DE"/>
        </w:rPr>
      </w:pPr>
    </w:p>
    <w:p w:rsidR="00B4575E" w:rsidRPr="00DE1967" w:rsidRDefault="00B4575E" w:rsidP="0003742E">
      <w:pPr>
        <w:widowControl w:val="0"/>
        <w:spacing w:line="240" w:lineRule="auto"/>
        <w:rPr>
          <w:noProof/>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lang w:val="de-DE"/>
        </w:rPr>
      </w:pPr>
      <w:r w:rsidRPr="00DE1967">
        <w:rPr>
          <w:b/>
          <w:noProof/>
          <w:szCs w:val="22"/>
          <w:lang w:val="de-DE"/>
        </w:rPr>
        <w:t>11.</w:t>
      </w:r>
      <w:r w:rsidRPr="00DE1967">
        <w:rPr>
          <w:b/>
          <w:noProof/>
          <w:szCs w:val="22"/>
          <w:lang w:val="de-DE"/>
        </w:rPr>
        <w:tab/>
        <w:t>NAME UND ANSCHRIFT DES PHARMAZEUTISCHEN UNTERNEHMERS</w:t>
      </w:r>
    </w:p>
    <w:p w:rsidR="00B4575E" w:rsidRPr="00DE1967" w:rsidRDefault="00B4575E" w:rsidP="0003742E">
      <w:pPr>
        <w:widowControl w:val="0"/>
        <w:spacing w:line="240" w:lineRule="auto"/>
        <w:rPr>
          <w:szCs w:val="22"/>
          <w:lang w:val="de-DE"/>
        </w:rPr>
      </w:pPr>
    </w:p>
    <w:p w:rsidR="00B4575E" w:rsidRPr="00DE1967" w:rsidRDefault="00B4575E" w:rsidP="0003742E">
      <w:pPr>
        <w:widowControl w:val="0"/>
        <w:spacing w:line="240" w:lineRule="auto"/>
        <w:jc w:val="both"/>
        <w:rPr>
          <w:szCs w:val="22"/>
          <w:lang w:val="it-IT"/>
        </w:rPr>
      </w:pPr>
      <w:r w:rsidRPr="00DE1967">
        <w:rPr>
          <w:szCs w:val="22"/>
          <w:lang w:val="it-IT"/>
        </w:rPr>
        <w:t xml:space="preserve">KRKA, </w:t>
      </w:r>
      <w:proofErr w:type="spellStart"/>
      <w:r w:rsidRPr="00DE1967">
        <w:rPr>
          <w:szCs w:val="22"/>
          <w:lang w:val="it-IT"/>
        </w:rPr>
        <w:t>d.d</w:t>
      </w:r>
      <w:proofErr w:type="spellEnd"/>
      <w:r w:rsidRPr="00DE1967">
        <w:rPr>
          <w:szCs w:val="22"/>
          <w:lang w:val="it-IT"/>
        </w:rPr>
        <w:t xml:space="preserve">., Novo mesto, </w:t>
      </w:r>
      <w:proofErr w:type="spellStart"/>
      <w:r w:rsidRPr="00DE1967">
        <w:rPr>
          <w:szCs w:val="22"/>
          <w:lang w:val="it-IT"/>
        </w:rPr>
        <w:t>Šmarješka</w:t>
      </w:r>
      <w:proofErr w:type="spellEnd"/>
      <w:r w:rsidRPr="00DE1967">
        <w:rPr>
          <w:szCs w:val="22"/>
          <w:lang w:val="it-IT"/>
        </w:rPr>
        <w:t xml:space="preserve"> cesta 6, 8501 Novo mesto, </w:t>
      </w:r>
      <w:proofErr w:type="spellStart"/>
      <w:r w:rsidRPr="00DE1967">
        <w:rPr>
          <w:szCs w:val="22"/>
          <w:lang w:val="it-IT"/>
        </w:rPr>
        <w:t>Slowenien</w:t>
      </w:r>
      <w:proofErr w:type="spellEnd"/>
    </w:p>
    <w:p w:rsidR="00B4575E" w:rsidRPr="00DE1967" w:rsidRDefault="00B4575E" w:rsidP="0003742E">
      <w:pPr>
        <w:widowControl w:val="0"/>
        <w:spacing w:line="240" w:lineRule="auto"/>
        <w:rPr>
          <w:szCs w:val="22"/>
          <w:lang w:val="it-IT"/>
        </w:rPr>
      </w:pPr>
    </w:p>
    <w:p w:rsidR="00B4575E" w:rsidRPr="00DE1967" w:rsidRDefault="00B4575E" w:rsidP="0003742E">
      <w:pPr>
        <w:widowControl w:val="0"/>
        <w:spacing w:line="240" w:lineRule="auto"/>
        <w:rPr>
          <w:szCs w:val="22"/>
          <w:lang w:val="it-IT"/>
        </w:rPr>
      </w:pPr>
    </w:p>
    <w:p w:rsidR="00544F89"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lang w:val="de-DE"/>
        </w:rPr>
      </w:pPr>
      <w:r w:rsidRPr="00DE1967">
        <w:rPr>
          <w:b/>
          <w:noProof/>
          <w:szCs w:val="22"/>
          <w:lang w:val="de-DE"/>
        </w:rPr>
        <w:t>12.</w:t>
      </w:r>
      <w:r w:rsidRPr="00DE1967">
        <w:rPr>
          <w:b/>
          <w:noProof/>
          <w:szCs w:val="22"/>
          <w:lang w:val="de-DE"/>
        </w:rPr>
        <w:tab/>
        <w:t>ZULASSUNGSNUMMER(N)</w:t>
      </w:r>
    </w:p>
    <w:p w:rsidR="00B4575E" w:rsidRPr="00DE1967" w:rsidRDefault="00B4575E" w:rsidP="0003742E">
      <w:pPr>
        <w:widowControl w:val="0"/>
        <w:spacing w:line="240" w:lineRule="auto"/>
        <w:rPr>
          <w:szCs w:val="22"/>
          <w:lang w:val="de-DE"/>
        </w:rPr>
      </w:pPr>
    </w:p>
    <w:p w:rsidR="00DD6D65" w:rsidRPr="00DE1967" w:rsidRDefault="00DD6D65" w:rsidP="0003742E">
      <w:pPr>
        <w:widowControl w:val="0"/>
        <w:tabs>
          <w:tab w:val="clear" w:pos="567"/>
        </w:tabs>
        <w:spacing w:line="240" w:lineRule="auto"/>
        <w:rPr>
          <w:rFonts w:eastAsia="Calibri"/>
          <w:snapToGrid/>
          <w:szCs w:val="22"/>
          <w:lang w:val="de-DE"/>
        </w:rPr>
      </w:pPr>
      <w:r w:rsidRPr="00DE1967">
        <w:rPr>
          <w:rFonts w:eastAsia="Calibri"/>
          <w:snapToGrid/>
          <w:szCs w:val="22"/>
          <w:lang w:val="de-DE"/>
        </w:rPr>
        <w:t>EU/1/13/821/021</w:t>
      </w:r>
    </w:p>
    <w:p w:rsidR="00DD6D65" w:rsidRPr="00DE1967" w:rsidRDefault="00DD6D65" w:rsidP="0003742E">
      <w:pPr>
        <w:widowControl w:val="0"/>
        <w:tabs>
          <w:tab w:val="clear" w:pos="567"/>
        </w:tabs>
        <w:spacing w:line="240" w:lineRule="auto"/>
        <w:rPr>
          <w:rFonts w:eastAsia="Calibri"/>
          <w:snapToGrid/>
          <w:szCs w:val="22"/>
          <w:lang w:val="de-DE"/>
        </w:rPr>
      </w:pPr>
      <w:r w:rsidRPr="00DE1967">
        <w:rPr>
          <w:rFonts w:eastAsia="Calibri"/>
          <w:snapToGrid/>
          <w:szCs w:val="22"/>
          <w:lang w:val="de-DE"/>
        </w:rPr>
        <w:t>EU/1/13/821/022</w:t>
      </w:r>
    </w:p>
    <w:p w:rsidR="00DD6D65" w:rsidRPr="00DE1967" w:rsidRDefault="00DD6D65" w:rsidP="0003742E">
      <w:pPr>
        <w:widowControl w:val="0"/>
        <w:tabs>
          <w:tab w:val="clear" w:pos="567"/>
        </w:tabs>
        <w:spacing w:line="240" w:lineRule="auto"/>
        <w:rPr>
          <w:rFonts w:eastAsia="Calibri"/>
          <w:snapToGrid/>
          <w:szCs w:val="22"/>
          <w:lang w:val="de-DE"/>
        </w:rPr>
      </w:pPr>
      <w:r w:rsidRPr="00DE1967">
        <w:rPr>
          <w:rFonts w:eastAsia="Calibri"/>
          <w:snapToGrid/>
          <w:szCs w:val="22"/>
          <w:lang w:val="de-DE"/>
        </w:rPr>
        <w:t>EU/1/13/821/023</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EU/1/13/821/024</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EU/1/13/821/025</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EU/1/13/821/026</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EU/1/13/821/027</w:t>
      </w:r>
    </w:p>
    <w:p w:rsidR="00DD6D65" w:rsidRPr="00DE1967" w:rsidRDefault="00DD6D65" w:rsidP="0003742E">
      <w:pPr>
        <w:widowControl w:val="0"/>
        <w:tabs>
          <w:tab w:val="clear" w:pos="567"/>
        </w:tabs>
        <w:spacing w:line="240" w:lineRule="auto"/>
        <w:rPr>
          <w:rFonts w:eastAsia="Calibri"/>
          <w:snapToGrid/>
          <w:szCs w:val="22"/>
          <w:lang w:val="fr-FR"/>
        </w:rPr>
      </w:pPr>
      <w:r w:rsidRPr="00DE1967">
        <w:rPr>
          <w:rFonts w:eastAsia="Calibri"/>
          <w:snapToGrid/>
          <w:szCs w:val="22"/>
          <w:lang w:val="fr-FR"/>
        </w:rPr>
        <w:t>EU/1/13/821/028</w:t>
      </w:r>
    </w:p>
    <w:p w:rsidR="00DD6D65" w:rsidRPr="00DE1967" w:rsidRDefault="00DD6D65" w:rsidP="0003742E">
      <w:pPr>
        <w:widowControl w:val="0"/>
        <w:tabs>
          <w:tab w:val="clear" w:pos="567"/>
        </w:tabs>
        <w:spacing w:line="240" w:lineRule="auto"/>
        <w:rPr>
          <w:rFonts w:eastAsia="Calibri"/>
          <w:snapToGrid/>
          <w:szCs w:val="22"/>
          <w:lang w:val="de-DE"/>
        </w:rPr>
      </w:pPr>
      <w:r w:rsidRPr="00DE1967">
        <w:rPr>
          <w:rFonts w:eastAsia="Calibri"/>
          <w:snapToGrid/>
          <w:szCs w:val="22"/>
          <w:lang w:val="de-DE"/>
        </w:rPr>
        <w:t>EU/1/13/821/029</w:t>
      </w:r>
    </w:p>
    <w:p w:rsidR="00B4575E" w:rsidRPr="00DE1967" w:rsidRDefault="00DD6D65" w:rsidP="0003742E">
      <w:pPr>
        <w:widowControl w:val="0"/>
        <w:spacing w:line="240" w:lineRule="auto"/>
        <w:rPr>
          <w:rFonts w:eastAsia="Calibri"/>
          <w:snapToGrid/>
          <w:szCs w:val="22"/>
          <w:lang w:val="de-DE"/>
        </w:rPr>
      </w:pPr>
      <w:r w:rsidRPr="00DE1967">
        <w:rPr>
          <w:rFonts w:eastAsia="Calibri"/>
          <w:snapToGrid/>
          <w:szCs w:val="22"/>
          <w:lang w:val="de-DE"/>
        </w:rPr>
        <w:t>EU/1/13/821/030</w:t>
      </w:r>
    </w:p>
    <w:p w:rsidR="0003742E" w:rsidRPr="00DE1967" w:rsidRDefault="0003742E" w:rsidP="0003742E">
      <w:pPr>
        <w:widowControl w:val="0"/>
        <w:spacing w:line="240" w:lineRule="auto"/>
        <w:rPr>
          <w:rFonts w:eastAsia="Calibri"/>
          <w:snapToGrid/>
          <w:szCs w:val="22"/>
          <w:lang w:val="de-DE"/>
        </w:rPr>
      </w:pPr>
      <w:r w:rsidRPr="00DE1967">
        <w:rPr>
          <w:rFonts w:eastAsia="Calibri"/>
          <w:snapToGrid/>
          <w:szCs w:val="22"/>
          <w:lang w:val="de-DE"/>
        </w:rPr>
        <w:t>EU/1/13/821/033</w:t>
      </w:r>
    </w:p>
    <w:p w:rsidR="00DD6D65" w:rsidRPr="00DE1967" w:rsidRDefault="00DD6D65" w:rsidP="0003742E">
      <w:pPr>
        <w:widowControl w:val="0"/>
        <w:spacing w:line="240" w:lineRule="auto"/>
        <w:rPr>
          <w:szCs w:val="22"/>
          <w:lang w:val="de-DE"/>
        </w:rPr>
      </w:pPr>
    </w:p>
    <w:p w:rsidR="00B4575E" w:rsidRPr="00DE1967" w:rsidRDefault="00B4575E" w:rsidP="0003742E">
      <w:pPr>
        <w:widowControl w:val="0"/>
        <w:spacing w:line="240" w:lineRule="auto"/>
        <w:rPr>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lang w:val="de-DE"/>
        </w:rPr>
      </w:pPr>
      <w:r w:rsidRPr="00DE1967">
        <w:rPr>
          <w:b/>
          <w:noProof/>
          <w:szCs w:val="22"/>
          <w:lang w:val="de-DE"/>
        </w:rPr>
        <w:t>13.</w:t>
      </w:r>
      <w:r w:rsidRPr="00DE1967">
        <w:rPr>
          <w:b/>
          <w:noProof/>
          <w:szCs w:val="22"/>
          <w:lang w:val="de-DE"/>
        </w:rPr>
        <w:tab/>
      </w:r>
      <w:r w:rsidRPr="00DE1967">
        <w:rPr>
          <w:b/>
          <w:caps/>
          <w:noProof/>
          <w:szCs w:val="22"/>
          <w:lang w:val="de-DE"/>
        </w:rPr>
        <w:t>Chargenbezeichnung</w:t>
      </w:r>
    </w:p>
    <w:p w:rsidR="00B4575E" w:rsidRPr="00DE1967" w:rsidRDefault="00B4575E" w:rsidP="0003742E">
      <w:pPr>
        <w:widowControl w:val="0"/>
        <w:spacing w:line="240" w:lineRule="auto"/>
        <w:rPr>
          <w:snapToGrid/>
          <w:szCs w:val="22"/>
          <w:lang w:val="de-DE" w:eastAsia="de-DE"/>
        </w:rPr>
      </w:pPr>
    </w:p>
    <w:p w:rsidR="0009359E" w:rsidRPr="00DE1967" w:rsidRDefault="0009359E" w:rsidP="0009359E">
      <w:pPr>
        <w:widowControl w:val="0"/>
        <w:spacing w:line="240" w:lineRule="auto"/>
        <w:rPr>
          <w:i/>
          <w:noProof/>
          <w:szCs w:val="22"/>
          <w:lang w:val="de-DE"/>
        </w:rPr>
      </w:pPr>
      <w:r w:rsidRPr="00DE1967">
        <w:rPr>
          <w:snapToGrid/>
          <w:szCs w:val="22"/>
          <w:lang w:val="de-DE" w:eastAsia="de-DE"/>
        </w:rPr>
        <w:t>Ch.-B.</w:t>
      </w:r>
    </w:p>
    <w:p w:rsidR="0003742E" w:rsidRPr="00DE1967" w:rsidRDefault="0003742E" w:rsidP="0003742E">
      <w:pPr>
        <w:widowControl w:val="0"/>
        <w:spacing w:line="240" w:lineRule="auto"/>
        <w:rPr>
          <w:i/>
          <w:noProof/>
          <w:szCs w:val="22"/>
          <w:lang w:val="de-DE"/>
        </w:rPr>
      </w:pPr>
    </w:p>
    <w:p w:rsidR="00B4575E" w:rsidRPr="00DE1967" w:rsidRDefault="00B4575E" w:rsidP="0003742E">
      <w:pPr>
        <w:widowControl w:val="0"/>
        <w:spacing w:line="240" w:lineRule="auto"/>
        <w:rPr>
          <w:noProof/>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lang w:val="de-DE"/>
        </w:rPr>
      </w:pPr>
      <w:r w:rsidRPr="00DE1967">
        <w:rPr>
          <w:b/>
          <w:noProof/>
          <w:szCs w:val="22"/>
          <w:lang w:val="de-DE"/>
        </w:rPr>
        <w:t>14.</w:t>
      </w:r>
      <w:r w:rsidRPr="00DE1967">
        <w:rPr>
          <w:b/>
          <w:noProof/>
          <w:szCs w:val="22"/>
          <w:lang w:val="de-DE"/>
        </w:rPr>
        <w:tab/>
        <w:t>VERKAUFSABGRENZUNG</w:t>
      </w:r>
    </w:p>
    <w:p w:rsidR="00B4575E" w:rsidRPr="00DE1967" w:rsidRDefault="00B4575E" w:rsidP="0003742E">
      <w:pPr>
        <w:widowControl w:val="0"/>
        <w:spacing w:line="240" w:lineRule="auto"/>
        <w:rPr>
          <w:szCs w:val="22"/>
          <w:lang w:val="de-DE"/>
        </w:rPr>
      </w:pPr>
    </w:p>
    <w:p w:rsidR="00B4575E" w:rsidRPr="00DE1967" w:rsidRDefault="00B4575E" w:rsidP="0003742E">
      <w:pPr>
        <w:widowControl w:val="0"/>
        <w:spacing w:line="240" w:lineRule="auto"/>
        <w:rPr>
          <w:szCs w:val="22"/>
          <w:lang w:val="de-DE"/>
        </w:rPr>
      </w:pPr>
    </w:p>
    <w:p w:rsidR="00B4575E" w:rsidRPr="00DE1967" w:rsidRDefault="00B4575E" w:rsidP="0003742E">
      <w:pPr>
        <w:widowControl w:val="0"/>
        <w:pBdr>
          <w:top w:val="single" w:sz="4" w:space="2" w:color="auto"/>
          <w:left w:val="single" w:sz="4" w:space="4" w:color="auto"/>
          <w:bottom w:val="single" w:sz="4" w:space="1" w:color="auto"/>
          <w:right w:val="single" w:sz="4" w:space="4" w:color="auto"/>
        </w:pBdr>
        <w:spacing w:line="240" w:lineRule="auto"/>
        <w:outlineLvl w:val="0"/>
        <w:rPr>
          <w:noProof/>
          <w:szCs w:val="22"/>
          <w:lang w:val="de-DE"/>
        </w:rPr>
      </w:pPr>
      <w:r w:rsidRPr="00DE1967">
        <w:rPr>
          <w:b/>
          <w:noProof/>
          <w:szCs w:val="22"/>
          <w:lang w:val="de-DE"/>
        </w:rPr>
        <w:t>15.</w:t>
      </w:r>
      <w:r w:rsidRPr="00DE1967">
        <w:rPr>
          <w:b/>
          <w:noProof/>
          <w:szCs w:val="22"/>
          <w:lang w:val="de-DE"/>
        </w:rPr>
        <w:tab/>
        <w:t>HINWEISE FÜR DEN GEBRAUCH</w:t>
      </w:r>
    </w:p>
    <w:p w:rsidR="00B4575E" w:rsidRPr="00DE1967" w:rsidRDefault="00B4575E" w:rsidP="0003742E">
      <w:pPr>
        <w:widowControl w:val="0"/>
        <w:spacing w:line="240" w:lineRule="auto"/>
        <w:rPr>
          <w:noProof/>
          <w:szCs w:val="22"/>
          <w:lang w:val="de-DE"/>
        </w:rPr>
      </w:pPr>
    </w:p>
    <w:p w:rsidR="00B4575E" w:rsidRPr="00DE1967" w:rsidRDefault="00B4575E" w:rsidP="0003742E">
      <w:pPr>
        <w:widowControl w:val="0"/>
        <w:spacing w:line="240" w:lineRule="auto"/>
        <w:rPr>
          <w:noProof/>
          <w:szCs w:val="22"/>
          <w:lang w:val="de-DE"/>
        </w:rPr>
      </w:pPr>
    </w:p>
    <w:p w:rsidR="00B4575E" w:rsidRPr="00DE1967" w:rsidRDefault="00B4575E" w:rsidP="0003742E">
      <w:pPr>
        <w:widowControl w:val="0"/>
        <w:pBdr>
          <w:top w:val="single" w:sz="4" w:space="1" w:color="auto"/>
          <w:left w:val="single" w:sz="4" w:space="4" w:color="auto"/>
          <w:bottom w:val="single" w:sz="4" w:space="0" w:color="auto"/>
          <w:right w:val="single" w:sz="4" w:space="4" w:color="auto"/>
        </w:pBdr>
        <w:spacing w:line="240" w:lineRule="auto"/>
        <w:rPr>
          <w:noProof/>
          <w:szCs w:val="22"/>
          <w:lang w:val="de-DE"/>
        </w:rPr>
      </w:pPr>
      <w:r w:rsidRPr="00DE1967">
        <w:rPr>
          <w:b/>
          <w:noProof/>
          <w:szCs w:val="22"/>
          <w:lang w:val="de-DE"/>
        </w:rPr>
        <w:t>16.</w:t>
      </w:r>
      <w:r w:rsidRPr="00DE1967">
        <w:rPr>
          <w:b/>
          <w:noProof/>
          <w:szCs w:val="22"/>
          <w:lang w:val="de-DE"/>
        </w:rPr>
        <w:tab/>
        <w:t>ANGABEN IN BLINDENSCHRIFT</w:t>
      </w:r>
    </w:p>
    <w:p w:rsidR="00B4575E" w:rsidRPr="00DE1967" w:rsidRDefault="00B4575E" w:rsidP="0003742E">
      <w:pPr>
        <w:widowControl w:val="0"/>
        <w:spacing w:line="240" w:lineRule="auto"/>
        <w:rPr>
          <w:szCs w:val="22"/>
          <w:lang w:val="de-DE"/>
        </w:rPr>
      </w:pPr>
    </w:p>
    <w:p w:rsidR="00B4575E" w:rsidRPr="00DE1967" w:rsidRDefault="00B4575E" w:rsidP="0003742E">
      <w:pPr>
        <w:widowControl w:val="0"/>
        <w:spacing w:line="240" w:lineRule="auto"/>
        <w:rPr>
          <w:snapToGrid/>
          <w:szCs w:val="22"/>
          <w:lang w:val="de-DE" w:eastAsia="de-DE"/>
        </w:rPr>
      </w:pPr>
      <w:proofErr w:type="spellStart"/>
      <w:r w:rsidRPr="00DE1967">
        <w:rPr>
          <w:snapToGrid/>
          <w:szCs w:val="22"/>
          <w:lang w:val="de-DE" w:eastAsia="de-DE"/>
        </w:rPr>
        <w:t>Tolucombi</w:t>
      </w:r>
      <w:proofErr w:type="spellEnd"/>
      <w:r w:rsidRPr="00DE1967">
        <w:rPr>
          <w:snapToGrid/>
          <w:szCs w:val="22"/>
          <w:lang w:val="de-DE" w:eastAsia="de-DE"/>
        </w:rPr>
        <w:t xml:space="preserve"> 80</w:t>
      </w:r>
      <w:r w:rsidR="00023E2B" w:rsidRPr="00DE1967">
        <w:rPr>
          <w:snapToGrid/>
          <w:szCs w:val="22"/>
          <w:lang w:val="de-DE" w:eastAsia="de-DE"/>
        </w:rPr>
        <w:t> mg</w:t>
      </w:r>
      <w:r w:rsidRPr="00DE1967">
        <w:rPr>
          <w:snapToGrid/>
          <w:szCs w:val="22"/>
          <w:lang w:val="de-DE" w:eastAsia="de-DE"/>
        </w:rPr>
        <w:t>/25</w:t>
      </w:r>
      <w:r w:rsidR="00023E2B" w:rsidRPr="00DE1967">
        <w:rPr>
          <w:snapToGrid/>
          <w:szCs w:val="22"/>
          <w:lang w:val="de-DE" w:eastAsia="de-DE"/>
        </w:rPr>
        <w:t> mg</w:t>
      </w:r>
    </w:p>
    <w:p w:rsidR="003F3B5D" w:rsidRPr="00DE1967" w:rsidRDefault="003F3B5D" w:rsidP="0003742E">
      <w:pPr>
        <w:widowControl w:val="0"/>
        <w:spacing w:line="240" w:lineRule="auto"/>
        <w:rPr>
          <w:snapToGrid/>
          <w:szCs w:val="22"/>
          <w:lang w:val="de-DE" w:eastAsia="de-DE"/>
        </w:rPr>
      </w:pPr>
    </w:p>
    <w:p w:rsidR="0081134B" w:rsidRPr="00DE1967" w:rsidRDefault="0081134B" w:rsidP="0003742E">
      <w:pPr>
        <w:widowControl w:val="0"/>
        <w:spacing w:line="240" w:lineRule="auto"/>
        <w:rPr>
          <w:snapToGrid/>
          <w:szCs w:val="22"/>
          <w:lang w:val="de-DE" w:eastAsia="de-DE"/>
        </w:rPr>
      </w:pPr>
    </w:p>
    <w:p w:rsidR="003F3B5D" w:rsidRPr="00DE1967" w:rsidRDefault="003F3B5D" w:rsidP="003F3B5D">
      <w:pPr>
        <w:widowControl w:val="0"/>
        <w:pBdr>
          <w:top w:val="single" w:sz="4" w:space="1" w:color="auto"/>
          <w:left w:val="single" w:sz="4" w:space="4" w:color="auto"/>
          <w:bottom w:val="single" w:sz="4" w:space="1" w:color="auto"/>
          <w:right w:val="single" w:sz="4" w:space="4" w:color="auto"/>
        </w:pBdr>
        <w:spacing w:line="240" w:lineRule="auto"/>
        <w:rPr>
          <w:szCs w:val="22"/>
          <w:lang w:val="de-DE"/>
        </w:rPr>
      </w:pPr>
      <w:r w:rsidRPr="00DE1967">
        <w:rPr>
          <w:b/>
          <w:caps/>
          <w:szCs w:val="22"/>
          <w:lang w:val="de-DE"/>
        </w:rPr>
        <w:t>17.</w:t>
      </w:r>
      <w:r w:rsidRPr="00DE1967">
        <w:rPr>
          <w:b/>
          <w:caps/>
          <w:szCs w:val="22"/>
          <w:lang w:val="de-DE"/>
        </w:rPr>
        <w:tab/>
      </w:r>
      <w:r w:rsidRPr="00DE1967">
        <w:rPr>
          <w:b/>
          <w:noProof/>
          <w:szCs w:val="22"/>
          <w:lang w:val="de-DE"/>
        </w:rPr>
        <w:t>INDIVIDUELLES ERKENNUNGSMERKMAL – 2D-BARCODE</w:t>
      </w:r>
    </w:p>
    <w:p w:rsidR="003F3B5D" w:rsidRPr="00DE1967" w:rsidRDefault="003F3B5D" w:rsidP="003F3B5D">
      <w:pPr>
        <w:widowControl w:val="0"/>
        <w:spacing w:line="240" w:lineRule="auto"/>
        <w:rPr>
          <w:szCs w:val="22"/>
          <w:lang w:val="de-DE"/>
        </w:rPr>
      </w:pPr>
    </w:p>
    <w:p w:rsidR="003F3B5D" w:rsidRPr="00DE1967" w:rsidRDefault="003F3B5D" w:rsidP="003F3B5D">
      <w:pPr>
        <w:widowControl w:val="0"/>
        <w:spacing w:line="240" w:lineRule="auto"/>
        <w:rPr>
          <w:szCs w:val="22"/>
          <w:lang w:val="de-DE"/>
        </w:rPr>
      </w:pPr>
      <w:r w:rsidRPr="00DE1967">
        <w:rPr>
          <w:szCs w:val="22"/>
          <w:lang w:val="de-DE"/>
        </w:rPr>
        <w:t>2D-Barcode mit individuellem Erkennungsmerkmal.</w:t>
      </w:r>
    </w:p>
    <w:p w:rsidR="003F3B5D" w:rsidRPr="00DE1967" w:rsidRDefault="003F3B5D" w:rsidP="003F3B5D">
      <w:pPr>
        <w:widowControl w:val="0"/>
        <w:spacing w:line="240" w:lineRule="auto"/>
        <w:rPr>
          <w:szCs w:val="22"/>
          <w:lang w:val="de-DE"/>
        </w:rPr>
      </w:pPr>
    </w:p>
    <w:p w:rsidR="003F3B5D" w:rsidRPr="00DE1967" w:rsidRDefault="003F3B5D" w:rsidP="003F3B5D">
      <w:pPr>
        <w:widowControl w:val="0"/>
        <w:spacing w:line="240" w:lineRule="auto"/>
        <w:rPr>
          <w:szCs w:val="22"/>
          <w:lang w:val="de-DE"/>
        </w:rPr>
      </w:pPr>
    </w:p>
    <w:p w:rsidR="003F3B5D" w:rsidRPr="00DE1967" w:rsidRDefault="003F3B5D" w:rsidP="003F3B5D">
      <w:pPr>
        <w:widowControl w:val="0"/>
        <w:pBdr>
          <w:top w:val="single" w:sz="4" w:space="1" w:color="auto"/>
          <w:left w:val="single" w:sz="4" w:space="4" w:color="auto"/>
          <w:bottom w:val="single" w:sz="4" w:space="1" w:color="auto"/>
          <w:right w:val="single" w:sz="4" w:space="4" w:color="auto"/>
        </w:pBdr>
        <w:spacing w:line="240" w:lineRule="auto"/>
        <w:ind w:left="567" w:hanging="567"/>
        <w:rPr>
          <w:szCs w:val="22"/>
          <w:lang w:val="de-DE"/>
        </w:rPr>
      </w:pPr>
      <w:r w:rsidRPr="00DE1967">
        <w:rPr>
          <w:b/>
          <w:caps/>
          <w:szCs w:val="22"/>
          <w:lang w:val="de-DE"/>
        </w:rPr>
        <w:t>18.</w:t>
      </w:r>
      <w:r w:rsidRPr="00DE1967">
        <w:rPr>
          <w:b/>
          <w:caps/>
          <w:szCs w:val="22"/>
          <w:lang w:val="de-DE"/>
        </w:rPr>
        <w:tab/>
      </w:r>
      <w:r w:rsidRPr="00DE1967">
        <w:rPr>
          <w:b/>
          <w:noProof/>
          <w:szCs w:val="22"/>
          <w:lang w:val="de-DE"/>
        </w:rPr>
        <w:t>INDIVIDUELLES ERKENNUNGSMERKMAL – VOM MENSCHEN LESBARES FORMAT</w:t>
      </w:r>
    </w:p>
    <w:p w:rsidR="003F3B5D" w:rsidRPr="00DE1967" w:rsidRDefault="003F3B5D" w:rsidP="003F3B5D">
      <w:pPr>
        <w:widowControl w:val="0"/>
        <w:spacing w:line="240" w:lineRule="auto"/>
        <w:rPr>
          <w:szCs w:val="22"/>
          <w:lang w:val="de-DE"/>
        </w:rPr>
      </w:pPr>
    </w:p>
    <w:p w:rsidR="003F3B5D" w:rsidRPr="00DE1967" w:rsidRDefault="003F3B5D" w:rsidP="003F3B5D">
      <w:pPr>
        <w:widowControl w:val="0"/>
        <w:spacing w:line="240" w:lineRule="auto"/>
        <w:rPr>
          <w:szCs w:val="22"/>
          <w:lang w:val="de-DE"/>
        </w:rPr>
      </w:pPr>
      <w:r w:rsidRPr="00DE1967">
        <w:rPr>
          <w:szCs w:val="22"/>
          <w:lang w:val="de-DE"/>
        </w:rPr>
        <w:t>PC</w:t>
      </w:r>
    </w:p>
    <w:p w:rsidR="003F3B5D" w:rsidRPr="00DE1967" w:rsidRDefault="003F3B5D" w:rsidP="003F3B5D">
      <w:pPr>
        <w:widowControl w:val="0"/>
        <w:spacing w:line="240" w:lineRule="auto"/>
        <w:rPr>
          <w:szCs w:val="22"/>
          <w:lang w:val="de-DE"/>
        </w:rPr>
      </w:pPr>
      <w:r w:rsidRPr="00DE1967">
        <w:rPr>
          <w:szCs w:val="22"/>
          <w:lang w:val="de-DE"/>
        </w:rPr>
        <w:t>SN</w:t>
      </w:r>
    </w:p>
    <w:p w:rsidR="003F3B5D" w:rsidRPr="00DE1967" w:rsidRDefault="003F3B5D" w:rsidP="003F3B5D">
      <w:pPr>
        <w:widowControl w:val="0"/>
        <w:spacing w:line="240" w:lineRule="auto"/>
        <w:rPr>
          <w:szCs w:val="22"/>
          <w:lang w:val="de-DE"/>
        </w:rPr>
      </w:pPr>
      <w:r w:rsidRPr="00DE1967">
        <w:rPr>
          <w:szCs w:val="22"/>
          <w:lang w:val="de-DE"/>
        </w:rPr>
        <w:t>NN</w:t>
      </w:r>
    </w:p>
    <w:p w:rsidR="003F3B5D" w:rsidRPr="00DE1967" w:rsidRDefault="003F3B5D" w:rsidP="0003742E">
      <w:pPr>
        <w:widowControl w:val="0"/>
        <w:spacing w:line="240" w:lineRule="auto"/>
        <w:rPr>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lang w:val="de-DE"/>
        </w:rPr>
      </w:pPr>
      <w:r w:rsidRPr="00DE1967">
        <w:rPr>
          <w:b/>
          <w:noProof/>
          <w:szCs w:val="22"/>
          <w:u w:val="single"/>
          <w:lang w:val="de-DE"/>
        </w:rPr>
        <w:br w:type="page"/>
      </w:r>
      <w:r w:rsidRPr="00DE1967">
        <w:rPr>
          <w:b/>
          <w:noProof/>
          <w:szCs w:val="22"/>
          <w:lang w:val="de-DE"/>
        </w:rPr>
        <w:t>MINDESTANGABEN AUF BLISTERPACKUNGEN ODER FOLIENSTREIFEN</w:t>
      </w: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rPr>
          <w:b/>
          <w:noProof/>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ind w:left="567" w:hanging="567"/>
        <w:rPr>
          <w:caps/>
          <w:noProof/>
          <w:szCs w:val="22"/>
          <w:lang w:val="de-DE"/>
        </w:rPr>
      </w:pPr>
      <w:r w:rsidRPr="00DE1967">
        <w:rPr>
          <w:b/>
          <w:caps/>
          <w:noProof/>
          <w:szCs w:val="22"/>
          <w:lang w:val="de-DE"/>
        </w:rPr>
        <w:t>Blisterpackung</w:t>
      </w:r>
    </w:p>
    <w:p w:rsidR="00B4575E" w:rsidRPr="00DE1967" w:rsidRDefault="00B4575E" w:rsidP="0003742E">
      <w:pPr>
        <w:widowControl w:val="0"/>
        <w:spacing w:line="240" w:lineRule="auto"/>
        <w:rPr>
          <w:noProof/>
          <w:szCs w:val="22"/>
          <w:lang w:val="de-DE"/>
        </w:rPr>
      </w:pPr>
    </w:p>
    <w:p w:rsidR="0003742E" w:rsidRPr="00DE1967" w:rsidRDefault="0003742E" w:rsidP="0003742E">
      <w:pPr>
        <w:widowControl w:val="0"/>
        <w:spacing w:line="240" w:lineRule="auto"/>
        <w:rPr>
          <w:noProof/>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lang w:val="de-DE"/>
        </w:rPr>
      </w:pPr>
      <w:r w:rsidRPr="00DE1967">
        <w:rPr>
          <w:b/>
          <w:noProof/>
          <w:szCs w:val="22"/>
          <w:lang w:val="de-DE"/>
        </w:rPr>
        <w:t>1.</w:t>
      </w:r>
      <w:r w:rsidRPr="00DE1967">
        <w:rPr>
          <w:b/>
          <w:noProof/>
          <w:szCs w:val="22"/>
          <w:lang w:val="de-DE"/>
        </w:rPr>
        <w:tab/>
        <w:t>BEZEICHNUNG DES ARZNEIMITTELS</w:t>
      </w:r>
    </w:p>
    <w:p w:rsidR="00B4575E" w:rsidRPr="00DE1967" w:rsidRDefault="00B4575E" w:rsidP="0003742E">
      <w:pPr>
        <w:widowControl w:val="0"/>
        <w:spacing w:line="240" w:lineRule="auto"/>
        <w:rPr>
          <w:i/>
          <w:szCs w:val="22"/>
          <w:lang w:val="de-DE"/>
        </w:rPr>
      </w:pPr>
    </w:p>
    <w:p w:rsidR="00B4575E" w:rsidRPr="00DE1967" w:rsidRDefault="00B4575E" w:rsidP="0003742E">
      <w:pPr>
        <w:widowControl w:val="0"/>
        <w:tabs>
          <w:tab w:val="clear" w:pos="567"/>
        </w:tabs>
        <w:autoSpaceDE w:val="0"/>
        <w:autoSpaceDN w:val="0"/>
        <w:adjustRightInd w:val="0"/>
        <w:spacing w:line="240" w:lineRule="auto"/>
        <w:rPr>
          <w:snapToGrid/>
          <w:szCs w:val="22"/>
          <w:lang w:val="de-DE" w:eastAsia="de-DE"/>
        </w:rPr>
      </w:pPr>
      <w:proofErr w:type="spellStart"/>
      <w:r w:rsidRPr="00DE1967">
        <w:rPr>
          <w:snapToGrid/>
          <w:szCs w:val="22"/>
          <w:lang w:val="de-DE" w:eastAsia="de-DE"/>
        </w:rPr>
        <w:t>Tolucombi</w:t>
      </w:r>
      <w:proofErr w:type="spellEnd"/>
      <w:r w:rsidRPr="00DE1967">
        <w:rPr>
          <w:snapToGrid/>
          <w:szCs w:val="22"/>
          <w:lang w:val="de-DE" w:eastAsia="de-DE"/>
        </w:rPr>
        <w:t xml:space="preserve"> 80</w:t>
      </w:r>
      <w:r w:rsidR="00023E2B" w:rsidRPr="00DE1967">
        <w:rPr>
          <w:snapToGrid/>
          <w:szCs w:val="22"/>
          <w:lang w:val="de-DE" w:eastAsia="de-DE"/>
        </w:rPr>
        <w:t> mg</w:t>
      </w:r>
      <w:r w:rsidRPr="00DE1967">
        <w:rPr>
          <w:snapToGrid/>
          <w:szCs w:val="22"/>
          <w:lang w:val="de-DE" w:eastAsia="de-DE"/>
        </w:rPr>
        <w:t>/25</w:t>
      </w:r>
      <w:r w:rsidR="00023E2B" w:rsidRPr="00DE1967">
        <w:rPr>
          <w:snapToGrid/>
          <w:szCs w:val="22"/>
          <w:lang w:val="de-DE" w:eastAsia="de-DE"/>
        </w:rPr>
        <w:t> mg</w:t>
      </w:r>
      <w:r w:rsidRPr="00DE1967">
        <w:rPr>
          <w:snapToGrid/>
          <w:szCs w:val="22"/>
          <w:lang w:val="de-DE" w:eastAsia="de-DE"/>
        </w:rPr>
        <w:t xml:space="preserve"> Tabletten</w:t>
      </w:r>
    </w:p>
    <w:p w:rsidR="00B4575E" w:rsidRPr="00DE1967" w:rsidRDefault="00B4575E" w:rsidP="0003742E">
      <w:pPr>
        <w:widowControl w:val="0"/>
        <w:spacing w:line="240" w:lineRule="auto"/>
        <w:rPr>
          <w:szCs w:val="22"/>
          <w:lang w:val="de-DE"/>
        </w:rPr>
      </w:pPr>
      <w:r w:rsidRPr="00DE1967">
        <w:rPr>
          <w:snapToGrid/>
          <w:szCs w:val="22"/>
          <w:lang w:val="de-DE" w:eastAsia="de-DE"/>
        </w:rPr>
        <w:t>Telmisartan/Hydrochlorothiazid</w:t>
      </w:r>
    </w:p>
    <w:p w:rsidR="00B4575E" w:rsidRPr="00DE1967" w:rsidRDefault="00B4575E" w:rsidP="0003742E">
      <w:pPr>
        <w:widowControl w:val="0"/>
        <w:spacing w:line="240" w:lineRule="auto"/>
        <w:rPr>
          <w:szCs w:val="22"/>
          <w:lang w:val="de-DE"/>
        </w:rPr>
      </w:pPr>
    </w:p>
    <w:p w:rsidR="0003742E" w:rsidRPr="00DE1967" w:rsidRDefault="0003742E" w:rsidP="0003742E">
      <w:pPr>
        <w:widowControl w:val="0"/>
        <w:spacing w:line="240" w:lineRule="auto"/>
        <w:rPr>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lang w:val="de-DE"/>
        </w:rPr>
      </w:pPr>
      <w:r w:rsidRPr="00DE1967">
        <w:rPr>
          <w:b/>
          <w:noProof/>
          <w:szCs w:val="22"/>
          <w:lang w:val="de-DE"/>
        </w:rPr>
        <w:t>2.</w:t>
      </w:r>
      <w:r w:rsidRPr="00DE1967">
        <w:rPr>
          <w:b/>
          <w:noProof/>
          <w:szCs w:val="22"/>
          <w:lang w:val="de-DE"/>
        </w:rPr>
        <w:tab/>
        <w:t>NAME DES PHARMAZEUTISCHEN UNTERNEHMERS</w:t>
      </w:r>
    </w:p>
    <w:p w:rsidR="00B4575E" w:rsidRPr="00DE1967" w:rsidRDefault="00B4575E" w:rsidP="0003742E">
      <w:pPr>
        <w:widowControl w:val="0"/>
        <w:spacing w:line="240" w:lineRule="auto"/>
        <w:rPr>
          <w:szCs w:val="22"/>
          <w:lang w:val="de-DE"/>
        </w:rPr>
      </w:pPr>
    </w:p>
    <w:p w:rsidR="00B4575E" w:rsidRPr="00DE1967" w:rsidRDefault="00B4575E" w:rsidP="0003742E">
      <w:pPr>
        <w:widowControl w:val="0"/>
        <w:spacing w:line="240" w:lineRule="auto"/>
        <w:rPr>
          <w:szCs w:val="22"/>
          <w:lang w:val="de-DE"/>
        </w:rPr>
      </w:pPr>
      <w:r w:rsidRPr="00DE1967">
        <w:rPr>
          <w:noProof/>
          <w:szCs w:val="22"/>
          <w:lang w:val="de-DE"/>
        </w:rPr>
        <w:t>KRKA</w:t>
      </w:r>
    </w:p>
    <w:p w:rsidR="00544F89" w:rsidRPr="00DE1967" w:rsidRDefault="00544F89" w:rsidP="0003742E">
      <w:pPr>
        <w:widowControl w:val="0"/>
        <w:spacing w:line="240" w:lineRule="auto"/>
        <w:rPr>
          <w:noProof/>
          <w:szCs w:val="22"/>
          <w:lang w:val="de-DE"/>
        </w:rPr>
      </w:pPr>
    </w:p>
    <w:p w:rsidR="00B4575E" w:rsidRPr="00DE1967" w:rsidRDefault="00B4575E" w:rsidP="0003742E">
      <w:pPr>
        <w:widowControl w:val="0"/>
        <w:spacing w:line="240" w:lineRule="auto"/>
        <w:rPr>
          <w:noProof/>
          <w:szCs w:val="22"/>
          <w:lang w:val="de-DE"/>
        </w:rPr>
      </w:pPr>
    </w:p>
    <w:p w:rsidR="00B4575E" w:rsidRPr="00DE1967" w:rsidRDefault="00B4575E" w:rsidP="0003742E">
      <w:pPr>
        <w:widowControl w:val="0"/>
        <w:pBdr>
          <w:top w:val="single" w:sz="4" w:space="1" w:color="auto"/>
          <w:left w:val="single" w:sz="4" w:space="4" w:color="auto"/>
          <w:bottom w:val="single" w:sz="4" w:space="2" w:color="auto"/>
          <w:right w:val="single" w:sz="4" w:space="4" w:color="auto"/>
        </w:pBdr>
        <w:spacing w:line="240" w:lineRule="auto"/>
        <w:outlineLvl w:val="0"/>
        <w:rPr>
          <w:b/>
          <w:noProof/>
          <w:szCs w:val="22"/>
          <w:lang w:val="de-DE"/>
        </w:rPr>
      </w:pPr>
      <w:r w:rsidRPr="00DE1967">
        <w:rPr>
          <w:b/>
          <w:noProof/>
          <w:szCs w:val="22"/>
          <w:lang w:val="de-DE"/>
        </w:rPr>
        <w:t>3.</w:t>
      </w:r>
      <w:r w:rsidRPr="00DE1967">
        <w:rPr>
          <w:b/>
          <w:noProof/>
          <w:szCs w:val="22"/>
          <w:lang w:val="de-DE"/>
        </w:rPr>
        <w:tab/>
        <w:t>VERFALLDATUM</w:t>
      </w:r>
    </w:p>
    <w:p w:rsidR="00B4575E" w:rsidRPr="00DE1967" w:rsidRDefault="00B4575E" w:rsidP="0003742E">
      <w:pPr>
        <w:widowControl w:val="0"/>
        <w:spacing w:line="240" w:lineRule="auto"/>
        <w:rPr>
          <w:noProof/>
          <w:szCs w:val="22"/>
          <w:lang w:val="de-DE"/>
        </w:rPr>
      </w:pPr>
    </w:p>
    <w:p w:rsidR="00C36288" w:rsidRPr="00DE1967" w:rsidRDefault="00C36288" w:rsidP="0003742E">
      <w:pPr>
        <w:widowControl w:val="0"/>
        <w:spacing w:line="240" w:lineRule="auto"/>
        <w:rPr>
          <w:snapToGrid/>
          <w:szCs w:val="22"/>
          <w:lang w:val="de-DE" w:eastAsia="de-DE"/>
        </w:rPr>
      </w:pPr>
      <w:r w:rsidRPr="00DE1967">
        <w:rPr>
          <w:snapToGrid/>
          <w:szCs w:val="22"/>
          <w:lang w:val="de-DE" w:eastAsia="de-DE"/>
        </w:rPr>
        <w:t>EXP</w:t>
      </w:r>
    </w:p>
    <w:p w:rsidR="00B4575E" w:rsidRPr="00DE1967" w:rsidRDefault="00B4575E" w:rsidP="0003742E">
      <w:pPr>
        <w:widowControl w:val="0"/>
        <w:spacing w:line="240" w:lineRule="auto"/>
        <w:rPr>
          <w:snapToGrid/>
          <w:szCs w:val="22"/>
          <w:lang w:val="de-DE" w:eastAsia="de-DE"/>
        </w:rPr>
      </w:pPr>
    </w:p>
    <w:p w:rsidR="00B4575E" w:rsidRPr="00DE1967" w:rsidRDefault="00B4575E" w:rsidP="0003742E">
      <w:pPr>
        <w:widowControl w:val="0"/>
        <w:spacing w:line="240" w:lineRule="auto"/>
        <w:rPr>
          <w:noProof/>
          <w:szCs w:val="22"/>
          <w:lang w:val="de-DE"/>
        </w:rPr>
      </w:pPr>
    </w:p>
    <w:p w:rsidR="00544F89"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outlineLvl w:val="0"/>
        <w:rPr>
          <w:b/>
          <w:szCs w:val="22"/>
          <w:lang w:val="de-DE"/>
        </w:rPr>
      </w:pPr>
      <w:r w:rsidRPr="00DE1967">
        <w:rPr>
          <w:b/>
          <w:noProof/>
          <w:szCs w:val="22"/>
          <w:lang w:val="de-DE"/>
        </w:rPr>
        <w:t>4.</w:t>
      </w:r>
      <w:r w:rsidRPr="00DE1967">
        <w:rPr>
          <w:b/>
          <w:noProof/>
          <w:szCs w:val="22"/>
          <w:lang w:val="de-DE"/>
        </w:rPr>
        <w:tab/>
      </w:r>
      <w:r w:rsidRPr="00DE1967">
        <w:rPr>
          <w:b/>
          <w:caps/>
          <w:noProof/>
          <w:szCs w:val="22"/>
          <w:lang w:val="de-DE"/>
        </w:rPr>
        <w:t>Chargenbezeichnung</w:t>
      </w:r>
    </w:p>
    <w:p w:rsidR="00B4575E" w:rsidRPr="00DE1967" w:rsidRDefault="00B4575E" w:rsidP="0003742E">
      <w:pPr>
        <w:widowControl w:val="0"/>
        <w:spacing w:line="240" w:lineRule="auto"/>
        <w:rPr>
          <w:noProof/>
          <w:szCs w:val="22"/>
          <w:lang w:val="de-DE"/>
        </w:rPr>
      </w:pPr>
    </w:p>
    <w:p w:rsidR="00C36288" w:rsidRPr="00DE1967" w:rsidRDefault="00C36288" w:rsidP="0003742E">
      <w:pPr>
        <w:widowControl w:val="0"/>
        <w:spacing w:line="240" w:lineRule="auto"/>
        <w:rPr>
          <w:snapToGrid/>
          <w:szCs w:val="22"/>
          <w:lang w:val="de-DE" w:eastAsia="de-DE"/>
        </w:rPr>
      </w:pPr>
      <w:r w:rsidRPr="00DE1967">
        <w:rPr>
          <w:snapToGrid/>
          <w:szCs w:val="22"/>
          <w:lang w:val="de-DE" w:eastAsia="de-DE"/>
        </w:rPr>
        <w:t>Lot</w:t>
      </w:r>
    </w:p>
    <w:p w:rsidR="00B4575E" w:rsidRPr="00DE1967" w:rsidRDefault="00B4575E" w:rsidP="0003742E">
      <w:pPr>
        <w:widowControl w:val="0"/>
        <w:spacing w:line="240" w:lineRule="auto"/>
        <w:rPr>
          <w:snapToGrid/>
          <w:szCs w:val="22"/>
          <w:lang w:val="de-DE" w:eastAsia="de-DE"/>
        </w:rPr>
      </w:pPr>
    </w:p>
    <w:p w:rsidR="00B4575E" w:rsidRPr="00DE1967" w:rsidRDefault="00B4575E" w:rsidP="0003742E">
      <w:pPr>
        <w:widowControl w:val="0"/>
        <w:spacing w:line="240" w:lineRule="auto"/>
        <w:rPr>
          <w:noProof/>
          <w:szCs w:val="22"/>
          <w:lang w:val="de-DE"/>
        </w:rPr>
      </w:pPr>
    </w:p>
    <w:p w:rsidR="00B4575E" w:rsidRPr="00DE1967" w:rsidRDefault="00B4575E" w:rsidP="0003742E">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lang w:val="de-DE"/>
        </w:rPr>
      </w:pPr>
      <w:r w:rsidRPr="00DE1967">
        <w:rPr>
          <w:b/>
          <w:noProof/>
          <w:szCs w:val="22"/>
          <w:lang w:val="de-DE"/>
        </w:rPr>
        <w:t>5.</w:t>
      </w:r>
      <w:r w:rsidRPr="00DE1967">
        <w:rPr>
          <w:b/>
          <w:noProof/>
          <w:szCs w:val="22"/>
          <w:lang w:val="de-DE"/>
        </w:rPr>
        <w:tab/>
        <w:t>WEITERE ANGABEN</w:t>
      </w:r>
    </w:p>
    <w:p w:rsidR="00B4575E" w:rsidRPr="00DE1967" w:rsidRDefault="00B4575E" w:rsidP="0003742E">
      <w:pPr>
        <w:widowControl w:val="0"/>
        <w:spacing w:line="240" w:lineRule="auto"/>
        <w:rPr>
          <w:szCs w:val="22"/>
          <w:lang w:val="de-DE"/>
        </w:rPr>
      </w:pPr>
    </w:p>
    <w:p w:rsidR="000F4F3A" w:rsidRPr="00DE1967" w:rsidRDefault="000F4F3A" w:rsidP="0003742E">
      <w:pPr>
        <w:widowControl w:val="0"/>
        <w:spacing w:line="240" w:lineRule="auto"/>
        <w:rPr>
          <w:noProof/>
          <w:szCs w:val="22"/>
          <w:lang w:val="de-DE"/>
        </w:rPr>
      </w:pPr>
      <w:r w:rsidRPr="00DE1967">
        <w:rPr>
          <w:noProof/>
          <w:szCs w:val="22"/>
          <w:lang w:val="de-DE"/>
        </w:rPr>
        <w:t>Nur auf Blisterpackungen mit 7 Tabletten</w:t>
      </w:r>
    </w:p>
    <w:p w:rsidR="00B4575E" w:rsidRPr="00DE1967" w:rsidRDefault="00B4575E"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MO</w:t>
      </w:r>
    </w:p>
    <w:p w:rsidR="00B4575E" w:rsidRPr="00DE1967" w:rsidRDefault="00B4575E" w:rsidP="0003742E">
      <w:pPr>
        <w:widowControl w:val="0"/>
        <w:tabs>
          <w:tab w:val="clear" w:pos="567"/>
        </w:tabs>
        <w:autoSpaceDE w:val="0"/>
        <w:autoSpaceDN w:val="0"/>
        <w:adjustRightInd w:val="0"/>
        <w:spacing w:line="240" w:lineRule="auto"/>
        <w:rPr>
          <w:snapToGrid/>
          <w:szCs w:val="22"/>
          <w:lang w:val="it-IT" w:eastAsia="de-DE"/>
        </w:rPr>
      </w:pPr>
      <w:r w:rsidRPr="00DE1967">
        <w:rPr>
          <w:snapToGrid/>
          <w:szCs w:val="22"/>
          <w:lang w:val="it-IT" w:eastAsia="de-DE"/>
        </w:rPr>
        <w:t>DI</w:t>
      </w:r>
    </w:p>
    <w:p w:rsidR="00B4575E" w:rsidRPr="00DE1967" w:rsidRDefault="00B4575E" w:rsidP="0003742E">
      <w:pPr>
        <w:widowControl w:val="0"/>
        <w:tabs>
          <w:tab w:val="clear" w:pos="567"/>
        </w:tabs>
        <w:autoSpaceDE w:val="0"/>
        <w:autoSpaceDN w:val="0"/>
        <w:adjustRightInd w:val="0"/>
        <w:spacing w:line="240" w:lineRule="auto"/>
        <w:rPr>
          <w:snapToGrid/>
          <w:szCs w:val="22"/>
          <w:lang w:val="it-IT" w:eastAsia="de-DE"/>
        </w:rPr>
      </w:pPr>
      <w:r w:rsidRPr="00DE1967">
        <w:rPr>
          <w:snapToGrid/>
          <w:szCs w:val="22"/>
          <w:lang w:val="it-IT" w:eastAsia="de-DE"/>
        </w:rPr>
        <w:t>MI</w:t>
      </w:r>
    </w:p>
    <w:p w:rsidR="00B4575E" w:rsidRPr="00DE1967" w:rsidRDefault="00B4575E" w:rsidP="0003742E">
      <w:pPr>
        <w:widowControl w:val="0"/>
        <w:tabs>
          <w:tab w:val="clear" w:pos="567"/>
        </w:tabs>
        <w:autoSpaceDE w:val="0"/>
        <w:autoSpaceDN w:val="0"/>
        <w:adjustRightInd w:val="0"/>
        <w:spacing w:line="240" w:lineRule="auto"/>
        <w:rPr>
          <w:snapToGrid/>
          <w:szCs w:val="22"/>
          <w:lang w:val="it-IT" w:eastAsia="de-DE"/>
        </w:rPr>
      </w:pPr>
      <w:r w:rsidRPr="00DE1967">
        <w:rPr>
          <w:snapToGrid/>
          <w:szCs w:val="22"/>
          <w:lang w:val="it-IT" w:eastAsia="de-DE"/>
        </w:rPr>
        <w:t>DO</w:t>
      </w:r>
    </w:p>
    <w:p w:rsidR="00B4575E" w:rsidRPr="00DE1967" w:rsidRDefault="00B4575E" w:rsidP="0003742E">
      <w:pPr>
        <w:widowControl w:val="0"/>
        <w:tabs>
          <w:tab w:val="clear" w:pos="567"/>
        </w:tabs>
        <w:autoSpaceDE w:val="0"/>
        <w:autoSpaceDN w:val="0"/>
        <w:adjustRightInd w:val="0"/>
        <w:spacing w:line="240" w:lineRule="auto"/>
        <w:rPr>
          <w:snapToGrid/>
          <w:szCs w:val="22"/>
          <w:lang w:val="it-IT" w:eastAsia="de-DE"/>
        </w:rPr>
      </w:pPr>
      <w:r w:rsidRPr="00DE1967">
        <w:rPr>
          <w:snapToGrid/>
          <w:szCs w:val="22"/>
          <w:lang w:val="it-IT" w:eastAsia="de-DE"/>
        </w:rPr>
        <w:t>FR</w:t>
      </w:r>
    </w:p>
    <w:p w:rsidR="00B4575E" w:rsidRPr="00DE1967" w:rsidRDefault="00B4575E" w:rsidP="0003742E">
      <w:pPr>
        <w:widowControl w:val="0"/>
        <w:tabs>
          <w:tab w:val="clear" w:pos="567"/>
        </w:tabs>
        <w:autoSpaceDE w:val="0"/>
        <w:autoSpaceDN w:val="0"/>
        <w:adjustRightInd w:val="0"/>
        <w:spacing w:line="240" w:lineRule="auto"/>
        <w:rPr>
          <w:snapToGrid/>
          <w:szCs w:val="22"/>
          <w:lang w:val="it-IT" w:eastAsia="de-DE"/>
        </w:rPr>
      </w:pPr>
      <w:r w:rsidRPr="00DE1967">
        <w:rPr>
          <w:snapToGrid/>
          <w:szCs w:val="22"/>
          <w:lang w:val="it-IT" w:eastAsia="de-DE"/>
        </w:rPr>
        <w:t>SA</w:t>
      </w:r>
    </w:p>
    <w:p w:rsidR="00B4575E" w:rsidRPr="00DE1967" w:rsidRDefault="00B4575E" w:rsidP="0003742E">
      <w:pPr>
        <w:widowControl w:val="0"/>
        <w:spacing w:line="240" w:lineRule="auto"/>
        <w:rPr>
          <w:szCs w:val="22"/>
          <w:lang w:val="it-IT"/>
        </w:rPr>
      </w:pPr>
      <w:r w:rsidRPr="00DE1967">
        <w:rPr>
          <w:snapToGrid/>
          <w:szCs w:val="22"/>
          <w:lang w:val="it-IT" w:eastAsia="de-DE"/>
        </w:rPr>
        <w:t>SO</w:t>
      </w:r>
    </w:p>
    <w:p w:rsidR="00B4575E" w:rsidRPr="00DE1967" w:rsidRDefault="00544F89" w:rsidP="0003742E">
      <w:pPr>
        <w:widowControl w:val="0"/>
        <w:spacing w:line="240" w:lineRule="auto"/>
        <w:jc w:val="center"/>
        <w:outlineLvl w:val="0"/>
        <w:rPr>
          <w:b/>
          <w:noProof/>
          <w:szCs w:val="22"/>
          <w:lang w:val="it-IT"/>
        </w:rPr>
      </w:pPr>
      <w:r w:rsidRPr="00DE1967">
        <w:rPr>
          <w:noProof/>
          <w:szCs w:val="22"/>
          <w:lang w:val="it-IT"/>
        </w:rPr>
        <w:br w:type="page"/>
      </w:r>
    </w:p>
    <w:p w:rsidR="00B4575E" w:rsidRPr="00DE1967" w:rsidRDefault="00B4575E" w:rsidP="0003742E">
      <w:pPr>
        <w:widowControl w:val="0"/>
        <w:spacing w:line="240" w:lineRule="auto"/>
        <w:jc w:val="center"/>
        <w:outlineLvl w:val="0"/>
        <w:rPr>
          <w:b/>
          <w:szCs w:val="22"/>
          <w:lang w:val="it-IT"/>
        </w:rPr>
      </w:pPr>
    </w:p>
    <w:p w:rsidR="00B4575E" w:rsidRPr="00DE1967" w:rsidRDefault="00B4575E" w:rsidP="0003742E">
      <w:pPr>
        <w:widowControl w:val="0"/>
        <w:spacing w:line="240" w:lineRule="auto"/>
        <w:jc w:val="center"/>
        <w:outlineLvl w:val="0"/>
        <w:rPr>
          <w:b/>
          <w:szCs w:val="22"/>
          <w:lang w:val="it-IT"/>
        </w:rPr>
      </w:pPr>
    </w:p>
    <w:p w:rsidR="00B4575E" w:rsidRPr="00DE1967" w:rsidRDefault="00B4575E" w:rsidP="0003742E">
      <w:pPr>
        <w:widowControl w:val="0"/>
        <w:spacing w:line="240" w:lineRule="auto"/>
        <w:jc w:val="center"/>
        <w:outlineLvl w:val="0"/>
        <w:rPr>
          <w:b/>
          <w:szCs w:val="22"/>
          <w:lang w:val="it-IT"/>
        </w:rPr>
      </w:pPr>
    </w:p>
    <w:p w:rsidR="00B4575E" w:rsidRPr="00DE1967" w:rsidRDefault="00B4575E" w:rsidP="0003742E">
      <w:pPr>
        <w:widowControl w:val="0"/>
        <w:spacing w:line="240" w:lineRule="auto"/>
        <w:jc w:val="center"/>
        <w:outlineLvl w:val="0"/>
        <w:rPr>
          <w:b/>
          <w:szCs w:val="22"/>
          <w:lang w:val="it-IT"/>
        </w:rPr>
      </w:pPr>
    </w:p>
    <w:p w:rsidR="00B4575E" w:rsidRPr="00DE1967" w:rsidRDefault="00B4575E" w:rsidP="0003742E">
      <w:pPr>
        <w:widowControl w:val="0"/>
        <w:spacing w:line="240" w:lineRule="auto"/>
        <w:jc w:val="center"/>
        <w:outlineLvl w:val="0"/>
        <w:rPr>
          <w:b/>
          <w:szCs w:val="22"/>
          <w:lang w:val="it-IT"/>
        </w:rPr>
      </w:pPr>
    </w:p>
    <w:p w:rsidR="00B4575E" w:rsidRPr="00DE1967" w:rsidRDefault="00B4575E" w:rsidP="0003742E">
      <w:pPr>
        <w:widowControl w:val="0"/>
        <w:spacing w:line="240" w:lineRule="auto"/>
        <w:jc w:val="center"/>
        <w:outlineLvl w:val="0"/>
        <w:rPr>
          <w:b/>
          <w:szCs w:val="22"/>
          <w:lang w:val="it-IT"/>
        </w:rPr>
      </w:pPr>
    </w:p>
    <w:p w:rsidR="00B4575E" w:rsidRPr="00DE1967" w:rsidRDefault="00B4575E" w:rsidP="0003742E">
      <w:pPr>
        <w:widowControl w:val="0"/>
        <w:spacing w:line="240" w:lineRule="auto"/>
        <w:jc w:val="center"/>
        <w:outlineLvl w:val="0"/>
        <w:rPr>
          <w:b/>
          <w:szCs w:val="22"/>
          <w:lang w:val="it-IT"/>
        </w:rPr>
      </w:pPr>
    </w:p>
    <w:p w:rsidR="00B4575E" w:rsidRPr="00DE1967" w:rsidRDefault="00B4575E" w:rsidP="0003742E">
      <w:pPr>
        <w:widowControl w:val="0"/>
        <w:spacing w:line="240" w:lineRule="auto"/>
        <w:jc w:val="center"/>
        <w:outlineLvl w:val="0"/>
        <w:rPr>
          <w:b/>
          <w:szCs w:val="22"/>
          <w:lang w:val="it-IT"/>
        </w:rPr>
      </w:pPr>
    </w:p>
    <w:p w:rsidR="00B4575E" w:rsidRPr="00DE1967" w:rsidRDefault="00B4575E" w:rsidP="0003742E">
      <w:pPr>
        <w:widowControl w:val="0"/>
        <w:spacing w:line="240" w:lineRule="auto"/>
        <w:jc w:val="center"/>
        <w:outlineLvl w:val="0"/>
        <w:rPr>
          <w:b/>
          <w:szCs w:val="22"/>
          <w:lang w:val="it-IT"/>
        </w:rPr>
      </w:pPr>
    </w:p>
    <w:p w:rsidR="00B4575E" w:rsidRPr="00DE1967" w:rsidRDefault="00B4575E" w:rsidP="0003742E">
      <w:pPr>
        <w:widowControl w:val="0"/>
        <w:spacing w:line="240" w:lineRule="auto"/>
        <w:jc w:val="center"/>
        <w:outlineLvl w:val="0"/>
        <w:rPr>
          <w:b/>
          <w:szCs w:val="22"/>
          <w:lang w:val="it-IT"/>
        </w:rPr>
      </w:pPr>
    </w:p>
    <w:p w:rsidR="00B4575E" w:rsidRPr="00DE1967" w:rsidRDefault="00B4575E" w:rsidP="0003742E">
      <w:pPr>
        <w:widowControl w:val="0"/>
        <w:spacing w:line="240" w:lineRule="auto"/>
        <w:jc w:val="center"/>
        <w:outlineLvl w:val="0"/>
        <w:rPr>
          <w:b/>
          <w:szCs w:val="22"/>
          <w:lang w:val="it-IT"/>
        </w:rPr>
      </w:pPr>
    </w:p>
    <w:p w:rsidR="00B4575E" w:rsidRPr="00DE1967" w:rsidRDefault="00B4575E" w:rsidP="0003742E">
      <w:pPr>
        <w:widowControl w:val="0"/>
        <w:spacing w:line="240" w:lineRule="auto"/>
        <w:jc w:val="center"/>
        <w:rPr>
          <w:szCs w:val="22"/>
          <w:lang w:val="it-IT"/>
        </w:rPr>
      </w:pPr>
    </w:p>
    <w:p w:rsidR="004A3CFB" w:rsidRPr="00DE1967" w:rsidRDefault="004A3CFB" w:rsidP="0003742E">
      <w:pPr>
        <w:widowControl w:val="0"/>
        <w:spacing w:line="240" w:lineRule="auto"/>
        <w:jc w:val="center"/>
        <w:outlineLvl w:val="0"/>
        <w:rPr>
          <w:b/>
          <w:noProof/>
          <w:szCs w:val="22"/>
          <w:lang w:val="it-IT"/>
        </w:rPr>
      </w:pPr>
    </w:p>
    <w:p w:rsidR="004A3CFB" w:rsidRPr="00DE1967" w:rsidRDefault="004A3CFB" w:rsidP="0003742E">
      <w:pPr>
        <w:widowControl w:val="0"/>
        <w:spacing w:line="240" w:lineRule="auto"/>
        <w:jc w:val="center"/>
        <w:outlineLvl w:val="0"/>
        <w:rPr>
          <w:b/>
          <w:noProof/>
          <w:szCs w:val="22"/>
          <w:lang w:val="it-IT"/>
        </w:rPr>
      </w:pPr>
    </w:p>
    <w:p w:rsidR="004A3CFB" w:rsidRPr="00DE1967" w:rsidRDefault="004A3CFB" w:rsidP="0003742E">
      <w:pPr>
        <w:widowControl w:val="0"/>
        <w:spacing w:line="240" w:lineRule="auto"/>
        <w:jc w:val="center"/>
        <w:outlineLvl w:val="0"/>
        <w:rPr>
          <w:b/>
          <w:noProof/>
          <w:szCs w:val="22"/>
          <w:lang w:val="it-IT"/>
        </w:rPr>
      </w:pPr>
    </w:p>
    <w:p w:rsidR="00544F89" w:rsidRPr="00DE1967" w:rsidRDefault="00544F89" w:rsidP="0003742E">
      <w:pPr>
        <w:widowControl w:val="0"/>
        <w:spacing w:line="240" w:lineRule="auto"/>
        <w:jc w:val="center"/>
        <w:outlineLvl w:val="0"/>
        <w:rPr>
          <w:b/>
          <w:noProof/>
          <w:szCs w:val="22"/>
          <w:lang w:val="it-IT"/>
        </w:rPr>
      </w:pPr>
    </w:p>
    <w:p w:rsidR="00544F89" w:rsidRPr="00DE1967" w:rsidRDefault="00544F89" w:rsidP="0003742E">
      <w:pPr>
        <w:widowControl w:val="0"/>
        <w:spacing w:line="240" w:lineRule="auto"/>
        <w:jc w:val="center"/>
        <w:outlineLvl w:val="0"/>
        <w:rPr>
          <w:b/>
          <w:noProof/>
          <w:szCs w:val="22"/>
          <w:lang w:val="it-IT"/>
        </w:rPr>
      </w:pPr>
    </w:p>
    <w:p w:rsidR="004A3CFB" w:rsidRPr="00DE1967" w:rsidRDefault="004A3CFB" w:rsidP="0003742E">
      <w:pPr>
        <w:widowControl w:val="0"/>
        <w:spacing w:line="240" w:lineRule="auto"/>
        <w:jc w:val="center"/>
        <w:outlineLvl w:val="0"/>
        <w:rPr>
          <w:b/>
          <w:noProof/>
          <w:szCs w:val="22"/>
          <w:lang w:val="it-IT"/>
        </w:rPr>
      </w:pPr>
    </w:p>
    <w:p w:rsidR="004A3CFB" w:rsidRPr="00DE1967" w:rsidRDefault="004A3CFB" w:rsidP="0003742E">
      <w:pPr>
        <w:widowControl w:val="0"/>
        <w:spacing w:line="240" w:lineRule="auto"/>
        <w:jc w:val="center"/>
        <w:outlineLvl w:val="0"/>
        <w:rPr>
          <w:b/>
          <w:noProof/>
          <w:szCs w:val="22"/>
          <w:lang w:val="it-IT"/>
        </w:rPr>
      </w:pPr>
    </w:p>
    <w:p w:rsidR="004A3CFB" w:rsidRPr="00DE1967" w:rsidRDefault="004A3CFB" w:rsidP="0003742E">
      <w:pPr>
        <w:widowControl w:val="0"/>
        <w:spacing w:line="240" w:lineRule="auto"/>
        <w:jc w:val="center"/>
        <w:outlineLvl w:val="0"/>
        <w:rPr>
          <w:b/>
          <w:noProof/>
          <w:szCs w:val="22"/>
          <w:lang w:val="it-IT"/>
        </w:rPr>
      </w:pPr>
    </w:p>
    <w:p w:rsidR="004A3CFB" w:rsidRPr="00DE1967" w:rsidRDefault="004A3CFB" w:rsidP="0003742E">
      <w:pPr>
        <w:widowControl w:val="0"/>
        <w:spacing w:line="240" w:lineRule="auto"/>
        <w:jc w:val="center"/>
        <w:outlineLvl w:val="0"/>
        <w:rPr>
          <w:b/>
          <w:noProof/>
          <w:szCs w:val="22"/>
          <w:lang w:val="it-IT"/>
        </w:rPr>
      </w:pPr>
    </w:p>
    <w:p w:rsidR="004A3CFB" w:rsidRPr="00DE1967" w:rsidRDefault="004A3CFB" w:rsidP="0003742E">
      <w:pPr>
        <w:widowControl w:val="0"/>
        <w:spacing w:line="240" w:lineRule="auto"/>
        <w:jc w:val="center"/>
        <w:outlineLvl w:val="0"/>
        <w:rPr>
          <w:b/>
          <w:noProof/>
          <w:szCs w:val="22"/>
          <w:lang w:val="it-IT"/>
        </w:rPr>
      </w:pPr>
    </w:p>
    <w:p w:rsidR="00C951A2" w:rsidRPr="00DE1967" w:rsidRDefault="00637E20" w:rsidP="0003742E">
      <w:pPr>
        <w:pStyle w:val="TitleA"/>
      </w:pPr>
      <w:r w:rsidRPr="00DE1967">
        <w:t>B. PACKUNGSBEILAGE</w:t>
      </w:r>
    </w:p>
    <w:p w:rsidR="00544F89" w:rsidRPr="00DE1967" w:rsidRDefault="00C951A2" w:rsidP="0003742E">
      <w:pPr>
        <w:widowControl w:val="0"/>
        <w:spacing w:line="240" w:lineRule="auto"/>
        <w:jc w:val="center"/>
        <w:outlineLvl w:val="0"/>
        <w:rPr>
          <w:b/>
          <w:noProof/>
          <w:szCs w:val="22"/>
          <w:lang w:val="de-DE"/>
        </w:rPr>
      </w:pPr>
      <w:r w:rsidRPr="00DE1967">
        <w:rPr>
          <w:b/>
          <w:noProof/>
          <w:szCs w:val="22"/>
          <w:lang w:val="de-DE"/>
        </w:rPr>
        <w:br w:type="page"/>
      </w:r>
      <w:r w:rsidR="00637E20" w:rsidRPr="00DE1967">
        <w:rPr>
          <w:b/>
          <w:noProof/>
          <w:szCs w:val="22"/>
          <w:lang w:val="de-DE"/>
        </w:rPr>
        <w:t>Gebrauc</w:t>
      </w:r>
      <w:r w:rsidR="00AF2380" w:rsidRPr="00DE1967">
        <w:rPr>
          <w:b/>
          <w:noProof/>
          <w:szCs w:val="22"/>
          <w:lang w:val="de-DE"/>
        </w:rPr>
        <w:t xml:space="preserve">hsinformation: Information für </w:t>
      </w:r>
      <w:r w:rsidR="00637E20" w:rsidRPr="00DE1967">
        <w:rPr>
          <w:b/>
          <w:noProof/>
          <w:szCs w:val="22"/>
          <w:lang w:val="de-DE"/>
        </w:rPr>
        <w:t>Patienten</w:t>
      </w:r>
    </w:p>
    <w:p w:rsidR="00637E20" w:rsidRPr="00DE1967" w:rsidRDefault="00637E20" w:rsidP="0003742E">
      <w:pPr>
        <w:widowControl w:val="0"/>
        <w:numPr>
          <w:ilvl w:val="12"/>
          <w:numId w:val="0"/>
        </w:numPr>
        <w:shd w:val="clear" w:color="auto" w:fill="FFFFFF"/>
        <w:tabs>
          <w:tab w:val="clear" w:pos="567"/>
          <w:tab w:val="left" w:pos="720"/>
        </w:tabs>
        <w:spacing w:line="240" w:lineRule="auto"/>
        <w:jc w:val="center"/>
        <w:rPr>
          <w:szCs w:val="22"/>
          <w:lang w:val="de-DE"/>
        </w:rPr>
      </w:pPr>
    </w:p>
    <w:p w:rsidR="00AF2380" w:rsidRPr="00DE1967" w:rsidRDefault="00AF2380" w:rsidP="0003742E">
      <w:pPr>
        <w:widowControl w:val="0"/>
        <w:tabs>
          <w:tab w:val="clear" w:pos="567"/>
        </w:tabs>
        <w:autoSpaceDE w:val="0"/>
        <w:autoSpaceDN w:val="0"/>
        <w:adjustRightInd w:val="0"/>
        <w:spacing w:line="240" w:lineRule="auto"/>
        <w:jc w:val="center"/>
        <w:rPr>
          <w:b/>
          <w:bCs/>
          <w:snapToGrid/>
          <w:szCs w:val="22"/>
          <w:lang w:val="de-DE" w:eastAsia="de-DE"/>
        </w:rPr>
      </w:pPr>
      <w:proofErr w:type="spellStart"/>
      <w:r w:rsidRPr="00DE1967">
        <w:rPr>
          <w:b/>
          <w:bCs/>
          <w:snapToGrid/>
          <w:szCs w:val="22"/>
          <w:lang w:val="de-DE" w:eastAsia="de-DE"/>
        </w:rPr>
        <w:t>Tolucombi</w:t>
      </w:r>
      <w:proofErr w:type="spellEnd"/>
      <w:r w:rsidRPr="00DE1967">
        <w:rPr>
          <w:b/>
          <w:bCs/>
          <w:snapToGrid/>
          <w:szCs w:val="22"/>
          <w:lang w:val="de-DE" w:eastAsia="de-DE"/>
        </w:rPr>
        <w:t xml:space="preserve"> 40</w:t>
      </w:r>
      <w:r w:rsidR="00023E2B" w:rsidRPr="00DE1967">
        <w:rPr>
          <w:b/>
          <w:bCs/>
          <w:snapToGrid/>
          <w:szCs w:val="22"/>
          <w:lang w:val="de-DE" w:eastAsia="de-DE"/>
        </w:rPr>
        <w:t> mg</w:t>
      </w:r>
      <w:r w:rsidRPr="00DE1967">
        <w:rPr>
          <w:b/>
          <w:bCs/>
          <w:snapToGrid/>
          <w:szCs w:val="22"/>
          <w:lang w:val="de-DE" w:eastAsia="de-DE"/>
        </w:rPr>
        <w:t>/12,5</w:t>
      </w:r>
      <w:r w:rsidR="00023E2B" w:rsidRPr="00DE1967">
        <w:rPr>
          <w:b/>
          <w:bCs/>
          <w:snapToGrid/>
          <w:szCs w:val="22"/>
          <w:lang w:val="de-DE" w:eastAsia="de-DE"/>
        </w:rPr>
        <w:t> mg</w:t>
      </w:r>
      <w:r w:rsidRPr="00DE1967">
        <w:rPr>
          <w:b/>
          <w:bCs/>
          <w:snapToGrid/>
          <w:szCs w:val="22"/>
          <w:lang w:val="de-DE" w:eastAsia="de-DE"/>
        </w:rPr>
        <w:t xml:space="preserve"> Tabletten</w:t>
      </w:r>
    </w:p>
    <w:p w:rsidR="00AF2380" w:rsidRPr="00DE1967" w:rsidRDefault="00AF2380" w:rsidP="0003742E">
      <w:pPr>
        <w:widowControl w:val="0"/>
        <w:tabs>
          <w:tab w:val="clear" w:pos="567"/>
        </w:tabs>
        <w:autoSpaceDE w:val="0"/>
        <w:autoSpaceDN w:val="0"/>
        <w:adjustRightInd w:val="0"/>
        <w:spacing w:line="240" w:lineRule="auto"/>
        <w:jc w:val="center"/>
        <w:rPr>
          <w:b/>
          <w:bCs/>
          <w:snapToGrid/>
          <w:szCs w:val="22"/>
          <w:lang w:val="de-DE" w:eastAsia="de-DE"/>
        </w:rPr>
      </w:pPr>
      <w:proofErr w:type="spellStart"/>
      <w:r w:rsidRPr="00DE1967">
        <w:rPr>
          <w:b/>
          <w:bCs/>
          <w:snapToGrid/>
          <w:szCs w:val="22"/>
          <w:lang w:val="de-DE" w:eastAsia="de-DE"/>
        </w:rPr>
        <w:t>Tolucombi</w:t>
      </w:r>
      <w:proofErr w:type="spellEnd"/>
      <w:r w:rsidRPr="00DE1967">
        <w:rPr>
          <w:b/>
          <w:bCs/>
          <w:snapToGrid/>
          <w:szCs w:val="22"/>
          <w:lang w:val="de-DE" w:eastAsia="de-DE"/>
        </w:rPr>
        <w:t xml:space="preserve"> 80</w:t>
      </w:r>
      <w:r w:rsidR="00023E2B" w:rsidRPr="00DE1967">
        <w:rPr>
          <w:b/>
          <w:bCs/>
          <w:snapToGrid/>
          <w:szCs w:val="22"/>
          <w:lang w:val="de-DE" w:eastAsia="de-DE"/>
        </w:rPr>
        <w:t> mg</w:t>
      </w:r>
      <w:r w:rsidRPr="00DE1967">
        <w:rPr>
          <w:b/>
          <w:bCs/>
          <w:snapToGrid/>
          <w:szCs w:val="22"/>
          <w:lang w:val="de-DE" w:eastAsia="de-DE"/>
        </w:rPr>
        <w:t>/12,5</w:t>
      </w:r>
      <w:r w:rsidR="00023E2B" w:rsidRPr="00DE1967">
        <w:rPr>
          <w:b/>
          <w:bCs/>
          <w:snapToGrid/>
          <w:szCs w:val="22"/>
          <w:lang w:val="de-DE" w:eastAsia="de-DE"/>
        </w:rPr>
        <w:t> mg</w:t>
      </w:r>
      <w:r w:rsidRPr="00DE1967">
        <w:rPr>
          <w:b/>
          <w:bCs/>
          <w:snapToGrid/>
          <w:szCs w:val="22"/>
          <w:lang w:val="de-DE" w:eastAsia="de-DE"/>
        </w:rPr>
        <w:t xml:space="preserve"> Tabletten</w:t>
      </w:r>
    </w:p>
    <w:p w:rsidR="00AF2380" w:rsidRPr="00DE1967" w:rsidRDefault="00AF2380" w:rsidP="0003742E">
      <w:pPr>
        <w:widowControl w:val="0"/>
        <w:tabs>
          <w:tab w:val="clear" w:pos="567"/>
        </w:tabs>
        <w:autoSpaceDE w:val="0"/>
        <w:autoSpaceDN w:val="0"/>
        <w:adjustRightInd w:val="0"/>
        <w:spacing w:line="240" w:lineRule="auto"/>
        <w:jc w:val="center"/>
        <w:rPr>
          <w:b/>
          <w:bCs/>
          <w:snapToGrid/>
          <w:szCs w:val="22"/>
          <w:lang w:val="de-DE" w:eastAsia="de-DE"/>
        </w:rPr>
      </w:pPr>
      <w:proofErr w:type="spellStart"/>
      <w:r w:rsidRPr="00DE1967">
        <w:rPr>
          <w:b/>
          <w:bCs/>
          <w:snapToGrid/>
          <w:szCs w:val="22"/>
          <w:lang w:val="de-DE" w:eastAsia="de-DE"/>
        </w:rPr>
        <w:t>Tolucombi</w:t>
      </w:r>
      <w:proofErr w:type="spellEnd"/>
      <w:r w:rsidRPr="00DE1967">
        <w:rPr>
          <w:b/>
          <w:bCs/>
          <w:snapToGrid/>
          <w:szCs w:val="22"/>
          <w:lang w:val="de-DE" w:eastAsia="de-DE"/>
        </w:rPr>
        <w:t xml:space="preserve"> 80</w:t>
      </w:r>
      <w:r w:rsidR="00023E2B" w:rsidRPr="00DE1967">
        <w:rPr>
          <w:b/>
          <w:bCs/>
          <w:snapToGrid/>
          <w:szCs w:val="22"/>
          <w:lang w:val="de-DE" w:eastAsia="de-DE"/>
        </w:rPr>
        <w:t> mg</w:t>
      </w:r>
      <w:r w:rsidRPr="00DE1967">
        <w:rPr>
          <w:b/>
          <w:bCs/>
          <w:snapToGrid/>
          <w:szCs w:val="22"/>
          <w:lang w:val="de-DE" w:eastAsia="de-DE"/>
        </w:rPr>
        <w:t>/25</w:t>
      </w:r>
      <w:r w:rsidR="00023E2B" w:rsidRPr="00DE1967">
        <w:rPr>
          <w:b/>
          <w:bCs/>
          <w:snapToGrid/>
          <w:szCs w:val="22"/>
          <w:lang w:val="de-DE" w:eastAsia="de-DE"/>
        </w:rPr>
        <w:t> mg</w:t>
      </w:r>
      <w:r w:rsidRPr="00DE1967">
        <w:rPr>
          <w:b/>
          <w:bCs/>
          <w:snapToGrid/>
          <w:szCs w:val="22"/>
          <w:lang w:val="de-DE" w:eastAsia="de-DE"/>
        </w:rPr>
        <w:t xml:space="preserve"> Tabletten</w:t>
      </w:r>
    </w:p>
    <w:p w:rsidR="00637E20" w:rsidRPr="00DE1967" w:rsidRDefault="00AF2380" w:rsidP="0003742E">
      <w:pPr>
        <w:widowControl w:val="0"/>
        <w:tabs>
          <w:tab w:val="clear" w:pos="567"/>
          <w:tab w:val="left" w:pos="720"/>
        </w:tabs>
        <w:spacing w:line="240" w:lineRule="auto"/>
        <w:jc w:val="center"/>
        <w:rPr>
          <w:szCs w:val="22"/>
          <w:lang w:val="de-DE"/>
        </w:rPr>
      </w:pPr>
      <w:r w:rsidRPr="00DE1967">
        <w:rPr>
          <w:snapToGrid/>
          <w:szCs w:val="22"/>
          <w:lang w:val="de-DE" w:eastAsia="de-DE"/>
        </w:rPr>
        <w:t>Telmisartan/Hydrochlorothiazid</w:t>
      </w:r>
    </w:p>
    <w:p w:rsidR="00637E20" w:rsidRPr="00DE1967" w:rsidRDefault="00637E20" w:rsidP="0003742E">
      <w:pPr>
        <w:widowControl w:val="0"/>
        <w:tabs>
          <w:tab w:val="clear" w:pos="567"/>
          <w:tab w:val="left" w:pos="720"/>
        </w:tabs>
        <w:spacing w:line="240" w:lineRule="auto"/>
        <w:jc w:val="center"/>
        <w:rPr>
          <w:noProof/>
          <w:szCs w:val="22"/>
          <w:lang w:val="de-DE"/>
        </w:rPr>
      </w:pPr>
    </w:p>
    <w:p w:rsidR="00AF2380" w:rsidRPr="00DE1967" w:rsidRDefault="00AF2380" w:rsidP="0003742E">
      <w:pPr>
        <w:widowControl w:val="0"/>
        <w:tabs>
          <w:tab w:val="clear" w:pos="567"/>
        </w:tabs>
        <w:autoSpaceDE w:val="0"/>
        <w:autoSpaceDN w:val="0"/>
        <w:adjustRightInd w:val="0"/>
        <w:spacing w:line="240" w:lineRule="auto"/>
        <w:rPr>
          <w:b/>
          <w:bCs/>
          <w:snapToGrid/>
          <w:szCs w:val="22"/>
          <w:lang w:val="de-DE" w:eastAsia="de-DE"/>
        </w:rPr>
      </w:pPr>
      <w:r w:rsidRPr="00DE1967">
        <w:rPr>
          <w:b/>
          <w:bCs/>
          <w:snapToGrid/>
          <w:szCs w:val="22"/>
          <w:lang w:val="de-DE" w:eastAsia="de-DE"/>
        </w:rPr>
        <w:t>Lesen Sie die gesamte Packungsbeilage sorgfältig durch, bevor Sie mit der Einnahme dieses Arzneimittels beginnen, denn sie enthält wichtige Informationen.</w:t>
      </w:r>
    </w:p>
    <w:p w:rsidR="00AF2380" w:rsidRPr="00DE1967" w:rsidRDefault="00AF2380" w:rsidP="0003742E">
      <w:pPr>
        <w:widowControl w:val="0"/>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t>
      </w:r>
      <w:r w:rsidRPr="00DE1967">
        <w:rPr>
          <w:snapToGrid/>
          <w:szCs w:val="22"/>
          <w:lang w:val="de-DE" w:eastAsia="de-DE"/>
        </w:rPr>
        <w:tab/>
        <w:t>Heben Sie die Packungsbeilage auf. Vielleicht möchten Sie diese später nochmals lesen.</w:t>
      </w:r>
    </w:p>
    <w:p w:rsidR="00AF2380" w:rsidRPr="00DE1967" w:rsidRDefault="00AF2380" w:rsidP="0003742E">
      <w:pPr>
        <w:widowControl w:val="0"/>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t>
      </w:r>
      <w:r w:rsidRPr="00DE1967">
        <w:rPr>
          <w:snapToGrid/>
          <w:szCs w:val="22"/>
          <w:lang w:val="de-DE" w:eastAsia="de-DE"/>
        </w:rPr>
        <w:tab/>
        <w:t>Wenn Sie weitere Fragen haben, wenden Sie sich an Ihren Arzt oder Apotheker.</w:t>
      </w:r>
    </w:p>
    <w:p w:rsidR="00AF2380" w:rsidRPr="00DE1967" w:rsidRDefault="00AF2380" w:rsidP="0003742E">
      <w:pPr>
        <w:widowControl w:val="0"/>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t>
      </w:r>
      <w:r w:rsidRPr="00DE1967">
        <w:rPr>
          <w:snapToGrid/>
          <w:szCs w:val="22"/>
          <w:lang w:val="de-DE" w:eastAsia="de-DE"/>
        </w:rPr>
        <w:tab/>
        <w:t>Dieses Arzneimittel wurde Ihnen persönlich verschrieben. Geben Sie es nicht an Dritte weiter. Es kann anderen Menschen schaden, auch wenn diese die</w:t>
      </w:r>
      <w:r w:rsidR="00C575BE" w:rsidRPr="00DE1967">
        <w:rPr>
          <w:snapToGrid/>
          <w:szCs w:val="22"/>
          <w:lang w:val="de-DE" w:eastAsia="de-DE"/>
        </w:rPr>
        <w:t xml:space="preserve"> gleichen</w:t>
      </w:r>
      <w:r w:rsidRPr="00DE1967">
        <w:rPr>
          <w:snapToGrid/>
          <w:szCs w:val="22"/>
          <w:lang w:val="de-DE" w:eastAsia="de-DE"/>
        </w:rPr>
        <w:t xml:space="preserve"> Beschwerden haben wie Sie.</w:t>
      </w:r>
    </w:p>
    <w:p w:rsidR="00B3078E" w:rsidRPr="00DE1967" w:rsidRDefault="00AF2380" w:rsidP="0003742E">
      <w:pPr>
        <w:widowControl w:val="0"/>
        <w:spacing w:line="240" w:lineRule="auto"/>
        <w:ind w:left="564" w:right="-2" w:hanging="564"/>
        <w:rPr>
          <w:b/>
          <w:szCs w:val="22"/>
          <w:lang w:val="de-DE"/>
        </w:rPr>
      </w:pPr>
      <w:r w:rsidRPr="00DE1967">
        <w:rPr>
          <w:snapToGrid/>
          <w:szCs w:val="22"/>
          <w:lang w:val="de-DE" w:eastAsia="de-DE"/>
        </w:rPr>
        <w:t>-</w:t>
      </w:r>
      <w:r w:rsidRPr="00DE1967">
        <w:rPr>
          <w:snapToGrid/>
          <w:szCs w:val="22"/>
          <w:lang w:val="de-DE" w:eastAsia="de-DE"/>
        </w:rPr>
        <w:tab/>
        <w:t>Wenn Sie Nebenwirkungen bemerken, wenden Sie sich an Ihren Arzt oder Apotheker. Dies gilt auch für Nebenwirkungen, die nicht in dieser Packungsbeilage angegeben sind.</w:t>
      </w:r>
      <w:r w:rsidR="00B3078E" w:rsidRPr="00DE1967">
        <w:rPr>
          <w:snapToGrid/>
          <w:szCs w:val="22"/>
          <w:lang w:val="de-DE" w:eastAsia="de-DE"/>
        </w:rPr>
        <w:t xml:space="preserve"> </w:t>
      </w:r>
      <w:r w:rsidR="00B3078E" w:rsidRPr="00DE1967">
        <w:rPr>
          <w:noProof/>
          <w:szCs w:val="22"/>
          <w:lang w:val="de-DE"/>
        </w:rPr>
        <w:t>Siehe Abschnitt</w:t>
      </w:r>
      <w:r w:rsidR="00171E2D" w:rsidRPr="00DE1967">
        <w:rPr>
          <w:noProof/>
          <w:szCs w:val="22"/>
          <w:lang w:val="de-DE"/>
        </w:rPr>
        <w:t> </w:t>
      </w:r>
      <w:r w:rsidR="00B3078E" w:rsidRPr="00DE1967">
        <w:rPr>
          <w:noProof/>
          <w:szCs w:val="22"/>
          <w:lang w:val="de-DE"/>
        </w:rPr>
        <w:t>4.</w:t>
      </w:r>
    </w:p>
    <w:p w:rsidR="00AF2380" w:rsidRPr="00DE1967" w:rsidRDefault="00AF2380" w:rsidP="0003742E">
      <w:pPr>
        <w:widowControl w:val="0"/>
        <w:tabs>
          <w:tab w:val="clear" w:pos="567"/>
        </w:tabs>
        <w:autoSpaceDE w:val="0"/>
        <w:autoSpaceDN w:val="0"/>
        <w:adjustRightInd w:val="0"/>
        <w:spacing w:line="240" w:lineRule="auto"/>
        <w:ind w:left="567" w:hanging="567"/>
        <w:rPr>
          <w:snapToGrid/>
          <w:szCs w:val="22"/>
          <w:lang w:val="de-DE" w:eastAsia="de-DE"/>
        </w:rPr>
      </w:pPr>
    </w:p>
    <w:p w:rsidR="00AF2380" w:rsidRPr="00DE1967" w:rsidRDefault="00AF2380" w:rsidP="0003742E">
      <w:pPr>
        <w:widowControl w:val="0"/>
        <w:tabs>
          <w:tab w:val="clear" w:pos="567"/>
        </w:tabs>
        <w:autoSpaceDE w:val="0"/>
        <w:autoSpaceDN w:val="0"/>
        <w:adjustRightInd w:val="0"/>
        <w:spacing w:line="240" w:lineRule="auto"/>
        <w:rPr>
          <w:b/>
          <w:bCs/>
          <w:snapToGrid/>
          <w:szCs w:val="22"/>
          <w:lang w:val="de-DE" w:eastAsia="de-DE"/>
        </w:rPr>
      </w:pPr>
      <w:r w:rsidRPr="00DE1967">
        <w:rPr>
          <w:b/>
          <w:bCs/>
          <w:snapToGrid/>
          <w:szCs w:val="22"/>
          <w:lang w:val="de-DE" w:eastAsia="de-DE"/>
        </w:rPr>
        <w:t>Was in dieser Packungsbeilage steht</w:t>
      </w:r>
    </w:p>
    <w:p w:rsidR="00AF2380" w:rsidRPr="00DE1967" w:rsidRDefault="00C93F33" w:rsidP="0003742E">
      <w:pPr>
        <w:widowControl w:val="0"/>
        <w:autoSpaceDE w:val="0"/>
        <w:autoSpaceDN w:val="0"/>
        <w:adjustRightInd w:val="0"/>
        <w:spacing w:line="240" w:lineRule="auto"/>
        <w:ind w:left="567" w:hanging="567"/>
        <w:rPr>
          <w:snapToGrid/>
          <w:szCs w:val="22"/>
          <w:lang w:val="de-DE" w:eastAsia="de-DE"/>
        </w:rPr>
      </w:pPr>
      <w:r w:rsidRPr="00DE1967">
        <w:rPr>
          <w:snapToGrid/>
          <w:szCs w:val="22"/>
          <w:lang w:val="de-DE" w:eastAsia="de-DE"/>
        </w:rPr>
        <w:t>1.</w:t>
      </w:r>
      <w:r w:rsidR="00AF2380" w:rsidRPr="00DE1967">
        <w:rPr>
          <w:snapToGrid/>
          <w:szCs w:val="22"/>
          <w:lang w:val="de-DE" w:eastAsia="de-DE"/>
        </w:rPr>
        <w:tab/>
        <w:t xml:space="preserve">Was ist </w:t>
      </w:r>
      <w:proofErr w:type="spellStart"/>
      <w:r w:rsidR="00AF2380" w:rsidRPr="00DE1967">
        <w:rPr>
          <w:snapToGrid/>
          <w:szCs w:val="22"/>
          <w:lang w:val="de-DE" w:eastAsia="de-DE"/>
        </w:rPr>
        <w:t>Tolucombi</w:t>
      </w:r>
      <w:proofErr w:type="spellEnd"/>
      <w:r w:rsidR="00AF2380" w:rsidRPr="00DE1967">
        <w:rPr>
          <w:snapToGrid/>
          <w:szCs w:val="22"/>
          <w:lang w:val="de-DE" w:eastAsia="de-DE"/>
        </w:rPr>
        <w:t xml:space="preserve"> und wofür wird es angewendet?</w:t>
      </w:r>
    </w:p>
    <w:p w:rsidR="00AF2380" w:rsidRPr="00DE1967" w:rsidRDefault="00C93F33" w:rsidP="0003742E">
      <w:pPr>
        <w:widowControl w:val="0"/>
        <w:autoSpaceDE w:val="0"/>
        <w:autoSpaceDN w:val="0"/>
        <w:adjustRightInd w:val="0"/>
        <w:spacing w:line="240" w:lineRule="auto"/>
        <w:ind w:left="567" w:hanging="567"/>
        <w:rPr>
          <w:snapToGrid/>
          <w:szCs w:val="22"/>
          <w:lang w:val="de-DE" w:eastAsia="de-DE"/>
        </w:rPr>
      </w:pPr>
      <w:r w:rsidRPr="00DE1967">
        <w:rPr>
          <w:snapToGrid/>
          <w:szCs w:val="22"/>
          <w:lang w:val="de-DE" w:eastAsia="de-DE"/>
        </w:rPr>
        <w:t>2.</w:t>
      </w:r>
      <w:r w:rsidR="00AF2380" w:rsidRPr="00DE1967">
        <w:rPr>
          <w:snapToGrid/>
          <w:szCs w:val="22"/>
          <w:lang w:val="de-DE" w:eastAsia="de-DE"/>
        </w:rPr>
        <w:tab/>
        <w:t xml:space="preserve">Was sollten Sie vor der Einnahme von </w:t>
      </w:r>
      <w:proofErr w:type="spellStart"/>
      <w:r w:rsidR="00AF2380" w:rsidRPr="00DE1967">
        <w:rPr>
          <w:snapToGrid/>
          <w:szCs w:val="22"/>
          <w:lang w:val="de-DE" w:eastAsia="de-DE"/>
        </w:rPr>
        <w:t>Tolucombi</w:t>
      </w:r>
      <w:proofErr w:type="spellEnd"/>
      <w:r w:rsidR="00AF2380" w:rsidRPr="00DE1967">
        <w:rPr>
          <w:snapToGrid/>
          <w:szCs w:val="22"/>
          <w:lang w:val="de-DE" w:eastAsia="de-DE"/>
        </w:rPr>
        <w:t xml:space="preserve"> beachten?</w:t>
      </w:r>
    </w:p>
    <w:p w:rsidR="00AF2380" w:rsidRPr="00DE1967" w:rsidRDefault="00C93F33" w:rsidP="0003742E">
      <w:pPr>
        <w:widowControl w:val="0"/>
        <w:autoSpaceDE w:val="0"/>
        <w:autoSpaceDN w:val="0"/>
        <w:adjustRightInd w:val="0"/>
        <w:spacing w:line="240" w:lineRule="auto"/>
        <w:ind w:left="567" w:hanging="567"/>
        <w:rPr>
          <w:snapToGrid/>
          <w:szCs w:val="22"/>
          <w:lang w:val="de-DE" w:eastAsia="de-DE"/>
        </w:rPr>
      </w:pPr>
      <w:r w:rsidRPr="00DE1967">
        <w:rPr>
          <w:snapToGrid/>
          <w:szCs w:val="22"/>
          <w:lang w:val="de-DE" w:eastAsia="de-DE"/>
        </w:rPr>
        <w:t>3.</w:t>
      </w:r>
      <w:r w:rsidR="00AF2380" w:rsidRPr="00DE1967">
        <w:rPr>
          <w:snapToGrid/>
          <w:szCs w:val="22"/>
          <w:lang w:val="de-DE" w:eastAsia="de-DE"/>
        </w:rPr>
        <w:tab/>
        <w:t xml:space="preserve">Wie ist </w:t>
      </w:r>
      <w:proofErr w:type="spellStart"/>
      <w:r w:rsidR="00AF2380" w:rsidRPr="00DE1967">
        <w:rPr>
          <w:snapToGrid/>
          <w:szCs w:val="22"/>
          <w:lang w:val="de-DE" w:eastAsia="de-DE"/>
        </w:rPr>
        <w:t>Tolucombi</w:t>
      </w:r>
      <w:proofErr w:type="spellEnd"/>
      <w:r w:rsidR="00AF2380" w:rsidRPr="00DE1967">
        <w:rPr>
          <w:snapToGrid/>
          <w:szCs w:val="22"/>
          <w:lang w:val="de-DE" w:eastAsia="de-DE"/>
        </w:rPr>
        <w:t xml:space="preserve"> einzunehmen?</w:t>
      </w:r>
    </w:p>
    <w:p w:rsidR="00AF2380" w:rsidRPr="00DE1967" w:rsidRDefault="00C93F33" w:rsidP="0003742E">
      <w:pPr>
        <w:widowControl w:val="0"/>
        <w:autoSpaceDE w:val="0"/>
        <w:autoSpaceDN w:val="0"/>
        <w:adjustRightInd w:val="0"/>
        <w:spacing w:line="240" w:lineRule="auto"/>
        <w:ind w:left="567" w:hanging="567"/>
        <w:rPr>
          <w:snapToGrid/>
          <w:szCs w:val="22"/>
          <w:lang w:val="de-DE" w:eastAsia="de-DE"/>
        </w:rPr>
      </w:pPr>
      <w:r w:rsidRPr="00DE1967">
        <w:rPr>
          <w:snapToGrid/>
          <w:szCs w:val="22"/>
          <w:lang w:val="de-DE" w:eastAsia="de-DE"/>
        </w:rPr>
        <w:t>4.</w:t>
      </w:r>
      <w:r w:rsidR="00AF2380" w:rsidRPr="00DE1967">
        <w:rPr>
          <w:snapToGrid/>
          <w:szCs w:val="22"/>
          <w:lang w:val="de-DE" w:eastAsia="de-DE"/>
        </w:rPr>
        <w:tab/>
        <w:t>Welche Nebenwirkungen sind möglich?</w:t>
      </w:r>
    </w:p>
    <w:p w:rsidR="00AF2380" w:rsidRPr="00DE1967" w:rsidRDefault="00AF2380" w:rsidP="0003742E">
      <w:pPr>
        <w:widowControl w:val="0"/>
        <w:autoSpaceDE w:val="0"/>
        <w:autoSpaceDN w:val="0"/>
        <w:adjustRightInd w:val="0"/>
        <w:spacing w:line="240" w:lineRule="auto"/>
        <w:ind w:left="567" w:hanging="567"/>
        <w:rPr>
          <w:snapToGrid/>
          <w:szCs w:val="22"/>
          <w:lang w:val="de-DE" w:eastAsia="de-DE"/>
        </w:rPr>
      </w:pPr>
      <w:r w:rsidRPr="00DE1967">
        <w:rPr>
          <w:snapToGrid/>
          <w:szCs w:val="22"/>
          <w:lang w:val="de-DE" w:eastAsia="de-DE"/>
        </w:rPr>
        <w:t>5.</w:t>
      </w:r>
      <w:r w:rsidRPr="00DE1967">
        <w:rPr>
          <w:snapToGrid/>
          <w:szCs w:val="22"/>
          <w:lang w:val="de-DE" w:eastAsia="de-DE"/>
        </w:rPr>
        <w:tab/>
        <w:t xml:space="preserve">Wie ist </w:t>
      </w:r>
      <w:proofErr w:type="spellStart"/>
      <w:r w:rsidRPr="00DE1967">
        <w:rPr>
          <w:snapToGrid/>
          <w:szCs w:val="22"/>
          <w:lang w:val="de-DE" w:eastAsia="de-DE"/>
        </w:rPr>
        <w:t>Tolucombi</w:t>
      </w:r>
      <w:proofErr w:type="spellEnd"/>
      <w:r w:rsidRPr="00DE1967">
        <w:rPr>
          <w:snapToGrid/>
          <w:szCs w:val="22"/>
          <w:lang w:val="de-DE" w:eastAsia="de-DE"/>
        </w:rPr>
        <w:t xml:space="preserve"> aufzubewahren?</w:t>
      </w:r>
    </w:p>
    <w:p w:rsidR="00637E20" w:rsidRPr="00DE1967" w:rsidRDefault="00C93F33" w:rsidP="0003742E">
      <w:pPr>
        <w:widowControl w:val="0"/>
        <w:numPr>
          <w:ilvl w:val="12"/>
          <w:numId w:val="0"/>
        </w:numPr>
        <w:tabs>
          <w:tab w:val="left" w:pos="720"/>
        </w:tabs>
        <w:spacing w:line="240" w:lineRule="auto"/>
        <w:ind w:left="567" w:right="-2" w:hanging="567"/>
        <w:rPr>
          <w:noProof/>
          <w:szCs w:val="22"/>
          <w:lang w:val="de-DE"/>
        </w:rPr>
      </w:pPr>
      <w:r w:rsidRPr="00DE1967">
        <w:rPr>
          <w:snapToGrid/>
          <w:szCs w:val="22"/>
          <w:lang w:val="de-DE" w:eastAsia="de-DE"/>
        </w:rPr>
        <w:t>6.</w:t>
      </w:r>
      <w:r w:rsidR="00AF2380" w:rsidRPr="00DE1967">
        <w:rPr>
          <w:snapToGrid/>
          <w:szCs w:val="22"/>
          <w:lang w:val="de-DE" w:eastAsia="de-DE"/>
        </w:rPr>
        <w:tab/>
        <w:t>Inhalt der Packung und weitere Informationen</w:t>
      </w:r>
    </w:p>
    <w:p w:rsidR="00637E20" w:rsidRPr="00DE1967" w:rsidRDefault="00637E20" w:rsidP="0003742E">
      <w:pPr>
        <w:widowControl w:val="0"/>
        <w:numPr>
          <w:ilvl w:val="12"/>
          <w:numId w:val="0"/>
        </w:numPr>
        <w:tabs>
          <w:tab w:val="clear" w:pos="567"/>
          <w:tab w:val="left" w:pos="720"/>
        </w:tabs>
        <w:spacing w:line="240" w:lineRule="auto"/>
        <w:rPr>
          <w:noProof/>
          <w:szCs w:val="22"/>
          <w:lang w:val="de-DE"/>
        </w:rPr>
      </w:pPr>
    </w:p>
    <w:p w:rsidR="00544F89" w:rsidRPr="00DE1967" w:rsidRDefault="00544F89" w:rsidP="0003742E">
      <w:pPr>
        <w:widowControl w:val="0"/>
        <w:numPr>
          <w:ilvl w:val="12"/>
          <w:numId w:val="0"/>
        </w:numPr>
        <w:tabs>
          <w:tab w:val="clear" w:pos="567"/>
          <w:tab w:val="left" w:pos="720"/>
        </w:tabs>
        <w:spacing w:line="240" w:lineRule="auto"/>
        <w:rPr>
          <w:noProof/>
          <w:szCs w:val="22"/>
          <w:lang w:val="de-DE"/>
        </w:rPr>
      </w:pPr>
    </w:p>
    <w:p w:rsidR="00F8062C" w:rsidRPr="00DE1967" w:rsidRDefault="006028DA" w:rsidP="0003742E">
      <w:pPr>
        <w:widowControl w:val="0"/>
        <w:autoSpaceDE w:val="0"/>
        <w:autoSpaceDN w:val="0"/>
        <w:adjustRightInd w:val="0"/>
        <w:spacing w:line="240" w:lineRule="auto"/>
        <w:ind w:left="567" w:hanging="567"/>
        <w:rPr>
          <w:b/>
          <w:bCs/>
          <w:snapToGrid/>
          <w:szCs w:val="22"/>
          <w:lang w:val="de-DE" w:eastAsia="de-DE"/>
        </w:rPr>
      </w:pPr>
      <w:r w:rsidRPr="00DE1967">
        <w:rPr>
          <w:b/>
          <w:bCs/>
          <w:snapToGrid/>
          <w:szCs w:val="22"/>
          <w:lang w:val="de-DE" w:eastAsia="de-DE"/>
        </w:rPr>
        <w:t>1.</w:t>
      </w:r>
      <w:r w:rsidR="00F8062C" w:rsidRPr="00DE1967">
        <w:rPr>
          <w:b/>
          <w:bCs/>
          <w:snapToGrid/>
          <w:szCs w:val="22"/>
          <w:lang w:val="de-DE" w:eastAsia="de-DE"/>
        </w:rPr>
        <w:tab/>
        <w:t xml:space="preserve">Was ist </w:t>
      </w:r>
      <w:proofErr w:type="spellStart"/>
      <w:r w:rsidR="00F8062C" w:rsidRPr="00DE1967">
        <w:rPr>
          <w:b/>
          <w:bCs/>
          <w:snapToGrid/>
          <w:szCs w:val="22"/>
          <w:lang w:val="de-DE" w:eastAsia="de-DE"/>
        </w:rPr>
        <w:t>Tolucombi</w:t>
      </w:r>
      <w:proofErr w:type="spellEnd"/>
      <w:r w:rsidR="00F8062C" w:rsidRPr="00DE1967">
        <w:rPr>
          <w:b/>
          <w:bCs/>
          <w:snapToGrid/>
          <w:szCs w:val="22"/>
          <w:lang w:val="de-DE" w:eastAsia="de-DE"/>
        </w:rPr>
        <w:t xml:space="preserve"> und wofür wird es angewendet?</w:t>
      </w:r>
    </w:p>
    <w:p w:rsidR="00F8062C" w:rsidRPr="00DE1967" w:rsidRDefault="00F8062C" w:rsidP="0003742E">
      <w:pPr>
        <w:widowControl w:val="0"/>
        <w:autoSpaceDE w:val="0"/>
        <w:autoSpaceDN w:val="0"/>
        <w:adjustRightInd w:val="0"/>
        <w:spacing w:line="240" w:lineRule="auto"/>
        <w:rPr>
          <w:b/>
          <w:bCs/>
          <w:snapToGrid/>
          <w:szCs w:val="22"/>
          <w:lang w:val="de-DE" w:eastAsia="de-DE"/>
        </w:rPr>
      </w:pPr>
    </w:p>
    <w:p w:rsidR="00F8062C" w:rsidRPr="00DE1967" w:rsidRDefault="00F8062C" w:rsidP="0003742E">
      <w:pPr>
        <w:widowControl w:val="0"/>
        <w:tabs>
          <w:tab w:val="clear" w:pos="567"/>
        </w:tabs>
        <w:autoSpaceDE w:val="0"/>
        <w:autoSpaceDN w:val="0"/>
        <w:adjustRightInd w:val="0"/>
        <w:spacing w:line="240" w:lineRule="auto"/>
        <w:rPr>
          <w:snapToGrid/>
          <w:szCs w:val="22"/>
          <w:lang w:val="de-DE" w:eastAsia="de-DE"/>
        </w:rPr>
      </w:pPr>
      <w:proofErr w:type="spellStart"/>
      <w:r w:rsidRPr="00DE1967">
        <w:rPr>
          <w:snapToGrid/>
          <w:szCs w:val="22"/>
          <w:lang w:val="de-DE" w:eastAsia="de-DE"/>
        </w:rPr>
        <w:t>Tolucombi</w:t>
      </w:r>
      <w:proofErr w:type="spellEnd"/>
      <w:r w:rsidRPr="00DE1967">
        <w:rPr>
          <w:snapToGrid/>
          <w:szCs w:val="22"/>
          <w:lang w:val="de-DE" w:eastAsia="de-DE"/>
        </w:rPr>
        <w:t xml:space="preserve"> ist eine Kombination der beiden Wirkstoffe Telmisartan und Hydrochlorothiazid in einer Tablette. Beide Wirkstoffe helfen, hohen Blutdruck zu kontrollieren.</w:t>
      </w:r>
    </w:p>
    <w:p w:rsidR="00F8062C" w:rsidRPr="00DE1967" w:rsidRDefault="00F8062C" w:rsidP="0003742E">
      <w:pPr>
        <w:widowControl w:val="0"/>
        <w:tabs>
          <w:tab w:val="clear" w:pos="567"/>
        </w:tabs>
        <w:autoSpaceDE w:val="0"/>
        <w:autoSpaceDN w:val="0"/>
        <w:adjustRightInd w:val="0"/>
        <w:spacing w:line="240" w:lineRule="auto"/>
        <w:rPr>
          <w:snapToGrid/>
          <w:szCs w:val="22"/>
          <w:lang w:val="de-DE" w:eastAsia="de-DE"/>
        </w:rPr>
      </w:pPr>
    </w:p>
    <w:p w:rsidR="00F8062C" w:rsidRPr="00DE1967" w:rsidRDefault="006028DA" w:rsidP="0003742E">
      <w:pPr>
        <w:widowControl w:val="0"/>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t>
      </w:r>
      <w:r w:rsidR="00F8062C" w:rsidRPr="00DE1967">
        <w:rPr>
          <w:snapToGrid/>
          <w:szCs w:val="22"/>
          <w:lang w:val="de-DE" w:eastAsia="de-DE"/>
        </w:rPr>
        <w:tab/>
        <w:t>Telmisartan gehört zu einer Gruppe von Arzneimitteln, die als Angiotensin-II-Rezeptor-Antagonisten bezeichnet werden. Angiotensin II ist eine Substanz, die in Ihrem Körper gebildet wird und die Blutgefäße enger werden lässt. Dies erhöht Ihren Blutdruck. Telmisartan blockiert die Wirkung von Angiotensin II, sodass die Blutgefäße entspannt werden und Ihr Blutdruck sinkt.</w:t>
      </w:r>
    </w:p>
    <w:p w:rsidR="00F8062C" w:rsidRPr="00DE1967" w:rsidRDefault="00F8062C" w:rsidP="0003742E">
      <w:pPr>
        <w:widowControl w:val="0"/>
        <w:tabs>
          <w:tab w:val="clear" w:pos="567"/>
        </w:tabs>
        <w:autoSpaceDE w:val="0"/>
        <w:autoSpaceDN w:val="0"/>
        <w:adjustRightInd w:val="0"/>
        <w:spacing w:line="240" w:lineRule="auto"/>
        <w:ind w:left="567" w:hanging="567"/>
        <w:rPr>
          <w:snapToGrid/>
          <w:szCs w:val="22"/>
          <w:lang w:val="de-DE" w:eastAsia="de-DE"/>
        </w:rPr>
      </w:pPr>
    </w:p>
    <w:p w:rsidR="00F8062C" w:rsidRPr="00DE1967" w:rsidRDefault="006028DA" w:rsidP="0003742E">
      <w:pPr>
        <w:widowControl w:val="0"/>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t>
      </w:r>
      <w:r w:rsidR="00F8062C" w:rsidRPr="00DE1967">
        <w:rPr>
          <w:snapToGrid/>
          <w:szCs w:val="22"/>
          <w:lang w:val="de-DE" w:eastAsia="de-DE"/>
        </w:rPr>
        <w:tab/>
        <w:t>Hydrochlorothiazid gehört zu einer Gruppe von Arzneimitteln, die als Thiaziddiuretika bezeichnet werden. Hydrochlorothiazid erhöht die Urinausscheidung und führt dadurch zu einem Absenken Ihres Blutdrucks.</w:t>
      </w:r>
    </w:p>
    <w:p w:rsidR="00F8062C" w:rsidRPr="00DE1967" w:rsidRDefault="00F8062C" w:rsidP="0003742E">
      <w:pPr>
        <w:widowControl w:val="0"/>
        <w:tabs>
          <w:tab w:val="clear" w:pos="567"/>
        </w:tabs>
        <w:autoSpaceDE w:val="0"/>
        <w:autoSpaceDN w:val="0"/>
        <w:adjustRightInd w:val="0"/>
        <w:spacing w:line="240" w:lineRule="auto"/>
        <w:ind w:left="567" w:hanging="567"/>
        <w:rPr>
          <w:snapToGrid/>
          <w:szCs w:val="22"/>
          <w:lang w:val="de-DE" w:eastAsia="de-DE"/>
        </w:rPr>
      </w:pPr>
    </w:p>
    <w:p w:rsidR="00F8062C" w:rsidRPr="00DE1967" w:rsidRDefault="00F8062C"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Hoher Blutdruck kann unbehandelt in verschiedenen Organen zu einer Schädigung der Blutgefäße führen. Manchmal kann dies zu Herzinfarkt, Herz- oder Nierenversagen, Schlaganfall oder Erblindung führen. Da Bluthochdruck vor Eintritt einer Schädigung gewöhnlich keine Symptome verursacht, ist eine regelmäßige Messung des Blutdrucks notwendig, um festzustellen, ob dieser im Normalbereich liegt.</w:t>
      </w:r>
    </w:p>
    <w:p w:rsidR="00F8062C" w:rsidRPr="00DE1967" w:rsidRDefault="00F8062C" w:rsidP="0003742E">
      <w:pPr>
        <w:widowControl w:val="0"/>
        <w:tabs>
          <w:tab w:val="clear" w:pos="567"/>
        </w:tabs>
        <w:autoSpaceDE w:val="0"/>
        <w:autoSpaceDN w:val="0"/>
        <w:adjustRightInd w:val="0"/>
        <w:spacing w:line="240" w:lineRule="auto"/>
        <w:rPr>
          <w:snapToGrid/>
          <w:szCs w:val="22"/>
          <w:lang w:val="de-DE" w:eastAsia="de-DE"/>
        </w:rPr>
      </w:pPr>
    </w:p>
    <w:p w:rsidR="00637E20" w:rsidRPr="00DE1967" w:rsidRDefault="00F8062C" w:rsidP="0003742E">
      <w:pPr>
        <w:widowControl w:val="0"/>
        <w:tabs>
          <w:tab w:val="clear" w:pos="567"/>
        </w:tabs>
        <w:autoSpaceDE w:val="0"/>
        <w:autoSpaceDN w:val="0"/>
        <w:adjustRightInd w:val="0"/>
        <w:spacing w:line="240" w:lineRule="auto"/>
        <w:rPr>
          <w:snapToGrid/>
          <w:szCs w:val="22"/>
          <w:lang w:val="de-DE" w:eastAsia="de-DE"/>
        </w:rPr>
      </w:pPr>
      <w:proofErr w:type="spellStart"/>
      <w:r w:rsidRPr="00DE1967">
        <w:rPr>
          <w:b/>
          <w:snapToGrid/>
          <w:szCs w:val="22"/>
          <w:lang w:val="de-DE" w:eastAsia="de-DE"/>
        </w:rPr>
        <w:t>Tolucombi</w:t>
      </w:r>
      <w:proofErr w:type="spellEnd"/>
      <w:r w:rsidRPr="00DE1967">
        <w:rPr>
          <w:b/>
          <w:snapToGrid/>
          <w:szCs w:val="22"/>
          <w:lang w:val="de-DE" w:eastAsia="de-DE"/>
        </w:rPr>
        <w:t xml:space="preserve"> </w:t>
      </w:r>
      <w:r w:rsidR="005242B6" w:rsidRPr="00DE1967">
        <w:rPr>
          <w:b/>
          <w:bCs/>
          <w:szCs w:val="22"/>
          <w:lang w:val="de-DE"/>
        </w:rPr>
        <w:t>(40</w:t>
      </w:r>
      <w:r w:rsidR="00023E2B" w:rsidRPr="00DE1967">
        <w:rPr>
          <w:b/>
          <w:bCs/>
          <w:szCs w:val="22"/>
          <w:lang w:val="de-DE"/>
        </w:rPr>
        <w:t> mg</w:t>
      </w:r>
      <w:r w:rsidR="005242B6" w:rsidRPr="00DE1967">
        <w:rPr>
          <w:b/>
          <w:bCs/>
          <w:szCs w:val="22"/>
          <w:lang w:val="de-DE"/>
        </w:rPr>
        <w:t>/12</w:t>
      </w:r>
      <w:r w:rsidR="00AD7359" w:rsidRPr="00DE1967">
        <w:rPr>
          <w:b/>
          <w:bCs/>
          <w:szCs w:val="22"/>
          <w:lang w:val="de-DE"/>
        </w:rPr>
        <w:t>,</w:t>
      </w:r>
      <w:r w:rsidR="005242B6" w:rsidRPr="00DE1967">
        <w:rPr>
          <w:b/>
          <w:bCs/>
          <w:szCs w:val="22"/>
          <w:lang w:val="de-DE"/>
        </w:rPr>
        <w:t>5</w:t>
      </w:r>
      <w:r w:rsidR="00023E2B" w:rsidRPr="00DE1967">
        <w:rPr>
          <w:b/>
          <w:bCs/>
          <w:szCs w:val="22"/>
          <w:lang w:val="de-DE"/>
        </w:rPr>
        <w:t> mg</w:t>
      </w:r>
      <w:r w:rsidR="005242B6" w:rsidRPr="00DE1967">
        <w:rPr>
          <w:b/>
          <w:bCs/>
          <w:szCs w:val="22"/>
          <w:lang w:val="de-DE"/>
        </w:rPr>
        <w:t>, 80</w:t>
      </w:r>
      <w:r w:rsidR="00023E2B" w:rsidRPr="00DE1967">
        <w:rPr>
          <w:b/>
          <w:bCs/>
          <w:szCs w:val="22"/>
          <w:lang w:val="de-DE"/>
        </w:rPr>
        <w:t> mg</w:t>
      </w:r>
      <w:r w:rsidR="005242B6" w:rsidRPr="00DE1967">
        <w:rPr>
          <w:b/>
          <w:bCs/>
          <w:szCs w:val="22"/>
          <w:lang w:val="de-DE"/>
        </w:rPr>
        <w:t>/12</w:t>
      </w:r>
      <w:r w:rsidR="00AD7359" w:rsidRPr="00DE1967">
        <w:rPr>
          <w:b/>
          <w:bCs/>
          <w:szCs w:val="22"/>
          <w:lang w:val="de-DE"/>
        </w:rPr>
        <w:t>,</w:t>
      </w:r>
      <w:r w:rsidR="005242B6" w:rsidRPr="00DE1967">
        <w:rPr>
          <w:b/>
          <w:bCs/>
          <w:szCs w:val="22"/>
          <w:lang w:val="de-DE"/>
        </w:rPr>
        <w:t>5</w:t>
      </w:r>
      <w:r w:rsidR="00023E2B" w:rsidRPr="00DE1967">
        <w:rPr>
          <w:b/>
          <w:bCs/>
          <w:szCs w:val="22"/>
          <w:lang w:val="de-DE"/>
        </w:rPr>
        <w:t> mg</w:t>
      </w:r>
      <w:r w:rsidR="005242B6" w:rsidRPr="00DE1967">
        <w:rPr>
          <w:b/>
          <w:bCs/>
          <w:szCs w:val="22"/>
          <w:lang w:val="de-DE"/>
        </w:rPr>
        <w:t>)</w:t>
      </w:r>
      <w:r w:rsidR="00F50593" w:rsidRPr="00DE1967">
        <w:rPr>
          <w:b/>
          <w:bCs/>
          <w:szCs w:val="22"/>
          <w:lang w:val="de-DE"/>
        </w:rPr>
        <w:t xml:space="preserve"> </w:t>
      </w:r>
      <w:r w:rsidRPr="00DE1967">
        <w:rPr>
          <w:b/>
          <w:snapToGrid/>
          <w:szCs w:val="22"/>
          <w:lang w:val="de-DE" w:eastAsia="de-DE"/>
        </w:rPr>
        <w:t>wird für die Behandlung von</w:t>
      </w:r>
      <w:r w:rsidRPr="00DE1967">
        <w:rPr>
          <w:snapToGrid/>
          <w:szCs w:val="22"/>
          <w:lang w:val="de-DE" w:eastAsia="de-DE"/>
        </w:rPr>
        <w:t xml:space="preserve"> Bluthochdruck (essentielle Hypertonie) bei Erwachsenen</w:t>
      </w:r>
      <w:r w:rsidR="004A3CFB" w:rsidRPr="00DE1967">
        <w:rPr>
          <w:snapToGrid/>
          <w:szCs w:val="22"/>
          <w:lang w:val="de-DE" w:eastAsia="de-DE"/>
        </w:rPr>
        <w:t xml:space="preserve"> </w:t>
      </w:r>
      <w:r w:rsidRPr="00DE1967">
        <w:rPr>
          <w:snapToGrid/>
          <w:szCs w:val="22"/>
          <w:lang w:val="de-DE" w:eastAsia="de-DE"/>
        </w:rPr>
        <w:t>verwendet, deren Blutdruck bei Einnahme von Telmisartan allein nicht ausreichend kontrolliert ist.</w:t>
      </w:r>
    </w:p>
    <w:p w:rsidR="00F8062C" w:rsidRPr="00DE1967" w:rsidRDefault="00F8062C" w:rsidP="0003742E">
      <w:pPr>
        <w:widowControl w:val="0"/>
        <w:tabs>
          <w:tab w:val="clear" w:pos="567"/>
        </w:tabs>
        <w:autoSpaceDE w:val="0"/>
        <w:autoSpaceDN w:val="0"/>
        <w:adjustRightInd w:val="0"/>
        <w:spacing w:line="240" w:lineRule="auto"/>
        <w:rPr>
          <w:snapToGrid/>
          <w:szCs w:val="22"/>
          <w:lang w:val="de-DE" w:eastAsia="de-DE"/>
        </w:rPr>
      </w:pPr>
      <w:proofErr w:type="spellStart"/>
      <w:r w:rsidRPr="00DE1967">
        <w:rPr>
          <w:b/>
          <w:snapToGrid/>
          <w:szCs w:val="22"/>
          <w:lang w:val="de-DE" w:eastAsia="de-DE"/>
        </w:rPr>
        <w:t>Tolucombi</w:t>
      </w:r>
      <w:proofErr w:type="spellEnd"/>
      <w:r w:rsidRPr="00DE1967">
        <w:rPr>
          <w:b/>
          <w:snapToGrid/>
          <w:szCs w:val="22"/>
          <w:lang w:val="de-DE" w:eastAsia="de-DE"/>
        </w:rPr>
        <w:t xml:space="preserve"> </w:t>
      </w:r>
      <w:r w:rsidR="005242B6" w:rsidRPr="00DE1967">
        <w:rPr>
          <w:b/>
          <w:bCs/>
          <w:noProof/>
          <w:szCs w:val="22"/>
          <w:lang w:val="de-DE"/>
        </w:rPr>
        <w:t>(80</w:t>
      </w:r>
      <w:r w:rsidR="00023E2B" w:rsidRPr="00DE1967">
        <w:rPr>
          <w:b/>
          <w:bCs/>
          <w:noProof/>
          <w:szCs w:val="22"/>
          <w:lang w:val="de-DE"/>
        </w:rPr>
        <w:t> mg</w:t>
      </w:r>
      <w:r w:rsidR="005242B6" w:rsidRPr="00DE1967">
        <w:rPr>
          <w:b/>
          <w:bCs/>
          <w:noProof/>
          <w:szCs w:val="22"/>
          <w:lang w:val="de-DE"/>
        </w:rPr>
        <w:t>/25</w:t>
      </w:r>
      <w:r w:rsidR="00023E2B" w:rsidRPr="00DE1967">
        <w:rPr>
          <w:b/>
          <w:bCs/>
          <w:noProof/>
          <w:szCs w:val="22"/>
          <w:lang w:val="de-DE"/>
        </w:rPr>
        <w:t> mg</w:t>
      </w:r>
      <w:r w:rsidR="005242B6" w:rsidRPr="00DE1967">
        <w:rPr>
          <w:b/>
          <w:bCs/>
          <w:noProof/>
          <w:szCs w:val="22"/>
          <w:lang w:val="de-DE"/>
        </w:rPr>
        <w:t>)</w:t>
      </w:r>
      <w:r w:rsidR="00F50593" w:rsidRPr="00DE1967">
        <w:rPr>
          <w:b/>
          <w:bCs/>
          <w:noProof/>
          <w:szCs w:val="22"/>
          <w:lang w:val="de-DE"/>
        </w:rPr>
        <w:t xml:space="preserve"> </w:t>
      </w:r>
      <w:r w:rsidRPr="00DE1967">
        <w:rPr>
          <w:b/>
          <w:snapToGrid/>
          <w:szCs w:val="22"/>
          <w:lang w:val="de-DE" w:eastAsia="de-DE"/>
        </w:rPr>
        <w:t>wird für die Behandlung von</w:t>
      </w:r>
      <w:r w:rsidRPr="00DE1967">
        <w:rPr>
          <w:snapToGrid/>
          <w:szCs w:val="22"/>
          <w:lang w:val="de-DE" w:eastAsia="de-DE"/>
        </w:rPr>
        <w:t xml:space="preserve"> Bluthochdruck (essentielle Hypertonie) bei Erwachsenen</w:t>
      </w:r>
      <w:r w:rsidR="004A3CFB" w:rsidRPr="00DE1967">
        <w:rPr>
          <w:snapToGrid/>
          <w:szCs w:val="22"/>
          <w:lang w:val="de-DE" w:eastAsia="de-DE"/>
        </w:rPr>
        <w:t xml:space="preserve"> </w:t>
      </w:r>
      <w:r w:rsidRPr="00DE1967">
        <w:rPr>
          <w:snapToGrid/>
          <w:szCs w:val="22"/>
          <w:lang w:val="de-DE" w:eastAsia="de-DE"/>
        </w:rPr>
        <w:t xml:space="preserve">verwendet, deren Blutdruck mit </w:t>
      </w:r>
      <w:proofErr w:type="spellStart"/>
      <w:r w:rsidRPr="00DE1967">
        <w:rPr>
          <w:snapToGrid/>
          <w:szCs w:val="22"/>
          <w:lang w:val="de-DE" w:eastAsia="de-DE"/>
        </w:rPr>
        <w:t>Tolucombi</w:t>
      </w:r>
      <w:proofErr w:type="spellEnd"/>
      <w:r w:rsidRPr="00DE1967">
        <w:rPr>
          <w:snapToGrid/>
          <w:szCs w:val="22"/>
          <w:lang w:val="de-DE" w:eastAsia="de-DE"/>
        </w:rPr>
        <w:t xml:space="preserve"> 80</w:t>
      </w:r>
      <w:r w:rsidR="00023E2B" w:rsidRPr="00DE1967">
        <w:rPr>
          <w:snapToGrid/>
          <w:szCs w:val="22"/>
          <w:lang w:val="de-DE" w:eastAsia="de-DE"/>
        </w:rPr>
        <w:t> mg</w:t>
      </w:r>
      <w:r w:rsidRPr="00DE1967">
        <w:rPr>
          <w:snapToGrid/>
          <w:szCs w:val="22"/>
          <w:lang w:val="de-DE" w:eastAsia="de-DE"/>
        </w:rPr>
        <w:t>/12,5</w:t>
      </w:r>
      <w:r w:rsidR="00023E2B" w:rsidRPr="00DE1967">
        <w:rPr>
          <w:snapToGrid/>
          <w:szCs w:val="22"/>
          <w:lang w:val="de-DE" w:eastAsia="de-DE"/>
        </w:rPr>
        <w:t> mg</w:t>
      </w:r>
      <w:r w:rsidRPr="00DE1967">
        <w:rPr>
          <w:snapToGrid/>
          <w:szCs w:val="22"/>
          <w:lang w:val="de-DE" w:eastAsia="de-DE"/>
        </w:rPr>
        <w:t xml:space="preserve"> nicht ausreichend kontrolliert ist, oder</w:t>
      </w:r>
      <w:r w:rsidR="004A3CFB" w:rsidRPr="00DE1967">
        <w:rPr>
          <w:snapToGrid/>
          <w:szCs w:val="22"/>
          <w:lang w:val="de-DE" w:eastAsia="de-DE"/>
        </w:rPr>
        <w:t xml:space="preserve"> </w:t>
      </w:r>
      <w:r w:rsidRPr="00DE1967">
        <w:rPr>
          <w:snapToGrid/>
          <w:szCs w:val="22"/>
          <w:lang w:val="de-DE" w:eastAsia="de-DE"/>
        </w:rPr>
        <w:t>bei Erwachsenen, die zuvor mit den Einzelwirkstoffen Telmisartan und Hydrochlorothiazid stabil</w:t>
      </w:r>
      <w:r w:rsidR="004A3CFB" w:rsidRPr="00DE1967">
        <w:rPr>
          <w:snapToGrid/>
          <w:szCs w:val="22"/>
          <w:lang w:val="de-DE" w:eastAsia="de-DE"/>
        </w:rPr>
        <w:t xml:space="preserve"> </w:t>
      </w:r>
      <w:r w:rsidRPr="00DE1967">
        <w:rPr>
          <w:snapToGrid/>
          <w:szCs w:val="22"/>
          <w:lang w:val="de-DE" w:eastAsia="de-DE"/>
        </w:rPr>
        <w:t>eingestellt wurden.</w:t>
      </w:r>
    </w:p>
    <w:p w:rsidR="00F8062C" w:rsidRPr="00DE1967" w:rsidRDefault="00F8062C" w:rsidP="0003742E">
      <w:pPr>
        <w:widowControl w:val="0"/>
        <w:tabs>
          <w:tab w:val="clear" w:pos="567"/>
          <w:tab w:val="left" w:pos="720"/>
        </w:tabs>
        <w:spacing w:line="240" w:lineRule="auto"/>
        <w:ind w:right="-2"/>
        <w:rPr>
          <w:snapToGrid/>
          <w:szCs w:val="22"/>
          <w:lang w:val="de-DE" w:eastAsia="de-DE"/>
        </w:rPr>
      </w:pPr>
    </w:p>
    <w:p w:rsidR="00F8062C" w:rsidRPr="00DE1967" w:rsidRDefault="00F8062C" w:rsidP="0003742E">
      <w:pPr>
        <w:widowControl w:val="0"/>
        <w:tabs>
          <w:tab w:val="clear" w:pos="567"/>
          <w:tab w:val="left" w:pos="720"/>
        </w:tabs>
        <w:spacing w:line="240" w:lineRule="auto"/>
        <w:ind w:right="-2"/>
        <w:rPr>
          <w:noProof/>
          <w:szCs w:val="22"/>
          <w:lang w:val="de-DE"/>
        </w:rPr>
      </w:pPr>
    </w:p>
    <w:p w:rsidR="00544F89" w:rsidRPr="00DE1967" w:rsidRDefault="00637E20" w:rsidP="0003742E">
      <w:pPr>
        <w:widowControl w:val="0"/>
        <w:numPr>
          <w:ilvl w:val="0"/>
          <w:numId w:val="4"/>
        </w:numPr>
        <w:tabs>
          <w:tab w:val="clear" w:pos="570"/>
        </w:tabs>
        <w:snapToGrid w:val="0"/>
        <w:spacing w:line="240" w:lineRule="auto"/>
        <w:ind w:right="-2"/>
        <w:rPr>
          <w:noProof/>
          <w:szCs w:val="22"/>
          <w:lang w:val="de-DE"/>
        </w:rPr>
      </w:pPr>
      <w:r w:rsidRPr="00DE1967">
        <w:rPr>
          <w:b/>
          <w:noProof/>
          <w:szCs w:val="22"/>
          <w:lang w:val="de-DE"/>
        </w:rPr>
        <w:t xml:space="preserve">Was sollten Sie vor der Einnahme von </w:t>
      </w:r>
      <w:proofErr w:type="spellStart"/>
      <w:r w:rsidR="00F8062C" w:rsidRPr="00DE1967">
        <w:rPr>
          <w:b/>
          <w:snapToGrid/>
          <w:szCs w:val="22"/>
          <w:lang w:val="de-DE" w:eastAsia="de-DE"/>
        </w:rPr>
        <w:t>Tolucombi</w:t>
      </w:r>
      <w:proofErr w:type="spellEnd"/>
      <w:r w:rsidRPr="00DE1967">
        <w:rPr>
          <w:b/>
          <w:noProof/>
          <w:szCs w:val="22"/>
          <w:lang w:val="de-DE"/>
        </w:rPr>
        <w:t xml:space="preserve"> beachten?</w:t>
      </w:r>
    </w:p>
    <w:p w:rsidR="00544F89" w:rsidRPr="00DE1967" w:rsidRDefault="00544F89" w:rsidP="0003742E">
      <w:pPr>
        <w:widowControl w:val="0"/>
        <w:numPr>
          <w:ilvl w:val="12"/>
          <w:numId w:val="0"/>
        </w:numPr>
        <w:tabs>
          <w:tab w:val="clear" w:pos="567"/>
          <w:tab w:val="left" w:pos="720"/>
        </w:tabs>
        <w:spacing w:line="240" w:lineRule="auto"/>
        <w:outlineLvl w:val="0"/>
        <w:rPr>
          <w:b/>
          <w:snapToGrid/>
          <w:szCs w:val="22"/>
          <w:lang w:val="de-DE" w:eastAsia="de-DE"/>
        </w:rPr>
      </w:pPr>
    </w:p>
    <w:p w:rsidR="00544F89" w:rsidRPr="00DE1967" w:rsidRDefault="00F8062C" w:rsidP="0003742E">
      <w:pPr>
        <w:widowControl w:val="0"/>
        <w:numPr>
          <w:ilvl w:val="12"/>
          <w:numId w:val="0"/>
        </w:numPr>
        <w:tabs>
          <w:tab w:val="clear" w:pos="567"/>
          <w:tab w:val="left" w:pos="720"/>
        </w:tabs>
        <w:spacing w:line="240" w:lineRule="auto"/>
        <w:outlineLvl w:val="0"/>
        <w:rPr>
          <w:b/>
          <w:noProof/>
          <w:szCs w:val="22"/>
          <w:lang w:val="de-DE"/>
        </w:rPr>
      </w:pPr>
      <w:proofErr w:type="spellStart"/>
      <w:r w:rsidRPr="00DE1967">
        <w:rPr>
          <w:b/>
          <w:snapToGrid/>
          <w:szCs w:val="22"/>
          <w:lang w:val="de-DE" w:eastAsia="de-DE"/>
        </w:rPr>
        <w:t>Tolucombi</w:t>
      </w:r>
      <w:proofErr w:type="spellEnd"/>
      <w:r w:rsidR="00AD7359" w:rsidRPr="00DE1967">
        <w:rPr>
          <w:b/>
          <w:noProof/>
          <w:szCs w:val="22"/>
          <w:lang w:val="de-DE"/>
        </w:rPr>
        <w:t xml:space="preserve"> darf nicht eingenommen werden</w:t>
      </w:r>
      <w:r w:rsidR="000955A3" w:rsidRPr="00DE1967">
        <w:rPr>
          <w:b/>
          <w:noProof/>
          <w:szCs w:val="22"/>
          <w:lang w:val="de-DE"/>
        </w:rPr>
        <w:t>,</w:t>
      </w:r>
    </w:p>
    <w:p w:rsidR="000955A3" w:rsidRPr="00DE1967" w:rsidRDefault="000955A3" w:rsidP="0003742E">
      <w:pPr>
        <w:widowControl w:val="0"/>
        <w:numPr>
          <w:ilvl w:val="12"/>
          <w:numId w:val="0"/>
        </w:numPr>
        <w:tabs>
          <w:tab w:val="clear" w:pos="567"/>
          <w:tab w:val="left" w:pos="720"/>
        </w:tabs>
        <w:spacing w:line="240" w:lineRule="auto"/>
        <w:outlineLvl w:val="0"/>
        <w:rPr>
          <w:b/>
          <w:szCs w:val="22"/>
          <w:lang w:val="de-DE"/>
        </w:rPr>
      </w:pPr>
    </w:p>
    <w:p w:rsidR="00F8062C" w:rsidRPr="00DE1967" w:rsidRDefault="00F8062C"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wenn Sie allergisch gegen Telmisartan oder einen der in Abschnitt 6. genannten sonstigen Bestandteile dieses Arzneimittels sind;</w:t>
      </w:r>
    </w:p>
    <w:p w:rsidR="00F8062C" w:rsidRPr="00DE1967" w:rsidRDefault="00F8062C"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wenn Sie allergisch gegen Hydrochlorothiazid oder andere Sulfonamid-Abkömmlinge sind;</w:t>
      </w:r>
    </w:p>
    <w:p w:rsidR="004055AE" w:rsidRPr="00DE1967" w:rsidRDefault="00F8062C"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 xml:space="preserve">wenn Sie länger als 3 Monate schwanger sind (es ist jedoch besser, </w:t>
      </w:r>
      <w:proofErr w:type="spellStart"/>
      <w:r w:rsidR="004055AE" w:rsidRPr="00DE1967">
        <w:rPr>
          <w:snapToGrid/>
          <w:szCs w:val="22"/>
          <w:lang w:val="de-DE" w:eastAsia="de-DE"/>
        </w:rPr>
        <w:t>Tolucombi</w:t>
      </w:r>
      <w:proofErr w:type="spellEnd"/>
      <w:r w:rsidRPr="00DE1967">
        <w:rPr>
          <w:snapToGrid/>
          <w:szCs w:val="22"/>
          <w:lang w:val="de-DE" w:eastAsia="de-DE"/>
        </w:rPr>
        <w:t xml:space="preserve"> in der</w:t>
      </w:r>
      <w:r w:rsidR="004055AE" w:rsidRPr="00DE1967">
        <w:rPr>
          <w:snapToGrid/>
          <w:szCs w:val="22"/>
          <w:lang w:val="de-DE" w:eastAsia="de-DE"/>
        </w:rPr>
        <w:t xml:space="preserve"> </w:t>
      </w:r>
      <w:r w:rsidRPr="00DE1967">
        <w:rPr>
          <w:snapToGrid/>
          <w:szCs w:val="22"/>
          <w:lang w:val="de-DE" w:eastAsia="de-DE"/>
        </w:rPr>
        <w:t>Frühschwangerschaft zu meiden – siehe Abschnitt Schwangerschaft);</w:t>
      </w:r>
    </w:p>
    <w:p w:rsidR="004055AE" w:rsidRPr="00DE1967" w:rsidRDefault="00F8062C"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wenn Sie an schweren Leberfunktionsstörungen wie einer Cholestase oder einer</w:t>
      </w:r>
      <w:r w:rsidR="004055AE" w:rsidRPr="00DE1967">
        <w:rPr>
          <w:snapToGrid/>
          <w:szCs w:val="22"/>
          <w:lang w:val="de-DE" w:eastAsia="de-DE"/>
        </w:rPr>
        <w:t xml:space="preserve"> </w:t>
      </w:r>
      <w:proofErr w:type="spellStart"/>
      <w:r w:rsidRPr="00DE1967">
        <w:rPr>
          <w:snapToGrid/>
          <w:szCs w:val="22"/>
          <w:lang w:val="de-DE" w:eastAsia="de-DE"/>
        </w:rPr>
        <w:t>Gallengangsobstruktion</w:t>
      </w:r>
      <w:proofErr w:type="spellEnd"/>
      <w:r w:rsidRPr="00DE1967">
        <w:rPr>
          <w:snapToGrid/>
          <w:szCs w:val="22"/>
          <w:lang w:val="de-DE" w:eastAsia="de-DE"/>
        </w:rPr>
        <w:t xml:space="preserve"> (Abflussstörung der Gallenflüssigkeit aus </w:t>
      </w:r>
      <w:r w:rsidR="0046112A" w:rsidRPr="00DE1967">
        <w:rPr>
          <w:szCs w:val="22"/>
          <w:lang w:val="de-DE"/>
        </w:rPr>
        <w:t>der Leber und</w:t>
      </w:r>
      <w:r w:rsidR="0046112A" w:rsidRPr="00DE1967">
        <w:rPr>
          <w:snapToGrid/>
          <w:szCs w:val="22"/>
          <w:lang w:val="de-DE" w:eastAsia="de-DE"/>
        </w:rPr>
        <w:t xml:space="preserve"> </w:t>
      </w:r>
      <w:r w:rsidRPr="00DE1967">
        <w:rPr>
          <w:snapToGrid/>
          <w:szCs w:val="22"/>
          <w:lang w:val="de-DE" w:eastAsia="de-DE"/>
        </w:rPr>
        <w:t>der Gallenblase) oder einer</w:t>
      </w:r>
      <w:r w:rsidR="004055AE" w:rsidRPr="00DE1967">
        <w:rPr>
          <w:snapToGrid/>
          <w:szCs w:val="22"/>
          <w:lang w:val="de-DE" w:eastAsia="de-DE"/>
        </w:rPr>
        <w:t xml:space="preserve"> </w:t>
      </w:r>
      <w:r w:rsidRPr="00DE1967">
        <w:rPr>
          <w:snapToGrid/>
          <w:szCs w:val="22"/>
          <w:lang w:val="de-DE" w:eastAsia="de-DE"/>
        </w:rPr>
        <w:t>sonstigen schweren Lebererkrankung leiden;</w:t>
      </w:r>
    </w:p>
    <w:p w:rsidR="004055AE" w:rsidRPr="00DE1967" w:rsidRDefault="00F8062C"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wenn Sie an einer schweren Nierenerkrankung leiden;</w:t>
      </w:r>
    </w:p>
    <w:p w:rsidR="00F8062C" w:rsidRPr="00DE1967" w:rsidRDefault="00F8062C"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 xml:space="preserve">wenn Ihr Arzt feststellt, dass Ihr Blut einen zu niedrigen Kalium- oder zu hohen </w:t>
      </w:r>
      <w:r w:rsidR="000955A3" w:rsidRPr="00DE1967">
        <w:rPr>
          <w:snapToGrid/>
          <w:szCs w:val="22"/>
          <w:lang w:val="de-DE" w:eastAsia="de-DE"/>
        </w:rPr>
        <w:t>K</w:t>
      </w:r>
      <w:r w:rsidRPr="00DE1967">
        <w:rPr>
          <w:snapToGrid/>
          <w:szCs w:val="22"/>
          <w:lang w:val="de-DE" w:eastAsia="de-DE"/>
        </w:rPr>
        <w:t>al</w:t>
      </w:r>
      <w:r w:rsidR="000955A3" w:rsidRPr="00DE1967">
        <w:rPr>
          <w:snapToGrid/>
          <w:szCs w:val="22"/>
          <w:lang w:val="de-DE" w:eastAsia="de-DE"/>
        </w:rPr>
        <w:t>z</w:t>
      </w:r>
      <w:r w:rsidRPr="00DE1967">
        <w:rPr>
          <w:snapToGrid/>
          <w:szCs w:val="22"/>
          <w:lang w:val="de-DE" w:eastAsia="de-DE"/>
        </w:rPr>
        <w:t>iumspiegel</w:t>
      </w:r>
      <w:r w:rsidR="004055AE" w:rsidRPr="00DE1967">
        <w:rPr>
          <w:snapToGrid/>
          <w:szCs w:val="22"/>
          <w:lang w:val="de-DE" w:eastAsia="de-DE"/>
        </w:rPr>
        <w:t xml:space="preserve"> </w:t>
      </w:r>
      <w:r w:rsidRPr="00DE1967">
        <w:rPr>
          <w:snapToGrid/>
          <w:szCs w:val="22"/>
          <w:lang w:val="de-DE" w:eastAsia="de-DE"/>
        </w:rPr>
        <w:t>aufweist, der sich unter Behandlung nicht bessert</w:t>
      </w:r>
      <w:r w:rsidR="0046112A" w:rsidRPr="00DE1967">
        <w:rPr>
          <w:snapToGrid/>
          <w:szCs w:val="22"/>
          <w:lang w:val="de-DE" w:eastAsia="de-DE"/>
        </w:rPr>
        <w:t>;</w:t>
      </w:r>
    </w:p>
    <w:p w:rsidR="0046112A" w:rsidRPr="00DE1967" w:rsidRDefault="0046112A"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DE1967">
        <w:rPr>
          <w:szCs w:val="22"/>
          <w:lang w:val="de-DE"/>
        </w:rPr>
        <w:t xml:space="preserve">wenn Sie Diabetes mellitus oder eine eingeschränkte Nierenfunktion haben und mit </w:t>
      </w:r>
      <w:r w:rsidR="00943353" w:rsidRPr="00DE1967">
        <w:rPr>
          <w:szCs w:val="22"/>
          <w:lang w:val="de-DE"/>
        </w:rPr>
        <w:t xml:space="preserve">einem blutdrucksenkenden Arzneimittel, das </w:t>
      </w:r>
      <w:proofErr w:type="spellStart"/>
      <w:r w:rsidRPr="00DE1967">
        <w:rPr>
          <w:szCs w:val="22"/>
          <w:lang w:val="de-DE"/>
        </w:rPr>
        <w:t>Aliskiren</w:t>
      </w:r>
      <w:proofErr w:type="spellEnd"/>
      <w:r w:rsidRPr="00DE1967">
        <w:rPr>
          <w:szCs w:val="22"/>
          <w:lang w:val="de-DE"/>
        </w:rPr>
        <w:t xml:space="preserve"> </w:t>
      </w:r>
      <w:r w:rsidR="00943353" w:rsidRPr="00DE1967">
        <w:rPr>
          <w:szCs w:val="22"/>
          <w:lang w:val="de-DE"/>
        </w:rPr>
        <w:t xml:space="preserve">enthält, </w:t>
      </w:r>
      <w:r w:rsidRPr="00DE1967">
        <w:rPr>
          <w:szCs w:val="22"/>
          <w:lang w:val="de-DE"/>
        </w:rPr>
        <w:t>behandelt werden.</w:t>
      </w:r>
    </w:p>
    <w:p w:rsidR="004055AE" w:rsidRPr="00DE1967" w:rsidRDefault="004055AE" w:rsidP="0003742E">
      <w:pPr>
        <w:widowControl w:val="0"/>
        <w:tabs>
          <w:tab w:val="clear" w:pos="567"/>
        </w:tabs>
        <w:autoSpaceDE w:val="0"/>
        <w:autoSpaceDN w:val="0"/>
        <w:adjustRightInd w:val="0"/>
        <w:spacing w:line="240" w:lineRule="auto"/>
        <w:rPr>
          <w:snapToGrid/>
          <w:szCs w:val="22"/>
          <w:lang w:val="de-DE" w:eastAsia="de-DE"/>
        </w:rPr>
      </w:pPr>
    </w:p>
    <w:p w:rsidR="00637E20" w:rsidRPr="00DE1967" w:rsidRDefault="00F8062C" w:rsidP="0003742E">
      <w:pPr>
        <w:widowControl w:val="0"/>
        <w:tabs>
          <w:tab w:val="clear" w:pos="567"/>
        </w:tabs>
        <w:autoSpaceDE w:val="0"/>
        <w:autoSpaceDN w:val="0"/>
        <w:adjustRightInd w:val="0"/>
        <w:spacing w:line="240" w:lineRule="auto"/>
        <w:rPr>
          <w:noProof/>
          <w:szCs w:val="22"/>
          <w:lang w:val="de-DE"/>
        </w:rPr>
      </w:pPr>
      <w:r w:rsidRPr="00DE1967">
        <w:rPr>
          <w:snapToGrid/>
          <w:szCs w:val="22"/>
          <w:lang w:val="de-DE" w:eastAsia="de-DE"/>
        </w:rPr>
        <w:t>Falls eine der genannten Bedingungen bei Ihnen zutrifft, teilen Sie dies bitte Ihrem Arzt oder</w:t>
      </w:r>
      <w:r w:rsidR="004055AE" w:rsidRPr="00DE1967">
        <w:rPr>
          <w:snapToGrid/>
          <w:szCs w:val="22"/>
          <w:lang w:val="de-DE" w:eastAsia="de-DE"/>
        </w:rPr>
        <w:t xml:space="preserve"> </w:t>
      </w:r>
      <w:r w:rsidRPr="00DE1967">
        <w:rPr>
          <w:snapToGrid/>
          <w:szCs w:val="22"/>
          <w:lang w:val="de-DE" w:eastAsia="de-DE"/>
        </w:rPr>
        <w:t xml:space="preserve">Apotheker vor Beginn der Einnahme von </w:t>
      </w:r>
      <w:proofErr w:type="spellStart"/>
      <w:r w:rsidR="004055AE" w:rsidRPr="00DE1967">
        <w:rPr>
          <w:snapToGrid/>
          <w:szCs w:val="22"/>
          <w:lang w:val="de-DE" w:eastAsia="de-DE"/>
        </w:rPr>
        <w:t>Tolucombi</w:t>
      </w:r>
      <w:proofErr w:type="spellEnd"/>
      <w:r w:rsidRPr="00DE1967">
        <w:rPr>
          <w:snapToGrid/>
          <w:szCs w:val="22"/>
          <w:lang w:val="de-DE" w:eastAsia="de-DE"/>
        </w:rPr>
        <w:t xml:space="preserve"> mit.</w:t>
      </w:r>
    </w:p>
    <w:p w:rsidR="00637E20" w:rsidRPr="00DE1967" w:rsidRDefault="00637E20" w:rsidP="0003742E">
      <w:pPr>
        <w:widowControl w:val="0"/>
        <w:numPr>
          <w:ilvl w:val="12"/>
          <w:numId w:val="0"/>
        </w:numPr>
        <w:tabs>
          <w:tab w:val="clear" w:pos="567"/>
          <w:tab w:val="left" w:pos="720"/>
        </w:tabs>
        <w:spacing w:line="240" w:lineRule="auto"/>
        <w:rPr>
          <w:noProof/>
          <w:szCs w:val="22"/>
          <w:lang w:val="de-DE"/>
        </w:rPr>
      </w:pPr>
    </w:p>
    <w:p w:rsidR="00544F89" w:rsidRPr="00DE1967" w:rsidRDefault="00637E20" w:rsidP="0003742E">
      <w:pPr>
        <w:widowControl w:val="0"/>
        <w:numPr>
          <w:ilvl w:val="12"/>
          <w:numId w:val="0"/>
        </w:numPr>
        <w:tabs>
          <w:tab w:val="clear" w:pos="567"/>
          <w:tab w:val="left" w:pos="720"/>
        </w:tabs>
        <w:spacing w:line="240" w:lineRule="auto"/>
        <w:ind w:right="-2"/>
        <w:outlineLvl w:val="0"/>
        <w:rPr>
          <w:b/>
          <w:noProof/>
          <w:szCs w:val="22"/>
          <w:lang w:val="de-DE"/>
        </w:rPr>
      </w:pPr>
      <w:r w:rsidRPr="00DE1967">
        <w:rPr>
          <w:b/>
          <w:noProof/>
          <w:szCs w:val="22"/>
          <w:lang w:val="de-DE"/>
        </w:rPr>
        <w:t>Warnhinweise und Vorsichtsmaßnahmen</w:t>
      </w:r>
    </w:p>
    <w:p w:rsidR="00B207A3" w:rsidRPr="00DE1967" w:rsidRDefault="00B207A3" w:rsidP="0003742E">
      <w:pPr>
        <w:widowControl w:val="0"/>
        <w:tabs>
          <w:tab w:val="clear" w:pos="567"/>
        </w:tabs>
        <w:autoSpaceDE w:val="0"/>
        <w:autoSpaceDN w:val="0"/>
        <w:adjustRightInd w:val="0"/>
        <w:spacing w:line="240" w:lineRule="auto"/>
        <w:rPr>
          <w:snapToGrid/>
          <w:szCs w:val="22"/>
          <w:lang w:val="de-DE" w:eastAsia="de-DE"/>
        </w:rPr>
      </w:pPr>
    </w:p>
    <w:p w:rsidR="007150F8" w:rsidRPr="00DE1967" w:rsidRDefault="007150F8"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Bitte sprechen Sie mit Ihrem Arzt, </w:t>
      </w:r>
      <w:r w:rsidR="00437AA0" w:rsidRPr="00DE1967">
        <w:rPr>
          <w:snapToGrid/>
          <w:szCs w:val="22"/>
          <w:lang w:val="de-DE" w:eastAsia="de-DE"/>
        </w:rPr>
        <w:t xml:space="preserve">bevor Sie </w:t>
      </w:r>
      <w:proofErr w:type="spellStart"/>
      <w:r w:rsidR="00437AA0" w:rsidRPr="00DE1967">
        <w:rPr>
          <w:snapToGrid/>
          <w:szCs w:val="22"/>
          <w:lang w:val="de-DE" w:eastAsia="de-DE"/>
        </w:rPr>
        <w:t>Tolucombi</w:t>
      </w:r>
      <w:proofErr w:type="spellEnd"/>
      <w:r w:rsidR="00437AA0" w:rsidRPr="00DE1967">
        <w:rPr>
          <w:snapToGrid/>
          <w:szCs w:val="22"/>
          <w:lang w:val="de-DE" w:eastAsia="de-DE"/>
        </w:rPr>
        <w:t xml:space="preserve"> einnehmen, </w:t>
      </w:r>
      <w:r w:rsidRPr="00DE1967">
        <w:rPr>
          <w:snapToGrid/>
          <w:szCs w:val="22"/>
          <w:lang w:val="de-DE" w:eastAsia="de-DE"/>
        </w:rPr>
        <w:t>wenn Sie an eine</w:t>
      </w:r>
      <w:r w:rsidR="002F3E53" w:rsidRPr="00DE1967">
        <w:rPr>
          <w:snapToGrid/>
          <w:szCs w:val="22"/>
          <w:lang w:val="de-DE" w:eastAsia="de-DE"/>
        </w:rPr>
        <w:t>r</w:t>
      </w:r>
      <w:r w:rsidRPr="00DE1967">
        <w:rPr>
          <w:snapToGrid/>
          <w:szCs w:val="22"/>
          <w:lang w:val="de-DE" w:eastAsia="de-DE"/>
        </w:rPr>
        <w:t xml:space="preserve"> der folgenden </w:t>
      </w:r>
      <w:r w:rsidR="002F3E53" w:rsidRPr="00DE1967">
        <w:rPr>
          <w:snapToGrid/>
          <w:szCs w:val="22"/>
          <w:lang w:val="de-DE" w:eastAsia="de-DE"/>
        </w:rPr>
        <w:t xml:space="preserve">Beschwerden </w:t>
      </w:r>
      <w:r w:rsidRPr="00DE1967">
        <w:rPr>
          <w:snapToGrid/>
          <w:szCs w:val="22"/>
          <w:lang w:val="de-DE" w:eastAsia="de-DE"/>
        </w:rPr>
        <w:t>oder Erkrankungen leiden oder in der Vergangenheit gelitten haben:</w:t>
      </w:r>
    </w:p>
    <w:p w:rsidR="007150F8" w:rsidRPr="00DE1967" w:rsidRDefault="007150F8"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 xml:space="preserve">niedriger Blutdruck (Hypotonie), der bei Dehydrierung (übermäßiger Flüssigkeitsverlust des Körpers), Salzmangel infolge einer </w:t>
      </w:r>
      <w:proofErr w:type="spellStart"/>
      <w:r w:rsidRPr="00DE1967">
        <w:rPr>
          <w:snapToGrid/>
          <w:szCs w:val="22"/>
          <w:lang w:val="de-DE" w:eastAsia="de-DE"/>
        </w:rPr>
        <w:t>Diuretikabehandlung</w:t>
      </w:r>
      <w:proofErr w:type="spellEnd"/>
      <w:r w:rsidRPr="00DE1967">
        <w:rPr>
          <w:snapToGrid/>
          <w:szCs w:val="22"/>
          <w:lang w:val="de-DE" w:eastAsia="de-DE"/>
        </w:rPr>
        <w:t xml:space="preserve"> (Entwässerungstabletten), salzarmer Kost, Durchfall, Erbrechen oder Hämodialyse auftreten kann;</w:t>
      </w:r>
    </w:p>
    <w:p w:rsidR="007150F8" w:rsidRPr="00DE1967" w:rsidRDefault="007150F8"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Nierenerkrankung oder Nierentransplantation;</w:t>
      </w:r>
    </w:p>
    <w:p w:rsidR="007150F8" w:rsidRPr="00DE1967" w:rsidRDefault="007150F8"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Nierenarterienstenose (Verengung zu einer oder beiden Nieren führenden Blutgefäße);</w:t>
      </w:r>
    </w:p>
    <w:p w:rsidR="007150F8" w:rsidRPr="00DE1967" w:rsidRDefault="007150F8"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Lebererkrankung;</w:t>
      </w:r>
    </w:p>
    <w:p w:rsidR="007150F8" w:rsidRPr="00DE1967" w:rsidRDefault="007150F8"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Herzbeschwerden;</w:t>
      </w:r>
    </w:p>
    <w:p w:rsidR="007150F8" w:rsidRPr="00DE1967" w:rsidRDefault="007150F8"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Diabetes mellitus;</w:t>
      </w:r>
    </w:p>
    <w:p w:rsidR="007150F8" w:rsidRPr="00DE1967" w:rsidRDefault="007150F8"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Gicht;</w:t>
      </w:r>
    </w:p>
    <w:p w:rsidR="007150F8" w:rsidRPr="00DE1967" w:rsidRDefault="007150F8"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 xml:space="preserve">erhöhter </w:t>
      </w:r>
      <w:proofErr w:type="spellStart"/>
      <w:r w:rsidRPr="00DE1967">
        <w:rPr>
          <w:snapToGrid/>
          <w:szCs w:val="22"/>
          <w:lang w:val="de-DE" w:eastAsia="de-DE"/>
        </w:rPr>
        <w:t>Aldosteronspiegel</w:t>
      </w:r>
      <w:proofErr w:type="spellEnd"/>
      <w:r w:rsidRPr="00DE1967">
        <w:rPr>
          <w:snapToGrid/>
          <w:szCs w:val="22"/>
          <w:lang w:val="de-DE" w:eastAsia="de-DE"/>
        </w:rPr>
        <w:t xml:space="preserve"> (Wasser und Salzretention im Körper, einhergehend mit einem Ungleichgewicht von verschiedenen Mineralstoffen im Blut);</w:t>
      </w:r>
    </w:p>
    <w:p w:rsidR="008449E8" w:rsidRPr="00DE1967" w:rsidRDefault="007150F8" w:rsidP="0003742E">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systemischer Lupus erythematodes (auch bezeichnet als „Lupus“ oder „SLE“), eine Krankheit, bei der sich das körpereigene Immunsystem gegen den eigenen Körper richtet</w:t>
      </w:r>
      <w:r w:rsidR="00597898" w:rsidRPr="00DE1967">
        <w:rPr>
          <w:snapToGrid/>
          <w:szCs w:val="22"/>
          <w:lang w:val="de-DE" w:eastAsia="de-DE"/>
        </w:rPr>
        <w:t>;</w:t>
      </w:r>
    </w:p>
    <w:p w:rsidR="007150F8" w:rsidRPr="00046D64" w:rsidRDefault="008449E8" w:rsidP="00F054C4">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046D64">
        <w:rPr>
          <w:snapToGrid/>
          <w:szCs w:val="22"/>
          <w:lang w:val="de-DE" w:eastAsia="de-DE"/>
        </w:rPr>
        <w:t xml:space="preserve">Der Wirkstoff Hydrochlorothiazid kann eine seltene Reaktion hervorrufen, die zu einer verminderten Sehschärfe und Augenschmerzen führt. Diese können </w:t>
      </w:r>
      <w:r w:rsidR="00046D64" w:rsidRPr="00046D64">
        <w:rPr>
          <w:snapToGrid/>
          <w:szCs w:val="22"/>
          <w:lang w:val="de-DE" w:eastAsia="de-DE"/>
        </w:rPr>
        <w:t>Symptome einer Flüssigkeitsansammlung in der Gefäßschicht des Auges (Aderhauterguss) oder</w:t>
      </w:r>
      <w:r w:rsidR="00046D64" w:rsidRPr="00046D64" w:rsidDel="00046D64">
        <w:rPr>
          <w:snapToGrid/>
          <w:szCs w:val="22"/>
          <w:lang w:val="de-DE" w:eastAsia="de-DE"/>
        </w:rPr>
        <w:t xml:space="preserve"> </w:t>
      </w:r>
      <w:r w:rsidR="00046D64" w:rsidRPr="00046D64">
        <w:rPr>
          <w:snapToGrid/>
          <w:szCs w:val="22"/>
          <w:lang w:val="de-DE" w:eastAsia="de-DE"/>
        </w:rPr>
        <w:t>ein Druckanstieg in Ihrem Auge</w:t>
      </w:r>
      <w:r w:rsidRPr="008236CD">
        <w:rPr>
          <w:snapToGrid/>
          <w:szCs w:val="22"/>
          <w:lang w:val="de-DE" w:eastAsia="de-DE"/>
        </w:rPr>
        <w:t xml:space="preserve"> sein und innerhalb von Stunden bis </w:t>
      </w:r>
      <w:r w:rsidR="00046D64">
        <w:rPr>
          <w:snapToGrid/>
          <w:szCs w:val="22"/>
          <w:lang w:val="de-DE" w:eastAsia="de-DE"/>
        </w:rPr>
        <w:t xml:space="preserve">zu einer </w:t>
      </w:r>
      <w:r w:rsidRPr="00046D64">
        <w:rPr>
          <w:snapToGrid/>
          <w:szCs w:val="22"/>
          <w:lang w:val="de-DE" w:eastAsia="de-DE"/>
        </w:rPr>
        <w:t xml:space="preserve">Woche nach Einnahme von </w:t>
      </w:r>
      <w:proofErr w:type="spellStart"/>
      <w:r w:rsidRPr="00046D64">
        <w:rPr>
          <w:snapToGrid/>
          <w:szCs w:val="22"/>
          <w:lang w:val="de-DE" w:eastAsia="de-DE"/>
        </w:rPr>
        <w:t>Tolucombi</w:t>
      </w:r>
      <w:proofErr w:type="spellEnd"/>
      <w:r w:rsidRPr="00046D64">
        <w:rPr>
          <w:snapToGrid/>
          <w:szCs w:val="22"/>
          <w:lang w:val="de-DE" w:eastAsia="de-DE"/>
        </w:rPr>
        <w:t xml:space="preserve"> auftreten. Ohne Behandlung können diese Anzeichen zu </w:t>
      </w:r>
      <w:r w:rsidR="00A33DD3" w:rsidRPr="00F054C4">
        <w:rPr>
          <w:snapToGrid/>
          <w:szCs w:val="22"/>
          <w:lang w:val="de-DE" w:eastAsia="de-DE"/>
        </w:rPr>
        <w:t>einer dauerhaften Beeinträchtigung des Sehvermögens</w:t>
      </w:r>
      <w:r w:rsidRPr="00046D64">
        <w:rPr>
          <w:snapToGrid/>
          <w:szCs w:val="22"/>
          <w:lang w:val="de-DE" w:eastAsia="de-DE"/>
        </w:rPr>
        <w:t xml:space="preserve"> führen</w:t>
      </w:r>
      <w:r w:rsidR="00046D64">
        <w:rPr>
          <w:snapToGrid/>
          <w:szCs w:val="22"/>
          <w:lang w:val="de-DE" w:eastAsia="de-DE"/>
        </w:rPr>
        <w:t>;</w:t>
      </w:r>
    </w:p>
    <w:p w:rsidR="00C05B50" w:rsidRPr="00DE1967" w:rsidRDefault="00C05B50" w:rsidP="00F054C4">
      <w:pPr>
        <w:widowControl w:val="0"/>
        <w:numPr>
          <w:ilvl w:val="0"/>
          <w:numId w:val="7"/>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 xml:space="preserve">wenn Sie Hautkrebs haben oder hatten oder während der Behandlung eine unerwartete Hautläsion entwickeln. Die Behandlung mit Hydrochlorothiazid, insbesondere eine hochdosierte Langzeitanwendung, kann das Risiko einiger Arten von Haut- und Lippenkrebs (weißer Hautkrebs) erhöhen. Schützen Sie Ihre Haut vor Sonneneinstrahlung und UV-Strahlen, solange Sie </w:t>
      </w:r>
      <w:proofErr w:type="spellStart"/>
      <w:r w:rsidRPr="00DE1967">
        <w:rPr>
          <w:snapToGrid/>
          <w:szCs w:val="22"/>
          <w:lang w:val="de-DE" w:eastAsia="de-DE"/>
        </w:rPr>
        <w:t>Tolucombi</w:t>
      </w:r>
      <w:proofErr w:type="spellEnd"/>
      <w:r w:rsidRPr="00DE1967">
        <w:rPr>
          <w:snapToGrid/>
          <w:szCs w:val="22"/>
          <w:lang w:val="de-DE" w:eastAsia="de-DE"/>
        </w:rPr>
        <w:t xml:space="preserve"> einnehmen.</w:t>
      </w:r>
    </w:p>
    <w:p w:rsidR="008449E8" w:rsidRPr="00DE1967" w:rsidRDefault="008449E8" w:rsidP="00AD7359">
      <w:pPr>
        <w:widowControl w:val="0"/>
        <w:tabs>
          <w:tab w:val="clear" w:pos="567"/>
        </w:tabs>
        <w:autoSpaceDE w:val="0"/>
        <w:autoSpaceDN w:val="0"/>
        <w:adjustRightInd w:val="0"/>
        <w:spacing w:line="240" w:lineRule="auto"/>
        <w:rPr>
          <w:snapToGrid/>
          <w:szCs w:val="22"/>
          <w:lang w:val="de-DE" w:eastAsia="de-DE"/>
        </w:rPr>
      </w:pPr>
    </w:p>
    <w:p w:rsidR="00A33DD3" w:rsidRPr="00DE1967" w:rsidRDefault="00A33DD3" w:rsidP="0003742E">
      <w:pPr>
        <w:widowControl w:val="0"/>
        <w:spacing w:line="240" w:lineRule="auto"/>
        <w:rPr>
          <w:szCs w:val="22"/>
          <w:lang w:val="de-DE"/>
        </w:rPr>
      </w:pPr>
      <w:r w:rsidRPr="00DE1967">
        <w:rPr>
          <w:szCs w:val="22"/>
          <w:lang w:val="de-DE"/>
        </w:rPr>
        <w:t xml:space="preserve">Bitte sprechen Sie mit Ihrem Arzt, bevor Sie </w:t>
      </w:r>
      <w:proofErr w:type="spellStart"/>
      <w:r w:rsidRPr="00DE1967">
        <w:rPr>
          <w:szCs w:val="22"/>
          <w:lang w:val="de-DE"/>
        </w:rPr>
        <w:t>Tolucombi</w:t>
      </w:r>
      <w:proofErr w:type="spellEnd"/>
      <w:r w:rsidRPr="00DE1967">
        <w:rPr>
          <w:szCs w:val="22"/>
          <w:lang w:val="de-DE"/>
        </w:rPr>
        <w:t xml:space="preserve"> einnehmen</w:t>
      </w:r>
      <w:r w:rsidR="00437AA0" w:rsidRPr="00DE1967">
        <w:rPr>
          <w:szCs w:val="22"/>
          <w:lang w:val="de-DE"/>
        </w:rPr>
        <w:t>, wenn Sie</w:t>
      </w:r>
      <w:r w:rsidRPr="00DE1967">
        <w:rPr>
          <w:szCs w:val="22"/>
          <w:lang w:val="de-DE"/>
        </w:rPr>
        <w:t>:</w:t>
      </w:r>
    </w:p>
    <w:p w:rsidR="00A33DD3" w:rsidRPr="00DE1967" w:rsidRDefault="00A33DD3" w:rsidP="0003742E">
      <w:pPr>
        <w:widowControl w:val="0"/>
        <w:numPr>
          <w:ilvl w:val="0"/>
          <w:numId w:val="23"/>
        </w:numPr>
        <w:tabs>
          <w:tab w:val="clear" w:pos="567"/>
        </w:tabs>
        <w:spacing w:line="240" w:lineRule="auto"/>
        <w:ind w:left="567" w:hanging="567"/>
        <w:jc w:val="both"/>
        <w:rPr>
          <w:szCs w:val="22"/>
          <w:lang w:val="de-DE"/>
        </w:rPr>
      </w:pPr>
      <w:r w:rsidRPr="00DE1967">
        <w:rPr>
          <w:szCs w:val="22"/>
          <w:lang w:val="de-DE"/>
        </w:rPr>
        <w:t>Digoxin einnehmen.</w:t>
      </w:r>
    </w:p>
    <w:p w:rsidR="00943353" w:rsidRPr="00DE1967" w:rsidRDefault="00943353" w:rsidP="00943353">
      <w:pPr>
        <w:widowControl w:val="0"/>
        <w:numPr>
          <w:ilvl w:val="0"/>
          <w:numId w:val="24"/>
        </w:numPr>
        <w:tabs>
          <w:tab w:val="clear" w:pos="567"/>
        </w:tabs>
        <w:spacing w:line="240" w:lineRule="auto"/>
        <w:ind w:left="567" w:hanging="567"/>
        <w:rPr>
          <w:lang w:val="de-DE"/>
        </w:rPr>
      </w:pPr>
      <w:r w:rsidRPr="00DE1967">
        <w:rPr>
          <w:lang w:val="de-DE"/>
        </w:rPr>
        <w:t>eines der folgenden Arzneimittel zur Behandlung von hohem Blutdruck einnehmen:</w:t>
      </w:r>
    </w:p>
    <w:p w:rsidR="00943353" w:rsidRPr="00DE1967" w:rsidRDefault="00943353" w:rsidP="00F37A1E">
      <w:pPr>
        <w:pStyle w:val="Style11"/>
        <w:widowControl/>
        <w:numPr>
          <w:ilvl w:val="0"/>
          <w:numId w:val="25"/>
        </w:numPr>
        <w:spacing w:line="240" w:lineRule="auto"/>
        <w:ind w:left="1418" w:hanging="567"/>
        <w:rPr>
          <w:rStyle w:val="FontStyle26"/>
          <w:rFonts w:ascii="Times New Roman" w:hAnsi="Times New Roman" w:cs="Times New Roman"/>
          <w:i w:val="0"/>
          <w:sz w:val="22"/>
          <w:szCs w:val="22"/>
        </w:rPr>
      </w:pPr>
      <w:r w:rsidRPr="00DE1967">
        <w:rPr>
          <w:rStyle w:val="FontStyle26"/>
          <w:rFonts w:ascii="Times New Roman" w:hAnsi="Times New Roman" w:cs="Times New Roman"/>
          <w:i w:val="0"/>
          <w:sz w:val="22"/>
          <w:szCs w:val="22"/>
          <w:lang w:val="de"/>
        </w:rPr>
        <w:t xml:space="preserve">einen ACE-Hemmer (z. B. Enalapril, Lisinopril, </w:t>
      </w:r>
      <w:proofErr w:type="spellStart"/>
      <w:r w:rsidRPr="00DE1967">
        <w:rPr>
          <w:rStyle w:val="FontStyle26"/>
          <w:rFonts w:ascii="Times New Roman" w:hAnsi="Times New Roman" w:cs="Times New Roman"/>
          <w:i w:val="0"/>
          <w:sz w:val="22"/>
          <w:szCs w:val="22"/>
          <w:lang w:val="de"/>
        </w:rPr>
        <w:t>Ramipril</w:t>
      </w:r>
      <w:proofErr w:type="spellEnd"/>
      <w:r w:rsidRPr="00DE1967">
        <w:rPr>
          <w:rStyle w:val="FontStyle26"/>
          <w:rFonts w:ascii="Times New Roman" w:hAnsi="Times New Roman" w:cs="Times New Roman"/>
          <w:i w:val="0"/>
          <w:sz w:val="22"/>
          <w:szCs w:val="22"/>
          <w:lang w:val="de"/>
        </w:rPr>
        <w:t>), insbesondere wenn Sie Nierenprobleme aufgrund von Diabetes mellitus haben.</w:t>
      </w:r>
    </w:p>
    <w:p w:rsidR="00BF753D" w:rsidRPr="00DE1967" w:rsidRDefault="00943353" w:rsidP="00F054C4">
      <w:pPr>
        <w:pStyle w:val="Style11"/>
        <w:widowControl/>
        <w:numPr>
          <w:ilvl w:val="0"/>
          <w:numId w:val="25"/>
        </w:numPr>
        <w:spacing w:line="240" w:lineRule="auto"/>
        <w:ind w:left="1418" w:hanging="567"/>
        <w:rPr>
          <w:rStyle w:val="FontStyle26"/>
          <w:rFonts w:ascii="Times New Roman" w:hAnsi="Times New Roman" w:cs="Times New Roman"/>
          <w:i w:val="0"/>
          <w:sz w:val="22"/>
          <w:szCs w:val="22"/>
          <w:lang w:val="de"/>
        </w:rPr>
      </w:pPr>
      <w:proofErr w:type="spellStart"/>
      <w:r w:rsidRPr="00DE1967">
        <w:rPr>
          <w:rStyle w:val="FontStyle26"/>
          <w:rFonts w:ascii="Times New Roman" w:hAnsi="Times New Roman" w:cs="Times New Roman"/>
          <w:i w:val="0"/>
          <w:sz w:val="22"/>
          <w:szCs w:val="22"/>
          <w:lang w:val="de"/>
        </w:rPr>
        <w:t>Aliskiren</w:t>
      </w:r>
      <w:proofErr w:type="spellEnd"/>
      <w:r w:rsidRPr="00DE1967">
        <w:rPr>
          <w:rStyle w:val="FontStyle26"/>
          <w:rFonts w:ascii="Times New Roman" w:hAnsi="Times New Roman" w:cs="Times New Roman"/>
          <w:i w:val="0"/>
          <w:sz w:val="22"/>
          <w:szCs w:val="22"/>
          <w:lang w:val="de"/>
        </w:rPr>
        <w:t>.</w:t>
      </w:r>
    </w:p>
    <w:p w:rsidR="00A33DD3" w:rsidRPr="00DE1967" w:rsidRDefault="00A33DD3" w:rsidP="00AD7359">
      <w:pPr>
        <w:widowControl w:val="0"/>
        <w:tabs>
          <w:tab w:val="clear" w:pos="567"/>
        </w:tabs>
        <w:autoSpaceDE w:val="0"/>
        <w:autoSpaceDN w:val="0"/>
        <w:adjustRightInd w:val="0"/>
        <w:spacing w:line="240" w:lineRule="auto"/>
        <w:rPr>
          <w:snapToGrid/>
          <w:szCs w:val="22"/>
          <w:lang w:val="de-DE" w:eastAsia="de-DE"/>
        </w:rPr>
      </w:pPr>
    </w:p>
    <w:p w:rsidR="007150F8" w:rsidRPr="00DE1967" w:rsidRDefault="007150F8"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Sie müssen Ihrem Arzt mitteilen, wenn Sie vermuten schwanger zu sein </w:t>
      </w:r>
      <w:r w:rsidRPr="00DE1967">
        <w:rPr>
          <w:snapToGrid/>
          <w:szCs w:val="22"/>
          <w:u w:val="single"/>
          <w:lang w:val="de-DE" w:eastAsia="de-DE"/>
        </w:rPr>
        <w:t>(oder schwanger werden</w:t>
      </w:r>
      <w:r w:rsidR="009E0657" w:rsidRPr="00DE1967">
        <w:rPr>
          <w:snapToGrid/>
          <w:szCs w:val="22"/>
          <w:u w:val="single"/>
          <w:lang w:val="de-DE" w:eastAsia="de-DE"/>
        </w:rPr>
        <w:t xml:space="preserve"> </w:t>
      </w:r>
      <w:r w:rsidRPr="00DE1967">
        <w:rPr>
          <w:snapToGrid/>
          <w:szCs w:val="22"/>
          <w:u w:val="single"/>
          <w:lang w:val="de-DE" w:eastAsia="de-DE"/>
        </w:rPr>
        <w:t>könnten)</w:t>
      </w:r>
      <w:r w:rsidRPr="00DE1967">
        <w:rPr>
          <w:snapToGrid/>
          <w:szCs w:val="22"/>
          <w:lang w:val="de-DE" w:eastAsia="de-DE"/>
        </w:rPr>
        <w:t xml:space="preserve">. </w:t>
      </w:r>
      <w:proofErr w:type="spellStart"/>
      <w:r w:rsidR="009E0657" w:rsidRPr="00DE1967">
        <w:rPr>
          <w:snapToGrid/>
          <w:szCs w:val="22"/>
          <w:lang w:val="de-DE" w:eastAsia="de-DE"/>
        </w:rPr>
        <w:t>Tolucombi</w:t>
      </w:r>
      <w:proofErr w:type="spellEnd"/>
      <w:r w:rsidRPr="00DE1967">
        <w:rPr>
          <w:snapToGrid/>
          <w:szCs w:val="22"/>
          <w:lang w:val="de-DE" w:eastAsia="de-DE"/>
        </w:rPr>
        <w:t xml:space="preserve"> wird in der Frühschwangerschaft nicht empfohlen und darf nicht</w:t>
      </w:r>
      <w:r w:rsidR="009E0657" w:rsidRPr="00DE1967">
        <w:rPr>
          <w:snapToGrid/>
          <w:szCs w:val="22"/>
          <w:lang w:val="de-DE" w:eastAsia="de-DE"/>
        </w:rPr>
        <w:t xml:space="preserve"> </w:t>
      </w:r>
      <w:r w:rsidRPr="00DE1967">
        <w:rPr>
          <w:snapToGrid/>
          <w:szCs w:val="22"/>
          <w:lang w:val="de-DE" w:eastAsia="de-DE"/>
        </w:rPr>
        <w:t>eingenommen werden, wenn Sie länger als 3 Monate schwanger sind, da es Ihr Baby bei Anwendung</w:t>
      </w:r>
      <w:r w:rsidR="009E0657" w:rsidRPr="00DE1967">
        <w:rPr>
          <w:snapToGrid/>
          <w:szCs w:val="22"/>
          <w:lang w:val="de-DE" w:eastAsia="de-DE"/>
        </w:rPr>
        <w:t xml:space="preserve"> </w:t>
      </w:r>
      <w:r w:rsidRPr="00DE1967">
        <w:rPr>
          <w:snapToGrid/>
          <w:szCs w:val="22"/>
          <w:lang w:val="de-DE" w:eastAsia="de-DE"/>
        </w:rPr>
        <w:t>in diesem Schwangerschaftsstadium schwerwiegend schädigen könnte (siehe Abschnitt</w:t>
      </w:r>
      <w:r w:rsidR="009E0657" w:rsidRPr="00DE1967">
        <w:rPr>
          <w:snapToGrid/>
          <w:szCs w:val="22"/>
          <w:lang w:val="de-DE" w:eastAsia="de-DE"/>
        </w:rPr>
        <w:t xml:space="preserve"> </w:t>
      </w:r>
      <w:r w:rsidRPr="00DE1967">
        <w:rPr>
          <w:snapToGrid/>
          <w:szCs w:val="22"/>
          <w:lang w:val="de-DE" w:eastAsia="de-DE"/>
        </w:rPr>
        <w:t>Schwangerschaft).</w:t>
      </w:r>
    </w:p>
    <w:p w:rsidR="009E0657" w:rsidRPr="00DE1967" w:rsidRDefault="009E0657" w:rsidP="0003742E">
      <w:pPr>
        <w:widowControl w:val="0"/>
        <w:tabs>
          <w:tab w:val="clear" w:pos="567"/>
        </w:tabs>
        <w:autoSpaceDE w:val="0"/>
        <w:autoSpaceDN w:val="0"/>
        <w:adjustRightInd w:val="0"/>
        <w:spacing w:line="240" w:lineRule="auto"/>
        <w:rPr>
          <w:snapToGrid/>
          <w:szCs w:val="22"/>
          <w:lang w:val="de-DE" w:eastAsia="de-DE"/>
        </w:rPr>
      </w:pPr>
    </w:p>
    <w:p w:rsidR="009E0657" w:rsidRPr="00DE1967" w:rsidRDefault="007150F8"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Die Behandlung mit Hydrochlorothiazid kann zu einem Ungleichgewicht im Elektrolythaushalt des</w:t>
      </w:r>
      <w:r w:rsidR="009E0657" w:rsidRPr="00DE1967">
        <w:rPr>
          <w:snapToGrid/>
          <w:szCs w:val="22"/>
          <w:lang w:val="de-DE" w:eastAsia="de-DE"/>
        </w:rPr>
        <w:t xml:space="preserve"> </w:t>
      </w:r>
      <w:r w:rsidRPr="00DE1967">
        <w:rPr>
          <w:snapToGrid/>
          <w:szCs w:val="22"/>
          <w:lang w:val="de-DE" w:eastAsia="de-DE"/>
        </w:rPr>
        <w:t>Körpers führen. Typische Symptome für ein Ungleichgewicht im Flüssigkeits- oder Elektrolythaushalt</w:t>
      </w:r>
      <w:r w:rsidR="009E0657" w:rsidRPr="00DE1967">
        <w:rPr>
          <w:snapToGrid/>
          <w:szCs w:val="22"/>
          <w:lang w:val="de-DE" w:eastAsia="de-DE"/>
        </w:rPr>
        <w:t xml:space="preserve"> </w:t>
      </w:r>
      <w:r w:rsidRPr="00DE1967">
        <w:rPr>
          <w:snapToGrid/>
          <w:szCs w:val="22"/>
          <w:lang w:val="de-DE" w:eastAsia="de-DE"/>
        </w:rPr>
        <w:t>sind Mundtrockenheit, allgemeine Schwäche, Lethargie, Schläfrigkeit, Ruhelosigkeit,</w:t>
      </w:r>
      <w:r w:rsidR="009E0657" w:rsidRPr="00DE1967">
        <w:rPr>
          <w:snapToGrid/>
          <w:szCs w:val="22"/>
          <w:lang w:val="de-DE" w:eastAsia="de-DE"/>
        </w:rPr>
        <w:t xml:space="preserve"> </w:t>
      </w:r>
      <w:r w:rsidRPr="00DE1967">
        <w:rPr>
          <w:snapToGrid/>
          <w:szCs w:val="22"/>
          <w:lang w:val="de-DE" w:eastAsia="de-DE"/>
        </w:rPr>
        <w:t>Muskelschmerzen oder -krämpfe, Übelkeit, Erbrechen, Muskelermüdung sowie eine ungewöhnlich</w:t>
      </w:r>
      <w:r w:rsidR="009E0657" w:rsidRPr="00DE1967">
        <w:rPr>
          <w:snapToGrid/>
          <w:szCs w:val="22"/>
          <w:lang w:val="de-DE" w:eastAsia="de-DE"/>
        </w:rPr>
        <w:t xml:space="preserve"> </w:t>
      </w:r>
      <w:r w:rsidRPr="00DE1967">
        <w:rPr>
          <w:snapToGrid/>
          <w:szCs w:val="22"/>
          <w:lang w:val="de-DE" w:eastAsia="de-DE"/>
        </w:rPr>
        <w:t>hohe Herzfrequenz (über 100 Schläge pro Minute). Sollte eine dieser Beschwerden bei Ihnen</w:t>
      </w:r>
      <w:r w:rsidR="009E0657" w:rsidRPr="00DE1967">
        <w:rPr>
          <w:snapToGrid/>
          <w:szCs w:val="22"/>
          <w:lang w:val="de-DE" w:eastAsia="de-DE"/>
        </w:rPr>
        <w:t xml:space="preserve"> </w:t>
      </w:r>
      <w:r w:rsidRPr="00DE1967">
        <w:rPr>
          <w:snapToGrid/>
          <w:szCs w:val="22"/>
          <w:lang w:val="de-DE" w:eastAsia="de-DE"/>
        </w:rPr>
        <w:t>auftreten, wenden Sie sich bitte an Ihren Arzt.</w:t>
      </w:r>
    </w:p>
    <w:p w:rsidR="009E0657" w:rsidRPr="00DE1967" w:rsidRDefault="009E0657" w:rsidP="0003742E">
      <w:pPr>
        <w:widowControl w:val="0"/>
        <w:tabs>
          <w:tab w:val="clear" w:pos="567"/>
        </w:tabs>
        <w:autoSpaceDE w:val="0"/>
        <w:autoSpaceDN w:val="0"/>
        <w:adjustRightInd w:val="0"/>
        <w:spacing w:line="240" w:lineRule="auto"/>
        <w:rPr>
          <w:snapToGrid/>
          <w:szCs w:val="22"/>
          <w:lang w:val="de-DE" w:eastAsia="de-DE"/>
        </w:rPr>
      </w:pPr>
    </w:p>
    <w:p w:rsidR="00637E20" w:rsidRPr="00DE1967" w:rsidRDefault="007150F8"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Sie sollten Ihrem Arzt auch mitteilen, wenn Sie eine erhöhte Empfindlichkeit Ihrer Haut in der Sonne</w:t>
      </w:r>
      <w:r w:rsidR="009E0657" w:rsidRPr="00DE1967">
        <w:rPr>
          <w:snapToGrid/>
          <w:szCs w:val="22"/>
          <w:lang w:val="de-DE" w:eastAsia="de-DE"/>
        </w:rPr>
        <w:t xml:space="preserve"> </w:t>
      </w:r>
      <w:r w:rsidRPr="00DE1967">
        <w:rPr>
          <w:snapToGrid/>
          <w:szCs w:val="22"/>
          <w:lang w:val="de-DE" w:eastAsia="de-DE"/>
        </w:rPr>
        <w:t xml:space="preserve">mit Anzeichen eines Sonnenbrandes (wie </w:t>
      </w:r>
      <w:r w:rsidR="00433771" w:rsidRPr="00DE1967">
        <w:rPr>
          <w:snapToGrid/>
          <w:szCs w:val="22"/>
          <w:lang w:val="de-DE" w:eastAsia="de-DE"/>
        </w:rPr>
        <w:t>z. B.</w:t>
      </w:r>
      <w:r w:rsidRPr="00DE1967">
        <w:rPr>
          <w:snapToGrid/>
          <w:szCs w:val="22"/>
          <w:lang w:val="de-DE" w:eastAsia="de-DE"/>
        </w:rPr>
        <w:t xml:space="preserve"> Rötung, Juckreiz, Schwellung, Blasenbildung), die</w:t>
      </w:r>
      <w:r w:rsidR="009E0657" w:rsidRPr="00DE1967">
        <w:rPr>
          <w:snapToGrid/>
          <w:szCs w:val="22"/>
          <w:lang w:val="de-DE" w:eastAsia="de-DE"/>
        </w:rPr>
        <w:t xml:space="preserve"> </w:t>
      </w:r>
      <w:r w:rsidRPr="00DE1967">
        <w:rPr>
          <w:snapToGrid/>
          <w:szCs w:val="22"/>
          <w:lang w:val="de-DE" w:eastAsia="de-DE"/>
        </w:rPr>
        <w:t>schneller als gewöhnlich auftreten, feststellen.</w:t>
      </w:r>
    </w:p>
    <w:p w:rsidR="009E0657" w:rsidRPr="00DE1967" w:rsidRDefault="009E0657" w:rsidP="0003742E">
      <w:pPr>
        <w:widowControl w:val="0"/>
        <w:tabs>
          <w:tab w:val="clear" w:pos="567"/>
        </w:tabs>
        <w:autoSpaceDE w:val="0"/>
        <w:autoSpaceDN w:val="0"/>
        <w:adjustRightInd w:val="0"/>
        <w:spacing w:line="240" w:lineRule="auto"/>
        <w:rPr>
          <w:noProof/>
          <w:szCs w:val="22"/>
          <w:lang w:val="de-DE"/>
        </w:rPr>
      </w:pPr>
    </w:p>
    <w:p w:rsidR="009E0657" w:rsidRPr="00DE1967" w:rsidRDefault="009E0657"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Teilen Sie Ihrem Arzt unbedingt mit, dass Sie </w:t>
      </w:r>
      <w:proofErr w:type="spellStart"/>
      <w:r w:rsidRPr="00DE1967">
        <w:rPr>
          <w:snapToGrid/>
          <w:szCs w:val="22"/>
          <w:lang w:val="de-DE" w:eastAsia="de-DE"/>
        </w:rPr>
        <w:t>Tolucombi</w:t>
      </w:r>
      <w:proofErr w:type="spellEnd"/>
      <w:r w:rsidRPr="00DE1967">
        <w:rPr>
          <w:snapToGrid/>
          <w:szCs w:val="22"/>
          <w:lang w:val="de-DE" w:eastAsia="de-DE"/>
        </w:rPr>
        <w:t xml:space="preserve"> einnehmen, wenn bei Ihnen eine</w:t>
      </w:r>
      <w:r w:rsidR="004A3CFB" w:rsidRPr="00DE1967">
        <w:rPr>
          <w:snapToGrid/>
          <w:szCs w:val="22"/>
          <w:lang w:val="de-DE" w:eastAsia="de-DE"/>
        </w:rPr>
        <w:t xml:space="preserve"> </w:t>
      </w:r>
      <w:r w:rsidRPr="00DE1967">
        <w:rPr>
          <w:snapToGrid/>
          <w:szCs w:val="22"/>
          <w:lang w:val="de-DE" w:eastAsia="de-DE"/>
        </w:rPr>
        <w:t>Operation oder eine Narkose erforderlich ist.</w:t>
      </w:r>
    </w:p>
    <w:p w:rsidR="009E0657" w:rsidRPr="00DE1967" w:rsidRDefault="009E0657" w:rsidP="0003742E">
      <w:pPr>
        <w:widowControl w:val="0"/>
        <w:tabs>
          <w:tab w:val="clear" w:pos="567"/>
        </w:tabs>
        <w:autoSpaceDE w:val="0"/>
        <w:autoSpaceDN w:val="0"/>
        <w:adjustRightInd w:val="0"/>
        <w:spacing w:line="240" w:lineRule="auto"/>
        <w:rPr>
          <w:snapToGrid/>
          <w:szCs w:val="22"/>
          <w:lang w:val="de-DE" w:eastAsia="de-DE"/>
        </w:rPr>
      </w:pPr>
    </w:p>
    <w:p w:rsidR="009E0657" w:rsidRPr="00DE1967" w:rsidRDefault="009E0657"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 blutdrucksenkende Wirkung von </w:t>
      </w:r>
      <w:proofErr w:type="spellStart"/>
      <w:r w:rsidRPr="00DE1967">
        <w:rPr>
          <w:snapToGrid/>
          <w:szCs w:val="22"/>
          <w:lang w:val="de-DE" w:eastAsia="de-DE"/>
        </w:rPr>
        <w:t>Tolucombi</w:t>
      </w:r>
      <w:proofErr w:type="spellEnd"/>
      <w:r w:rsidRPr="00DE1967">
        <w:rPr>
          <w:snapToGrid/>
          <w:szCs w:val="22"/>
          <w:lang w:val="de-DE" w:eastAsia="de-DE"/>
        </w:rPr>
        <w:t xml:space="preserve"> kann bei farbigen Patienten geringer sein.</w:t>
      </w:r>
    </w:p>
    <w:p w:rsidR="009E0657" w:rsidRPr="00DE1967" w:rsidRDefault="009E0657" w:rsidP="0003742E">
      <w:pPr>
        <w:widowControl w:val="0"/>
        <w:tabs>
          <w:tab w:val="clear" w:pos="567"/>
        </w:tabs>
        <w:autoSpaceDE w:val="0"/>
        <w:autoSpaceDN w:val="0"/>
        <w:adjustRightInd w:val="0"/>
        <w:spacing w:line="240" w:lineRule="auto"/>
        <w:rPr>
          <w:snapToGrid/>
          <w:szCs w:val="22"/>
          <w:lang w:val="de-DE" w:eastAsia="de-DE"/>
        </w:rPr>
      </w:pPr>
    </w:p>
    <w:p w:rsidR="00943353" w:rsidRPr="00DE1967" w:rsidRDefault="00943353" w:rsidP="00943353">
      <w:pPr>
        <w:pStyle w:val="Style14"/>
        <w:widowControl/>
        <w:spacing w:line="240" w:lineRule="auto"/>
        <w:jc w:val="left"/>
        <w:rPr>
          <w:rStyle w:val="FontStyle26"/>
          <w:rFonts w:ascii="Times New Roman" w:hAnsi="Times New Roman" w:cs="Times New Roman"/>
          <w:i w:val="0"/>
          <w:sz w:val="22"/>
          <w:szCs w:val="22"/>
        </w:rPr>
      </w:pPr>
      <w:r w:rsidRPr="00DE1967">
        <w:rPr>
          <w:rStyle w:val="FontStyle26"/>
          <w:rFonts w:ascii="Times New Roman" w:hAnsi="Times New Roman" w:cs="Times New Roman"/>
          <w:i w:val="0"/>
          <w:sz w:val="22"/>
          <w:szCs w:val="22"/>
          <w:lang w:val="de"/>
        </w:rPr>
        <w:t>Ihr Arzt wird gegebenenfalls Ihre Nierenfunktion, Ihren Blutdruck und die Elektrolytwerte (z. B. Kalium) in Ihrem Blut in regelmäßigen Abständen überprüfen.</w:t>
      </w:r>
    </w:p>
    <w:p w:rsidR="00943353" w:rsidRPr="00DE1967" w:rsidRDefault="00943353" w:rsidP="00943353">
      <w:pPr>
        <w:pStyle w:val="Style14"/>
        <w:widowControl/>
        <w:spacing w:line="240" w:lineRule="auto"/>
        <w:jc w:val="left"/>
        <w:rPr>
          <w:rFonts w:ascii="Times New Roman" w:hAnsi="Times New Roman" w:cs="Times New Roman"/>
          <w:sz w:val="22"/>
          <w:szCs w:val="22"/>
        </w:rPr>
      </w:pPr>
    </w:p>
    <w:p w:rsidR="00943353" w:rsidRPr="00DE1967" w:rsidRDefault="00943353" w:rsidP="00943353">
      <w:pPr>
        <w:pStyle w:val="Style14"/>
        <w:widowControl/>
        <w:spacing w:line="240" w:lineRule="auto"/>
        <w:jc w:val="left"/>
        <w:rPr>
          <w:rStyle w:val="FontStyle26"/>
          <w:rFonts w:ascii="Times New Roman" w:hAnsi="Times New Roman" w:cs="Times New Roman"/>
          <w:i w:val="0"/>
          <w:sz w:val="22"/>
          <w:szCs w:val="22"/>
        </w:rPr>
      </w:pPr>
      <w:r w:rsidRPr="00DE1967">
        <w:rPr>
          <w:rStyle w:val="FontStyle26"/>
          <w:rFonts w:ascii="Times New Roman" w:hAnsi="Times New Roman" w:cs="Times New Roman"/>
          <w:i w:val="0"/>
          <w:sz w:val="22"/>
          <w:szCs w:val="22"/>
          <w:lang w:val="de"/>
        </w:rPr>
        <w:t xml:space="preserve">Siehe auch Abschnitt </w:t>
      </w:r>
      <w:r w:rsidRPr="00DE1967">
        <w:rPr>
          <w:rStyle w:val="FontStyle24"/>
          <w:rFonts w:ascii="Times New Roman" w:hAnsi="Times New Roman"/>
          <w:sz w:val="22"/>
          <w:szCs w:val="22"/>
          <w:lang w:val="de"/>
        </w:rPr>
        <w:t>„</w:t>
      </w:r>
      <w:proofErr w:type="spellStart"/>
      <w:r w:rsidRPr="00DE1967">
        <w:rPr>
          <w:rStyle w:val="FontStyle24"/>
          <w:rFonts w:ascii="Times New Roman" w:hAnsi="Times New Roman"/>
          <w:sz w:val="22"/>
          <w:szCs w:val="22"/>
          <w:lang w:val="de"/>
        </w:rPr>
        <w:t>Tolucombi</w:t>
      </w:r>
      <w:proofErr w:type="spellEnd"/>
      <w:r w:rsidRPr="00DE1967">
        <w:rPr>
          <w:rStyle w:val="FontStyle24"/>
          <w:rFonts w:ascii="Times New Roman" w:hAnsi="Times New Roman"/>
          <w:sz w:val="22"/>
          <w:szCs w:val="22"/>
          <w:lang w:val="de"/>
        </w:rPr>
        <w:t xml:space="preserve"> darf nicht eingenommen </w:t>
      </w:r>
      <w:r w:rsidRPr="00DE1967">
        <w:rPr>
          <w:rStyle w:val="FontStyle26"/>
          <w:rFonts w:ascii="Times New Roman" w:hAnsi="Times New Roman" w:cs="Times New Roman"/>
          <w:i w:val="0"/>
          <w:sz w:val="22"/>
          <w:szCs w:val="22"/>
          <w:lang w:val="de"/>
        </w:rPr>
        <w:t>werden“</w:t>
      </w:r>
      <w:r w:rsidRPr="00DE1967">
        <w:rPr>
          <w:rStyle w:val="FontStyle26"/>
          <w:rFonts w:ascii="Times New Roman" w:hAnsi="Times New Roman" w:cs="Times New Roman"/>
          <w:i w:val="0"/>
          <w:iCs w:val="0"/>
          <w:sz w:val="22"/>
          <w:szCs w:val="22"/>
          <w:lang w:val="de"/>
        </w:rPr>
        <w:t>.</w:t>
      </w:r>
    </w:p>
    <w:p w:rsidR="00943353" w:rsidRPr="00DE1967" w:rsidRDefault="00943353" w:rsidP="0003742E">
      <w:pPr>
        <w:widowControl w:val="0"/>
        <w:tabs>
          <w:tab w:val="clear" w:pos="567"/>
        </w:tabs>
        <w:autoSpaceDE w:val="0"/>
        <w:autoSpaceDN w:val="0"/>
        <w:adjustRightInd w:val="0"/>
        <w:spacing w:line="240" w:lineRule="auto"/>
        <w:rPr>
          <w:snapToGrid/>
          <w:szCs w:val="22"/>
          <w:lang w:val="de-DE" w:eastAsia="de-DE"/>
        </w:rPr>
      </w:pPr>
    </w:p>
    <w:p w:rsidR="00B4575E" w:rsidRPr="00DE1967" w:rsidRDefault="00637E20" w:rsidP="0003742E">
      <w:pPr>
        <w:widowControl w:val="0"/>
        <w:tabs>
          <w:tab w:val="clear" w:pos="567"/>
        </w:tabs>
        <w:autoSpaceDE w:val="0"/>
        <w:autoSpaceDN w:val="0"/>
        <w:adjustRightInd w:val="0"/>
        <w:spacing w:line="240" w:lineRule="auto"/>
        <w:rPr>
          <w:b/>
          <w:noProof/>
          <w:szCs w:val="22"/>
          <w:lang w:val="de-DE"/>
        </w:rPr>
      </w:pPr>
      <w:r w:rsidRPr="00DE1967">
        <w:rPr>
          <w:b/>
          <w:noProof/>
          <w:szCs w:val="22"/>
          <w:lang w:val="de-DE"/>
        </w:rPr>
        <w:t>Kinder und Jugendliche</w:t>
      </w:r>
    </w:p>
    <w:p w:rsidR="00637E20" w:rsidRPr="00DE1967" w:rsidRDefault="009E0657" w:rsidP="0003742E">
      <w:pPr>
        <w:widowControl w:val="0"/>
        <w:tabs>
          <w:tab w:val="clear" w:pos="567"/>
        </w:tabs>
        <w:autoSpaceDE w:val="0"/>
        <w:autoSpaceDN w:val="0"/>
        <w:adjustRightInd w:val="0"/>
        <w:spacing w:line="240" w:lineRule="auto"/>
        <w:rPr>
          <w:snapToGrid/>
          <w:szCs w:val="22"/>
          <w:lang w:val="de-DE" w:eastAsia="de-DE"/>
        </w:rPr>
      </w:pPr>
      <w:proofErr w:type="spellStart"/>
      <w:r w:rsidRPr="00DE1967">
        <w:rPr>
          <w:snapToGrid/>
          <w:szCs w:val="22"/>
          <w:lang w:val="de-DE" w:eastAsia="de-DE"/>
        </w:rPr>
        <w:t>Tolucombi</w:t>
      </w:r>
      <w:proofErr w:type="spellEnd"/>
      <w:r w:rsidRPr="00DE1967">
        <w:rPr>
          <w:snapToGrid/>
          <w:szCs w:val="22"/>
          <w:lang w:val="de-DE" w:eastAsia="de-DE"/>
        </w:rPr>
        <w:t xml:space="preserve"> wird nicht empfohlen für die Anwendung bei Kindern und Jugendlichen unter 18 Jahren.</w:t>
      </w:r>
    </w:p>
    <w:p w:rsidR="009E0657" w:rsidRPr="00DE1967" w:rsidRDefault="009E0657" w:rsidP="0003742E">
      <w:pPr>
        <w:widowControl w:val="0"/>
        <w:numPr>
          <w:ilvl w:val="12"/>
          <w:numId w:val="0"/>
        </w:numPr>
        <w:tabs>
          <w:tab w:val="clear" w:pos="567"/>
          <w:tab w:val="left" w:pos="720"/>
        </w:tabs>
        <w:spacing w:line="240" w:lineRule="auto"/>
        <w:ind w:right="-2"/>
        <w:rPr>
          <w:noProof/>
          <w:szCs w:val="22"/>
          <w:lang w:val="de-DE"/>
        </w:rPr>
      </w:pPr>
    </w:p>
    <w:p w:rsidR="009E0657" w:rsidRPr="00DE1967" w:rsidRDefault="009E0657" w:rsidP="0003742E">
      <w:pPr>
        <w:widowControl w:val="0"/>
        <w:tabs>
          <w:tab w:val="clear" w:pos="567"/>
        </w:tabs>
        <w:autoSpaceDE w:val="0"/>
        <w:autoSpaceDN w:val="0"/>
        <w:adjustRightInd w:val="0"/>
        <w:spacing w:line="240" w:lineRule="auto"/>
        <w:rPr>
          <w:b/>
          <w:bCs/>
          <w:snapToGrid/>
          <w:szCs w:val="22"/>
          <w:lang w:val="de-DE" w:eastAsia="de-DE"/>
        </w:rPr>
      </w:pPr>
      <w:r w:rsidRPr="00DE1967">
        <w:rPr>
          <w:b/>
          <w:bCs/>
          <w:snapToGrid/>
          <w:szCs w:val="22"/>
          <w:lang w:val="de-DE" w:eastAsia="de-DE"/>
        </w:rPr>
        <w:t xml:space="preserve">Einnahme von </w:t>
      </w:r>
      <w:proofErr w:type="spellStart"/>
      <w:r w:rsidR="00904C92" w:rsidRPr="00DE1967">
        <w:rPr>
          <w:b/>
          <w:bCs/>
          <w:snapToGrid/>
          <w:szCs w:val="22"/>
          <w:lang w:val="de-DE" w:eastAsia="de-DE"/>
        </w:rPr>
        <w:t>Tolucombi</w:t>
      </w:r>
      <w:proofErr w:type="spellEnd"/>
      <w:r w:rsidRPr="00DE1967">
        <w:rPr>
          <w:b/>
          <w:bCs/>
          <w:snapToGrid/>
          <w:szCs w:val="22"/>
          <w:lang w:val="de-DE" w:eastAsia="de-DE"/>
        </w:rPr>
        <w:t xml:space="preserve"> zusammen mit anderen Arzneimitteln</w:t>
      </w:r>
    </w:p>
    <w:p w:rsidR="009E0657" w:rsidRPr="00DE1967" w:rsidRDefault="009E0657"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Informieren Sie Ihren Arzt oder Apotheker, wenn Sie andere Arzneimittel einnehmen/anwenden,</w:t>
      </w:r>
      <w:r w:rsidR="00904C92" w:rsidRPr="00DE1967">
        <w:rPr>
          <w:snapToGrid/>
          <w:szCs w:val="22"/>
          <w:lang w:val="de-DE" w:eastAsia="de-DE"/>
        </w:rPr>
        <w:t xml:space="preserve"> </w:t>
      </w:r>
      <w:r w:rsidRPr="00DE1967">
        <w:rPr>
          <w:snapToGrid/>
          <w:szCs w:val="22"/>
          <w:lang w:val="de-DE" w:eastAsia="de-DE"/>
        </w:rPr>
        <w:t>kürzlich andere Arzneimittel eingenommen/angewendet haben oder beabsichtigen andere Arzneimittel</w:t>
      </w:r>
      <w:r w:rsidR="00904C92" w:rsidRPr="00DE1967">
        <w:rPr>
          <w:snapToGrid/>
          <w:szCs w:val="22"/>
          <w:lang w:val="de-DE" w:eastAsia="de-DE"/>
        </w:rPr>
        <w:t xml:space="preserve"> </w:t>
      </w:r>
      <w:r w:rsidRPr="00DE1967">
        <w:rPr>
          <w:snapToGrid/>
          <w:szCs w:val="22"/>
          <w:lang w:val="de-DE" w:eastAsia="de-DE"/>
        </w:rPr>
        <w:t>einzunehmen/anzuwenden. Ihr Arzt muss unter Umständen die Dosierung dieser anderen Arzneimittel</w:t>
      </w:r>
      <w:r w:rsidR="00904C92" w:rsidRPr="00DE1967">
        <w:rPr>
          <w:snapToGrid/>
          <w:szCs w:val="22"/>
          <w:lang w:val="de-DE" w:eastAsia="de-DE"/>
        </w:rPr>
        <w:t xml:space="preserve"> </w:t>
      </w:r>
      <w:r w:rsidRPr="00DE1967">
        <w:rPr>
          <w:snapToGrid/>
          <w:szCs w:val="22"/>
          <w:lang w:val="de-DE" w:eastAsia="de-DE"/>
        </w:rPr>
        <w:t>anpassen oder sonstige Vorsichtsmaßnahmen treffen. In Einzelfällen kann es erforderlich sein, die</w:t>
      </w:r>
      <w:r w:rsidR="00904C92" w:rsidRPr="00DE1967">
        <w:rPr>
          <w:snapToGrid/>
          <w:szCs w:val="22"/>
          <w:lang w:val="de-DE" w:eastAsia="de-DE"/>
        </w:rPr>
        <w:t xml:space="preserve"> </w:t>
      </w:r>
      <w:r w:rsidRPr="00DE1967">
        <w:rPr>
          <w:snapToGrid/>
          <w:szCs w:val="22"/>
          <w:lang w:val="de-DE" w:eastAsia="de-DE"/>
        </w:rPr>
        <w:t>Einnahme eines Arzneimittels abzubrechen. Dies gilt insbesondere für die nachstehend aufgeführten</w:t>
      </w:r>
      <w:r w:rsidR="00904C92" w:rsidRPr="00DE1967">
        <w:rPr>
          <w:snapToGrid/>
          <w:szCs w:val="22"/>
          <w:lang w:val="de-DE" w:eastAsia="de-DE"/>
        </w:rPr>
        <w:t xml:space="preserve"> </w:t>
      </w:r>
      <w:r w:rsidRPr="00DE1967">
        <w:rPr>
          <w:snapToGrid/>
          <w:szCs w:val="22"/>
          <w:lang w:val="de-DE" w:eastAsia="de-DE"/>
        </w:rPr>
        <w:t xml:space="preserve">Arzneimittel, wenn diese gleichzeitig mit </w:t>
      </w:r>
      <w:proofErr w:type="spellStart"/>
      <w:r w:rsidR="00904C92" w:rsidRPr="00DE1967">
        <w:rPr>
          <w:snapToGrid/>
          <w:szCs w:val="22"/>
          <w:lang w:val="de-DE" w:eastAsia="de-DE"/>
        </w:rPr>
        <w:t>Tolucombi</w:t>
      </w:r>
      <w:proofErr w:type="spellEnd"/>
      <w:r w:rsidRPr="00DE1967">
        <w:rPr>
          <w:snapToGrid/>
          <w:szCs w:val="22"/>
          <w:lang w:val="de-DE" w:eastAsia="de-DE"/>
        </w:rPr>
        <w:t xml:space="preserve"> eingenommen werden:</w:t>
      </w:r>
    </w:p>
    <w:p w:rsidR="00904C92" w:rsidRPr="00DE1967" w:rsidRDefault="00904C92" w:rsidP="0003742E">
      <w:pPr>
        <w:widowControl w:val="0"/>
        <w:tabs>
          <w:tab w:val="clear" w:pos="567"/>
        </w:tabs>
        <w:autoSpaceDE w:val="0"/>
        <w:autoSpaceDN w:val="0"/>
        <w:adjustRightInd w:val="0"/>
        <w:spacing w:line="240" w:lineRule="auto"/>
        <w:rPr>
          <w:snapToGrid/>
          <w:szCs w:val="22"/>
          <w:lang w:val="de-DE" w:eastAsia="de-DE"/>
        </w:rPr>
      </w:pPr>
    </w:p>
    <w:p w:rsidR="009E0657" w:rsidRPr="00DE1967" w:rsidRDefault="0050748E" w:rsidP="0003742E">
      <w:pPr>
        <w:widowControl w:val="0"/>
        <w:autoSpaceDE w:val="0"/>
        <w:autoSpaceDN w:val="0"/>
        <w:adjustRightInd w:val="0"/>
        <w:spacing w:line="240" w:lineRule="auto"/>
        <w:ind w:left="567" w:hanging="567"/>
        <w:rPr>
          <w:snapToGrid/>
          <w:szCs w:val="22"/>
          <w:lang w:val="de-DE" w:eastAsia="de-DE"/>
        </w:rPr>
      </w:pPr>
      <w:r w:rsidRPr="00DE1967">
        <w:rPr>
          <w:snapToGrid/>
          <w:szCs w:val="22"/>
          <w:lang w:val="de-DE" w:eastAsia="de-DE"/>
        </w:rPr>
        <w:t>-</w:t>
      </w:r>
      <w:r w:rsidR="00904C92" w:rsidRPr="00DE1967">
        <w:rPr>
          <w:snapToGrid/>
          <w:szCs w:val="22"/>
          <w:lang w:val="de-DE" w:eastAsia="de-DE"/>
        </w:rPr>
        <w:tab/>
      </w:r>
      <w:r w:rsidR="009E0657" w:rsidRPr="00DE1967">
        <w:rPr>
          <w:snapToGrid/>
          <w:szCs w:val="22"/>
          <w:lang w:val="de-DE" w:eastAsia="de-DE"/>
        </w:rPr>
        <w:t>Lithiumhaltige Arzneimittel zur Behandlung bestimmter Depressionen</w:t>
      </w:r>
      <w:r w:rsidR="00BF753D" w:rsidRPr="00DE1967">
        <w:rPr>
          <w:snapToGrid/>
          <w:szCs w:val="22"/>
          <w:lang w:val="de-DE" w:eastAsia="de-DE"/>
        </w:rPr>
        <w:t>;</w:t>
      </w:r>
    </w:p>
    <w:p w:rsidR="009E0657" w:rsidRPr="00DE1967" w:rsidRDefault="0050748E" w:rsidP="0003742E">
      <w:pPr>
        <w:widowControl w:val="0"/>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t>
      </w:r>
      <w:r w:rsidR="00904C92" w:rsidRPr="00DE1967">
        <w:rPr>
          <w:snapToGrid/>
          <w:szCs w:val="22"/>
          <w:lang w:val="de-DE" w:eastAsia="de-DE"/>
        </w:rPr>
        <w:tab/>
      </w:r>
      <w:r w:rsidR="009E0657" w:rsidRPr="00DE1967">
        <w:rPr>
          <w:snapToGrid/>
          <w:szCs w:val="22"/>
          <w:lang w:val="de-DE" w:eastAsia="de-DE"/>
        </w:rPr>
        <w:t>Arzneimittel, die mit einem niedrigen Kaliumspiegel im Blut (Hypokaliämie) einhergehen, wie</w:t>
      </w:r>
      <w:r w:rsidR="00904C92" w:rsidRPr="00DE1967">
        <w:rPr>
          <w:snapToGrid/>
          <w:szCs w:val="22"/>
          <w:lang w:val="de-DE" w:eastAsia="de-DE"/>
        </w:rPr>
        <w:t xml:space="preserve"> </w:t>
      </w:r>
      <w:r w:rsidR="00433771" w:rsidRPr="00DE1967">
        <w:rPr>
          <w:snapToGrid/>
          <w:szCs w:val="22"/>
          <w:lang w:val="de-DE" w:eastAsia="de-DE"/>
        </w:rPr>
        <w:t>z. B.</w:t>
      </w:r>
      <w:r w:rsidR="009E0657" w:rsidRPr="00DE1967">
        <w:rPr>
          <w:snapToGrid/>
          <w:szCs w:val="22"/>
          <w:lang w:val="de-DE" w:eastAsia="de-DE"/>
        </w:rPr>
        <w:t xml:space="preserve"> andere Diuretika („Entwässerungstabletten“), Abführmittel (</w:t>
      </w:r>
      <w:r w:rsidR="00433771" w:rsidRPr="00DE1967">
        <w:rPr>
          <w:snapToGrid/>
          <w:szCs w:val="22"/>
          <w:lang w:val="de-DE" w:eastAsia="de-DE"/>
        </w:rPr>
        <w:t>z. B.</w:t>
      </w:r>
      <w:r w:rsidR="009E0657" w:rsidRPr="00DE1967">
        <w:rPr>
          <w:snapToGrid/>
          <w:szCs w:val="22"/>
          <w:lang w:val="de-DE" w:eastAsia="de-DE"/>
        </w:rPr>
        <w:t xml:space="preserve"> Rizinusöl),</w:t>
      </w:r>
      <w:r w:rsidR="00904C92" w:rsidRPr="00DE1967">
        <w:rPr>
          <w:snapToGrid/>
          <w:szCs w:val="22"/>
          <w:lang w:val="de-DE" w:eastAsia="de-DE"/>
        </w:rPr>
        <w:t xml:space="preserve"> </w:t>
      </w:r>
      <w:r w:rsidR="009E0657" w:rsidRPr="00DE1967">
        <w:rPr>
          <w:snapToGrid/>
          <w:szCs w:val="22"/>
          <w:lang w:val="de-DE" w:eastAsia="de-DE"/>
        </w:rPr>
        <w:t>Kortikosteroide (</w:t>
      </w:r>
      <w:r w:rsidR="00433771" w:rsidRPr="00DE1967">
        <w:rPr>
          <w:snapToGrid/>
          <w:szCs w:val="22"/>
          <w:lang w:val="de-DE" w:eastAsia="de-DE"/>
        </w:rPr>
        <w:t>z. B.</w:t>
      </w:r>
      <w:r w:rsidR="009E0657" w:rsidRPr="00DE1967">
        <w:rPr>
          <w:snapToGrid/>
          <w:szCs w:val="22"/>
          <w:lang w:val="de-DE" w:eastAsia="de-DE"/>
        </w:rPr>
        <w:t xml:space="preserve"> Prednison), ACTH (ein Hormon), Amphotericin (ein Mittel zur</w:t>
      </w:r>
      <w:r w:rsidR="00904C92" w:rsidRPr="00DE1967">
        <w:rPr>
          <w:snapToGrid/>
          <w:szCs w:val="22"/>
          <w:lang w:val="de-DE" w:eastAsia="de-DE"/>
        </w:rPr>
        <w:t xml:space="preserve"> </w:t>
      </w:r>
      <w:r w:rsidR="009E0657" w:rsidRPr="00DE1967">
        <w:rPr>
          <w:snapToGrid/>
          <w:szCs w:val="22"/>
          <w:lang w:val="de-DE" w:eastAsia="de-DE"/>
        </w:rPr>
        <w:t xml:space="preserve">Behandlung von Pilzinfektionen), </w:t>
      </w:r>
      <w:proofErr w:type="spellStart"/>
      <w:r w:rsidR="009E0657" w:rsidRPr="00DE1967">
        <w:rPr>
          <w:snapToGrid/>
          <w:szCs w:val="22"/>
          <w:lang w:val="de-DE" w:eastAsia="de-DE"/>
        </w:rPr>
        <w:t>Carbenoxolon</w:t>
      </w:r>
      <w:proofErr w:type="spellEnd"/>
      <w:r w:rsidR="009E0657" w:rsidRPr="00DE1967">
        <w:rPr>
          <w:snapToGrid/>
          <w:szCs w:val="22"/>
          <w:lang w:val="de-DE" w:eastAsia="de-DE"/>
        </w:rPr>
        <w:t xml:space="preserve"> (zur Behandlung von Geschwüren im Mund),</w:t>
      </w:r>
      <w:r w:rsidR="00904C92" w:rsidRPr="00DE1967">
        <w:rPr>
          <w:snapToGrid/>
          <w:szCs w:val="22"/>
          <w:lang w:val="de-DE" w:eastAsia="de-DE"/>
        </w:rPr>
        <w:t xml:space="preserve"> </w:t>
      </w:r>
      <w:proofErr w:type="spellStart"/>
      <w:r w:rsidR="009E0657" w:rsidRPr="00DE1967">
        <w:rPr>
          <w:snapToGrid/>
          <w:szCs w:val="22"/>
          <w:lang w:val="de-DE" w:eastAsia="de-DE"/>
        </w:rPr>
        <w:t>Benzylpenicillin</w:t>
      </w:r>
      <w:proofErr w:type="spellEnd"/>
      <w:r w:rsidR="009E0657" w:rsidRPr="00DE1967">
        <w:rPr>
          <w:snapToGrid/>
          <w:szCs w:val="22"/>
          <w:lang w:val="de-DE" w:eastAsia="de-DE"/>
        </w:rPr>
        <w:t>-Natrium (ein Antibiotikum), Salicylsäure und Salicylate</w:t>
      </w:r>
      <w:r w:rsidR="00BF753D" w:rsidRPr="00DE1967">
        <w:rPr>
          <w:snapToGrid/>
          <w:szCs w:val="22"/>
          <w:lang w:val="de-DE" w:eastAsia="de-DE"/>
        </w:rPr>
        <w:t>;</w:t>
      </w:r>
    </w:p>
    <w:p w:rsidR="00A1665B" w:rsidRPr="00DE1967" w:rsidRDefault="0050748E" w:rsidP="0003742E">
      <w:pPr>
        <w:widowControl w:val="0"/>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t>
      </w:r>
      <w:r w:rsidR="00904C92" w:rsidRPr="00DE1967">
        <w:rPr>
          <w:snapToGrid/>
          <w:szCs w:val="22"/>
          <w:lang w:val="de-DE" w:eastAsia="de-DE"/>
        </w:rPr>
        <w:tab/>
      </w:r>
      <w:r w:rsidR="00A1665B" w:rsidRPr="00DE1967">
        <w:rPr>
          <w:snapToGrid/>
          <w:szCs w:val="22"/>
          <w:lang w:val="de-DE" w:eastAsia="de-DE"/>
        </w:rPr>
        <w:t xml:space="preserve">Arzneimittel, die den Kaliumspiegel im Blut erhöhen können wie </w:t>
      </w:r>
      <w:r w:rsidR="00433771" w:rsidRPr="00DE1967">
        <w:rPr>
          <w:snapToGrid/>
          <w:szCs w:val="22"/>
          <w:lang w:val="de-DE" w:eastAsia="de-DE"/>
        </w:rPr>
        <w:t>z. B.</w:t>
      </w:r>
      <w:r w:rsidR="00A1665B" w:rsidRPr="00DE1967">
        <w:rPr>
          <w:snapToGrid/>
          <w:szCs w:val="22"/>
          <w:lang w:val="de-DE" w:eastAsia="de-DE"/>
        </w:rPr>
        <w:t xml:space="preserve"> kaliumsparende Diuretika, Kaliumpräparate, kaliumhaltige Salzersatzpräparate, ACE-Hemmer, Cyclosporin (ein Immunsuppressivum) und andere Arzneimittel wie </w:t>
      </w:r>
      <w:r w:rsidR="00433771" w:rsidRPr="00DE1967">
        <w:rPr>
          <w:snapToGrid/>
          <w:szCs w:val="22"/>
          <w:lang w:val="de-DE" w:eastAsia="de-DE"/>
        </w:rPr>
        <w:t>z. B.</w:t>
      </w:r>
      <w:r w:rsidR="00A1665B" w:rsidRPr="00DE1967">
        <w:rPr>
          <w:snapToGrid/>
          <w:szCs w:val="22"/>
          <w:lang w:val="de-DE" w:eastAsia="de-DE"/>
        </w:rPr>
        <w:t xml:space="preserve"> Heparin (ein Gerinnungshemmer)</w:t>
      </w:r>
      <w:r w:rsidR="00BF753D" w:rsidRPr="00DE1967">
        <w:rPr>
          <w:snapToGrid/>
          <w:szCs w:val="22"/>
          <w:lang w:val="de-DE" w:eastAsia="de-DE"/>
        </w:rPr>
        <w:t>;</w:t>
      </w:r>
    </w:p>
    <w:p w:rsidR="00505972" w:rsidRPr="00DE1967" w:rsidRDefault="009E0657" w:rsidP="0003742E">
      <w:pPr>
        <w:widowControl w:val="0"/>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t>
      </w:r>
      <w:r w:rsidR="00904C92" w:rsidRPr="00DE1967">
        <w:rPr>
          <w:snapToGrid/>
          <w:szCs w:val="22"/>
          <w:lang w:val="de-DE" w:eastAsia="de-DE"/>
        </w:rPr>
        <w:tab/>
      </w:r>
      <w:r w:rsidR="00505972" w:rsidRPr="00DE1967">
        <w:rPr>
          <w:snapToGrid/>
          <w:szCs w:val="22"/>
          <w:lang w:val="de-DE" w:eastAsia="de-DE"/>
        </w:rPr>
        <w:t xml:space="preserve">Arzneimittel, die durch eine Änderung des Blutkaliumspiegels beeinflusst werden, </w:t>
      </w:r>
      <w:r w:rsidR="00433771" w:rsidRPr="00DE1967">
        <w:rPr>
          <w:snapToGrid/>
          <w:szCs w:val="22"/>
          <w:lang w:val="de-DE" w:eastAsia="de-DE"/>
        </w:rPr>
        <w:t>z. B.</w:t>
      </w:r>
      <w:r w:rsidR="00505972" w:rsidRPr="00DE1967">
        <w:rPr>
          <w:snapToGrid/>
          <w:szCs w:val="22"/>
          <w:lang w:val="de-DE" w:eastAsia="de-DE"/>
        </w:rPr>
        <w:t xml:space="preserve"> Arzneimittel für Ihr Herz (</w:t>
      </w:r>
      <w:r w:rsidR="00433771" w:rsidRPr="00DE1967">
        <w:rPr>
          <w:snapToGrid/>
          <w:szCs w:val="22"/>
          <w:lang w:val="de-DE" w:eastAsia="de-DE"/>
        </w:rPr>
        <w:t>z. B.</w:t>
      </w:r>
      <w:r w:rsidR="00505972" w:rsidRPr="00DE1967">
        <w:rPr>
          <w:snapToGrid/>
          <w:szCs w:val="22"/>
          <w:lang w:val="de-DE" w:eastAsia="de-DE"/>
        </w:rPr>
        <w:t xml:space="preserve"> Digoxin) oder zur Kontrolle Ihres Herzrhythmus (</w:t>
      </w:r>
      <w:r w:rsidR="00433771" w:rsidRPr="00DE1967">
        <w:rPr>
          <w:snapToGrid/>
          <w:szCs w:val="22"/>
          <w:lang w:val="de-DE" w:eastAsia="de-DE"/>
        </w:rPr>
        <w:t>z. B.</w:t>
      </w:r>
      <w:r w:rsidR="00505972" w:rsidRPr="00DE1967">
        <w:rPr>
          <w:snapToGrid/>
          <w:szCs w:val="22"/>
          <w:lang w:val="de-DE" w:eastAsia="de-DE"/>
        </w:rPr>
        <w:t xml:space="preserve"> </w:t>
      </w:r>
      <w:proofErr w:type="spellStart"/>
      <w:r w:rsidR="00505972" w:rsidRPr="00DE1967">
        <w:rPr>
          <w:snapToGrid/>
          <w:szCs w:val="22"/>
          <w:lang w:val="de-DE" w:eastAsia="de-DE"/>
        </w:rPr>
        <w:t>Chinidin</w:t>
      </w:r>
      <w:proofErr w:type="spellEnd"/>
      <w:r w:rsidR="00505972" w:rsidRPr="00DE1967">
        <w:rPr>
          <w:snapToGrid/>
          <w:szCs w:val="22"/>
          <w:lang w:val="de-DE" w:eastAsia="de-DE"/>
        </w:rPr>
        <w:t xml:space="preserve">, </w:t>
      </w:r>
      <w:proofErr w:type="spellStart"/>
      <w:r w:rsidR="00505972" w:rsidRPr="00DE1967">
        <w:rPr>
          <w:snapToGrid/>
          <w:szCs w:val="22"/>
          <w:lang w:val="de-DE" w:eastAsia="de-DE"/>
        </w:rPr>
        <w:t>Disopyramid</w:t>
      </w:r>
      <w:proofErr w:type="spellEnd"/>
      <w:r w:rsidR="00505972" w:rsidRPr="00DE1967">
        <w:rPr>
          <w:snapToGrid/>
          <w:szCs w:val="22"/>
          <w:lang w:val="de-DE" w:eastAsia="de-DE"/>
        </w:rPr>
        <w:t xml:space="preserve">, Amiodaron, </w:t>
      </w:r>
      <w:proofErr w:type="spellStart"/>
      <w:r w:rsidR="00505972" w:rsidRPr="00DE1967">
        <w:rPr>
          <w:snapToGrid/>
          <w:szCs w:val="22"/>
          <w:lang w:val="de-DE" w:eastAsia="de-DE"/>
        </w:rPr>
        <w:t>Sotalol</w:t>
      </w:r>
      <w:proofErr w:type="spellEnd"/>
      <w:r w:rsidR="00505972" w:rsidRPr="00DE1967">
        <w:rPr>
          <w:snapToGrid/>
          <w:szCs w:val="22"/>
          <w:lang w:val="de-DE" w:eastAsia="de-DE"/>
        </w:rPr>
        <w:t>), Arzneimittel zur Behandlung psychischer Störungen (</w:t>
      </w:r>
      <w:r w:rsidR="00433771" w:rsidRPr="00DE1967">
        <w:rPr>
          <w:snapToGrid/>
          <w:szCs w:val="22"/>
          <w:lang w:val="de-DE" w:eastAsia="de-DE"/>
        </w:rPr>
        <w:t>z. B.</w:t>
      </w:r>
      <w:r w:rsidR="00505972" w:rsidRPr="00DE1967">
        <w:rPr>
          <w:snapToGrid/>
          <w:szCs w:val="22"/>
          <w:lang w:val="de-DE" w:eastAsia="de-DE"/>
        </w:rPr>
        <w:t xml:space="preserve"> </w:t>
      </w:r>
      <w:proofErr w:type="spellStart"/>
      <w:r w:rsidR="00505972" w:rsidRPr="00DE1967">
        <w:rPr>
          <w:snapToGrid/>
          <w:szCs w:val="22"/>
          <w:lang w:val="de-DE" w:eastAsia="de-DE"/>
        </w:rPr>
        <w:t>Thioridazin</w:t>
      </w:r>
      <w:proofErr w:type="spellEnd"/>
      <w:r w:rsidR="00505972" w:rsidRPr="00DE1967">
        <w:rPr>
          <w:snapToGrid/>
          <w:szCs w:val="22"/>
          <w:lang w:val="de-DE" w:eastAsia="de-DE"/>
        </w:rPr>
        <w:t xml:space="preserve">, </w:t>
      </w:r>
      <w:proofErr w:type="spellStart"/>
      <w:r w:rsidR="00505972" w:rsidRPr="00DE1967">
        <w:rPr>
          <w:snapToGrid/>
          <w:szCs w:val="22"/>
          <w:lang w:val="de-DE" w:eastAsia="de-DE"/>
        </w:rPr>
        <w:t>Chlorpromazin</w:t>
      </w:r>
      <w:proofErr w:type="spellEnd"/>
      <w:r w:rsidR="00505972" w:rsidRPr="00DE1967">
        <w:rPr>
          <w:snapToGrid/>
          <w:szCs w:val="22"/>
          <w:lang w:val="de-DE" w:eastAsia="de-DE"/>
        </w:rPr>
        <w:t xml:space="preserve">, </w:t>
      </w:r>
      <w:proofErr w:type="spellStart"/>
      <w:r w:rsidR="00505972" w:rsidRPr="00DE1967">
        <w:rPr>
          <w:snapToGrid/>
          <w:szCs w:val="22"/>
          <w:lang w:val="de-DE" w:eastAsia="de-DE"/>
        </w:rPr>
        <w:t>Levomepromazin</w:t>
      </w:r>
      <w:proofErr w:type="spellEnd"/>
      <w:r w:rsidR="00505972" w:rsidRPr="00DE1967">
        <w:rPr>
          <w:snapToGrid/>
          <w:szCs w:val="22"/>
          <w:lang w:val="de-DE" w:eastAsia="de-DE"/>
        </w:rPr>
        <w:t>) und andere Arzneimittel wie bestimmte Antibiotika (</w:t>
      </w:r>
      <w:r w:rsidR="00433771" w:rsidRPr="00DE1967">
        <w:rPr>
          <w:snapToGrid/>
          <w:szCs w:val="22"/>
          <w:lang w:val="de-DE" w:eastAsia="de-DE"/>
        </w:rPr>
        <w:t>z. B.</w:t>
      </w:r>
      <w:r w:rsidR="00505972" w:rsidRPr="00DE1967">
        <w:rPr>
          <w:snapToGrid/>
          <w:szCs w:val="22"/>
          <w:lang w:val="de-DE" w:eastAsia="de-DE"/>
        </w:rPr>
        <w:t xml:space="preserve"> </w:t>
      </w:r>
      <w:proofErr w:type="spellStart"/>
      <w:r w:rsidR="00505972" w:rsidRPr="00DE1967">
        <w:rPr>
          <w:snapToGrid/>
          <w:szCs w:val="22"/>
          <w:lang w:val="de-DE" w:eastAsia="de-DE"/>
        </w:rPr>
        <w:t>Sparfloxazin</w:t>
      </w:r>
      <w:proofErr w:type="spellEnd"/>
      <w:r w:rsidR="00505972" w:rsidRPr="00DE1967">
        <w:rPr>
          <w:snapToGrid/>
          <w:szCs w:val="22"/>
          <w:lang w:val="de-DE" w:eastAsia="de-DE"/>
        </w:rPr>
        <w:t xml:space="preserve">, </w:t>
      </w:r>
      <w:proofErr w:type="spellStart"/>
      <w:r w:rsidR="00505972" w:rsidRPr="00DE1967">
        <w:rPr>
          <w:snapToGrid/>
          <w:szCs w:val="22"/>
          <w:lang w:val="de-DE" w:eastAsia="de-DE"/>
        </w:rPr>
        <w:t>Pentamidin</w:t>
      </w:r>
      <w:proofErr w:type="spellEnd"/>
      <w:r w:rsidR="00505972" w:rsidRPr="00DE1967">
        <w:rPr>
          <w:snapToGrid/>
          <w:szCs w:val="22"/>
          <w:lang w:val="de-DE" w:eastAsia="de-DE"/>
        </w:rPr>
        <w:t>) oder bestimmte Arzneimittel zur Behandlung allergischer Reaktionen (</w:t>
      </w:r>
      <w:r w:rsidR="00433771" w:rsidRPr="00DE1967">
        <w:rPr>
          <w:snapToGrid/>
          <w:szCs w:val="22"/>
          <w:lang w:val="de-DE" w:eastAsia="de-DE"/>
        </w:rPr>
        <w:t>z. B.</w:t>
      </w:r>
      <w:r w:rsidR="00505972" w:rsidRPr="00DE1967">
        <w:rPr>
          <w:snapToGrid/>
          <w:szCs w:val="22"/>
          <w:lang w:val="de-DE" w:eastAsia="de-DE"/>
        </w:rPr>
        <w:t xml:space="preserve"> </w:t>
      </w:r>
      <w:proofErr w:type="spellStart"/>
      <w:r w:rsidR="00505972" w:rsidRPr="00DE1967">
        <w:rPr>
          <w:snapToGrid/>
          <w:szCs w:val="22"/>
          <w:lang w:val="de-DE" w:eastAsia="de-DE"/>
        </w:rPr>
        <w:t>Terfenadin</w:t>
      </w:r>
      <w:proofErr w:type="spellEnd"/>
      <w:r w:rsidR="00505972" w:rsidRPr="00DE1967">
        <w:rPr>
          <w:snapToGrid/>
          <w:szCs w:val="22"/>
          <w:lang w:val="de-DE" w:eastAsia="de-DE"/>
        </w:rPr>
        <w:t>)</w:t>
      </w:r>
      <w:r w:rsidR="00BF753D" w:rsidRPr="00DE1967">
        <w:rPr>
          <w:snapToGrid/>
          <w:szCs w:val="22"/>
          <w:lang w:val="de-DE" w:eastAsia="de-DE"/>
        </w:rPr>
        <w:t>;</w:t>
      </w:r>
    </w:p>
    <w:p w:rsidR="00505972" w:rsidRPr="00DE1967" w:rsidRDefault="009E0657" w:rsidP="0003742E">
      <w:pPr>
        <w:widowControl w:val="0"/>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w:t>
      </w:r>
      <w:r w:rsidR="00904C92" w:rsidRPr="00DE1967">
        <w:rPr>
          <w:snapToGrid/>
          <w:szCs w:val="22"/>
          <w:lang w:val="de-DE" w:eastAsia="de-DE"/>
        </w:rPr>
        <w:tab/>
      </w:r>
      <w:r w:rsidR="00505972" w:rsidRPr="00DE1967">
        <w:rPr>
          <w:snapToGrid/>
          <w:szCs w:val="22"/>
          <w:lang w:val="de-DE" w:eastAsia="de-DE"/>
        </w:rPr>
        <w:t>Arzneimittel zur Behandlung von Diabetes mellitus (Insulin oder orale Arzneimittel wie Metformin)</w:t>
      </w:r>
      <w:r w:rsidR="00BF753D" w:rsidRPr="00DE1967">
        <w:rPr>
          <w:snapToGrid/>
          <w:szCs w:val="22"/>
          <w:lang w:val="de-DE" w:eastAsia="de-DE"/>
        </w:rPr>
        <w:t>;</w:t>
      </w:r>
    </w:p>
    <w:p w:rsidR="00505972" w:rsidRPr="00DE1967" w:rsidRDefault="00505972" w:rsidP="00505972">
      <w:pPr>
        <w:numPr>
          <w:ilvl w:val="0"/>
          <w:numId w:val="12"/>
        </w:numPr>
        <w:tabs>
          <w:tab w:val="clear" w:pos="648"/>
          <w:tab w:val="num" w:pos="567"/>
        </w:tabs>
        <w:spacing w:line="240" w:lineRule="auto"/>
        <w:ind w:left="567" w:hanging="567"/>
        <w:rPr>
          <w:rFonts w:eastAsia="MS Mincho"/>
          <w:szCs w:val="22"/>
          <w:lang w:val="de-DE" w:eastAsia="ja-JP"/>
        </w:rPr>
      </w:pPr>
      <w:proofErr w:type="spellStart"/>
      <w:r w:rsidRPr="00DE1967">
        <w:rPr>
          <w:rFonts w:eastAsia="MS Mincho"/>
          <w:szCs w:val="22"/>
          <w:lang w:val="de-DE" w:eastAsia="ja-JP"/>
        </w:rPr>
        <w:t>Cholestyramin</w:t>
      </w:r>
      <w:proofErr w:type="spellEnd"/>
      <w:r w:rsidRPr="00DE1967">
        <w:rPr>
          <w:rFonts w:eastAsia="MS Mincho"/>
          <w:szCs w:val="22"/>
          <w:lang w:val="de-DE" w:eastAsia="ja-JP"/>
        </w:rPr>
        <w:t xml:space="preserve"> und </w:t>
      </w:r>
      <w:proofErr w:type="spellStart"/>
      <w:r w:rsidRPr="00DE1967">
        <w:rPr>
          <w:rFonts w:eastAsia="MS Mincho"/>
          <w:szCs w:val="22"/>
          <w:lang w:val="de-DE" w:eastAsia="ja-JP"/>
        </w:rPr>
        <w:t>Colestipol</w:t>
      </w:r>
      <w:proofErr w:type="spellEnd"/>
      <w:r w:rsidRPr="00DE1967">
        <w:rPr>
          <w:rFonts w:eastAsia="MS Mincho"/>
          <w:szCs w:val="22"/>
          <w:lang w:val="de-DE" w:eastAsia="ja-JP"/>
        </w:rPr>
        <w:t>, Arzneimittel zur Senkung der Blutfettspiegel</w:t>
      </w:r>
      <w:r w:rsidR="00C02F0B" w:rsidRPr="00DE1967">
        <w:rPr>
          <w:rFonts w:eastAsia="MS Mincho"/>
          <w:szCs w:val="22"/>
          <w:lang w:val="de-DE" w:eastAsia="ja-JP"/>
        </w:rPr>
        <w:t>;</w:t>
      </w:r>
    </w:p>
    <w:p w:rsidR="00505972" w:rsidRPr="00DE1967" w:rsidRDefault="00505972" w:rsidP="00505972">
      <w:pPr>
        <w:numPr>
          <w:ilvl w:val="0"/>
          <w:numId w:val="12"/>
        </w:numPr>
        <w:tabs>
          <w:tab w:val="clear" w:pos="648"/>
          <w:tab w:val="num" w:pos="567"/>
        </w:tabs>
        <w:spacing w:line="240" w:lineRule="auto"/>
        <w:ind w:left="567" w:hanging="567"/>
        <w:rPr>
          <w:rFonts w:eastAsia="MS Mincho"/>
          <w:szCs w:val="22"/>
          <w:lang w:val="de-DE" w:eastAsia="ja-JP"/>
        </w:rPr>
      </w:pPr>
      <w:r w:rsidRPr="00DE1967">
        <w:rPr>
          <w:rFonts w:eastAsia="MS Mincho"/>
          <w:szCs w:val="22"/>
          <w:lang w:val="de-DE" w:eastAsia="ja-JP"/>
        </w:rPr>
        <w:t>Arzneimittel zur Blutdruckste</w:t>
      </w:r>
      <w:r w:rsidR="00C26817" w:rsidRPr="00DE1967">
        <w:rPr>
          <w:rFonts w:eastAsia="MS Mincho"/>
          <w:szCs w:val="22"/>
          <w:lang w:val="de-DE" w:eastAsia="ja-JP"/>
        </w:rPr>
        <w:t xml:space="preserve">igerung, wie </w:t>
      </w:r>
      <w:r w:rsidR="00433771" w:rsidRPr="00DE1967">
        <w:rPr>
          <w:rFonts w:eastAsia="MS Mincho"/>
          <w:szCs w:val="22"/>
          <w:lang w:val="de-DE" w:eastAsia="ja-JP"/>
        </w:rPr>
        <w:t>z. B.</w:t>
      </w:r>
      <w:r w:rsidR="00C26817" w:rsidRPr="00DE1967">
        <w:rPr>
          <w:rFonts w:eastAsia="MS Mincho"/>
          <w:szCs w:val="22"/>
          <w:lang w:val="de-DE" w:eastAsia="ja-JP"/>
        </w:rPr>
        <w:t xml:space="preserve"> Noradrenalin</w:t>
      </w:r>
      <w:r w:rsidR="00C02F0B" w:rsidRPr="00DE1967">
        <w:rPr>
          <w:rFonts w:eastAsia="MS Mincho"/>
          <w:szCs w:val="22"/>
          <w:lang w:val="de-DE" w:eastAsia="ja-JP"/>
        </w:rPr>
        <w:t>;</w:t>
      </w:r>
    </w:p>
    <w:p w:rsidR="00505972" w:rsidRPr="00DE1967" w:rsidRDefault="00505972" w:rsidP="00505972">
      <w:pPr>
        <w:numPr>
          <w:ilvl w:val="0"/>
          <w:numId w:val="12"/>
        </w:numPr>
        <w:tabs>
          <w:tab w:val="clear" w:pos="648"/>
          <w:tab w:val="num" w:pos="567"/>
        </w:tabs>
        <w:spacing w:line="240" w:lineRule="auto"/>
        <w:ind w:left="567" w:hanging="567"/>
        <w:rPr>
          <w:rFonts w:eastAsia="MS Mincho"/>
          <w:szCs w:val="22"/>
          <w:lang w:val="de-DE" w:eastAsia="ja-JP"/>
        </w:rPr>
      </w:pPr>
      <w:r w:rsidRPr="00DE1967">
        <w:rPr>
          <w:rFonts w:eastAsia="MS Mincho"/>
          <w:szCs w:val="22"/>
          <w:lang w:val="de-DE" w:eastAsia="ja-JP"/>
        </w:rPr>
        <w:t xml:space="preserve">Arzneimittel zur Muskelentspannung, wie </w:t>
      </w:r>
      <w:r w:rsidR="00433771" w:rsidRPr="00DE1967">
        <w:rPr>
          <w:rFonts w:eastAsia="MS Mincho"/>
          <w:szCs w:val="22"/>
          <w:lang w:val="de-DE" w:eastAsia="ja-JP"/>
        </w:rPr>
        <w:t>z. B.</w:t>
      </w:r>
      <w:r w:rsidRPr="00DE1967">
        <w:rPr>
          <w:rFonts w:eastAsia="MS Mincho"/>
          <w:szCs w:val="22"/>
          <w:lang w:val="de-DE" w:eastAsia="ja-JP"/>
        </w:rPr>
        <w:t xml:space="preserve"> </w:t>
      </w:r>
      <w:proofErr w:type="spellStart"/>
      <w:r w:rsidRPr="00DE1967">
        <w:rPr>
          <w:rFonts w:eastAsia="MS Mincho"/>
          <w:szCs w:val="22"/>
          <w:lang w:val="de-DE" w:eastAsia="ja-JP"/>
        </w:rPr>
        <w:t>Tubocurarin</w:t>
      </w:r>
      <w:proofErr w:type="spellEnd"/>
      <w:r w:rsidR="00C02F0B" w:rsidRPr="00DE1967">
        <w:rPr>
          <w:rFonts w:eastAsia="MS Mincho"/>
          <w:szCs w:val="22"/>
          <w:lang w:val="de-DE" w:eastAsia="ja-JP"/>
        </w:rPr>
        <w:t>;</w:t>
      </w:r>
    </w:p>
    <w:p w:rsidR="00505972" w:rsidRPr="00DE1967" w:rsidRDefault="00505972" w:rsidP="00505972">
      <w:pPr>
        <w:numPr>
          <w:ilvl w:val="0"/>
          <w:numId w:val="12"/>
        </w:numPr>
        <w:tabs>
          <w:tab w:val="clear" w:pos="648"/>
          <w:tab w:val="num" w:pos="567"/>
        </w:tabs>
        <w:spacing w:line="240" w:lineRule="auto"/>
        <w:ind w:left="567" w:hanging="567"/>
        <w:rPr>
          <w:rFonts w:eastAsia="MS Mincho"/>
          <w:szCs w:val="22"/>
          <w:lang w:val="de-DE" w:eastAsia="ja-JP"/>
        </w:rPr>
      </w:pPr>
      <w:r w:rsidRPr="00DE1967">
        <w:rPr>
          <w:rFonts w:eastAsia="MS Mincho"/>
          <w:szCs w:val="22"/>
          <w:lang w:val="de-DE" w:eastAsia="ja-JP"/>
        </w:rPr>
        <w:t xml:space="preserve">Kalziumhaltige Nahrungsergänzungsmittel und/oder </w:t>
      </w:r>
      <w:r w:rsidRPr="00DE1967">
        <w:rPr>
          <w:szCs w:val="22"/>
          <w:lang w:val="de-DE"/>
        </w:rPr>
        <w:t>Vitamin-D-Präparate</w:t>
      </w:r>
      <w:r w:rsidR="00C02F0B" w:rsidRPr="00DE1967">
        <w:rPr>
          <w:rFonts w:eastAsia="MS Mincho"/>
          <w:szCs w:val="22"/>
          <w:lang w:val="de-DE" w:eastAsia="ja-JP"/>
        </w:rPr>
        <w:t>;</w:t>
      </w:r>
    </w:p>
    <w:p w:rsidR="00505972" w:rsidRPr="00DE1967" w:rsidRDefault="00505972" w:rsidP="00505972">
      <w:pPr>
        <w:numPr>
          <w:ilvl w:val="0"/>
          <w:numId w:val="12"/>
        </w:numPr>
        <w:tabs>
          <w:tab w:val="clear" w:pos="648"/>
          <w:tab w:val="num" w:pos="567"/>
        </w:tabs>
        <w:spacing w:line="240" w:lineRule="auto"/>
        <w:ind w:left="567" w:hanging="567"/>
        <w:rPr>
          <w:rFonts w:eastAsia="MS Mincho"/>
          <w:szCs w:val="22"/>
          <w:lang w:val="de-DE" w:eastAsia="ja-JP"/>
        </w:rPr>
      </w:pPr>
      <w:r w:rsidRPr="00DE1967">
        <w:rPr>
          <w:rFonts w:eastAsia="MS Mincho"/>
          <w:szCs w:val="22"/>
          <w:lang w:val="de-DE" w:eastAsia="ja-JP"/>
        </w:rPr>
        <w:t xml:space="preserve">Anticholinerge Arzneimittel (Arzneimittel zur Behandlung einer Vielzahl von Beschwerden wie Magen-Darm-Krämpfe, Blasenkrämpfe, Asthma, Reisekrankheit, Muskelkrämpfe, Parkinsonerkrankung und als Unterstützung bei Narkosen) wie </w:t>
      </w:r>
      <w:r w:rsidR="00433771" w:rsidRPr="00DE1967">
        <w:rPr>
          <w:rFonts w:eastAsia="MS Mincho"/>
          <w:szCs w:val="22"/>
          <w:lang w:val="de-DE" w:eastAsia="ja-JP"/>
        </w:rPr>
        <w:t>z. B.</w:t>
      </w:r>
      <w:r w:rsidRPr="00DE1967">
        <w:rPr>
          <w:rFonts w:eastAsia="MS Mincho"/>
          <w:szCs w:val="22"/>
          <w:lang w:val="de-DE" w:eastAsia="ja-JP"/>
        </w:rPr>
        <w:t xml:space="preserve"> Atropin und</w:t>
      </w:r>
      <w:r w:rsidR="00C26817" w:rsidRPr="00DE1967">
        <w:rPr>
          <w:rFonts w:eastAsia="MS Mincho"/>
          <w:szCs w:val="22"/>
          <w:lang w:val="de-DE" w:eastAsia="ja-JP"/>
        </w:rPr>
        <w:t xml:space="preserve"> </w:t>
      </w:r>
      <w:proofErr w:type="spellStart"/>
      <w:r w:rsidR="00C26817" w:rsidRPr="00DE1967">
        <w:rPr>
          <w:rFonts w:eastAsia="MS Mincho"/>
          <w:szCs w:val="22"/>
          <w:lang w:val="de-DE" w:eastAsia="ja-JP"/>
        </w:rPr>
        <w:t>Biperiden</w:t>
      </w:r>
      <w:proofErr w:type="spellEnd"/>
      <w:r w:rsidR="00C02F0B" w:rsidRPr="00DE1967">
        <w:rPr>
          <w:rFonts w:eastAsia="MS Mincho"/>
          <w:szCs w:val="22"/>
          <w:lang w:val="de-DE" w:eastAsia="ja-JP"/>
        </w:rPr>
        <w:t>;</w:t>
      </w:r>
    </w:p>
    <w:p w:rsidR="00505972" w:rsidRPr="00DE1967" w:rsidRDefault="00505972" w:rsidP="00505972">
      <w:pPr>
        <w:numPr>
          <w:ilvl w:val="0"/>
          <w:numId w:val="12"/>
        </w:numPr>
        <w:tabs>
          <w:tab w:val="clear" w:pos="648"/>
          <w:tab w:val="num" w:pos="567"/>
        </w:tabs>
        <w:spacing w:line="240" w:lineRule="auto"/>
        <w:ind w:left="567" w:hanging="567"/>
        <w:rPr>
          <w:rFonts w:eastAsia="MS Mincho"/>
          <w:szCs w:val="22"/>
          <w:lang w:val="de-DE" w:eastAsia="ja-JP"/>
        </w:rPr>
      </w:pPr>
      <w:r w:rsidRPr="00DE1967">
        <w:rPr>
          <w:rFonts w:eastAsia="MS Mincho"/>
          <w:szCs w:val="22"/>
          <w:lang w:val="de-DE" w:eastAsia="ja-JP"/>
        </w:rPr>
        <w:t>Amantadin (ein Arzneimittel zur Behandlung von Parkinson, das auch zur Behandlung oder Vorbeugung bestimmter Viruserkrankungen angewendet wird)</w:t>
      </w:r>
      <w:r w:rsidR="00C02F0B" w:rsidRPr="00DE1967">
        <w:rPr>
          <w:rFonts w:eastAsia="MS Mincho"/>
          <w:szCs w:val="22"/>
          <w:lang w:val="de-DE" w:eastAsia="ja-JP"/>
        </w:rPr>
        <w:t>;</w:t>
      </w:r>
    </w:p>
    <w:p w:rsidR="00505972" w:rsidRPr="00DE1967" w:rsidRDefault="00BA6B87" w:rsidP="00505972">
      <w:pPr>
        <w:numPr>
          <w:ilvl w:val="0"/>
          <w:numId w:val="12"/>
        </w:numPr>
        <w:tabs>
          <w:tab w:val="clear" w:pos="648"/>
          <w:tab w:val="num" w:pos="567"/>
        </w:tabs>
        <w:spacing w:line="240" w:lineRule="auto"/>
        <w:ind w:left="567" w:hanging="567"/>
        <w:rPr>
          <w:szCs w:val="22"/>
          <w:lang w:val="de-DE"/>
        </w:rPr>
      </w:pPr>
      <w:r w:rsidRPr="00DE1967">
        <w:rPr>
          <w:rFonts w:eastAsia="MS Mincho"/>
          <w:szCs w:val="22"/>
          <w:lang w:val="de-DE" w:eastAsia="ja-JP"/>
        </w:rPr>
        <w:t>W</w:t>
      </w:r>
      <w:r w:rsidR="00505972" w:rsidRPr="00DE1967">
        <w:rPr>
          <w:rFonts w:eastAsia="MS Mincho"/>
          <w:szCs w:val="22"/>
          <w:lang w:val="de-DE" w:eastAsia="ja-JP"/>
        </w:rPr>
        <w:t xml:space="preserve">eitere </w:t>
      </w:r>
      <w:r w:rsidR="00505972" w:rsidRPr="00DE1967">
        <w:rPr>
          <w:szCs w:val="22"/>
          <w:lang w:val="de-DE"/>
        </w:rPr>
        <w:t xml:space="preserve">blutdrucksenkende Arzneimittel, </w:t>
      </w:r>
      <w:r w:rsidR="00505972" w:rsidRPr="00DE1967">
        <w:rPr>
          <w:rFonts w:eastAsia="MS Mincho"/>
          <w:szCs w:val="22"/>
          <w:lang w:val="de-DE" w:eastAsia="ja-JP"/>
        </w:rPr>
        <w:t>Kortikosteroide</w:t>
      </w:r>
      <w:r w:rsidR="00505972" w:rsidRPr="00DE1967">
        <w:rPr>
          <w:szCs w:val="22"/>
          <w:lang w:val="de-DE"/>
        </w:rPr>
        <w:t xml:space="preserve">, Schmerzmittel (wie </w:t>
      </w:r>
      <w:r w:rsidR="00433771" w:rsidRPr="00DE1967">
        <w:rPr>
          <w:szCs w:val="22"/>
          <w:lang w:val="de-DE"/>
        </w:rPr>
        <w:t>z. B.</w:t>
      </w:r>
      <w:r w:rsidR="00505972" w:rsidRPr="00DE1967">
        <w:rPr>
          <w:szCs w:val="22"/>
          <w:lang w:val="de-DE"/>
        </w:rPr>
        <w:t xml:space="preserve"> nicht-steroidale entzündungshemmende Arzneimittel [NSAIDs], Arzneimittel gegen Krebs, Gicht oder Gelenkentzündung (Arthritis)</w:t>
      </w:r>
      <w:r w:rsidR="008236CD">
        <w:rPr>
          <w:szCs w:val="22"/>
          <w:lang w:val="de-DE"/>
        </w:rPr>
        <w:t>)</w:t>
      </w:r>
      <w:r w:rsidR="00C02F0B" w:rsidRPr="00DE1967">
        <w:rPr>
          <w:szCs w:val="22"/>
          <w:lang w:val="de-DE"/>
        </w:rPr>
        <w:t>;</w:t>
      </w:r>
    </w:p>
    <w:p w:rsidR="00505972" w:rsidRPr="00DE1967" w:rsidRDefault="00BA6B87" w:rsidP="00505972">
      <w:pPr>
        <w:numPr>
          <w:ilvl w:val="0"/>
          <w:numId w:val="12"/>
        </w:numPr>
        <w:tabs>
          <w:tab w:val="clear" w:pos="648"/>
          <w:tab w:val="num" w:pos="567"/>
        </w:tabs>
        <w:spacing w:line="240" w:lineRule="auto"/>
        <w:ind w:left="567" w:hanging="567"/>
        <w:rPr>
          <w:szCs w:val="22"/>
          <w:lang w:val="de-DE"/>
        </w:rPr>
      </w:pPr>
      <w:r w:rsidRPr="00DE1967">
        <w:rPr>
          <w:szCs w:val="22"/>
          <w:lang w:val="de-DE"/>
        </w:rPr>
        <w:t>W</w:t>
      </w:r>
      <w:r w:rsidR="00505972" w:rsidRPr="00DE1967">
        <w:rPr>
          <w:szCs w:val="22"/>
          <w:lang w:val="de-DE"/>
        </w:rPr>
        <w:t xml:space="preserve">enn Sie einen ACE-Hemmer oder </w:t>
      </w:r>
      <w:proofErr w:type="spellStart"/>
      <w:r w:rsidR="00505972" w:rsidRPr="00DE1967">
        <w:rPr>
          <w:szCs w:val="22"/>
          <w:lang w:val="de-DE"/>
        </w:rPr>
        <w:t>Aliskiren</w:t>
      </w:r>
      <w:proofErr w:type="spellEnd"/>
      <w:r w:rsidR="00505972" w:rsidRPr="00DE1967">
        <w:rPr>
          <w:szCs w:val="22"/>
          <w:lang w:val="de-DE"/>
        </w:rPr>
        <w:t xml:space="preserve"> einnehmen (siehe auch Abschnitte „</w:t>
      </w:r>
      <w:proofErr w:type="spellStart"/>
      <w:r w:rsidR="00C26817" w:rsidRPr="00DE1967">
        <w:rPr>
          <w:szCs w:val="22"/>
          <w:lang w:val="de-DE"/>
        </w:rPr>
        <w:t>Tolucombi</w:t>
      </w:r>
      <w:proofErr w:type="spellEnd"/>
      <w:r w:rsidR="00505972" w:rsidRPr="00DE1967">
        <w:rPr>
          <w:szCs w:val="22"/>
          <w:lang w:val="de-DE"/>
        </w:rPr>
        <w:t xml:space="preserve"> darf nicht eingenommen werden“ und „Warnhi</w:t>
      </w:r>
      <w:r w:rsidR="00C26817" w:rsidRPr="00DE1967">
        <w:rPr>
          <w:szCs w:val="22"/>
          <w:lang w:val="de-DE"/>
        </w:rPr>
        <w:t>nweise und Vorsichtsmaßnahmen“)</w:t>
      </w:r>
      <w:r w:rsidR="00C02F0B" w:rsidRPr="00DE1967">
        <w:rPr>
          <w:szCs w:val="22"/>
          <w:lang w:val="de-DE"/>
        </w:rPr>
        <w:t>;</w:t>
      </w:r>
    </w:p>
    <w:p w:rsidR="00505972" w:rsidRPr="00DE1967" w:rsidRDefault="00505972" w:rsidP="00505972">
      <w:pPr>
        <w:numPr>
          <w:ilvl w:val="0"/>
          <w:numId w:val="12"/>
        </w:numPr>
        <w:tabs>
          <w:tab w:val="clear" w:pos="648"/>
          <w:tab w:val="num" w:pos="567"/>
        </w:tabs>
        <w:spacing w:line="240" w:lineRule="auto"/>
        <w:ind w:left="567" w:hanging="567"/>
        <w:rPr>
          <w:rFonts w:eastAsia="MS Mincho"/>
          <w:szCs w:val="22"/>
          <w:lang w:val="de-DE" w:eastAsia="ja-JP"/>
        </w:rPr>
      </w:pPr>
      <w:r w:rsidRPr="00DE1967">
        <w:rPr>
          <w:szCs w:val="22"/>
          <w:lang w:val="de-DE"/>
        </w:rPr>
        <w:t>Digoxin.</w:t>
      </w:r>
    </w:p>
    <w:p w:rsidR="00904C92" w:rsidRPr="00DE1967" w:rsidRDefault="00904C92" w:rsidP="0003742E">
      <w:pPr>
        <w:widowControl w:val="0"/>
        <w:tabs>
          <w:tab w:val="clear" w:pos="567"/>
        </w:tabs>
        <w:autoSpaceDE w:val="0"/>
        <w:autoSpaceDN w:val="0"/>
        <w:adjustRightInd w:val="0"/>
        <w:spacing w:line="240" w:lineRule="auto"/>
        <w:rPr>
          <w:snapToGrid/>
          <w:szCs w:val="22"/>
          <w:lang w:val="de-DE" w:eastAsia="de-DE"/>
        </w:rPr>
      </w:pPr>
    </w:p>
    <w:p w:rsidR="00904C92" w:rsidRPr="00DE1967" w:rsidRDefault="000F4F3A" w:rsidP="0003742E">
      <w:pPr>
        <w:widowControl w:val="0"/>
        <w:tabs>
          <w:tab w:val="clear" w:pos="567"/>
        </w:tabs>
        <w:autoSpaceDE w:val="0"/>
        <w:autoSpaceDN w:val="0"/>
        <w:adjustRightInd w:val="0"/>
        <w:spacing w:line="240" w:lineRule="auto"/>
        <w:rPr>
          <w:snapToGrid/>
          <w:szCs w:val="22"/>
          <w:lang w:val="de-DE" w:eastAsia="de-DE"/>
        </w:rPr>
      </w:pPr>
      <w:proofErr w:type="spellStart"/>
      <w:r w:rsidRPr="00DE1967">
        <w:rPr>
          <w:snapToGrid/>
          <w:szCs w:val="22"/>
          <w:lang w:val="de-DE" w:eastAsia="de-DE"/>
        </w:rPr>
        <w:t>Tolucombi</w:t>
      </w:r>
      <w:proofErr w:type="spellEnd"/>
      <w:r w:rsidRPr="00DE1967">
        <w:rPr>
          <w:snapToGrid/>
          <w:szCs w:val="22"/>
          <w:lang w:val="de-DE" w:eastAsia="de-DE"/>
        </w:rPr>
        <w:t xml:space="preserve"> kann die blutdrucksenkende Wirkung anderer Arzneimittel </w:t>
      </w:r>
      <w:r w:rsidR="00A33DD3" w:rsidRPr="00DE1967">
        <w:rPr>
          <w:bCs/>
          <w:noProof/>
          <w:szCs w:val="22"/>
          <w:lang w:val="de-DE"/>
        </w:rPr>
        <w:t>zur Behandlung von hohem Blutdruck oder von Arzneimitteln mit blutdrucksenkendem Potential (</w:t>
      </w:r>
      <w:r w:rsidR="00433771" w:rsidRPr="00DE1967">
        <w:rPr>
          <w:bCs/>
          <w:noProof/>
          <w:szCs w:val="22"/>
          <w:lang w:val="de-DE"/>
        </w:rPr>
        <w:t>z. B.</w:t>
      </w:r>
      <w:r w:rsidR="00A33DD3" w:rsidRPr="00DE1967">
        <w:rPr>
          <w:bCs/>
          <w:noProof/>
          <w:szCs w:val="22"/>
          <w:lang w:val="de-DE"/>
        </w:rPr>
        <w:t xml:space="preserve"> Baclofen, Amifostin) verstärken. </w:t>
      </w:r>
      <w:r w:rsidR="00A33DD3" w:rsidRPr="00DE1967">
        <w:rPr>
          <w:szCs w:val="22"/>
          <w:lang w:val="de-DE" w:eastAsia="de-DE"/>
        </w:rPr>
        <w:t>Alkohol, Barbiturate, Narkotika oder Antidepressiva können darüber hinaus zu einer verstärkten Blutdrucksenkung führen. Dies kann bei Ihnen zu einem Schwindelgefühl beim Aufstehen führen</w:t>
      </w:r>
      <w:r w:rsidRPr="00DE1967">
        <w:rPr>
          <w:snapToGrid/>
          <w:szCs w:val="22"/>
          <w:lang w:val="de-DE" w:eastAsia="de-DE"/>
        </w:rPr>
        <w:t xml:space="preserve">. Fragen Sie deshalb Ihren Arzt, ob die Dosierung der anderen Arzneimittel, die Sie einnehmen, während der Einnahme von </w:t>
      </w:r>
      <w:proofErr w:type="spellStart"/>
      <w:r w:rsidRPr="00DE1967">
        <w:rPr>
          <w:snapToGrid/>
          <w:szCs w:val="22"/>
          <w:lang w:val="de-DE" w:eastAsia="de-DE"/>
        </w:rPr>
        <w:t>Tolucombi</w:t>
      </w:r>
      <w:proofErr w:type="spellEnd"/>
      <w:r w:rsidRPr="00DE1967">
        <w:rPr>
          <w:snapToGrid/>
          <w:szCs w:val="22"/>
          <w:lang w:val="de-DE" w:eastAsia="de-DE"/>
        </w:rPr>
        <w:t xml:space="preserve"> angepasst werden muss.</w:t>
      </w:r>
    </w:p>
    <w:p w:rsidR="00C02F0B" w:rsidRPr="00DE1967" w:rsidRDefault="00C02F0B" w:rsidP="0003742E">
      <w:pPr>
        <w:widowControl w:val="0"/>
        <w:tabs>
          <w:tab w:val="clear" w:pos="567"/>
        </w:tabs>
        <w:autoSpaceDE w:val="0"/>
        <w:autoSpaceDN w:val="0"/>
        <w:adjustRightInd w:val="0"/>
        <w:spacing w:line="240" w:lineRule="auto"/>
        <w:rPr>
          <w:snapToGrid/>
          <w:szCs w:val="22"/>
          <w:lang w:val="de-DE" w:eastAsia="de-DE"/>
        </w:rPr>
      </w:pPr>
    </w:p>
    <w:p w:rsidR="00637E20" w:rsidRPr="00DE1967" w:rsidRDefault="009E0657"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 Wirkung von </w:t>
      </w:r>
      <w:proofErr w:type="spellStart"/>
      <w:r w:rsidR="00904C92" w:rsidRPr="00DE1967">
        <w:rPr>
          <w:snapToGrid/>
          <w:szCs w:val="22"/>
          <w:lang w:val="de-DE" w:eastAsia="de-DE"/>
        </w:rPr>
        <w:t>Tolucombi</w:t>
      </w:r>
      <w:proofErr w:type="spellEnd"/>
      <w:r w:rsidRPr="00DE1967">
        <w:rPr>
          <w:snapToGrid/>
          <w:szCs w:val="22"/>
          <w:lang w:val="de-DE" w:eastAsia="de-DE"/>
        </w:rPr>
        <w:t xml:space="preserve"> kann abgeschwächt sein, wenn Sie bestimmte NSAR (nichtsteroidale</w:t>
      </w:r>
      <w:r w:rsidR="00904C92" w:rsidRPr="00DE1967">
        <w:rPr>
          <w:snapToGrid/>
          <w:szCs w:val="22"/>
          <w:lang w:val="de-DE" w:eastAsia="de-DE"/>
        </w:rPr>
        <w:t xml:space="preserve"> </w:t>
      </w:r>
      <w:r w:rsidRPr="00DE1967">
        <w:rPr>
          <w:snapToGrid/>
          <w:szCs w:val="22"/>
          <w:lang w:val="de-DE" w:eastAsia="de-DE"/>
        </w:rPr>
        <w:t xml:space="preserve">Antirheumatika wie </w:t>
      </w:r>
      <w:r w:rsidR="00437AA0" w:rsidRPr="00DE1967">
        <w:rPr>
          <w:snapToGrid/>
          <w:szCs w:val="22"/>
          <w:lang w:val="de-DE" w:eastAsia="de-DE"/>
        </w:rPr>
        <w:t xml:space="preserve">Acetylsalicylsäure </w:t>
      </w:r>
      <w:r w:rsidRPr="00DE1967">
        <w:rPr>
          <w:snapToGrid/>
          <w:szCs w:val="22"/>
          <w:lang w:val="de-DE" w:eastAsia="de-DE"/>
        </w:rPr>
        <w:t>oder Ibuprofen) einnehmen.</w:t>
      </w:r>
    </w:p>
    <w:p w:rsidR="00C26817" w:rsidRPr="00DE1967" w:rsidRDefault="00C26817" w:rsidP="0003742E">
      <w:pPr>
        <w:widowControl w:val="0"/>
        <w:tabs>
          <w:tab w:val="clear" w:pos="567"/>
        </w:tabs>
        <w:autoSpaceDE w:val="0"/>
        <w:autoSpaceDN w:val="0"/>
        <w:adjustRightInd w:val="0"/>
        <w:spacing w:line="240" w:lineRule="auto"/>
        <w:rPr>
          <w:snapToGrid/>
          <w:szCs w:val="22"/>
          <w:lang w:val="de-DE" w:eastAsia="de-DE"/>
        </w:rPr>
      </w:pPr>
    </w:p>
    <w:p w:rsidR="00C26817" w:rsidRPr="00DE1967" w:rsidRDefault="00C26817" w:rsidP="00C26817">
      <w:pPr>
        <w:keepNext/>
        <w:keepLines/>
        <w:ind w:right="-2"/>
        <w:rPr>
          <w:b/>
          <w:szCs w:val="22"/>
          <w:lang w:val="de-DE"/>
        </w:rPr>
      </w:pPr>
      <w:r w:rsidRPr="00DE1967">
        <w:rPr>
          <w:b/>
          <w:szCs w:val="22"/>
          <w:lang w:val="de-DE"/>
        </w:rPr>
        <w:t xml:space="preserve">Einnahme von </w:t>
      </w:r>
      <w:proofErr w:type="spellStart"/>
      <w:r w:rsidRPr="00DE1967">
        <w:rPr>
          <w:b/>
          <w:szCs w:val="22"/>
          <w:lang w:val="de-DE"/>
        </w:rPr>
        <w:t>Tolucombi</w:t>
      </w:r>
      <w:proofErr w:type="spellEnd"/>
      <w:r w:rsidRPr="00DE1967">
        <w:rPr>
          <w:b/>
          <w:szCs w:val="22"/>
          <w:lang w:val="de-DE"/>
        </w:rPr>
        <w:t xml:space="preserve"> zusammen mit Nahrungsmitteln und Alkohol </w:t>
      </w:r>
    </w:p>
    <w:p w:rsidR="00C26817" w:rsidRPr="00DE1967" w:rsidRDefault="00C26817" w:rsidP="00C26817">
      <w:pPr>
        <w:keepLines/>
        <w:rPr>
          <w:szCs w:val="22"/>
          <w:lang w:val="de-DE"/>
        </w:rPr>
      </w:pPr>
    </w:p>
    <w:p w:rsidR="00C26817" w:rsidRPr="00DE1967" w:rsidRDefault="00C26817" w:rsidP="00C26817">
      <w:pPr>
        <w:keepLines/>
        <w:rPr>
          <w:szCs w:val="22"/>
          <w:lang w:val="de-DE"/>
        </w:rPr>
      </w:pPr>
      <w:r w:rsidRPr="00DE1967">
        <w:rPr>
          <w:szCs w:val="22"/>
          <w:lang w:val="de-DE"/>
        </w:rPr>
        <w:t xml:space="preserve">Sie können </w:t>
      </w:r>
      <w:proofErr w:type="spellStart"/>
      <w:r w:rsidRPr="00DE1967">
        <w:rPr>
          <w:szCs w:val="22"/>
          <w:lang w:val="de-DE"/>
        </w:rPr>
        <w:t>Tolucombi</w:t>
      </w:r>
      <w:proofErr w:type="spellEnd"/>
      <w:r w:rsidRPr="00DE1967">
        <w:rPr>
          <w:szCs w:val="22"/>
          <w:lang w:val="de-DE"/>
        </w:rPr>
        <w:t xml:space="preserve"> zu oder unabhängig von den Mahlzeiten einnehmen.</w:t>
      </w:r>
    </w:p>
    <w:p w:rsidR="00C26817" w:rsidRPr="00DE1967" w:rsidRDefault="00C26817" w:rsidP="00C26817">
      <w:pPr>
        <w:widowControl w:val="0"/>
        <w:tabs>
          <w:tab w:val="clear" w:pos="567"/>
        </w:tabs>
        <w:autoSpaceDE w:val="0"/>
        <w:autoSpaceDN w:val="0"/>
        <w:adjustRightInd w:val="0"/>
        <w:spacing w:line="240" w:lineRule="auto"/>
        <w:rPr>
          <w:snapToGrid/>
          <w:szCs w:val="22"/>
          <w:lang w:val="de-DE" w:eastAsia="de-DE"/>
        </w:rPr>
      </w:pPr>
      <w:r w:rsidRPr="00DE1967">
        <w:rPr>
          <w:szCs w:val="22"/>
          <w:lang w:val="de-DE"/>
        </w:rPr>
        <w:t>Vermeiden Sie Alkohol bis Sie mit Ihrem Arzt gesprochen haben. Alkohol kann dazu führen, dass Ihr Blutdruck stärker abfällt und/oder das Risiko für Schwindel- oder Ohnmachtsgefühl erhöhen</w:t>
      </w:r>
      <w:r w:rsidR="00C02F0B" w:rsidRPr="00DE1967">
        <w:rPr>
          <w:szCs w:val="22"/>
          <w:lang w:val="de-DE"/>
        </w:rPr>
        <w:t>.</w:t>
      </w:r>
    </w:p>
    <w:p w:rsidR="00904C92" w:rsidRPr="00DE1967" w:rsidRDefault="00904C92" w:rsidP="0003742E">
      <w:pPr>
        <w:widowControl w:val="0"/>
        <w:tabs>
          <w:tab w:val="clear" w:pos="567"/>
        </w:tabs>
        <w:autoSpaceDE w:val="0"/>
        <w:autoSpaceDN w:val="0"/>
        <w:adjustRightInd w:val="0"/>
        <w:spacing w:line="240" w:lineRule="auto"/>
        <w:rPr>
          <w:noProof/>
          <w:szCs w:val="22"/>
          <w:lang w:val="de-DE"/>
        </w:rPr>
      </w:pPr>
    </w:p>
    <w:p w:rsidR="00904C92" w:rsidRPr="00DE1967" w:rsidRDefault="00904C92" w:rsidP="0003742E">
      <w:pPr>
        <w:widowControl w:val="0"/>
        <w:tabs>
          <w:tab w:val="clear" w:pos="567"/>
        </w:tabs>
        <w:autoSpaceDE w:val="0"/>
        <w:autoSpaceDN w:val="0"/>
        <w:adjustRightInd w:val="0"/>
        <w:spacing w:line="240" w:lineRule="auto"/>
        <w:rPr>
          <w:b/>
          <w:bCs/>
          <w:snapToGrid/>
          <w:szCs w:val="22"/>
          <w:lang w:val="de-DE" w:eastAsia="de-DE"/>
        </w:rPr>
      </w:pPr>
      <w:r w:rsidRPr="00DE1967">
        <w:rPr>
          <w:b/>
          <w:bCs/>
          <w:snapToGrid/>
          <w:szCs w:val="22"/>
          <w:lang w:val="de-DE" w:eastAsia="de-DE"/>
        </w:rPr>
        <w:t>Schwangerschaft und Stillzeit</w:t>
      </w:r>
    </w:p>
    <w:p w:rsidR="00231630" w:rsidRPr="00DE1967" w:rsidRDefault="00231630" w:rsidP="0003742E">
      <w:pPr>
        <w:widowControl w:val="0"/>
        <w:tabs>
          <w:tab w:val="clear" w:pos="567"/>
        </w:tabs>
        <w:autoSpaceDE w:val="0"/>
        <w:autoSpaceDN w:val="0"/>
        <w:adjustRightInd w:val="0"/>
        <w:spacing w:line="240" w:lineRule="auto"/>
        <w:rPr>
          <w:snapToGrid/>
          <w:szCs w:val="22"/>
          <w:u w:val="single"/>
          <w:lang w:val="de-DE" w:eastAsia="de-DE"/>
        </w:rPr>
      </w:pPr>
    </w:p>
    <w:p w:rsidR="00904C92" w:rsidRPr="00DE1967" w:rsidRDefault="00904C92"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Schwangerschaft</w:t>
      </w:r>
    </w:p>
    <w:p w:rsidR="00904C92" w:rsidRPr="00DE1967" w:rsidRDefault="00904C92"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Sie müssen Ihrem Arzt mitteilen, wenn Sie vermuten schwanger zu sein </w:t>
      </w:r>
      <w:r w:rsidRPr="00DE1967">
        <w:rPr>
          <w:snapToGrid/>
          <w:szCs w:val="22"/>
          <w:u w:val="single"/>
          <w:lang w:val="de-DE" w:eastAsia="de-DE"/>
        </w:rPr>
        <w:t>(oder schwanger werden könnten)</w:t>
      </w:r>
      <w:r w:rsidRPr="00DE1967">
        <w:rPr>
          <w:snapToGrid/>
          <w:szCs w:val="22"/>
          <w:lang w:val="de-DE" w:eastAsia="de-DE"/>
        </w:rPr>
        <w:t>. Ihr Arzt wird Ihnen üblicherweise empfehlen</w:t>
      </w:r>
      <w:r w:rsidR="00B43125" w:rsidRPr="00DE1967">
        <w:rPr>
          <w:snapToGrid/>
          <w:szCs w:val="22"/>
          <w:lang w:val="de-DE" w:eastAsia="de-DE"/>
        </w:rPr>
        <w:t>,</w:t>
      </w:r>
      <w:r w:rsidRPr="00DE1967">
        <w:rPr>
          <w:snapToGrid/>
          <w:szCs w:val="22"/>
          <w:lang w:val="de-DE" w:eastAsia="de-DE"/>
        </w:rPr>
        <w:t xml:space="preserve"> </w:t>
      </w:r>
      <w:proofErr w:type="spellStart"/>
      <w:r w:rsidRPr="00DE1967">
        <w:rPr>
          <w:snapToGrid/>
          <w:szCs w:val="22"/>
          <w:lang w:val="de-DE" w:eastAsia="de-DE"/>
        </w:rPr>
        <w:t>Tolucombi</w:t>
      </w:r>
      <w:proofErr w:type="spellEnd"/>
      <w:r w:rsidRPr="00DE1967">
        <w:rPr>
          <w:snapToGrid/>
          <w:szCs w:val="22"/>
          <w:lang w:val="de-DE" w:eastAsia="de-DE"/>
        </w:rPr>
        <w:t xml:space="preserve"> abzusetzen, bevor Sie schwanger werden oder sobald Sie wissen, dass Sie schwanger sind, und wird Ihnen empfehlen</w:t>
      </w:r>
      <w:r w:rsidR="00B43125" w:rsidRPr="00DE1967">
        <w:rPr>
          <w:snapToGrid/>
          <w:szCs w:val="22"/>
          <w:lang w:val="de-DE" w:eastAsia="de-DE"/>
        </w:rPr>
        <w:t>,</w:t>
      </w:r>
      <w:r w:rsidRPr="00DE1967">
        <w:rPr>
          <w:snapToGrid/>
          <w:szCs w:val="22"/>
          <w:lang w:val="de-DE" w:eastAsia="de-DE"/>
        </w:rPr>
        <w:t xml:space="preserve"> ein anderes Arzneimittel als </w:t>
      </w:r>
      <w:proofErr w:type="spellStart"/>
      <w:r w:rsidRPr="00DE1967">
        <w:rPr>
          <w:snapToGrid/>
          <w:szCs w:val="22"/>
          <w:lang w:val="de-DE" w:eastAsia="de-DE"/>
        </w:rPr>
        <w:t>Tolucombi</w:t>
      </w:r>
      <w:proofErr w:type="spellEnd"/>
      <w:r w:rsidRPr="00DE1967">
        <w:rPr>
          <w:snapToGrid/>
          <w:szCs w:val="22"/>
          <w:lang w:val="de-DE" w:eastAsia="de-DE"/>
        </w:rPr>
        <w:t xml:space="preserve"> einzunehmen. </w:t>
      </w:r>
      <w:proofErr w:type="spellStart"/>
      <w:r w:rsidRPr="00DE1967">
        <w:rPr>
          <w:snapToGrid/>
          <w:szCs w:val="22"/>
          <w:lang w:val="de-DE" w:eastAsia="de-DE"/>
        </w:rPr>
        <w:t>Tolucombi</w:t>
      </w:r>
      <w:proofErr w:type="spellEnd"/>
      <w:r w:rsidRPr="00DE1967">
        <w:rPr>
          <w:snapToGrid/>
          <w:szCs w:val="22"/>
          <w:lang w:val="de-DE" w:eastAsia="de-DE"/>
        </w:rPr>
        <w:t xml:space="preserve"> wird während der Schwangerschaft nicht empfohlen und darf nicht eingenommen werden, wenn Sie länger als 3 Monate schwanger sind, da es Ihr Baby bei Anwendung nach dem dritten Schwangerschaftsmonat schwerwiegend schädigen könnte.</w:t>
      </w:r>
    </w:p>
    <w:p w:rsidR="00904C92" w:rsidRPr="00DE1967" w:rsidRDefault="00904C92" w:rsidP="0003742E">
      <w:pPr>
        <w:widowControl w:val="0"/>
        <w:tabs>
          <w:tab w:val="clear" w:pos="567"/>
        </w:tabs>
        <w:autoSpaceDE w:val="0"/>
        <w:autoSpaceDN w:val="0"/>
        <w:adjustRightInd w:val="0"/>
        <w:spacing w:line="240" w:lineRule="auto"/>
        <w:rPr>
          <w:snapToGrid/>
          <w:szCs w:val="22"/>
          <w:lang w:val="de-DE" w:eastAsia="de-DE"/>
        </w:rPr>
      </w:pPr>
    </w:p>
    <w:p w:rsidR="00904C92" w:rsidRPr="00DE1967" w:rsidRDefault="00904C92"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Stillzeit</w:t>
      </w:r>
    </w:p>
    <w:p w:rsidR="00637E20" w:rsidRPr="00DE1967" w:rsidRDefault="00904C92"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Sagen Sie Ihrem Arzt, wenn Sie stillen oder vorhaben zu stillen. </w:t>
      </w:r>
      <w:proofErr w:type="spellStart"/>
      <w:r w:rsidRPr="00DE1967">
        <w:rPr>
          <w:snapToGrid/>
          <w:szCs w:val="22"/>
          <w:lang w:val="de-DE" w:eastAsia="de-DE"/>
        </w:rPr>
        <w:t>Tolucombi</w:t>
      </w:r>
      <w:proofErr w:type="spellEnd"/>
      <w:r w:rsidRPr="00DE1967">
        <w:rPr>
          <w:snapToGrid/>
          <w:szCs w:val="22"/>
          <w:lang w:val="de-DE" w:eastAsia="de-DE"/>
        </w:rPr>
        <w:t xml:space="preserve"> wird stillenden Müttern nicht empfohlen und Ihr Arzt wird wahrscheinlich eine andere Behandlung für Sie auswählen, wenn Sie stillen wollen.</w:t>
      </w:r>
    </w:p>
    <w:p w:rsidR="00904C92" w:rsidRPr="00DE1967" w:rsidRDefault="00904C92" w:rsidP="0003742E">
      <w:pPr>
        <w:widowControl w:val="0"/>
        <w:tabs>
          <w:tab w:val="clear" w:pos="567"/>
        </w:tabs>
        <w:autoSpaceDE w:val="0"/>
        <w:autoSpaceDN w:val="0"/>
        <w:adjustRightInd w:val="0"/>
        <w:spacing w:line="240" w:lineRule="auto"/>
        <w:rPr>
          <w:noProof/>
          <w:szCs w:val="22"/>
          <w:lang w:val="de-DE"/>
        </w:rPr>
      </w:pPr>
    </w:p>
    <w:p w:rsidR="00904C92" w:rsidRPr="00DE1967" w:rsidRDefault="00904C92" w:rsidP="0003742E">
      <w:pPr>
        <w:widowControl w:val="0"/>
        <w:tabs>
          <w:tab w:val="clear" w:pos="567"/>
        </w:tabs>
        <w:autoSpaceDE w:val="0"/>
        <w:autoSpaceDN w:val="0"/>
        <w:adjustRightInd w:val="0"/>
        <w:spacing w:line="240" w:lineRule="auto"/>
        <w:rPr>
          <w:b/>
          <w:bCs/>
          <w:snapToGrid/>
          <w:szCs w:val="22"/>
          <w:lang w:val="de-DE" w:eastAsia="de-DE"/>
        </w:rPr>
      </w:pPr>
      <w:r w:rsidRPr="00DE1967">
        <w:rPr>
          <w:b/>
          <w:bCs/>
          <w:snapToGrid/>
          <w:szCs w:val="22"/>
          <w:lang w:val="de-DE" w:eastAsia="de-DE"/>
        </w:rPr>
        <w:t>Verkehrstüchtigkeit und Fähigkeit zum Bedienen von Maschinen</w:t>
      </w:r>
    </w:p>
    <w:p w:rsidR="00904C92" w:rsidRPr="00DE1967" w:rsidRDefault="00904C92"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Bei einigen Patienten kommt es zu Schwindel oder Müdigkeit, wenn sie </w:t>
      </w:r>
      <w:proofErr w:type="spellStart"/>
      <w:r w:rsidRPr="00DE1967">
        <w:rPr>
          <w:snapToGrid/>
          <w:szCs w:val="22"/>
          <w:lang w:val="de-DE" w:eastAsia="de-DE"/>
        </w:rPr>
        <w:t>Tolucombi</w:t>
      </w:r>
      <w:proofErr w:type="spellEnd"/>
      <w:r w:rsidRPr="00DE1967">
        <w:rPr>
          <w:snapToGrid/>
          <w:szCs w:val="22"/>
          <w:lang w:val="de-DE" w:eastAsia="de-DE"/>
        </w:rPr>
        <w:t xml:space="preserve"> einnehmen. Sollte dies bei Ihnen der Fall sein, sollten Sie nicht am Straßenverkehr teilnehmen oder Maschinen bedienen.</w:t>
      </w:r>
    </w:p>
    <w:p w:rsidR="00904C92" w:rsidRPr="00DE1967" w:rsidRDefault="00904C92" w:rsidP="0003742E">
      <w:pPr>
        <w:widowControl w:val="0"/>
        <w:tabs>
          <w:tab w:val="clear" w:pos="567"/>
        </w:tabs>
        <w:autoSpaceDE w:val="0"/>
        <w:autoSpaceDN w:val="0"/>
        <w:adjustRightInd w:val="0"/>
        <w:spacing w:line="240" w:lineRule="auto"/>
        <w:rPr>
          <w:snapToGrid/>
          <w:szCs w:val="22"/>
          <w:lang w:val="de-DE" w:eastAsia="de-DE"/>
        </w:rPr>
      </w:pPr>
    </w:p>
    <w:p w:rsidR="00904C92" w:rsidRPr="00DE1967" w:rsidRDefault="00904C92" w:rsidP="0003742E">
      <w:pPr>
        <w:widowControl w:val="0"/>
        <w:tabs>
          <w:tab w:val="clear" w:pos="567"/>
        </w:tabs>
        <w:autoSpaceDE w:val="0"/>
        <w:autoSpaceDN w:val="0"/>
        <w:adjustRightInd w:val="0"/>
        <w:spacing w:line="240" w:lineRule="auto"/>
        <w:rPr>
          <w:b/>
          <w:bCs/>
          <w:snapToGrid/>
          <w:szCs w:val="22"/>
          <w:lang w:val="de-DE" w:eastAsia="de-DE"/>
        </w:rPr>
      </w:pPr>
      <w:proofErr w:type="spellStart"/>
      <w:r w:rsidRPr="00DE1967">
        <w:rPr>
          <w:b/>
          <w:bCs/>
          <w:snapToGrid/>
          <w:szCs w:val="22"/>
          <w:lang w:val="de-DE" w:eastAsia="de-DE"/>
        </w:rPr>
        <w:t>Tolucombi</w:t>
      </w:r>
      <w:proofErr w:type="spellEnd"/>
      <w:r w:rsidRPr="00DE1967">
        <w:rPr>
          <w:b/>
          <w:bCs/>
          <w:snapToGrid/>
          <w:szCs w:val="22"/>
          <w:lang w:val="de-DE" w:eastAsia="de-DE"/>
        </w:rPr>
        <w:t xml:space="preserve"> enthält Lactose</w:t>
      </w:r>
      <w:r w:rsidR="00C05B50" w:rsidRPr="00DE1967">
        <w:rPr>
          <w:b/>
          <w:bCs/>
          <w:snapToGrid/>
          <w:szCs w:val="22"/>
          <w:lang w:val="de-DE" w:eastAsia="de-DE"/>
        </w:rPr>
        <w:t>,</w:t>
      </w:r>
      <w:r w:rsidRPr="00DE1967">
        <w:rPr>
          <w:b/>
          <w:bCs/>
          <w:snapToGrid/>
          <w:szCs w:val="22"/>
          <w:lang w:val="de-DE" w:eastAsia="de-DE"/>
        </w:rPr>
        <w:t xml:space="preserve"> Sorbitol</w:t>
      </w:r>
      <w:r w:rsidR="00C05B50" w:rsidRPr="00DE1967">
        <w:rPr>
          <w:b/>
          <w:bCs/>
          <w:snapToGrid/>
          <w:szCs w:val="22"/>
          <w:lang w:val="de-DE" w:eastAsia="de-DE"/>
        </w:rPr>
        <w:t xml:space="preserve"> und Natrium</w:t>
      </w:r>
    </w:p>
    <w:p w:rsidR="00F37A1E" w:rsidRPr="00DE1967" w:rsidRDefault="00BA5790" w:rsidP="00BA5790">
      <w:pPr>
        <w:pStyle w:val="Default"/>
        <w:rPr>
          <w:sz w:val="22"/>
          <w:szCs w:val="22"/>
        </w:rPr>
      </w:pPr>
      <w:r w:rsidRPr="00DE1967">
        <w:rPr>
          <w:sz w:val="22"/>
          <w:szCs w:val="22"/>
        </w:rPr>
        <w:t xml:space="preserve">Bitte nehmen Sie </w:t>
      </w:r>
      <w:proofErr w:type="spellStart"/>
      <w:r w:rsidRPr="00DE1967">
        <w:rPr>
          <w:sz w:val="22"/>
          <w:szCs w:val="22"/>
        </w:rPr>
        <w:t>Tolucombi</w:t>
      </w:r>
      <w:proofErr w:type="spellEnd"/>
      <w:r w:rsidRPr="00DE1967">
        <w:rPr>
          <w:sz w:val="22"/>
          <w:szCs w:val="22"/>
        </w:rPr>
        <w:t xml:space="preserve"> erst nach Rücksprache mit Ihrem Arzt ein, wenn Ihnen bekannt ist, dass Sie unter einer Zuckerunverträglichkeit leiden.</w:t>
      </w:r>
    </w:p>
    <w:p w:rsidR="0064536E" w:rsidRPr="00DE1967" w:rsidRDefault="0064536E" w:rsidP="00BA5790">
      <w:pPr>
        <w:pStyle w:val="Default"/>
        <w:rPr>
          <w:sz w:val="22"/>
          <w:szCs w:val="22"/>
        </w:rPr>
      </w:pPr>
    </w:p>
    <w:p w:rsidR="00C05B50" w:rsidRPr="00DE1967" w:rsidRDefault="00C05B50" w:rsidP="00BA5790">
      <w:pPr>
        <w:pStyle w:val="Default"/>
        <w:rPr>
          <w:sz w:val="22"/>
          <w:szCs w:val="22"/>
        </w:rPr>
      </w:pPr>
      <w:proofErr w:type="spellStart"/>
      <w:r w:rsidRPr="00DE1967">
        <w:rPr>
          <w:sz w:val="22"/>
          <w:szCs w:val="22"/>
        </w:rPr>
        <w:t>Tolucombi</w:t>
      </w:r>
      <w:proofErr w:type="spellEnd"/>
      <w:r w:rsidRPr="00DE1967">
        <w:rPr>
          <w:sz w:val="22"/>
          <w:szCs w:val="22"/>
        </w:rPr>
        <w:t xml:space="preserve"> 40 mg/12,5 mg enthält 147,04 mg Sorbitol pro Tablette</w:t>
      </w:r>
      <w:r w:rsidR="0064536E" w:rsidRPr="00DE1967">
        <w:rPr>
          <w:sz w:val="22"/>
          <w:szCs w:val="22"/>
        </w:rPr>
        <w:t xml:space="preserve"> entsprechend 5 mg/kg/Tag, bei einem Körpergewicht von 2</w:t>
      </w:r>
      <w:r w:rsidR="009C7377" w:rsidRPr="00DE1967">
        <w:rPr>
          <w:sz w:val="22"/>
          <w:szCs w:val="22"/>
        </w:rPr>
        <w:t>9</w:t>
      </w:r>
      <w:r w:rsidR="0064536E" w:rsidRPr="00DE1967">
        <w:rPr>
          <w:sz w:val="22"/>
          <w:szCs w:val="22"/>
        </w:rPr>
        <w:t>,8 kg</w:t>
      </w:r>
      <w:r w:rsidRPr="00DE1967">
        <w:rPr>
          <w:sz w:val="22"/>
          <w:szCs w:val="22"/>
        </w:rPr>
        <w:t>.</w:t>
      </w:r>
    </w:p>
    <w:p w:rsidR="00C05B50" w:rsidRPr="00DE1967" w:rsidRDefault="00C05B50" w:rsidP="009C7377">
      <w:pPr>
        <w:pStyle w:val="Default"/>
        <w:rPr>
          <w:sz w:val="22"/>
          <w:szCs w:val="22"/>
        </w:rPr>
      </w:pPr>
      <w:proofErr w:type="spellStart"/>
      <w:r w:rsidRPr="00DE1967">
        <w:rPr>
          <w:sz w:val="22"/>
          <w:szCs w:val="22"/>
        </w:rPr>
        <w:t>Tolucombi</w:t>
      </w:r>
      <w:proofErr w:type="spellEnd"/>
      <w:r w:rsidRPr="00DE1967">
        <w:rPr>
          <w:sz w:val="22"/>
          <w:szCs w:val="22"/>
        </w:rPr>
        <w:t xml:space="preserve"> 80 mg/12,5 mg </w:t>
      </w:r>
      <w:r w:rsidR="009C7377" w:rsidRPr="00DE1967">
        <w:rPr>
          <w:sz w:val="22"/>
          <w:szCs w:val="22"/>
        </w:rPr>
        <w:t xml:space="preserve">und </w:t>
      </w:r>
      <w:proofErr w:type="spellStart"/>
      <w:r w:rsidR="009C7377" w:rsidRPr="00DE1967">
        <w:rPr>
          <w:sz w:val="22"/>
          <w:szCs w:val="22"/>
        </w:rPr>
        <w:t>Tolucombi</w:t>
      </w:r>
      <w:proofErr w:type="spellEnd"/>
      <w:r w:rsidR="009C7377" w:rsidRPr="00DE1967">
        <w:rPr>
          <w:sz w:val="22"/>
          <w:szCs w:val="22"/>
        </w:rPr>
        <w:t xml:space="preserve"> 80 mg/25 mg entha</w:t>
      </w:r>
      <w:r w:rsidRPr="00DE1967">
        <w:rPr>
          <w:sz w:val="22"/>
          <w:szCs w:val="22"/>
        </w:rPr>
        <w:t>lt</w:t>
      </w:r>
      <w:r w:rsidR="009C7377" w:rsidRPr="00DE1967">
        <w:rPr>
          <w:sz w:val="22"/>
          <w:szCs w:val="22"/>
        </w:rPr>
        <w:t>en</w:t>
      </w:r>
      <w:r w:rsidRPr="00DE1967">
        <w:rPr>
          <w:sz w:val="22"/>
          <w:szCs w:val="22"/>
        </w:rPr>
        <w:t xml:space="preserve"> </w:t>
      </w:r>
      <w:r w:rsidR="009C7377" w:rsidRPr="00DE1967">
        <w:rPr>
          <w:sz w:val="22"/>
          <w:szCs w:val="22"/>
        </w:rPr>
        <w:t xml:space="preserve">je </w:t>
      </w:r>
      <w:r w:rsidRPr="00DE1967">
        <w:rPr>
          <w:sz w:val="22"/>
          <w:szCs w:val="22"/>
        </w:rPr>
        <w:t>294,08 mg Sorbitol pro Tablette</w:t>
      </w:r>
      <w:r w:rsidR="009C7377" w:rsidRPr="00DE1967">
        <w:rPr>
          <w:sz w:val="22"/>
          <w:szCs w:val="22"/>
        </w:rPr>
        <w:t xml:space="preserve"> entsprechend 5 mg/kg/Tag, bei einem Körpergewicht von 58,8 kg.</w:t>
      </w:r>
      <w:r w:rsidR="009C7377" w:rsidRPr="00DE1967">
        <w:t xml:space="preserve"> Patienten mit einem Körpergewicht von 58,8 kg oder weniger müssen beachten, dass </w:t>
      </w:r>
      <w:r w:rsidR="009C7377" w:rsidRPr="00DE1967">
        <w:rPr>
          <w:sz w:val="22"/>
          <w:szCs w:val="22"/>
        </w:rPr>
        <w:t>Sorbitol eine Quelle für Fructose ist. Sprechen Sie mit Ihrem Arzt bevor Sie (oder Ihr Kind) dieses</w:t>
      </w:r>
      <w:r w:rsidR="00F00F60" w:rsidRPr="00DE1967">
        <w:rPr>
          <w:sz w:val="22"/>
          <w:szCs w:val="22"/>
        </w:rPr>
        <w:t xml:space="preserve"> </w:t>
      </w:r>
      <w:r w:rsidR="009C7377" w:rsidRPr="00DE1967">
        <w:rPr>
          <w:sz w:val="22"/>
          <w:szCs w:val="22"/>
        </w:rPr>
        <w:t>Arzneimittel einnehmen oder erhalten, wenn Ihr</w:t>
      </w:r>
      <w:r w:rsidR="00F00F60" w:rsidRPr="00DE1967">
        <w:rPr>
          <w:sz w:val="22"/>
          <w:szCs w:val="22"/>
        </w:rPr>
        <w:t xml:space="preserve"> </w:t>
      </w:r>
      <w:r w:rsidR="009C7377" w:rsidRPr="00DE1967">
        <w:rPr>
          <w:sz w:val="22"/>
          <w:szCs w:val="22"/>
        </w:rPr>
        <w:t>Arzt Ihnen mitgeteilt hat, dass Sie (oder Ihr Kind)</w:t>
      </w:r>
      <w:r w:rsidR="00F00F60" w:rsidRPr="00DE1967">
        <w:rPr>
          <w:sz w:val="22"/>
          <w:szCs w:val="22"/>
        </w:rPr>
        <w:t xml:space="preserve"> </w:t>
      </w:r>
      <w:r w:rsidR="009C7377" w:rsidRPr="00DE1967">
        <w:rPr>
          <w:sz w:val="22"/>
          <w:szCs w:val="22"/>
        </w:rPr>
        <w:t>eine Unverträglichkeit gegenüber einigen Zuckern</w:t>
      </w:r>
      <w:r w:rsidR="00F00F60" w:rsidRPr="00DE1967">
        <w:rPr>
          <w:sz w:val="22"/>
          <w:szCs w:val="22"/>
        </w:rPr>
        <w:t xml:space="preserve"> </w:t>
      </w:r>
      <w:r w:rsidR="009C7377" w:rsidRPr="00DE1967">
        <w:rPr>
          <w:sz w:val="22"/>
          <w:szCs w:val="22"/>
        </w:rPr>
        <w:t>haben oder wenn bei Ihnen eine hereditäre</w:t>
      </w:r>
      <w:r w:rsidR="00F00F60" w:rsidRPr="00DE1967">
        <w:rPr>
          <w:sz w:val="22"/>
          <w:szCs w:val="22"/>
        </w:rPr>
        <w:t xml:space="preserve"> </w:t>
      </w:r>
      <w:proofErr w:type="spellStart"/>
      <w:r w:rsidR="009C7377" w:rsidRPr="00DE1967">
        <w:rPr>
          <w:sz w:val="22"/>
          <w:szCs w:val="22"/>
        </w:rPr>
        <w:t>Fructoseintoleranz</w:t>
      </w:r>
      <w:proofErr w:type="spellEnd"/>
      <w:r w:rsidR="009C7377" w:rsidRPr="00DE1967">
        <w:rPr>
          <w:sz w:val="22"/>
          <w:szCs w:val="22"/>
        </w:rPr>
        <w:t xml:space="preserve"> (HFI) - eine seltene angeborene</w:t>
      </w:r>
      <w:r w:rsidR="00F00F60" w:rsidRPr="00DE1967">
        <w:rPr>
          <w:sz w:val="22"/>
          <w:szCs w:val="22"/>
        </w:rPr>
        <w:t xml:space="preserve"> </w:t>
      </w:r>
      <w:r w:rsidR="009C7377" w:rsidRPr="00DE1967">
        <w:rPr>
          <w:sz w:val="22"/>
          <w:szCs w:val="22"/>
        </w:rPr>
        <w:t>Erkrankung, bei der eine Person Fructose nicht</w:t>
      </w:r>
      <w:r w:rsidR="00F00F60" w:rsidRPr="00DE1967">
        <w:rPr>
          <w:sz w:val="22"/>
          <w:szCs w:val="22"/>
        </w:rPr>
        <w:t xml:space="preserve"> </w:t>
      </w:r>
      <w:r w:rsidR="009C7377" w:rsidRPr="00DE1967">
        <w:rPr>
          <w:sz w:val="22"/>
          <w:szCs w:val="22"/>
        </w:rPr>
        <w:t>abbauen kann - festgestellt wurde.</w:t>
      </w:r>
    </w:p>
    <w:p w:rsidR="00F00F60" w:rsidRPr="00DE1967" w:rsidRDefault="00F00F60" w:rsidP="009C7377">
      <w:pPr>
        <w:pStyle w:val="Default"/>
        <w:rPr>
          <w:sz w:val="22"/>
          <w:szCs w:val="22"/>
        </w:rPr>
      </w:pPr>
    </w:p>
    <w:p w:rsidR="00637E20" w:rsidRPr="00DE1967" w:rsidRDefault="00C05B50" w:rsidP="00DE1967">
      <w:pPr>
        <w:pStyle w:val="Default"/>
        <w:rPr>
          <w:noProof/>
          <w:szCs w:val="22"/>
        </w:rPr>
      </w:pPr>
      <w:r w:rsidRPr="00DE1967">
        <w:rPr>
          <w:sz w:val="22"/>
          <w:szCs w:val="22"/>
        </w:rPr>
        <w:t>Dieses Arzneimittel enthält weniger als 1 mmol Natrium (23 mg) pro Tablette, d.</w:t>
      </w:r>
      <w:r w:rsidR="009C7377" w:rsidRPr="00DE1967">
        <w:rPr>
          <w:sz w:val="22"/>
          <w:szCs w:val="22"/>
        </w:rPr>
        <w:t> </w:t>
      </w:r>
      <w:r w:rsidRPr="00DE1967">
        <w:rPr>
          <w:sz w:val="22"/>
          <w:szCs w:val="22"/>
        </w:rPr>
        <w:t>h. es ist nahezu „natriumfrei“.</w:t>
      </w:r>
    </w:p>
    <w:p w:rsidR="00726176" w:rsidRPr="00DE1967" w:rsidRDefault="00726176" w:rsidP="0003742E">
      <w:pPr>
        <w:widowControl w:val="0"/>
        <w:numPr>
          <w:ilvl w:val="12"/>
          <w:numId w:val="0"/>
        </w:numPr>
        <w:tabs>
          <w:tab w:val="clear" w:pos="567"/>
          <w:tab w:val="left" w:pos="720"/>
        </w:tabs>
        <w:spacing w:line="240" w:lineRule="auto"/>
        <w:ind w:right="-2"/>
        <w:rPr>
          <w:noProof/>
          <w:szCs w:val="22"/>
          <w:lang w:val="de-DE"/>
        </w:rPr>
      </w:pPr>
    </w:p>
    <w:p w:rsidR="00904C92" w:rsidRPr="00DE1967" w:rsidRDefault="00424B13" w:rsidP="0003742E">
      <w:pPr>
        <w:widowControl w:val="0"/>
        <w:tabs>
          <w:tab w:val="clear" w:pos="567"/>
        </w:tabs>
        <w:autoSpaceDE w:val="0"/>
        <w:autoSpaceDN w:val="0"/>
        <w:adjustRightInd w:val="0"/>
        <w:spacing w:line="240" w:lineRule="auto"/>
        <w:ind w:left="567" w:hanging="567"/>
        <w:rPr>
          <w:b/>
          <w:bCs/>
          <w:snapToGrid/>
          <w:szCs w:val="22"/>
          <w:lang w:val="de-DE" w:eastAsia="de-DE"/>
        </w:rPr>
      </w:pPr>
      <w:r w:rsidRPr="00DE1967">
        <w:rPr>
          <w:b/>
          <w:bCs/>
          <w:snapToGrid/>
          <w:szCs w:val="22"/>
          <w:lang w:val="de-DE" w:eastAsia="de-DE"/>
        </w:rPr>
        <w:t>3.</w:t>
      </w:r>
      <w:r w:rsidR="00904C92" w:rsidRPr="00DE1967">
        <w:rPr>
          <w:b/>
          <w:bCs/>
          <w:snapToGrid/>
          <w:szCs w:val="22"/>
          <w:lang w:val="de-DE" w:eastAsia="de-DE"/>
        </w:rPr>
        <w:tab/>
        <w:t xml:space="preserve">Wie ist </w:t>
      </w:r>
      <w:proofErr w:type="spellStart"/>
      <w:r w:rsidR="00FF1527" w:rsidRPr="00DE1967">
        <w:rPr>
          <w:b/>
          <w:bCs/>
          <w:snapToGrid/>
          <w:szCs w:val="22"/>
          <w:lang w:val="de-DE" w:eastAsia="de-DE"/>
        </w:rPr>
        <w:t>Tolucombi</w:t>
      </w:r>
      <w:proofErr w:type="spellEnd"/>
      <w:r w:rsidR="00904C92" w:rsidRPr="00DE1967">
        <w:rPr>
          <w:b/>
          <w:bCs/>
          <w:snapToGrid/>
          <w:szCs w:val="22"/>
          <w:lang w:val="de-DE" w:eastAsia="de-DE"/>
        </w:rPr>
        <w:t xml:space="preserve"> einzunehmen?</w:t>
      </w:r>
    </w:p>
    <w:p w:rsidR="00904C92" w:rsidRPr="00DE1967" w:rsidRDefault="00904C92" w:rsidP="0003742E">
      <w:pPr>
        <w:widowControl w:val="0"/>
        <w:tabs>
          <w:tab w:val="clear" w:pos="567"/>
        </w:tabs>
        <w:autoSpaceDE w:val="0"/>
        <w:autoSpaceDN w:val="0"/>
        <w:adjustRightInd w:val="0"/>
        <w:spacing w:line="240" w:lineRule="auto"/>
        <w:rPr>
          <w:b/>
          <w:bCs/>
          <w:snapToGrid/>
          <w:szCs w:val="22"/>
          <w:lang w:val="de-DE" w:eastAsia="de-DE"/>
        </w:rPr>
      </w:pPr>
    </w:p>
    <w:p w:rsidR="00904C92" w:rsidRPr="00DE1967" w:rsidRDefault="00904C92"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Nehmen Sie </w:t>
      </w:r>
      <w:r w:rsidR="00DE6A30" w:rsidRPr="00DE1967">
        <w:rPr>
          <w:snapToGrid/>
          <w:szCs w:val="22"/>
          <w:lang w:val="de-DE" w:eastAsia="de-DE"/>
        </w:rPr>
        <w:t>dieses Arzneimittel</w:t>
      </w:r>
      <w:r w:rsidRPr="00DE1967">
        <w:rPr>
          <w:snapToGrid/>
          <w:szCs w:val="22"/>
          <w:lang w:val="de-DE" w:eastAsia="de-DE"/>
        </w:rPr>
        <w:t xml:space="preserve"> immer genau nach Absprache mit Ihrem Arzt ein. Fragen Sie bei Ihrem Arzt oder Apotheker nach, wenn Sie sich nicht sicher sind.</w:t>
      </w:r>
    </w:p>
    <w:p w:rsidR="00904C92" w:rsidRPr="00DE1967" w:rsidRDefault="00904C92" w:rsidP="0003742E">
      <w:pPr>
        <w:widowControl w:val="0"/>
        <w:tabs>
          <w:tab w:val="clear" w:pos="567"/>
        </w:tabs>
        <w:autoSpaceDE w:val="0"/>
        <w:autoSpaceDN w:val="0"/>
        <w:adjustRightInd w:val="0"/>
        <w:spacing w:line="240" w:lineRule="auto"/>
        <w:rPr>
          <w:snapToGrid/>
          <w:szCs w:val="22"/>
          <w:lang w:val="de-DE" w:eastAsia="de-DE"/>
        </w:rPr>
      </w:pPr>
    </w:p>
    <w:p w:rsidR="00904C92" w:rsidRPr="00DE1967" w:rsidRDefault="00904C92"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 empfohlene Dosis </w:t>
      </w:r>
      <w:r w:rsidR="00EC6F58" w:rsidRPr="00DE1967">
        <w:rPr>
          <w:snapToGrid/>
          <w:szCs w:val="22"/>
          <w:lang w:val="de-DE" w:eastAsia="de-DE"/>
        </w:rPr>
        <w:t>beträgt</w:t>
      </w:r>
      <w:r w:rsidRPr="00DE1967">
        <w:rPr>
          <w:snapToGrid/>
          <w:szCs w:val="22"/>
          <w:lang w:val="de-DE" w:eastAsia="de-DE"/>
        </w:rPr>
        <w:t xml:space="preserve"> 1 x täglich 1 Tablette. Nehmen Sie die Tabletten nach Möglichkeit jeden Tag zur gleichen Zeit. Sie können </w:t>
      </w:r>
      <w:proofErr w:type="spellStart"/>
      <w:r w:rsidR="00FF1527" w:rsidRPr="00DE1967">
        <w:rPr>
          <w:snapToGrid/>
          <w:szCs w:val="22"/>
          <w:lang w:val="de-DE" w:eastAsia="de-DE"/>
        </w:rPr>
        <w:t>Tolucombi</w:t>
      </w:r>
      <w:proofErr w:type="spellEnd"/>
      <w:r w:rsidRPr="00DE1967">
        <w:rPr>
          <w:snapToGrid/>
          <w:szCs w:val="22"/>
          <w:lang w:val="de-DE" w:eastAsia="de-DE"/>
        </w:rPr>
        <w:t xml:space="preserve"> zu oder unabhängig von den Mahlzeiten einnehmen. Die Tabletten sollten mit etwas Wasser oder einem anderen nichtalkoholischen Getränk geschluckt werden. Wichtig ist, dass Sie </w:t>
      </w:r>
      <w:proofErr w:type="spellStart"/>
      <w:r w:rsidR="00FF1527" w:rsidRPr="00DE1967">
        <w:rPr>
          <w:snapToGrid/>
          <w:szCs w:val="22"/>
          <w:lang w:val="de-DE" w:eastAsia="de-DE"/>
        </w:rPr>
        <w:t>Tolucombi</w:t>
      </w:r>
      <w:proofErr w:type="spellEnd"/>
      <w:r w:rsidRPr="00DE1967">
        <w:rPr>
          <w:snapToGrid/>
          <w:szCs w:val="22"/>
          <w:lang w:val="de-DE" w:eastAsia="de-DE"/>
        </w:rPr>
        <w:t xml:space="preserve"> jeden Tag einnehmen, sofern Ihr Arzt es nicht anders verordnet.</w:t>
      </w:r>
    </w:p>
    <w:p w:rsidR="00904C92" w:rsidRPr="00DE1967" w:rsidRDefault="00904C92" w:rsidP="0003742E">
      <w:pPr>
        <w:widowControl w:val="0"/>
        <w:tabs>
          <w:tab w:val="clear" w:pos="567"/>
        </w:tabs>
        <w:autoSpaceDE w:val="0"/>
        <w:autoSpaceDN w:val="0"/>
        <w:adjustRightInd w:val="0"/>
        <w:spacing w:line="240" w:lineRule="auto"/>
        <w:rPr>
          <w:snapToGrid/>
          <w:szCs w:val="22"/>
          <w:lang w:val="de-DE" w:eastAsia="de-DE"/>
        </w:rPr>
      </w:pPr>
    </w:p>
    <w:p w:rsidR="00904C92" w:rsidRPr="00DE1967" w:rsidRDefault="00904C92"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Falls Sie an einer Leberfunktionsstörung leiden, sollte bei Ihnen die übliche Tagesdosis in Höhe von 40</w:t>
      </w:r>
      <w:r w:rsidR="00023E2B" w:rsidRPr="00DE1967">
        <w:rPr>
          <w:snapToGrid/>
          <w:szCs w:val="22"/>
          <w:lang w:val="de-DE" w:eastAsia="de-DE"/>
        </w:rPr>
        <w:t> mg</w:t>
      </w:r>
      <w:r w:rsidRPr="00DE1967">
        <w:rPr>
          <w:snapToGrid/>
          <w:szCs w:val="22"/>
          <w:lang w:val="de-DE" w:eastAsia="de-DE"/>
        </w:rPr>
        <w:t>/12,5</w:t>
      </w:r>
      <w:r w:rsidR="00023E2B" w:rsidRPr="00DE1967">
        <w:rPr>
          <w:snapToGrid/>
          <w:szCs w:val="22"/>
          <w:lang w:val="de-DE" w:eastAsia="de-DE"/>
        </w:rPr>
        <w:t> mg</w:t>
      </w:r>
      <w:r w:rsidRPr="00DE1967">
        <w:rPr>
          <w:snapToGrid/>
          <w:szCs w:val="22"/>
          <w:lang w:val="de-DE" w:eastAsia="de-DE"/>
        </w:rPr>
        <w:t xml:space="preserve"> nicht überschritten werden.</w:t>
      </w:r>
    </w:p>
    <w:p w:rsidR="00904C92" w:rsidRPr="00DE1967" w:rsidRDefault="00904C92" w:rsidP="0003742E">
      <w:pPr>
        <w:widowControl w:val="0"/>
        <w:tabs>
          <w:tab w:val="clear" w:pos="567"/>
        </w:tabs>
        <w:autoSpaceDE w:val="0"/>
        <w:autoSpaceDN w:val="0"/>
        <w:adjustRightInd w:val="0"/>
        <w:spacing w:line="240" w:lineRule="auto"/>
        <w:rPr>
          <w:snapToGrid/>
          <w:szCs w:val="22"/>
          <w:lang w:val="de-DE" w:eastAsia="de-DE"/>
        </w:rPr>
      </w:pPr>
    </w:p>
    <w:p w:rsidR="00904C92" w:rsidRPr="00DE1967" w:rsidRDefault="00904C92" w:rsidP="0003742E">
      <w:pPr>
        <w:widowControl w:val="0"/>
        <w:tabs>
          <w:tab w:val="clear" w:pos="567"/>
        </w:tabs>
        <w:autoSpaceDE w:val="0"/>
        <w:autoSpaceDN w:val="0"/>
        <w:adjustRightInd w:val="0"/>
        <w:spacing w:line="240" w:lineRule="auto"/>
        <w:rPr>
          <w:b/>
          <w:bCs/>
          <w:snapToGrid/>
          <w:szCs w:val="22"/>
          <w:lang w:val="de-DE" w:eastAsia="de-DE"/>
        </w:rPr>
      </w:pPr>
      <w:r w:rsidRPr="00DE1967">
        <w:rPr>
          <w:b/>
          <w:bCs/>
          <w:snapToGrid/>
          <w:szCs w:val="22"/>
          <w:lang w:val="de-DE" w:eastAsia="de-DE"/>
        </w:rPr>
        <w:t xml:space="preserve">Wenn Sie eine größere Menge von </w:t>
      </w:r>
      <w:proofErr w:type="spellStart"/>
      <w:r w:rsidR="00FF1527" w:rsidRPr="00DE1967">
        <w:rPr>
          <w:b/>
          <w:bCs/>
          <w:snapToGrid/>
          <w:szCs w:val="22"/>
          <w:lang w:val="de-DE" w:eastAsia="de-DE"/>
        </w:rPr>
        <w:t>Tolucombi</w:t>
      </w:r>
      <w:proofErr w:type="spellEnd"/>
      <w:r w:rsidRPr="00DE1967">
        <w:rPr>
          <w:b/>
          <w:bCs/>
          <w:snapToGrid/>
          <w:szCs w:val="22"/>
          <w:lang w:val="de-DE" w:eastAsia="de-DE"/>
        </w:rPr>
        <w:t xml:space="preserve"> eingenommen haben, als Sie sollten</w:t>
      </w:r>
    </w:p>
    <w:p w:rsidR="00C02F0B" w:rsidRPr="00DE1967" w:rsidRDefault="00C02F0B" w:rsidP="0003742E">
      <w:pPr>
        <w:widowControl w:val="0"/>
        <w:tabs>
          <w:tab w:val="clear" w:pos="567"/>
        </w:tabs>
        <w:autoSpaceDE w:val="0"/>
        <w:autoSpaceDN w:val="0"/>
        <w:adjustRightInd w:val="0"/>
        <w:spacing w:line="240" w:lineRule="auto"/>
        <w:rPr>
          <w:b/>
          <w:bCs/>
          <w:snapToGrid/>
          <w:szCs w:val="22"/>
          <w:lang w:val="de-DE" w:eastAsia="de-DE"/>
        </w:rPr>
      </w:pPr>
    </w:p>
    <w:p w:rsidR="00C26817" w:rsidRPr="00DE1967" w:rsidRDefault="00C26817" w:rsidP="00C26817">
      <w:pPr>
        <w:keepNext/>
        <w:keepLines/>
        <w:rPr>
          <w:szCs w:val="22"/>
          <w:lang w:val="de-DE"/>
        </w:rPr>
      </w:pPr>
      <w:r w:rsidRPr="00DE1967">
        <w:rPr>
          <w:szCs w:val="22"/>
          <w:lang w:val="de-DE"/>
        </w:rPr>
        <w:t>Wenn Sie versehentlich zu viele Tabletten eingenommen haben, können Sie Symptome wie niedrigen Blutdruck und schnellen Herzschlag entwickeln. Langsamer Herzschlag, Schwindel, Erbrechen, eingeschränkte Nierenfunktion einschließlich Nierenversagen wurden ebenfalls berichtet. Aufgrund des Hydrochlorothiazid Bestandteils können auch ein deutlich niedriger Blutdruck und niedrige Blutkaliumspiegel auftreten, die zu Übelkeit, Schläfrigkeit und Muskelkrämpfen und/oder unregelmäßigem Herzschlag in Zusammenhang mit der gleichzeitigen Anwendung von Arzneimitteln wie Digitalis oder bestimmten antiarrhythmischen Behandlungen führen können. Wenden Sie sich bitte umgehend an Ihren Arzt oder Apotheker oder an die Notfallabteilung des nächstgelegenen Krankenhauses.</w:t>
      </w:r>
    </w:p>
    <w:p w:rsidR="00FF1527" w:rsidRPr="00DE1967" w:rsidRDefault="00FF1527" w:rsidP="0003742E">
      <w:pPr>
        <w:widowControl w:val="0"/>
        <w:tabs>
          <w:tab w:val="clear" w:pos="567"/>
        </w:tabs>
        <w:autoSpaceDE w:val="0"/>
        <w:autoSpaceDN w:val="0"/>
        <w:adjustRightInd w:val="0"/>
        <w:spacing w:line="240" w:lineRule="auto"/>
        <w:rPr>
          <w:snapToGrid/>
          <w:szCs w:val="22"/>
          <w:lang w:val="de-DE" w:eastAsia="de-DE"/>
        </w:rPr>
      </w:pPr>
    </w:p>
    <w:p w:rsidR="00C02F0B" w:rsidRPr="00DE1967" w:rsidRDefault="00904C92" w:rsidP="0003742E">
      <w:pPr>
        <w:widowControl w:val="0"/>
        <w:tabs>
          <w:tab w:val="clear" w:pos="567"/>
        </w:tabs>
        <w:autoSpaceDE w:val="0"/>
        <w:autoSpaceDN w:val="0"/>
        <w:adjustRightInd w:val="0"/>
        <w:spacing w:line="240" w:lineRule="auto"/>
        <w:rPr>
          <w:b/>
          <w:bCs/>
          <w:snapToGrid/>
          <w:szCs w:val="22"/>
          <w:lang w:val="de-DE" w:eastAsia="de-DE"/>
        </w:rPr>
      </w:pPr>
      <w:r w:rsidRPr="00DE1967">
        <w:rPr>
          <w:b/>
          <w:bCs/>
          <w:snapToGrid/>
          <w:szCs w:val="22"/>
          <w:lang w:val="de-DE" w:eastAsia="de-DE"/>
        </w:rPr>
        <w:t xml:space="preserve">Wenn Sie die Einnahme von </w:t>
      </w:r>
      <w:proofErr w:type="spellStart"/>
      <w:r w:rsidR="00FF1527" w:rsidRPr="00DE1967">
        <w:rPr>
          <w:b/>
          <w:bCs/>
          <w:snapToGrid/>
          <w:szCs w:val="22"/>
          <w:lang w:val="de-DE" w:eastAsia="de-DE"/>
        </w:rPr>
        <w:t>Tolucombi</w:t>
      </w:r>
      <w:proofErr w:type="spellEnd"/>
      <w:r w:rsidRPr="00DE1967">
        <w:rPr>
          <w:b/>
          <w:bCs/>
          <w:snapToGrid/>
          <w:szCs w:val="22"/>
          <w:lang w:val="de-DE" w:eastAsia="de-DE"/>
        </w:rPr>
        <w:t xml:space="preserve"> vergessen haben</w:t>
      </w:r>
    </w:p>
    <w:p w:rsidR="00904C92" w:rsidRPr="00DE1967" w:rsidRDefault="00904C92"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Wenn Sie eine Dosis vergessen haben, besteht kein Anlass zur Sorge. Nehmen Sie die Dosis ein,</w:t>
      </w:r>
      <w:r w:rsidR="00FF1527" w:rsidRPr="00DE1967">
        <w:rPr>
          <w:snapToGrid/>
          <w:szCs w:val="22"/>
          <w:lang w:val="de-DE" w:eastAsia="de-DE"/>
        </w:rPr>
        <w:t xml:space="preserve"> </w:t>
      </w:r>
      <w:r w:rsidRPr="00DE1967">
        <w:rPr>
          <w:snapToGrid/>
          <w:szCs w:val="22"/>
          <w:lang w:val="de-DE" w:eastAsia="de-DE"/>
        </w:rPr>
        <w:t>sobald es Ihnen einfällt, und setzen Sie die Behandlung dann fort wie bisher. Wenn Sie an einem Tag</w:t>
      </w:r>
      <w:r w:rsidR="00FF1527" w:rsidRPr="00DE1967">
        <w:rPr>
          <w:snapToGrid/>
          <w:szCs w:val="22"/>
          <w:lang w:val="de-DE" w:eastAsia="de-DE"/>
        </w:rPr>
        <w:t xml:space="preserve"> </w:t>
      </w:r>
      <w:r w:rsidRPr="00DE1967">
        <w:rPr>
          <w:snapToGrid/>
          <w:szCs w:val="22"/>
          <w:lang w:val="de-DE" w:eastAsia="de-DE"/>
        </w:rPr>
        <w:t>vergessen haben, die Tablette einzunehmen, nehmen Sie am nächsten Tag die übliche Dosis. Nehmen</w:t>
      </w:r>
      <w:r w:rsidR="00FF1527" w:rsidRPr="00DE1967">
        <w:rPr>
          <w:snapToGrid/>
          <w:szCs w:val="22"/>
          <w:lang w:val="de-DE" w:eastAsia="de-DE"/>
        </w:rPr>
        <w:t xml:space="preserve"> </w:t>
      </w:r>
      <w:r w:rsidRPr="00DE1967">
        <w:rPr>
          <w:snapToGrid/>
          <w:szCs w:val="22"/>
          <w:lang w:val="de-DE" w:eastAsia="de-DE"/>
        </w:rPr>
        <w:t xml:space="preserve">Sie nicht die doppelte </w:t>
      </w:r>
      <w:r w:rsidR="00EC6F58" w:rsidRPr="00DE1967">
        <w:rPr>
          <w:snapToGrid/>
          <w:szCs w:val="22"/>
          <w:lang w:val="de-DE" w:eastAsia="de-DE"/>
        </w:rPr>
        <w:t>Menge</w:t>
      </w:r>
      <w:r w:rsidRPr="00DE1967">
        <w:rPr>
          <w:snapToGrid/>
          <w:szCs w:val="22"/>
          <w:lang w:val="de-DE" w:eastAsia="de-DE"/>
        </w:rPr>
        <w:t xml:space="preserve"> ein, wenn Sie die vorherige Einnahme vergessen haben.</w:t>
      </w:r>
    </w:p>
    <w:p w:rsidR="00FF1527" w:rsidRPr="00DE1967" w:rsidRDefault="00FF1527" w:rsidP="0003742E">
      <w:pPr>
        <w:widowControl w:val="0"/>
        <w:tabs>
          <w:tab w:val="clear" w:pos="567"/>
        </w:tabs>
        <w:autoSpaceDE w:val="0"/>
        <w:autoSpaceDN w:val="0"/>
        <w:adjustRightInd w:val="0"/>
        <w:spacing w:line="240" w:lineRule="auto"/>
        <w:rPr>
          <w:snapToGrid/>
          <w:szCs w:val="22"/>
          <w:lang w:val="de-DE" w:eastAsia="de-DE"/>
        </w:rPr>
      </w:pPr>
    </w:p>
    <w:p w:rsidR="00637E20" w:rsidRPr="00DE1967" w:rsidRDefault="00904C92" w:rsidP="00C63FF9">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Wenn Sie weitere Fragen zur Anwendung </w:t>
      </w:r>
      <w:r w:rsidR="00EC6F58" w:rsidRPr="00DE1967">
        <w:rPr>
          <w:snapToGrid/>
          <w:szCs w:val="22"/>
          <w:lang w:val="de-DE" w:eastAsia="de-DE"/>
        </w:rPr>
        <w:t>dieses</w:t>
      </w:r>
      <w:r w:rsidRPr="00DE1967">
        <w:rPr>
          <w:snapToGrid/>
          <w:szCs w:val="22"/>
          <w:lang w:val="de-DE" w:eastAsia="de-DE"/>
        </w:rPr>
        <w:t xml:space="preserve"> Arzneimittels haben, </w:t>
      </w:r>
      <w:r w:rsidR="00EC6F58" w:rsidRPr="00DE1967">
        <w:rPr>
          <w:snapToGrid/>
          <w:szCs w:val="22"/>
          <w:lang w:val="de-DE" w:eastAsia="de-DE"/>
        </w:rPr>
        <w:t>wenden</w:t>
      </w:r>
      <w:r w:rsidRPr="00DE1967">
        <w:rPr>
          <w:snapToGrid/>
          <w:szCs w:val="22"/>
          <w:lang w:val="de-DE" w:eastAsia="de-DE"/>
        </w:rPr>
        <w:t xml:space="preserve"> Sie </w:t>
      </w:r>
      <w:r w:rsidR="00EC6F58" w:rsidRPr="00DE1967">
        <w:rPr>
          <w:snapToGrid/>
          <w:szCs w:val="22"/>
          <w:lang w:val="de-DE" w:eastAsia="de-DE"/>
        </w:rPr>
        <w:t xml:space="preserve">sich an </w:t>
      </w:r>
      <w:r w:rsidRPr="00DE1967">
        <w:rPr>
          <w:snapToGrid/>
          <w:szCs w:val="22"/>
          <w:lang w:val="de-DE" w:eastAsia="de-DE"/>
        </w:rPr>
        <w:t>Ihren Arzt oder</w:t>
      </w:r>
      <w:r w:rsidR="00C63FF9" w:rsidRPr="00DE1967">
        <w:rPr>
          <w:snapToGrid/>
          <w:szCs w:val="22"/>
          <w:lang w:val="de-DE" w:eastAsia="de-DE"/>
        </w:rPr>
        <w:t xml:space="preserve"> </w:t>
      </w:r>
      <w:r w:rsidRPr="00DE1967">
        <w:rPr>
          <w:snapToGrid/>
          <w:szCs w:val="22"/>
          <w:lang w:val="de-DE" w:eastAsia="de-DE"/>
        </w:rPr>
        <w:t>Apotheker.</w:t>
      </w:r>
    </w:p>
    <w:p w:rsidR="00637E20" w:rsidRPr="00DE1967" w:rsidRDefault="00637E20" w:rsidP="0003742E">
      <w:pPr>
        <w:widowControl w:val="0"/>
        <w:numPr>
          <w:ilvl w:val="12"/>
          <w:numId w:val="0"/>
        </w:numPr>
        <w:tabs>
          <w:tab w:val="clear" w:pos="567"/>
          <w:tab w:val="left" w:pos="720"/>
        </w:tabs>
        <w:spacing w:line="240" w:lineRule="auto"/>
        <w:rPr>
          <w:noProof/>
          <w:szCs w:val="22"/>
          <w:lang w:val="de-DE"/>
        </w:rPr>
      </w:pPr>
    </w:p>
    <w:p w:rsidR="00544F89" w:rsidRPr="00DE1967" w:rsidRDefault="00544F89" w:rsidP="0003742E">
      <w:pPr>
        <w:widowControl w:val="0"/>
        <w:numPr>
          <w:ilvl w:val="12"/>
          <w:numId w:val="0"/>
        </w:numPr>
        <w:tabs>
          <w:tab w:val="clear" w:pos="567"/>
          <w:tab w:val="left" w:pos="720"/>
        </w:tabs>
        <w:spacing w:line="240" w:lineRule="auto"/>
        <w:rPr>
          <w:noProof/>
          <w:szCs w:val="22"/>
          <w:lang w:val="de-DE"/>
        </w:rPr>
      </w:pPr>
    </w:p>
    <w:p w:rsidR="00637E20" w:rsidRPr="00DE1967" w:rsidRDefault="00637E20" w:rsidP="0003742E">
      <w:pPr>
        <w:widowControl w:val="0"/>
        <w:numPr>
          <w:ilvl w:val="12"/>
          <w:numId w:val="0"/>
        </w:numPr>
        <w:tabs>
          <w:tab w:val="clear" w:pos="567"/>
        </w:tabs>
        <w:spacing w:line="240" w:lineRule="auto"/>
        <w:ind w:left="567" w:right="-2" w:hanging="567"/>
        <w:rPr>
          <w:szCs w:val="22"/>
          <w:lang w:val="de-DE"/>
        </w:rPr>
      </w:pPr>
      <w:r w:rsidRPr="00DE1967">
        <w:rPr>
          <w:b/>
          <w:szCs w:val="22"/>
          <w:lang w:val="de-DE"/>
        </w:rPr>
        <w:t>4.</w:t>
      </w:r>
      <w:r w:rsidRPr="00DE1967">
        <w:rPr>
          <w:b/>
          <w:szCs w:val="22"/>
          <w:lang w:val="de-DE"/>
        </w:rPr>
        <w:tab/>
      </w:r>
      <w:r w:rsidRPr="00DE1967">
        <w:rPr>
          <w:b/>
          <w:noProof/>
          <w:szCs w:val="22"/>
          <w:lang w:val="de-DE"/>
        </w:rPr>
        <w:t>Welche Nebenwirkungen sind möglich?</w:t>
      </w:r>
    </w:p>
    <w:p w:rsidR="00637E20" w:rsidRPr="00DE1967" w:rsidRDefault="00637E20" w:rsidP="0003742E">
      <w:pPr>
        <w:widowControl w:val="0"/>
        <w:numPr>
          <w:ilvl w:val="12"/>
          <w:numId w:val="0"/>
        </w:numPr>
        <w:tabs>
          <w:tab w:val="clear" w:pos="567"/>
          <w:tab w:val="left" w:pos="720"/>
        </w:tabs>
        <w:spacing w:line="240" w:lineRule="auto"/>
        <w:rPr>
          <w:szCs w:val="22"/>
          <w:lang w:val="de-DE"/>
        </w:rPr>
      </w:pPr>
    </w:p>
    <w:p w:rsidR="0010426F" w:rsidRPr="00DE1967" w:rsidRDefault="0010426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Wie alle Arzneimittel kann auch dieses Arzneimittel Nebenwirkungen haben, die aber nicht bei jedem auftreten müssen.</w:t>
      </w:r>
    </w:p>
    <w:p w:rsidR="0010426F" w:rsidRPr="00DE1967" w:rsidRDefault="0010426F" w:rsidP="0003742E">
      <w:pPr>
        <w:widowControl w:val="0"/>
        <w:tabs>
          <w:tab w:val="clear" w:pos="567"/>
        </w:tabs>
        <w:autoSpaceDE w:val="0"/>
        <w:autoSpaceDN w:val="0"/>
        <w:adjustRightInd w:val="0"/>
        <w:spacing w:line="240" w:lineRule="auto"/>
        <w:rPr>
          <w:snapToGrid/>
          <w:szCs w:val="22"/>
          <w:lang w:val="de-DE" w:eastAsia="de-DE"/>
        </w:rPr>
      </w:pPr>
    </w:p>
    <w:p w:rsidR="0010426F" w:rsidRPr="00DE1967" w:rsidRDefault="0010426F" w:rsidP="0003742E">
      <w:pPr>
        <w:widowControl w:val="0"/>
        <w:tabs>
          <w:tab w:val="clear" w:pos="567"/>
        </w:tabs>
        <w:autoSpaceDE w:val="0"/>
        <w:autoSpaceDN w:val="0"/>
        <w:adjustRightInd w:val="0"/>
        <w:spacing w:line="240" w:lineRule="auto"/>
        <w:rPr>
          <w:b/>
          <w:bCs/>
          <w:snapToGrid/>
          <w:szCs w:val="22"/>
          <w:lang w:val="de-DE" w:eastAsia="de-DE"/>
        </w:rPr>
      </w:pPr>
      <w:r w:rsidRPr="00DE1967">
        <w:rPr>
          <w:b/>
          <w:bCs/>
          <w:snapToGrid/>
          <w:szCs w:val="22"/>
          <w:lang w:val="de-DE" w:eastAsia="de-DE"/>
        </w:rPr>
        <w:t>Einige Nebenwirkungen können schwerwiegend sein und erfordern eine sofortige medizinische Versorgung.</w:t>
      </w:r>
    </w:p>
    <w:p w:rsidR="0010426F" w:rsidRPr="00DE1967" w:rsidRDefault="0010426F" w:rsidP="0003742E">
      <w:pPr>
        <w:widowControl w:val="0"/>
        <w:tabs>
          <w:tab w:val="clear" w:pos="567"/>
        </w:tabs>
        <w:autoSpaceDE w:val="0"/>
        <w:autoSpaceDN w:val="0"/>
        <w:adjustRightInd w:val="0"/>
        <w:spacing w:line="240" w:lineRule="auto"/>
        <w:rPr>
          <w:b/>
          <w:bCs/>
          <w:snapToGrid/>
          <w:szCs w:val="22"/>
          <w:lang w:val="de-DE" w:eastAsia="de-DE"/>
        </w:rPr>
      </w:pPr>
    </w:p>
    <w:p w:rsidR="0010426F" w:rsidRPr="00DE1967" w:rsidRDefault="0010426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Suchen Sie unverzüglich Ihren Arzt auf, wenn Sie eines der folgenden Symptome bemerken:</w:t>
      </w:r>
    </w:p>
    <w:p w:rsidR="0010426F" w:rsidRPr="00DE1967" w:rsidRDefault="0010426F" w:rsidP="0003742E">
      <w:pPr>
        <w:widowControl w:val="0"/>
        <w:tabs>
          <w:tab w:val="clear" w:pos="567"/>
        </w:tabs>
        <w:autoSpaceDE w:val="0"/>
        <w:autoSpaceDN w:val="0"/>
        <w:adjustRightInd w:val="0"/>
        <w:spacing w:line="240" w:lineRule="auto"/>
        <w:rPr>
          <w:snapToGrid/>
          <w:szCs w:val="22"/>
          <w:lang w:val="de-DE" w:eastAsia="de-DE"/>
        </w:rPr>
      </w:pPr>
    </w:p>
    <w:p w:rsidR="00B360EB" w:rsidRPr="00DE1967" w:rsidRDefault="0010426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Sepsis* (auch Blutvergiftung genannt - eine schwere Infektion mit entzündlichen Reaktionen des gesamten Körpers), rasches Anschwellen der Haut und Schleimhäute (Angioödem); </w:t>
      </w:r>
      <w:r w:rsidR="00C26817" w:rsidRPr="00DE1967">
        <w:rPr>
          <w:szCs w:val="22"/>
          <w:lang w:val="de-DE"/>
        </w:rPr>
        <w:t xml:space="preserve">Blasenbildung und Abschälen der obersten Hautschicht (toxische epidermale </w:t>
      </w:r>
      <w:proofErr w:type="spellStart"/>
      <w:r w:rsidR="00C26817" w:rsidRPr="00DE1967">
        <w:rPr>
          <w:szCs w:val="22"/>
          <w:lang w:val="de-DE"/>
        </w:rPr>
        <w:t>Nekrolyse</w:t>
      </w:r>
      <w:proofErr w:type="spellEnd"/>
      <w:r w:rsidR="00C26817" w:rsidRPr="00DE1967">
        <w:rPr>
          <w:szCs w:val="22"/>
          <w:lang w:val="de-DE"/>
        </w:rPr>
        <w:t xml:space="preserve">); </w:t>
      </w:r>
      <w:r w:rsidRPr="00DE1967">
        <w:rPr>
          <w:snapToGrid/>
          <w:szCs w:val="22"/>
          <w:lang w:val="de-DE" w:eastAsia="de-DE"/>
        </w:rPr>
        <w:t>diese Nebenwirkungen sind selten (können bis zu 1 von 1.000 Behandelten betreffen)</w:t>
      </w:r>
      <w:r w:rsidR="00C26817" w:rsidRPr="00DE1967">
        <w:rPr>
          <w:snapToGrid/>
          <w:szCs w:val="22"/>
          <w:lang w:val="de-DE" w:eastAsia="de-DE"/>
        </w:rPr>
        <w:t xml:space="preserve"> </w:t>
      </w:r>
      <w:r w:rsidR="00C26817" w:rsidRPr="00DE1967">
        <w:rPr>
          <w:szCs w:val="22"/>
          <w:lang w:val="de-DE"/>
        </w:rPr>
        <w:t xml:space="preserve">oder nicht bekannter Häufigkeit (toxische epidermale </w:t>
      </w:r>
      <w:proofErr w:type="spellStart"/>
      <w:r w:rsidR="00C26817" w:rsidRPr="00DE1967">
        <w:rPr>
          <w:szCs w:val="22"/>
          <w:lang w:val="de-DE"/>
        </w:rPr>
        <w:t>Nekrolyse</w:t>
      </w:r>
      <w:proofErr w:type="spellEnd"/>
      <w:r w:rsidR="00C26817" w:rsidRPr="00DE1967">
        <w:rPr>
          <w:szCs w:val="22"/>
          <w:lang w:val="de-DE"/>
        </w:rPr>
        <w:t>)</w:t>
      </w:r>
      <w:r w:rsidRPr="00DE1967">
        <w:rPr>
          <w:snapToGrid/>
          <w:szCs w:val="22"/>
          <w:lang w:val="de-DE" w:eastAsia="de-DE"/>
        </w:rPr>
        <w:t xml:space="preserve">, jedoch äußerst schwerwiegend. Sie sollten die Einnahme des Arzneimittels abbrechen und unverzüglich Ihren Arzt aufsuchen. </w:t>
      </w:r>
    </w:p>
    <w:p w:rsidR="0010426F" w:rsidRPr="00DE1967" w:rsidRDefault="0010426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Diese Nebenwirkungen können unbehandelt einen tödlichen Ausgang haben. Das häufigere Auftreten einer Sepsis wurde nur bei Telmisartan beobachtet, kann jedoch auch für </w:t>
      </w:r>
      <w:proofErr w:type="spellStart"/>
      <w:r w:rsidRPr="00DE1967">
        <w:rPr>
          <w:snapToGrid/>
          <w:szCs w:val="22"/>
          <w:lang w:val="de-DE" w:eastAsia="de-DE"/>
        </w:rPr>
        <w:t>Tolucombi</w:t>
      </w:r>
      <w:proofErr w:type="spellEnd"/>
      <w:r w:rsidRPr="00DE1967">
        <w:rPr>
          <w:snapToGrid/>
          <w:szCs w:val="22"/>
          <w:lang w:val="de-DE" w:eastAsia="de-DE"/>
        </w:rPr>
        <w:t xml:space="preserve"> nicht ausgeschlossen werden.</w:t>
      </w:r>
    </w:p>
    <w:p w:rsidR="0010426F" w:rsidRPr="00DE1967" w:rsidRDefault="0010426F" w:rsidP="0003742E">
      <w:pPr>
        <w:widowControl w:val="0"/>
        <w:tabs>
          <w:tab w:val="clear" w:pos="567"/>
        </w:tabs>
        <w:autoSpaceDE w:val="0"/>
        <w:autoSpaceDN w:val="0"/>
        <w:adjustRightInd w:val="0"/>
        <w:spacing w:line="240" w:lineRule="auto"/>
        <w:rPr>
          <w:snapToGrid/>
          <w:szCs w:val="22"/>
          <w:lang w:val="de-DE" w:eastAsia="de-DE"/>
        </w:rPr>
      </w:pPr>
    </w:p>
    <w:p w:rsidR="0010426F" w:rsidRPr="00DE1967" w:rsidRDefault="0010426F" w:rsidP="0003742E">
      <w:pPr>
        <w:widowControl w:val="0"/>
        <w:tabs>
          <w:tab w:val="clear" w:pos="567"/>
        </w:tabs>
        <w:autoSpaceDE w:val="0"/>
        <w:autoSpaceDN w:val="0"/>
        <w:adjustRightInd w:val="0"/>
        <w:spacing w:line="240" w:lineRule="auto"/>
        <w:rPr>
          <w:b/>
          <w:bCs/>
          <w:snapToGrid/>
          <w:szCs w:val="22"/>
          <w:lang w:val="de-DE" w:eastAsia="de-DE"/>
        </w:rPr>
      </w:pPr>
      <w:r w:rsidRPr="00DE1967">
        <w:rPr>
          <w:b/>
          <w:bCs/>
          <w:snapToGrid/>
          <w:szCs w:val="22"/>
          <w:lang w:val="de-DE" w:eastAsia="de-DE"/>
        </w:rPr>
        <w:t xml:space="preserve">Mögliche Nebenwirkungen von </w:t>
      </w:r>
      <w:proofErr w:type="spellStart"/>
      <w:r w:rsidRPr="00DE1967">
        <w:rPr>
          <w:b/>
          <w:bCs/>
          <w:snapToGrid/>
          <w:szCs w:val="22"/>
          <w:lang w:val="de-DE" w:eastAsia="de-DE"/>
        </w:rPr>
        <w:t>Tolucombi</w:t>
      </w:r>
      <w:proofErr w:type="spellEnd"/>
    </w:p>
    <w:p w:rsidR="0010426F" w:rsidRPr="00DE1967" w:rsidRDefault="0010426F" w:rsidP="0003742E">
      <w:pPr>
        <w:widowControl w:val="0"/>
        <w:tabs>
          <w:tab w:val="clear" w:pos="567"/>
        </w:tabs>
        <w:autoSpaceDE w:val="0"/>
        <w:autoSpaceDN w:val="0"/>
        <w:adjustRightInd w:val="0"/>
        <w:spacing w:line="240" w:lineRule="auto"/>
        <w:rPr>
          <w:b/>
          <w:bCs/>
          <w:snapToGrid/>
          <w:szCs w:val="22"/>
          <w:lang w:val="de-DE" w:eastAsia="de-DE"/>
        </w:rPr>
      </w:pPr>
    </w:p>
    <w:p w:rsidR="0010426F" w:rsidRPr="00DE1967" w:rsidRDefault="0010426F"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Häufige Nebenwirkungen (können bis zu 1 von 10 Behandelten betreffen):</w:t>
      </w:r>
    </w:p>
    <w:p w:rsidR="0010426F" w:rsidRPr="00DE1967" w:rsidRDefault="0010426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Schwindelgefühl</w:t>
      </w:r>
    </w:p>
    <w:p w:rsidR="008449E8" w:rsidRPr="00DE1967" w:rsidRDefault="008449E8" w:rsidP="0003742E">
      <w:pPr>
        <w:widowControl w:val="0"/>
        <w:tabs>
          <w:tab w:val="clear" w:pos="567"/>
        </w:tabs>
        <w:autoSpaceDE w:val="0"/>
        <w:autoSpaceDN w:val="0"/>
        <w:adjustRightInd w:val="0"/>
        <w:spacing w:line="240" w:lineRule="auto"/>
        <w:rPr>
          <w:snapToGrid/>
          <w:szCs w:val="22"/>
          <w:lang w:val="de-DE" w:eastAsia="de-DE"/>
        </w:rPr>
      </w:pPr>
    </w:p>
    <w:p w:rsidR="0010426F" w:rsidRPr="00DE1967" w:rsidRDefault="0010426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u w:val="single"/>
          <w:lang w:val="de-DE" w:eastAsia="de-DE"/>
        </w:rPr>
        <w:t>Gelegentliche Nebenwirkungen (können bis zu 1 von 100 Behandelten betreffen):</w:t>
      </w:r>
    </w:p>
    <w:p w:rsidR="0010426F" w:rsidRPr="00DE1967" w:rsidRDefault="0010426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Verringerter Kaliumspiegel im Blut, Angstzustände, </w:t>
      </w:r>
      <w:r w:rsidR="00B43125" w:rsidRPr="00DE1967">
        <w:rPr>
          <w:snapToGrid/>
          <w:szCs w:val="22"/>
          <w:lang w:val="de-DE" w:eastAsia="de-DE"/>
        </w:rPr>
        <w:t xml:space="preserve">Ohnmacht </w:t>
      </w:r>
      <w:r w:rsidRPr="00DE1967">
        <w:rPr>
          <w:snapToGrid/>
          <w:szCs w:val="22"/>
          <w:lang w:val="de-DE" w:eastAsia="de-DE"/>
        </w:rPr>
        <w:t>(Synkope), Gefühl von</w:t>
      </w:r>
      <w:r w:rsidR="008449E8" w:rsidRPr="00DE1967">
        <w:rPr>
          <w:snapToGrid/>
          <w:szCs w:val="22"/>
          <w:lang w:val="de-DE" w:eastAsia="de-DE"/>
        </w:rPr>
        <w:t xml:space="preserve"> </w:t>
      </w:r>
      <w:r w:rsidRPr="00DE1967">
        <w:rPr>
          <w:snapToGrid/>
          <w:szCs w:val="22"/>
          <w:lang w:val="de-DE" w:eastAsia="de-DE"/>
        </w:rPr>
        <w:t>Kribbeln oder Stichen (Parästhesie), Schwindel (Vertigo), schneller Herzschlag (Tachykardie),</w:t>
      </w:r>
      <w:r w:rsidR="008449E8" w:rsidRPr="00DE1967">
        <w:rPr>
          <w:snapToGrid/>
          <w:szCs w:val="22"/>
          <w:lang w:val="de-DE" w:eastAsia="de-DE"/>
        </w:rPr>
        <w:t xml:space="preserve"> </w:t>
      </w:r>
      <w:r w:rsidRPr="00DE1967">
        <w:rPr>
          <w:snapToGrid/>
          <w:szCs w:val="22"/>
          <w:lang w:val="de-DE" w:eastAsia="de-DE"/>
        </w:rPr>
        <w:t>Herzrhythmusstörungen, niedriger Blutdruck, plötzlicher Blutdruckabfall beim Aufstehen,</w:t>
      </w:r>
      <w:r w:rsidR="008449E8" w:rsidRPr="00DE1967">
        <w:rPr>
          <w:snapToGrid/>
          <w:szCs w:val="22"/>
          <w:lang w:val="de-DE" w:eastAsia="de-DE"/>
        </w:rPr>
        <w:t xml:space="preserve"> </w:t>
      </w:r>
      <w:r w:rsidRPr="00DE1967">
        <w:rPr>
          <w:snapToGrid/>
          <w:szCs w:val="22"/>
          <w:lang w:val="de-DE" w:eastAsia="de-DE"/>
        </w:rPr>
        <w:t>Kurzatmigkeit (Dyspnoe), Durchfall, Mundtrockenheit, Blähungen, Rückenschmerzen,</w:t>
      </w:r>
      <w:r w:rsidR="008449E8" w:rsidRPr="00DE1967">
        <w:rPr>
          <w:snapToGrid/>
          <w:szCs w:val="22"/>
          <w:lang w:val="de-DE" w:eastAsia="de-DE"/>
        </w:rPr>
        <w:t xml:space="preserve"> </w:t>
      </w:r>
      <w:r w:rsidRPr="00DE1967">
        <w:rPr>
          <w:snapToGrid/>
          <w:szCs w:val="22"/>
          <w:lang w:val="de-DE" w:eastAsia="de-DE"/>
        </w:rPr>
        <w:t>Muskelkrämpfe, Muskelschmerzen, Erektionsstörungen (Probleme, eine Erektion zu bekommen oder</w:t>
      </w:r>
      <w:r w:rsidR="008449E8" w:rsidRPr="00DE1967">
        <w:rPr>
          <w:snapToGrid/>
          <w:szCs w:val="22"/>
          <w:lang w:val="de-DE" w:eastAsia="de-DE"/>
        </w:rPr>
        <w:t xml:space="preserve"> </w:t>
      </w:r>
      <w:r w:rsidR="00B43125" w:rsidRPr="00DE1967">
        <w:rPr>
          <w:snapToGrid/>
          <w:szCs w:val="22"/>
          <w:lang w:val="de-DE" w:eastAsia="de-DE"/>
        </w:rPr>
        <w:t>a</w:t>
      </w:r>
      <w:r w:rsidRPr="00DE1967">
        <w:rPr>
          <w:snapToGrid/>
          <w:szCs w:val="22"/>
          <w:lang w:val="de-DE" w:eastAsia="de-DE"/>
        </w:rPr>
        <w:t>ufrechtzuerhalten), Brustschmerzen, erhöhter</w:t>
      </w:r>
      <w:r w:rsidR="008449E8" w:rsidRPr="00DE1967">
        <w:rPr>
          <w:snapToGrid/>
          <w:szCs w:val="22"/>
          <w:lang w:val="de-DE" w:eastAsia="de-DE"/>
        </w:rPr>
        <w:t xml:space="preserve"> </w:t>
      </w:r>
      <w:r w:rsidRPr="00DE1967">
        <w:rPr>
          <w:snapToGrid/>
          <w:szCs w:val="22"/>
          <w:lang w:val="de-DE" w:eastAsia="de-DE"/>
        </w:rPr>
        <w:t>Harnsäurespiegel im Blut</w:t>
      </w:r>
    </w:p>
    <w:p w:rsidR="008449E8" w:rsidRPr="00DE1967" w:rsidRDefault="008449E8" w:rsidP="0003742E">
      <w:pPr>
        <w:widowControl w:val="0"/>
        <w:tabs>
          <w:tab w:val="clear" w:pos="567"/>
        </w:tabs>
        <w:autoSpaceDE w:val="0"/>
        <w:autoSpaceDN w:val="0"/>
        <w:adjustRightInd w:val="0"/>
        <w:spacing w:line="240" w:lineRule="auto"/>
        <w:rPr>
          <w:snapToGrid/>
          <w:szCs w:val="22"/>
          <w:lang w:val="de-DE" w:eastAsia="de-DE"/>
        </w:rPr>
      </w:pPr>
    </w:p>
    <w:p w:rsidR="0010426F" w:rsidRPr="00DE1967" w:rsidRDefault="0010426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u w:val="single"/>
          <w:lang w:val="de-DE" w:eastAsia="de-DE"/>
        </w:rPr>
        <w:t>Seltene Nebenwirkungen (können bis zu 1 von 1.000 Behandelten betreffen):</w:t>
      </w:r>
    </w:p>
    <w:p w:rsidR="0010426F" w:rsidRPr="00DE1967" w:rsidRDefault="0010426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Entzündung der Atemwege (Bronchitis), Aktivierung oder Verschlechterung eines systemischen</w:t>
      </w:r>
      <w:r w:rsidR="008449E8" w:rsidRPr="00DE1967">
        <w:rPr>
          <w:snapToGrid/>
          <w:szCs w:val="22"/>
          <w:lang w:val="de-DE" w:eastAsia="de-DE"/>
        </w:rPr>
        <w:t xml:space="preserve"> </w:t>
      </w:r>
      <w:r w:rsidRPr="00DE1967">
        <w:rPr>
          <w:snapToGrid/>
          <w:szCs w:val="22"/>
          <w:lang w:val="de-DE" w:eastAsia="de-DE"/>
        </w:rPr>
        <w:t>Lupus erythematodes (eine Krankheit, bei der sich das körpereigene Immunsystem gegen den eigenen</w:t>
      </w:r>
      <w:r w:rsidR="008449E8" w:rsidRPr="00DE1967">
        <w:rPr>
          <w:snapToGrid/>
          <w:szCs w:val="22"/>
          <w:lang w:val="de-DE" w:eastAsia="de-DE"/>
        </w:rPr>
        <w:t xml:space="preserve"> </w:t>
      </w:r>
      <w:r w:rsidRPr="00DE1967">
        <w:rPr>
          <w:snapToGrid/>
          <w:szCs w:val="22"/>
          <w:lang w:val="de-DE" w:eastAsia="de-DE"/>
        </w:rPr>
        <w:t>Körper richtet und Gelenkschmerzen, Hautausschlag und Fieber verursacht), Halsentzündung,</w:t>
      </w:r>
      <w:r w:rsidR="008449E8" w:rsidRPr="00DE1967">
        <w:rPr>
          <w:snapToGrid/>
          <w:szCs w:val="22"/>
          <w:lang w:val="de-DE" w:eastAsia="de-DE"/>
        </w:rPr>
        <w:t xml:space="preserve"> </w:t>
      </w:r>
      <w:r w:rsidRPr="00DE1967">
        <w:rPr>
          <w:snapToGrid/>
          <w:szCs w:val="22"/>
          <w:lang w:val="de-DE" w:eastAsia="de-DE"/>
        </w:rPr>
        <w:t xml:space="preserve">Nebenhöhlenentzündung, Gefühl der Niedergeschlagenheit (Depression), </w:t>
      </w:r>
      <w:r w:rsidR="00B43125" w:rsidRPr="00DE1967">
        <w:rPr>
          <w:snapToGrid/>
          <w:szCs w:val="22"/>
          <w:lang w:val="de-DE" w:eastAsia="de-DE"/>
        </w:rPr>
        <w:t>S</w:t>
      </w:r>
      <w:r w:rsidRPr="00DE1967">
        <w:rPr>
          <w:snapToGrid/>
          <w:szCs w:val="22"/>
          <w:lang w:val="de-DE" w:eastAsia="de-DE"/>
        </w:rPr>
        <w:t>chlafstörungen</w:t>
      </w:r>
      <w:r w:rsidR="008449E8" w:rsidRPr="00DE1967">
        <w:rPr>
          <w:snapToGrid/>
          <w:szCs w:val="22"/>
          <w:lang w:val="de-DE" w:eastAsia="de-DE"/>
        </w:rPr>
        <w:t xml:space="preserve"> </w:t>
      </w:r>
      <w:r w:rsidRPr="00DE1967">
        <w:rPr>
          <w:snapToGrid/>
          <w:szCs w:val="22"/>
          <w:lang w:val="de-DE" w:eastAsia="de-DE"/>
        </w:rPr>
        <w:t>(Insomnie), beeinträchtigtes Sehvermögen, Schwierigkeiten beim Atmen, abdominale Schmerzen,</w:t>
      </w:r>
      <w:r w:rsidR="008449E8" w:rsidRPr="00DE1967">
        <w:rPr>
          <w:snapToGrid/>
          <w:szCs w:val="22"/>
          <w:lang w:val="de-DE" w:eastAsia="de-DE"/>
        </w:rPr>
        <w:t xml:space="preserve"> </w:t>
      </w:r>
      <w:r w:rsidRPr="00DE1967">
        <w:rPr>
          <w:snapToGrid/>
          <w:szCs w:val="22"/>
          <w:lang w:val="de-DE" w:eastAsia="de-DE"/>
        </w:rPr>
        <w:t xml:space="preserve">Verstopfung, Blähungen (Dyspepsie), </w:t>
      </w:r>
      <w:r w:rsidR="00B43125" w:rsidRPr="00DE1967">
        <w:rPr>
          <w:snapToGrid/>
          <w:szCs w:val="22"/>
          <w:lang w:val="de-DE" w:eastAsia="de-DE"/>
        </w:rPr>
        <w:t>Übelkeit</w:t>
      </w:r>
      <w:r w:rsidR="00F7705F" w:rsidRPr="00DE1967">
        <w:rPr>
          <w:snapToGrid/>
          <w:szCs w:val="22"/>
          <w:lang w:val="de-DE" w:eastAsia="de-DE"/>
        </w:rPr>
        <w:t xml:space="preserve"> (Erbrechen)</w:t>
      </w:r>
      <w:r w:rsidRPr="00DE1967">
        <w:rPr>
          <w:snapToGrid/>
          <w:szCs w:val="22"/>
          <w:lang w:val="de-DE" w:eastAsia="de-DE"/>
        </w:rPr>
        <w:t>, Magenentzündung (Gastritis),</w:t>
      </w:r>
      <w:r w:rsidR="008449E8" w:rsidRPr="00DE1967">
        <w:rPr>
          <w:snapToGrid/>
          <w:szCs w:val="22"/>
          <w:lang w:val="de-DE" w:eastAsia="de-DE"/>
        </w:rPr>
        <w:t xml:space="preserve"> </w:t>
      </w:r>
      <w:r w:rsidRPr="00DE1967">
        <w:rPr>
          <w:snapToGrid/>
          <w:szCs w:val="22"/>
          <w:lang w:val="de-DE" w:eastAsia="de-DE"/>
        </w:rPr>
        <w:t>abnorme Leberfunktion (bei japanischen Patienten besteht eine höhere Wahrscheinlichkeit für das</w:t>
      </w:r>
      <w:r w:rsidR="008449E8" w:rsidRPr="00DE1967">
        <w:rPr>
          <w:snapToGrid/>
          <w:szCs w:val="22"/>
          <w:lang w:val="de-DE" w:eastAsia="de-DE"/>
        </w:rPr>
        <w:t xml:space="preserve"> </w:t>
      </w:r>
      <w:r w:rsidRPr="00DE1967">
        <w:rPr>
          <w:snapToGrid/>
          <w:szCs w:val="22"/>
          <w:lang w:val="de-DE" w:eastAsia="de-DE"/>
        </w:rPr>
        <w:t>Auftreten dieser Nebenwirkung), Hautrötung (Erythem), allergische Reaktionen wie Juckreiz oder</w:t>
      </w:r>
      <w:r w:rsidR="008449E8" w:rsidRPr="00DE1967">
        <w:rPr>
          <w:snapToGrid/>
          <w:szCs w:val="22"/>
          <w:lang w:val="de-DE" w:eastAsia="de-DE"/>
        </w:rPr>
        <w:t xml:space="preserve"> </w:t>
      </w:r>
      <w:r w:rsidRPr="00DE1967">
        <w:rPr>
          <w:snapToGrid/>
          <w:szCs w:val="22"/>
          <w:lang w:val="de-DE" w:eastAsia="de-DE"/>
        </w:rPr>
        <w:t>Hautausschlag, vermehrtes Schwitzen, Nesselsucht (Urtikaria), Gelenkschmerzen (Arthralgie) und</w:t>
      </w:r>
      <w:r w:rsidR="008449E8" w:rsidRPr="00DE1967">
        <w:rPr>
          <w:snapToGrid/>
          <w:szCs w:val="22"/>
          <w:lang w:val="de-DE" w:eastAsia="de-DE"/>
        </w:rPr>
        <w:t xml:space="preserve"> </w:t>
      </w:r>
      <w:r w:rsidRPr="00DE1967">
        <w:rPr>
          <w:snapToGrid/>
          <w:szCs w:val="22"/>
          <w:lang w:val="de-DE" w:eastAsia="de-DE"/>
        </w:rPr>
        <w:t>Schmerzen in Armen und Beinen, Krämpfe in den Beinen, grippeähnliche Erkrankung, Schmerzen,</w:t>
      </w:r>
      <w:r w:rsidR="008449E8" w:rsidRPr="00DE1967">
        <w:rPr>
          <w:snapToGrid/>
          <w:szCs w:val="22"/>
          <w:lang w:val="de-DE" w:eastAsia="de-DE"/>
        </w:rPr>
        <w:t xml:space="preserve"> </w:t>
      </w:r>
      <w:r w:rsidRPr="00DE1967">
        <w:rPr>
          <w:snapToGrid/>
          <w:szCs w:val="22"/>
          <w:lang w:val="de-DE" w:eastAsia="de-DE"/>
        </w:rPr>
        <w:t>niedrige Natriumwerte, Anstieg von Kreatinin, Leberenzymen oder</w:t>
      </w:r>
      <w:r w:rsidR="008449E8" w:rsidRPr="00DE1967">
        <w:rPr>
          <w:snapToGrid/>
          <w:szCs w:val="22"/>
          <w:lang w:val="de-DE" w:eastAsia="de-DE"/>
        </w:rPr>
        <w:t xml:space="preserve"> </w:t>
      </w:r>
      <w:proofErr w:type="spellStart"/>
      <w:r w:rsidRPr="00DE1967">
        <w:rPr>
          <w:snapToGrid/>
          <w:szCs w:val="22"/>
          <w:lang w:val="de-DE" w:eastAsia="de-DE"/>
        </w:rPr>
        <w:t>Kreatinphosphokinase</w:t>
      </w:r>
      <w:proofErr w:type="spellEnd"/>
      <w:r w:rsidRPr="00DE1967">
        <w:rPr>
          <w:snapToGrid/>
          <w:szCs w:val="22"/>
          <w:lang w:val="de-DE" w:eastAsia="de-DE"/>
        </w:rPr>
        <w:t xml:space="preserve"> im Blut</w:t>
      </w:r>
    </w:p>
    <w:p w:rsidR="008449E8" w:rsidRPr="00DE1967" w:rsidRDefault="008449E8" w:rsidP="0003742E">
      <w:pPr>
        <w:widowControl w:val="0"/>
        <w:tabs>
          <w:tab w:val="clear" w:pos="567"/>
        </w:tabs>
        <w:autoSpaceDE w:val="0"/>
        <w:autoSpaceDN w:val="0"/>
        <w:adjustRightInd w:val="0"/>
        <w:spacing w:line="240" w:lineRule="auto"/>
        <w:rPr>
          <w:snapToGrid/>
          <w:szCs w:val="22"/>
          <w:lang w:val="de-DE" w:eastAsia="de-DE"/>
        </w:rPr>
      </w:pPr>
    </w:p>
    <w:p w:rsidR="0010426F" w:rsidRPr="00DE1967" w:rsidRDefault="0010426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Nebenwirkungen, die für einen der Einzelwirkstoffe berichtet wurden, könnten möglicherweise bei</w:t>
      </w:r>
      <w:r w:rsidR="008449E8" w:rsidRPr="00DE1967">
        <w:rPr>
          <w:snapToGrid/>
          <w:szCs w:val="22"/>
          <w:lang w:val="de-DE" w:eastAsia="de-DE"/>
        </w:rPr>
        <w:t xml:space="preserve"> </w:t>
      </w:r>
      <w:r w:rsidRPr="00DE1967">
        <w:rPr>
          <w:snapToGrid/>
          <w:szCs w:val="22"/>
          <w:lang w:val="de-DE" w:eastAsia="de-DE"/>
        </w:rPr>
        <w:t xml:space="preserve">Einnahme von </w:t>
      </w:r>
      <w:proofErr w:type="spellStart"/>
      <w:r w:rsidRPr="00DE1967">
        <w:rPr>
          <w:snapToGrid/>
          <w:szCs w:val="22"/>
          <w:lang w:val="de-DE" w:eastAsia="de-DE"/>
        </w:rPr>
        <w:t>Tolucombi</w:t>
      </w:r>
      <w:proofErr w:type="spellEnd"/>
      <w:r w:rsidR="008449E8" w:rsidRPr="00DE1967">
        <w:rPr>
          <w:snapToGrid/>
          <w:szCs w:val="22"/>
          <w:lang w:val="de-DE" w:eastAsia="de-DE"/>
        </w:rPr>
        <w:t xml:space="preserve"> </w:t>
      </w:r>
      <w:r w:rsidRPr="00DE1967">
        <w:rPr>
          <w:snapToGrid/>
          <w:szCs w:val="22"/>
          <w:lang w:val="de-DE" w:eastAsia="de-DE"/>
        </w:rPr>
        <w:t>auftreten, auch wenn sie in klinischen Studien mit diesem Arzneimittel</w:t>
      </w:r>
      <w:r w:rsidR="008449E8" w:rsidRPr="00DE1967">
        <w:rPr>
          <w:snapToGrid/>
          <w:szCs w:val="22"/>
          <w:lang w:val="de-DE" w:eastAsia="de-DE"/>
        </w:rPr>
        <w:t xml:space="preserve"> </w:t>
      </w:r>
      <w:r w:rsidRPr="00DE1967">
        <w:rPr>
          <w:snapToGrid/>
          <w:szCs w:val="22"/>
          <w:lang w:val="de-DE" w:eastAsia="de-DE"/>
        </w:rPr>
        <w:t>nicht beobachtet wurden.</w:t>
      </w:r>
    </w:p>
    <w:p w:rsidR="008449E8" w:rsidRPr="00DE1967" w:rsidRDefault="008449E8" w:rsidP="0003742E">
      <w:pPr>
        <w:widowControl w:val="0"/>
        <w:tabs>
          <w:tab w:val="clear" w:pos="567"/>
        </w:tabs>
        <w:autoSpaceDE w:val="0"/>
        <w:autoSpaceDN w:val="0"/>
        <w:adjustRightInd w:val="0"/>
        <w:spacing w:line="240" w:lineRule="auto"/>
        <w:rPr>
          <w:snapToGrid/>
          <w:szCs w:val="22"/>
          <w:lang w:val="de-DE" w:eastAsia="de-DE"/>
        </w:rPr>
      </w:pPr>
    </w:p>
    <w:p w:rsidR="0010426F" w:rsidRPr="00DE1967" w:rsidRDefault="0010426F" w:rsidP="0003742E">
      <w:pPr>
        <w:widowControl w:val="0"/>
        <w:tabs>
          <w:tab w:val="clear" w:pos="567"/>
        </w:tabs>
        <w:autoSpaceDE w:val="0"/>
        <w:autoSpaceDN w:val="0"/>
        <w:adjustRightInd w:val="0"/>
        <w:spacing w:line="240" w:lineRule="auto"/>
        <w:rPr>
          <w:b/>
          <w:bCs/>
          <w:snapToGrid/>
          <w:szCs w:val="22"/>
          <w:u w:val="single"/>
          <w:lang w:val="de-DE" w:eastAsia="de-DE"/>
        </w:rPr>
      </w:pPr>
      <w:r w:rsidRPr="00DE1967">
        <w:rPr>
          <w:b/>
          <w:bCs/>
          <w:snapToGrid/>
          <w:szCs w:val="22"/>
          <w:u w:val="single"/>
          <w:lang w:val="de-DE" w:eastAsia="de-DE"/>
        </w:rPr>
        <w:t>Telmisartan</w:t>
      </w:r>
    </w:p>
    <w:p w:rsidR="0010426F" w:rsidRPr="00DE1967" w:rsidRDefault="0010426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Bei Patienten, die mit Telmisartan allein behandelt wurden, sind folgende zusätzliche</w:t>
      </w:r>
      <w:r w:rsidR="008449E8" w:rsidRPr="00DE1967">
        <w:rPr>
          <w:snapToGrid/>
          <w:szCs w:val="22"/>
          <w:lang w:val="de-DE" w:eastAsia="de-DE"/>
        </w:rPr>
        <w:t xml:space="preserve"> </w:t>
      </w:r>
      <w:r w:rsidRPr="00DE1967">
        <w:rPr>
          <w:snapToGrid/>
          <w:szCs w:val="22"/>
          <w:lang w:val="de-DE" w:eastAsia="de-DE"/>
        </w:rPr>
        <w:t>Nebenwirkungen berichtet worden:</w:t>
      </w:r>
    </w:p>
    <w:p w:rsidR="008449E8" w:rsidRPr="00DE1967" w:rsidRDefault="008449E8" w:rsidP="0003742E">
      <w:pPr>
        <w:widowControl w:val="0"/>
        <w:tabs>
          <w:tab w:val="clear" w:pos="567"/>
        </w:tabs>
        <w:autoSpaceDE w:val="0"/>
        <w:autoSpaceDN w:val="0"/>
        <w:adjustRightInd w:val="0"/>
        <w:spacing w:line="240" w:lineRule="auto"/>
        <w:rPr>
          <w:snapToGrid/>
          <w:szCs w:val="22"/>
          <w:lang w:val="de-DE" w:eastAsia="de-DE"/>
        </w:rPr>
      </w:pPr>
    </w:p>
    <w:p w:rsidR="0010426F" w:rsidRPr="00DE1967" w:rsidRDefault="0010426F" w:rsidP="0003742E">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Gelegentliche Nebenwirkungen (können bis zu 1 von 100 Behandelten betreffen):</w:t>
      </w:r>
    </w:p>
    <w:p w:rsidR="0010426F" w:rsidRPr="00DE1967" w:rsidRDefault="0010426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Infektionen der oberen Atemwege (</w:t>
      </w:r>
      <w:r w:rsidR="00433771" w:rsidRPr="00DE1967">
        <w:rPr>
          <w:snapToGrid/>
          <w:szCs w:val="22"/>
          <w:lang w:val="de-DE" w:eastAsia="de-DE"/>
        </w:rPr>
        <w:t>z. B.</w:t>
      </w:r>
      <w:r w:rsidRPr="00DE1967">
        <w:rPr>
          <w:snapToGrid/>
          <w:szCs w:val="22"/>
          <w:lang w:val="de-DE" w:eastAsia="de-DE"/>
        </w:rPr>
        <w:t xml:space="preserve"> Halsentzündung, Nebenhöhlenentzündung,</w:t>
      </w:r>
      <w:r w:rsidR="008449E8" w:rsidRPr="00DE1967">
        <w:rPr>
          <w:snapToGrid/>
          <w:szCs w:val="22"/>
          <w:lang w:val="de-DE" w:eastAsia="de-DE"/>
        </w:rPr>
        <w:t xml:space="preserve"> </w:t>
      </w:r>
      <w:r w:rsidRPr="00DE1967">
        <w:rPr>
          <w:snapToGrid/>
          <w:szCs w:val="22"/>
          <w:lang w:val="de-DE" w:eastAsia="de-DE"/>
        </w:rPr>
        <w:t>Erkältungskrankheiten), Harnwegsinfektionen, Mangel an roten Blutkörperchen (Anämie), erhöhte</w:t>
      </w:r>
      <w:r w:rsidR="002C6CDE" w:rsidRPr="00DE1967">
        <w:rPr>
          <w:snapToGrid/>
          <w:szCs w:val="22"/>
          <w:lang w:val="de-DE" w:eastAsia="de-DE"/>
        </w:rPr>
        <w:t xml:space="preserve"> </w:t>
      </w:r>
      <w:r w:rsidRPr="00DE1967">
        <w:rPr>
          <w:snapToGrid/>
          <w:szCs w:val="22"/>
          <w:lang w:val="de-DE" w:eastAsia="de-DE"/>
        </w:rPr>
        <w:t>Kaliumwerte, verlangsamter Herzschlag (Bradykardie), Einschränkung der Nierenfunktion</w:t>
      </w:r>
      <w:r w:rsidR="002C6CDE" w:rsidRPr="00DE1967">
        <w:rPr>
          <w:snapToGrid/>
          <w:szCs w:val="22"/>
          <w:lang w:val="de-DE" w:eastAsia="de-DE"/>
        </w:rPr>
        <w:t xml:space="preserve"> </w:t>
      </w:r>
      <w:r w:rsidRPr="00DE1967">
        <w:rPr>
          <w:snapToGrid/>
          <w:szCs w:val="22"/>
          <w:lang w:val="de-DE" w:eastAsia="de-DE"/>
        </w:rPr>
        <w:t>einschließlich akuten Nierenversagens, Schwäche, Husten</w:t>
      </w:r>
    </w:p>
    <w:p w:rsidR="002C6CDE" w:rsidRPr="00DE1967" w:rsidRDefault="002C6CDE" w:rsidP="0003742E">
      <w:pPr>
        <w:widowControl w:val="0"/>
        <w:tabs>
          <w:tab w:val="clear" w:pos="567"/>
        </w:tabs>
        <w:autoSpaceDE w:val="0"/>
        <w:autoSpaceDN w:val="0"/>
        <w:adjustRightInd w:val="0"/>
        <w:spacing w:line="240" w:lineRule="auto"/>
        <w:rPr>
          <w:snapToGrid/>
          <w:szCs w:val="22"/>
          <w:lang w:val="de-DE" w:eastAsia="de-DE"/>
        </w:rPr>
      </w:pPr>
    </w:p>
    <w:p w:rsidR="0010426F" w:rsidRPr="00DE1967" w:rsidRDefault="0010426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u w:val="single"/>
          <w:lang w:val="de-DE" w:eastAsia="de-DE"/>
        </w:rPr>
        <w:t>Seltene Nebenwirkungen (können bis zu 1 von 1.000 Behandelten betreffen):</w:t>
      </w:r>
    </w:p>
    <w:p w:rsidR="0010426F" w:rsidRPr="00DE1967" w:rsidRDefault="0010426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Mangel an Blutplättchen</w:t>
      </w:r>
      <w:r w:rsidR="002C6CDE" w:rsidRPr="00DE1967">
        <w:rPr>
          <w:snapToGrid/>
          <w:szCs w:val="22"/>
          <w:lang w:val="de-DE" w:eastAsia="de-DE"/>
        </w:rPr>
        <w:t xml:space="preserve"> </w:t>
      </w:r>
      <w:r w:rsidRPr="00DE1967">
        <w:rPr>
          <w:snapToGrid/>
          <w:szCs w:val="22"/>
          <w:lang w:val="de-DE" w:eastAsia="de-DE"/>
        </w:rPr>
        <w:t>(</w:t>
      </w:r>
      <w:proofErr w:type="spellStart"/>
      <w:r w:rsidRPr="00DE1967">
        <w:rPr>
          <w:snapToGrid/>
          <w:szCs w:val="22"/>
          <w:lang w:val="de-DE" w:eastAsia="de-DE"/>
        </w:rPr>
        <w:t>Thrombozytopenie</w:t>
      </w:r>
      <w:proofErr w:type="spellEnd"/>
      <w:r w:rsidRPr="00DE1967">
        <w:rPr>
          <w:snapToGrid/>
          <w:szCs w:val="22"/>
          <w:lang w:val="de-DE" w:eastAsia="de-DE"/>
        </w:rPr>
        <w:t>), Anstieg bestimmter weißer Blutkörperchen (</w:t>
      </w:r>
      <w:proofErr w:type="spellStart"/>
      <w:r w:rsidRPr="00DE1967">
        <w:rPr>
          <w:snapToGrid/>
          <w:szCs w:val="22"/>
          <w:lang w:val="de-DE" w:eastAsia="de-DE"/>
        </w:rPr>
        <w:t>Eosinophilie</w:t>
      </w:r>
      <w:proofErr w:type="spellEnd"/>
      <w:r w:rsidRPr="00DE1967">
        <w:rPr>
          <w:snapToGrid/>
          <w:szCs w:val="22"/>
          <w:lang w:val="de-DE" w:eastAsia="de-DE"/>
        </w:rPr>
        <w:t>), schwere allergische</w:t>
      </w:r>
      <w:r w:rsidR="002C6CDE" w:rsidRPr="00DE1967">
        <w:rPr>
          <w:snapToGrid/>
          <w:szCs w:val="22"/>
          <w:lang w:val="de-DE" w:eastAsia="de-DE"/>
        </w:rPr>
        <w:t xml:space="preserve"> </w:t>
      </w:r>
      <w:r w:rsidRPr="00DE1967">
        <w:rPr>
          <w:snapToGrid/>
          <w:szCs w:val="22"/>
          <w:lang w:val="de-DE" w:eastAsia="de-DE"/>
        </w:rPr>
        <w:t>Reaktion (</w:t>
      </w:r>
      <w:r w:rsidR="00433771" w:rsidRPr="00DE1967">
        <w:rPr>
          <w:snapToGrid/>
          <w:szCs w:val="22"/>
          <w:lang w:val="de-DE" w:eastAsia="de-DE"/>
        </w:rPr>
        <w:t>z. B.</w:t>
      </w:r>
      <w:r w:rsidRPr="00DE1967">
        <w:rPr>
          <w:snapToGrid/>
          <w:szCs w:val="22"/>
          <w:lang w:val="de-DE" w:eastAsia="de-DE"/>
        </w:rPr>
        <w:t xml:space="preserve"> Überempfindlichkeit, anaphylaktische Reaktion, arzneimittelbedingter</w:t>
      </w:r>
      <w:r w:rsidR="002C6CDE" w:rsidRPr="00DE1967">
        <w:rPr>
          <w:snapToGrid/>
          <w:szCs w:val="22"/>
          <w:lang w:val="de-DE" w:eastAsia="de-DE"/>
        </w:rPr>
        <w:t xml:space="preserve"> </w:t>
      </w:r>
      <w:r w:rsidRPr="00DE1967">
        <w:rPr>
          <w:snapToGrid/>
          <w:szCs w:val="22"/>
          <w:lang w:val="de-DE" w:eastAsia="de-DE"/>
        </w:rPr>
        <w:t>Hautausschlag), niedrige Blutzuckerspiegel (bei Patienten mit Diabetes mellitus), Magenverstimmung,</w:t>
      </w:r>
      <w:r w:rsidR="002C6CDE" w:rsidRPr="00DE1967">
        <w:rPr>
          <w:snapToGrid/>
          <w:szCs w:val="22"/>
          <w:lang w:val="de-DE" w:eastAsia="de-DE"/>
        </w:rPr>
        <w:t xml:space="preserve"> </w:t>
      </w:r>
      <w:r w:rsidRPr="00DE1967">
        <w:rPr>
          <w:snapToGrid/>
          <w:szCs w:val="22"/>
          <w:lang w:val="de-DE" w:eastAsia="de-DE"/>
        </w:rPr>
        <w:t>Ekzem (Hautveränderung), Arthrose, Sehnenentzündung, vermindertes Hämoglobin (ein Bluteiweiß),</w:t>
      </w:r>
      <w:r w:rsidR="002C6CDE" w:rsidRPr="00DE1967">
        <w:rPr>
          <w:snapToGrid/>
          <w:szCs w:val="22"/>
          <w:lang w:val="de-DE" w:eastAsia="de-DE"/>
        </w:rPr>
        <w:t xml:space="preserve"> </w:t>
      </w:r>
      <w:r w:rsidRPr="00DE1967">
        <w:rPr>
          <w:snapToGrid/>
          <w:szCs w:val="22"/>
          <w:lang w:val="de-DE" w:eastAsia="de-DE"/>
        </w:rPr>
        <w:t>Schläfrigkeit</w:t>
      </w:r>
    </w:p>
    <w:p w:rsidR="002C6CDE" w:rsidRPr="00DE1967" w:rsidRDefault="002C6CDE" w:rsidP="0003742E">
      <w:pPr>
        <w:widowControl w:val="0"/>
        <w:tabs>
          <w:tab w:val="clear" w:pos="567"/>
        </w:tabs>
        <w:autoSpaceDE w:val="0"/>
        <w:autoSpaceDN w:val="0"/>
        <w:adjustRightInd w:val="0"/>
        <w:spacing w:line="240" w:lineRule="auto"/>
        <w:rPr>
          <w:snapToGrid/>
          <w:szCs w:val="22"/>
          <w:lang w:val="de-DE" w:eastAsia="de-DE"/>
        </w:rPr>
      </w:pPr>
    </w:p>
    <w:p w:rsidR="0010426F" w:rsidRPr="00DE1967" w:rsidRDefault="0010426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u w:val="single"/>
          <w:lang w:val="de-DE" w:eastAsia="de-DE"/>
        </w:rPr>
        <w:t>Sehr seltene Nebenwirkungen (können bis zu 1 von 10.000 Behandelten betreffen):</w:t>
      </w:r>
    </w:p>
    <w:p w:rsidR="0010426F" w:rsidRPr="00DE1967" w:rsidRDefault="00B43125"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Zunehmende </w:t>
      </w:r>
      <w:r w:rsidR="0010426F" w:rsidRPr="00DE1967">
        <w:rPr>
          <w:snapToGrid/>
          <w:szCs w:val="22"/>
          <w:lang w:val="de-DE" w:eastAsia="de-DE"/>
        </w:rPr>
        <w:t>Vermehrung von Bindegewebe in der Lunge (interstitielle Lungenerkrankung)**</w:t>
      </w:r>
    </w:p>
    <w:p w:rsidR="0010426F" w:rsidRPr="00DE1967" w:rsidRDefault="0010426F" w:rsidP="0003742E">
      <w:pPr>
        <w:widowControl w:val="0"/>
        <w:tabs>
          <w:tab w:val="clear" w:pos="567"/>
        </w:tabs>
        <w:autoSpaceDE w:val="0"/>
        <w:autoSpaceDN w:val="0"/>
        <w:adjustRightInd w:val="0"/>
        <w:spacing w:line="240" w:lineRule="auto"/>
        <w:rPr>
          <w:snapToGrid/>
          <w:szCs w:val="22"/>
          <w:lang w:val="de-DE" w:eastAsia="de-DE"/>
        </w:rPr>
      </w:pPr>
    </w:p>
    <w:p w:rsidR="0010426F" w:rsidRPr="00DE1967" w:rsidRDefault="0010426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Die Ereignisse könnten entweder ein Zufallsbefund sein oder mit einem bisher unbekannten</w:t>
      </w:r>
      <w:r w:rsidR="002C6CDE" w:rsidRPr="00DE1967">
        <w:rPr>
          <w:snapToGrid/>
          <w:szCs w:val="22"/>
          <w:lang w:val="de-DE" w:eastAsia="de-DE"/>
        </w:rPr>
        <w:t xml:space="preserve"> </w:t>
      </w:r>
      <w:r w:rsidRPr="00DE1967">
        <w:rPr>
          <w:snapToGrid/>
          <w:szCs w:val="22"/>
          <w:lang w:val="de-DE" w:eastAsia="de-DE"/>
        </w:rPr>
        <w:t>Wirkungsmechanismus in Zusammenhang stehen.</w:t>
      </w:r>
    </w:p>
    <w:p w:rsidR="002C6CDE" w:rsidRPr="00DE1967" w:rsidRDefault="002C6CDE" w:rsidP="0003742E">
      <w:pPr>
        <w:widowControl w:val="0"/>
        <w:tabs>
          <w:tab w:val="clear" w:pos="567"/>
        </w:tabs>
        <w:autoSpaceDE w:val="0"/>
        <w:autoSpaceDN w:val="0"/>
        <w:adjustRightInd w:val="0"/>
        <w:spacing w:line="240" w:lineRule="auto"/>
        <w:rPr>
          <w:snapToGrid/>
          <w:szCs w:val="22"/>
          <w:lang w:val="de-DE" w:eastAsia="de-DE"/>
        </w:rPr>
      </w:pPr>
    </w:p>
    <w:p w:rsidR="0010426F" w:rsidRPr="00DE1967" w:rsidRDefault="0010426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 Fälle von </w:t>
      </w:r>
      <w:r w:rsidR="00B43125" w:rsidRPr="00DE1967">
        <w:rPr>
          <w:snapToGrid/>
          <w:szCs w:val="22"/>
          <w:lang w:val="de-DE" w:eastAsia="de-DE"/>
        </w:rPr>
        <w:t xml:space="preserve">zunehmender </w:t>
      </w:r>
      <w:r w:rsidRPr="00DE1967">
        <w:rPr>
          <w:snapToGrid/>
          <w:szCs w:val="22"/>
          <w:lang w:val="de-DE" w:eastAsia="de-DE"/>
        </w:rPr>
        <w:t>Vermehrung von Bindegewebe in der Lunge wurden nach der Einnahme von Telmisartan</w:t>
      </w:r>
      <w:r w:rsidR="004A3CFB" w:rsidRPr="00DE1967">
        <w:rPr>
          <w:snapToGrid/>
          <w:szCs w:val="22"/>
          <w:lang w:val="de-DE" w:eastAsia="de-DE"/>
        </w:rPr>
        <w:t xml:space="preserve"> </w:t>
      </w:r>
      <w:r w:rsidRPr="00DE1967">
        <w:rPr>
          <w:snapToGrid/>
          <w:szCs w:val="22"/>
          <w:lang w:val="de-DE" w:eastAsia="de-DE"/>
        </w:rPr>
        <w:t>berichtet. Es ist jedoch nicht bekannt, ob dies durch Telmisartan verursacht wurde.</w:t>
      </w:r>
    </w:p>
    <w:p w:rsidR="002C6CDE" w:rsidRPr="00DE1967" w:rsidRDefault="002C6CDE" w:rsidP="0003742E">
      <w:pPr>
        <w:widowControl w:val="0"/>
        <w:tabs>
          <w:tab w:val="clear" w:pos="567"/>
        </w:tabs>
        <w:autoSpaceDE w:val="0"/>
        <w:autoSpaceDN w:val="0"/>
        <w:adjustRightInd w:val="0"/>
        <w:spacing w:line="240" w:lineRule="auto"/>
        <w:rPr>
          <w:snapToGrid/>
          <w:szCs w:val="22"/>
          <w:lang w:val="de-DE" w:eastAsia="de-DE"/>
        </w:rPr>
      </w:pPr>
    </w:p>
    <w:p w:rsidR="0010426F" w:rsidRPr="00DE1967" w:rsidRDefault="0010426F" w:rsidP="0003742E">
      <w:pPr>
        <w:widowControl w:val="0"/>
        <w:tabs>
          <w:tab w:val="clear" w:pos="567"/>
        </w:tabs>
        <w:autoSpaceDE w:val="0"/>
        <w:autoSpaceDN w:val="0"/>
        <w:adjustRightInd w:val="0"/>
        <w:spacing w:line="240" w:lineRule="auto"/>
        <w:rPr>
          <w:b/>
          <w:bCs/>
          <w:snapToGrid/>
          <w:szCs w:val="22"/>
          <w:u w:val="single"/>
          <w:lang w:val="de-DE" w:eastAsia="de-DE"/>
        </w:rPr>
      </w:pPr>
      <w:r w:rsidRPr="00DE1967">
        <w:rPr>
          <w:b/>
          <w:bCs/>
          <w:snapToGrid/>
          <w:szCs w:val="22"/>
          <w:u w:val="single"/>
          <w:lang w:val="de-DE" w:eastAsia="de-DE"/>
        </w:rPr>
        <w:t>Hydrochlorothiazid</w:t>
      </w:r>
    </w:p>
    <w:p w:rsidR="000F4F3A" w:rsidRPr="00DE1967" w:rsidRDefault="000F4F3A"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Bei Patienten, die mit Hydrochlorothiazid allein behandelt wurden,</w:t>
      </w:r>
      <w:r w:rsidR="00F323B2" w:rsidRPr="00DE1967">
        <w:rPr>
          <w:snapToGrid/>
          <w:szCs w:val="22"/>
          <w:lang w:val="de-DE" w:eastAsia="de-DE"/>
        </w:rPr>
        <w:t xml:space="preserve"> </w:t>
      </w:r>
      <w:r w:rsidRPr="00DE1967">
        <w:rPr>
          <w:snapToGrid/>
          <w:szCs w:val="22"/>
          <w:lang w:val="de-DE" w:eastAsia="de-DE"/>
        </w:rPr>
        <w:t>sind folgende zusätzliche Nebenwirkungen berichtet worden:</w:t>
      </w:r>
    </w:p>
    <w:p w:rsidR="009C1AA2" w:rsidRPr="00DE1967" w:rsidRDefault="009C1AA2" w:rsidP="0003742E">
      <w:pPr>
        <w:widowControl w:val="0"/>
        <w:tabs>
          <w:tab w:val="clear" w:pos="567"/>
        </w:tabs>
        <w:autoSpaceDE w:val="0"/>
        <w:autoSpaceDN w:val="0"/>
        <w:adjustRightInd w:val="0"/>
        <w:spacing w:line="240" w:lineRule="auto"/>
        <w:rPr>
          <w:snapToGrid/>
          <w:szCs w:val="22"/>
          <w:lang w:val="de-DE" w:eastAsia="de-DE"/>
        </w:rPr>
      </w:pPr>
    </w:p>
    <w:p w:rsidR="009C1AA2" w:rsidRPr="00DE1967" w:rsidRDefault="009C1AA2" w:rsidP="009C1AA2">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Häufige Nebenwirkungen (können bis zu 1 von 10 Behandelten betreffen):</w:t>
      </w:r>
    </w:p>
    <w:p w:rsidR="009C1AA2" w:rsidRPr="00DE1967" w:rsidRDefault="009C1AA2" w:rsidP="009C1AA2">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Übelkeit, niedrige Magnesiumspiegel im Blut.</w:t>
      </w:r>
    </w:p>
    <w:p w:rsidR="009C1AA2" w:rsidRPr="00DE1967" w:rsidRDefault="009C1AA2" w:rsidP="009C1AA2">
      <w:pPr>
        <w:widowControl w:val="0"/>
        <w:tabs>
          <w:tab w:val="clear" w:pos="567"/>
        </w:tabs>
        <w:autoSpaceDE w:val="0"/>
        <w:autoSpaceDN w:val="0"/>
        <w:adjustRightInd w:val="0"/>
        <w:spacing w:line="240" w:lineRule="auto"/>
        <w:rPr>
          <w:snapToGrid/>
          <w:szCs w:val="22"/>
          <w:lang w:val="de-DE" w:eastAsia="de-DE"/>
        </w:rPr>
      </w:pPr>
    </w:p>
    <w:p w:rsidR="009C1AA2" w:rsidRPr="00DE1967" w:rsidRDefault="009C1AA2" w:rsidP="009C1AA2">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Seltene Nebenwirkungen (können bis zu 1 von 1.000 Behandelten betreffen):</w:t>
      </w:r>
    </w:p>
    <w:p w:rsidR="009C1AA2" w:rsidRPr="00DE1967" w:rsidRDefault="009C1AA2" w:rsidP="009C1AA2">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Abnahme der Blutplättchen, was die Gefahr von Blutungen und Blutergüssen (kleine violett-rote Flecken in der Haut oder anderen Geweben aufgrund einer Blutung) erhöht, hohe </w:t>
      </w:r>
      <w:r w:rsidR="001958A3" w:rsidRPr="00DE1967">
        <w:rPr>
          <w:snapToGrid/>
          <w:szCs w:val="22"/>
          <w:lang w:val="de-DE" w:eastAsia="de-DE"/>
        </w:rPr>
        <w:t>C</w:t>
      </w:r>
      <w:r w:rsidRPr="00DE1967">
        <w:rPr>
          <w:snapToGrid/>
          <w:szCs w:val="22"/>
          <w:lang w:val="de-DE" w:eastAsia="de-DE"/>
        </w:rPr>
        <w:t>al</w:t>
      </w:r>
      <w:r w:rsidR="001958A3" w:rsidRPr="00DE1967">
        <w:rPr>
          <w:snapToGrid/>
          <w:szCs w:val="22"/>
          <w:lang w:val="de-DE" w:eastAsia="de-DE"/>
        </w:rPr>
        <w:t>c</w:t>
      </w:r>
      <w:r w:rsidRPr="00DE1967">
        <w:rPr>
          <w:snapToGrid/>
          <w:szCs w:val="22"/>
          <w:lang w:val="de-DE" w:eastAsia="de-DE"/>
        </w:rPr>
        <w:t>iumspiegel im Blut, Kopfschmerzen.</w:t>
      </w:r>
    </w:p>
    <w:p w:rsidR="009C1AA2" w:rsidRPr="00DE1967" w:rsidRDefault="009C1AA2" w:rsidP="009C1AA2">
      <w:pPr>
        <w:widowControl w:val="0"/>
        <w:tabs>
          <w:tab w:val="clear" w:pos="567"/>
        </w:tabs>
        <w:autoSpaceDE w:val="0"/>
        <w:autoSpaceDN w:val="0"/>
        <w:adjustRightInd w:val="0"/>
        <w:spacing w:line="240" w:lineRule="auto"/>
        <w:rPr>
          <w:snapToGrid/>
          <w:szCs w:val="22"/>
          <w:lang w:val="de-DE" w:eastAsia="de-DE"/>
        </w:rPr>
      </w:pPr>
    </w:p>
    <w:p w:rsidR="009C1AA2" w:rsidRPr="00DE1967" w:rsidRDefault="009C1AA2" w:rsidP="009C1AA2">
      <w:pPr>
        <w:widowControl w:val="0"/>
        <w:tabs>
          <w:tab w:val="clear" w:pos="567"/>
        </w:tabs>
        <w:autoSpaceDE w:val="0"/>
        <w:autoSpaceDN w:val="0"/>
        <w:adjustRightInd w:val="0"/>
        <w:spacing w:line="240" w:lineRule="auto"/>
        <w:rPr>
          <w:snapToGrid/>
          <w:szCs w:val="22"/>
          <w:u w:val="single"/>
          <w:lang w:val="de-DE" w:eastAsia="de-DE"/>
        </w:rPr>
      </w:pPr>
      <w:r w:rsidRPr="00DE1967">
        <w:rPr>
          <w:snapToGrid/>
          <w:szCs w:val="22"/>
          <w:u w:val="single"/>
          <w:lang w:val="de-DE" w:eastAsia="de-DE"/>
        </w:rPr>
        <w:t>Sehr seltene Nebenwirkungen (können bis zu 1 von 10.000 Behandelten betreffen):</w:t>
      </w:r>
    </w:p>
    <w:p w:rsidR="009C1AA2" w:rsidRPr="00DE1967" w:rsidRDefault="009C1AA2" w:rsidP="009C1AA2">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Erhöhter pH-Wert (Störung des Säure-Basen-Haushalts) aufgrund eines niedrigen </w:t>
      </w:r>
      <w:proofErr w:type="spellStart"/>
      <w:r w:rsidRPr="00DE1967">
        <w:rPr>
          <w:snapToGrid/>
          <w:szCs w:val="22"/>
          <w:lang w:val="de-DE" w:eastAsia="de-DE"/>
        </w:rPr>
        <w:t>Chloridspiegels</w:t>
      </w:r>
      <w:proofErr w:type="spellEnd"/>
      <w:r w:rsidRPr="00DE1967">
        <w:rPr>
          <w:snapToGrid/>
          <w:szCs w:val="22"/>
          <w:lang w:val="de-DE" w:eastAsia="de-DE"/>
        </w:rPr>
        <w:t xml:space="preserve"> im Blut.</w:t>
      </w:r>
    </w:p>
    <w:p w:rsidR="002C6CDE" w:rsidRPr="00DE1967" w:rsidRDefault="002C6CDE" w:rsidP="0003742E">
      <w:pPr>
        <w:widowControl w:val="0"/>
        <w:tabs>
          <w:tab w:val="clear" w:pos="567"/>
        </w:tabs>
        <w:autoSpaceDE w:val="0"/>
        <w:autoSpaceDN w:val="0"/>
        <w:adjustRightInd w:val="0"/>
        <w:spacing w:line="240" w:lineRule="auto"/>
        <w:rPr>
          <w:snapToGrid/>
          <w:szCs w:val="22"/>
          <w:lang w:val="de-DE" w:eastAsia="de-DE"/>
        </w:rPr>
      </w:pPr>
    </w:p>
    <w:p w:rsidR="0010426F" w:rsidRPr="00DE1967" w:rsidRDefault="0010426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u w:val="single"/>
          <w:lang w:val="de-DE" w:eastAsia="de-DE"/>
        </w:rPr>
        <w:t>Nebenwirkungen nicht bekannter Häufigkeit (Häufigkeit auf Grundlage der verfügbaren Daten nicht</w:t>
      </w:r>
      <w:r w:rsidR="004A3CFB" w:rsidRPr="00DE1967">
        <w:rPr>
          <w:snapToGrid/>
          <w:szCs w:val="22"/>
          <w:u w:val="single"/>
          <w:lang w:val="de-DE" w:eastAsia="de-DE"/>
        </w:rPr>
        <w:t xml:space="preserve"> </w:t>
      </w:r>
      <w:r w:rsidRPr="00DE1967">
        <w:rPr>
          <w:snapToGrid/>
          <w:szCs w:val="22"/>
          <w:u w:val="single"/>
          <w:lang w:val="de-DE" w:eastAsia="de-DE"/>
        </w:rPr>
        <w:t>abschätzbar):</w:t>
      </w:r>
    </w:p>
    <w:p w:rsidR="0010426F" w:rsidRPr="00DE1967" w:rsidRDefault="0010426F" w:rsidP="00046D64">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 xml:space="preserve">Speicheldrüsenentzündung, </w:t>
      </w:r>
      <w:r w:rsidR="00C05B50" w:rsidRPr="00DE1967">
        <w:rPr>
          <w:snapToGrid/>
          <w:szCs w:val="22"/>
          <w:lang w:val="de-DE" w:eastAsia="de-DE"/>
        </w:rPr>
        <w:t xml:space="preserve">Haut- und Lippenkrebs (weißer Hautkrebs), </w:t>
      </w:r>
      <w:r w:rsidRPr="00DE1967">
        <w:rPr>
          <w:snapToGrid/>
          <w:szCs w:val="22"/>
          <w:lang w:val="de-DE" w:eastAsia="de-DE"/>
        </w:rPr>
        <w:t xml:space="preserve">Abnahme der Zahl der </w:t>
      </w:r>
      <w:r w:rsidR="00F7705F" w:rsidRPr="00DE1967">
        <w:rPr>
          <w:szCs w:val="22"/>
          <w:lang w:val="de-DE"/>
        </w:rPr>
        <w:t xml:space="preserve">(oder sogar Mangel an) </w:t>
      </w:r>
      <w:r w:rsidRPr="00DE1967">
        <w:rPr>
          <w:snapToGrid/>
          <w:szCs w:val="22"/>
          <w:lang w:val="de-DE" w:eastAsia="de-DE"/>
        </w:rPr>
        <w:t>Blutkörperchen, einschließlich der roten und</w:t>
      </w:r>
      <w:r w:rsidR="002C6CDE" w:rsidRPr="00DE1967">
        <w:rPr>
          <w:snapToGrid/>
          <w:szCs w:val="22"/>
          <w:lang w:val="de-DE" w:eastAsia="de-DE"/>
        </w:rPr>
        <w:t xml:space="preserve"> </w:t>
      </w:r>
      <w:r w:rsidRPr="00DE1967">
        <w:rPr>
          <w:snapToGrid/>
          <w:szCs w:val="22"/>
          <w:lang w:val="de-DE" w:eastAsia="de-DE"/>
        </w:rPr>
        <w:t>weißen Blutkörperchen, schwere allergische</w:t>
      </w:r>
      <w:r w:rsidR="002C6CDE" w:rsidRPr="00DE1967">
        <w:rPr>
          <w:snapToGrid/>
          <w:szCs w:val="22"/>
          <w:lang w:val="de-DE" w:eastAsia="de-DE"/>
        </w:rPr>
        <w:t xml:space="preserve"> </w:t>
      </w:r>
      <w:r w:rsidRPr="00DE1967">
        <w:rPr>
          <w:snapToGrid/>
          <w:szCs w:val="22"/>
          <w:lang w:val="de-DE" w:eastAsia="de-DE"/>
        </w:rPr>
        <w:t>Reaktionen (</w:t>
      </w:r>
      <w:r w:rsidR="00433771" w:rsidRPr="00DE1967">
        <w:rPr>
          <w:snapToGrid/>
          <w:szCs w:val="22"/>
          <w:lang w:val="de-DE" w:eastAsia="de-DE"/>
        </w:rPr>
        <w:t>z. B.</w:t>
      </w:r>
      <w:r w:rsidRPr="00DE1967">
        <w:rPr>
          <w:snapToGrid/>
          <w:szCs w:val="22"/>
          <w:lang w:val="de-DE" w:eastAsia="de-DE"/>
        </w:rPr>
        <w:t xml:space="preserve"> Überempfindlichkeit, anaphylaktische Reaktion), verminderter oder kein Appetit,</w:t>
      </w:r>
      <w:r w:rsidR="002C6CDE" w:rsidRPr="00DE1967">
        <w:rPr>
          <w:snapToGrid/>
          <w:szCs w:val="22"/>
          <w:lang w:val="de-DE" w:eastAsia="de-DE"/>
        </w:rPr>
        <w:t xml:space="preserve"> </w:t>
      </w:r>
      <w:r w:rsidRPr="00DE1967">
        <w:rPr>
          <w:snapToGrid/>
          <w:szCs w:val="22"/>
          <w:lang w:val="de-DE" w:eastAsia="de-DE"/>
        </w:rPr>
        <w:t xml:space="preserve">Ruhelosigkeit, Benommenheit, verschwommenes Sehen oder Gelbsehen, </w:t>
      </w:r>
      <w:r w:rsidR="00046D64" w:rsidRPr="00046D64">
        <w:rPr>
          <w:snapToGrid/>
          <w:szCs w:val="22"/>
          <w:lang w:val="de-DE" w:eastAsia="de-DE"/>
        </w:rPr>
        <w:t>Verminderung des Sehvermögens oder Schmerzen in Ihren Augen aufgrund von hohem Druck</w:t>
      </w:r>
      <w:r w:rsidR="002C6CDE" w:rsidRPr="00DE1967">
        <w:rPr>
          <w:snapToGrid/>
          <w:szCs w:val="22"/>
          <w:lang w:val="de-DE" w:eastAsia="de-DE"/>
        </w:rPr>
        <w:t xml:space="preserve"> (mögliche Anzeichen </w:t>
      </w:r>
      <w:r w:rsidR="00A33DD3" w:rsidRPr="00DE1967">
        <w:rPr>
          <w:szCs w:val="22"/>
          <w:lang w:val="de-DE"/>
        </w:rPr>
        <w:t xml:space="preserve">einer </w:t>
      </w:r>
      <w:r w:rsidR="00046D64" w:rsidRPr="00046D64">
        <w:rPr>
          <w:szCs w:val="22"/>
          <w:lang w:val="de-DE"/>
        </w:rPr>
        <w:t>Flüssigkeitsansammlung in der Gefäßschicht des Auges (Aderhauterguss)</w:t>
      </w:r>
      <w:r w:rsidR="00046D64">
        <w:rPr>
          <w:szCs w:val="22"/>
          <w:lang w:val="de-DE"/>
        </w:rPr>
        <w:t xml:space="preserve"> </w:t>
      </w:r>
      <w:r w:rsidR="00046D64" w:rsidRPr="00046D64">
        <w:rPr>
          <w:szCs w:val="22"/>
          <w:lang w:val="de-DE"/>
        </w:rPr>
        <w:t xml:space="preserve">oder </w:t>
      </w:r>
      <w:r w:rsidR="00A33DD3" w:rsidRPr="00DE1967">
        <w:rPr>
          <w:szCs w:val="22"/>
          <w:lang w:val="de-DE"/>
        </w:rPr>
        <w:t>akute</w:t>
      </w:r>
      <w:r w:rsidR="00046D64">
        <w:rPr>
          <w:szCs w:val="22"/>
          <w:lang w:val="de-DE"/>
        </w:rPr>
        <w:t>s</w:t>
      </w:r>
      <w:r w:rsidR="00A33DD3" w:rsidRPr="00DE1967">
        <w:rPr>
          <w:szCs w:val="22"/>
          <w:lang w:val="de-DE"/>
        </w:rPr>
        <w:t xml:space="preserve"> </w:t>
      </w:r>
      <w:r w:rsidR="00046D64" w:rsidRPr="00046D64">
        <w:rPr>
          <w:szCs w:val="22"/>
          <w:lang w:val="de-DE"/>
        </w:rPr>
        <w:t>Winkelverschlussglaukom</w:t>
      </w:r>
      <w:r w:rsidR="002C6CDE" w:rsidRPr="00DE1967">
        <w:rPr>
          <w:snapToGrid/>
          <w:szCs w:val="22"/>
          <w:lang w:val="de-DE" w:eastAsia="de-DE"/>
        </w:rPr>
        <w:t xml:space="preserve">), </w:t>
      </w:r>
      <w:r w:rsidRPr="00DE1967">
        <w:rPr>
          <w:snapToGrid/>
          <w:szCs w:val="22"/>
          <w:lang w:val="de-DE" w:eastAsia="de-DE"/>
        </w:rPr>
        <w:t>Entzündung der Blutgefäße</w:t>
      </w:r>
      <w:r w:rsidR="002C6CDE" w:rsidRPr="00DE1967">
        <w:rPr>
          <w:snapToGrid/>
          <w:szCs w:val="22"/>
          <w:lang w:val="de-DE" w:eastAsia="de-DE"/>
        </w:rPr>
        <w:t xml:space="preserve"> </w:t>
      </w:r>
      <w:r w:rsidRPr="00DE1967">
        <w:rPr>
          <w:snapToGrid/>
          <w:szCs w:val="22"/>
          <w:lang w:val="de-DE" w:eastAsia="de-DE"/>
        </w:rPr>
        <w:t>(nekrotisierende Vaskulitis), Entzündung der Bauchspeicheldrüse, Magenverstimmung, Gelbfärbung</w:t>
      </w:r>
      <w:r w:rsidR="00731609" w:rsidRPr="00DE1967">
        <w:rPr>
          <w:snapToGrid/>
          <w:szCs w:val="22"/>
          <w:lang w:val="de-DE" w:eastAsia="de-DE"/>
        </w:rPr>
        <w:t xml:space="preserve"> </w:t>
      </w:r>
      <w:r w:rsidRPr="00DE1967">
        <w:rPr>
          <w:snapToGrid/>
          <w:szCs w:val="22"/>
          <w:lang w:val="de-DE" w:eastAsia="de-DE"/>
        </w:rPr>
        <w:t>der Haut oder Augen (Gelbsucht), Lupus-ähnliches Syndrom (eine Erkrankung, die der als</w:t>
      </w:r>
      <w:r w:rsidR="00731609" w:rsidRPr="00DE1967">
        <w:rPr>
          <w:snapToGrid/>
          <w:szCs w:val="22"/>
          <w:lang w:val="de-DE" w:eastAsia="de-DE"/>
        </w:rPr>
        <w:t xml:space="preserve"> </w:t>
      </w:r>
      <w:r w:rsidRPr="00DE1967">
        <w:rPr>
          <w:snapToGrid/>
          <w:szCs w:val="22"/>
          <w:lang w:val="de-DE" w:eastAsia="de-DE"/>
        </w:rPr>
        <w:t>systemischen Lupus erythematodes bezeichneten Krankheit, bei der sich das körpereigene</w:t>
      </w:r>
      <w:r w:rsidR="00731609" w:rsidRPr="00DE1967">
        <w:rPr>
          <w:snapToGrid/>
          <w:szCs w:val="22"/>
          <w:lang w:val="de-DE" w:eastAsia="de-DE"/>
        </w:rPr>
        <w:t xml:space="preserve"> </w:t>
      </w:r>
      <w:r w:rsidRPr="00DE1967">
        <w:rPr>
          <w:snapToGrid/>
          <w:szCs w:val="22"/>
          <w:lang w:val="de-DE" w:eastAsia="de-DE"/>
        </w:rPr>
        <w:t>Immunsystem gegen den eigenen Körper richtet, ähnelt), Hauterkrankungen wie Entzündungen der</w:t>
      </w:r>
      <w:r w:rsidR="00731609" w:rsidRPr="00DE1967">
        <w:rPr>
          <w:snapToGrid/>
          <w:szCs w:val="22"/>
          <w:lang w:val="de-DE" w:eastAsia="de-DE"/>
        </w:rPr>
        <w:t xml:space="preserve"> </w:t>
      </w:r>
      <w:r w:rsidRPr="00DE1967">
        <w:rPr>
          <w:snapToGrid/>
          <w:szCs w:val="22"/>
          <w:lang w:val="de-DE" w:eastAsia="de-DE"/>
        </w:rPr>
        <w:t>Blutgefäße in der Haut, erhöhte Empfindlichkeit gegenüber Sonnenlicht</w:t>
      </w:r>
      <w:r w:rsidR="00F7705F" w:rsidRPr="00DE1967">
        <w:rPr>
          <w:snapToGrid/>
          <w:szCs w:val="22"/>
          <w:lang w:val="de-DE" w:eastAsia="de-DE"/>
        </w:rPr>
        <w:t xml:space="preserve">, </w:t>
      </w:r>
      <w:r w:rsidR="00F7705F" w:rsidRPr="00DE1967">
        <w:rPr>
          <w:szCs w:val="22"/>
          <w:lang w:val="de-DE"/>
        </w:rPr>
        <w:t xml:space="preserve">Ausschlag, Hautrötung, Blasenbildung auf den Lippen, an den Augen oder am Mund, </w:t>
      </w:r>
      <w:proofErr w:type="spellStart"/>
      <w:r w:rsidR="00F7705F" w:rsidRPr="00DE1967">
        <w:rPr>
          <w:szCs w:val="22"/>
          <w:lang w:val="de-DE"/>
        </w:rPr>
        <w:t>Hautabschälung</w:t>
      </w:r>
      <w:proofErr w:type="spellEnd"/>
      <w:r w:rsidR="00F7705F" w:rsidRPr="00DE1967">
        <w:rPr>
          <w:szCs w:val="22"/>
          <w:lang w:val="de-DE"/>
        </w:rPr>
        <w:t>, Fieber (mögliche Anzeichen für ein Erythema multiforme),</w:t>
      </w:r>
      <w:r w:rsidRPr="00DE1967">
        <w:rPr>
          <w:snapToGrid/>
          <w:szCs w:val="22"/>
          <w:lang w:val="de-DE" w:eastAsia="de-DE"/>
        </w:rPr>
        <w:t xml:space="preserve"> Schwäche, Entzündung der</w:t>
      </w:r>
      <w:r w:rsidR="00731609" w:rsidRPr="00DE1967">
        <w:rPr>
          <w:snapToGrid/>
          <w:szCs w:val="22"/>
          <w:lang w:val="de-DE" w:eastAsia="de-DE"/>
        </w:rPr>
        <w:t xml:space="preserve"> </w:t>
      </w:r>
      <w:r w:rsidRPr="00DE1967">
        <w:rPr>
          <w:snapToGrid/>
          <w:szCs w:val="22"/>
          <w:lang w:val="de-DE" w:eastAsia="de-DE"/>
        </w:rPr>
        <w:t xml:space="preserve">Niere oder Einschränkung der Nierenfunktion, Ausscheidung von </w:t>
      </w:r>
      <w:r w:rsidR="00ED2859" w:rsidRPr="00DE1967">
        <w:rPr>
          <w:snapToGrid/>
          <w:szCs w:val="22"/>
          <w:lang w:val="de-DE" w:eastAsia="de-DE"/>
        </w:rPr>
        <w:t xml:space="preserve">Zucker </w:t>
      </w:r>
      <w:r w:rsidRPr="00DE1967">
        <w:rPr>
          <w:snapToGrid/>
          <w:szCs w:val="22"/>
          <w:lang w:val="de-DE" w:eastAsia="de-DE"/>
        </w:rPr>
        <w:t>im Harn (Glukosurie),</w:t>
      </w:r>
      <w:r w:rsidR="00731609" w:rsidRPr="00DE1967">
        <w:rPr>
          <w:snapToGrid/>
          <w:szCs w:val="22"/>
          <w:lang w:val="de-DE" w:eastAsia="de-DE"/>
        </w:rPr>
        <w:t xml:space="preserve"> </w:t>
      </w:r>
      <w:r w:rsidRPr="00DE1967">
        <w:rPr>
          <w:snapToGrid/>
          <w:szCs w:val="22"/>
          <w:lang w:val="de-DE" w:eastAsia="de-DE"/>
        </w:rPr>
        <w:t>Fieber, Beeinträchtigung des Elektrolytgleichgewichts, erhöhte</w:t>
      </w:r>
      <w:r w:rsidR="00731609" w:rsidRPr="00DE1967">
        <w:rPr>
          <w:snapToGrid/>
          <w:szCs w:val="22"/>
          <w:lang w:val="de-DE" w:eastAsia="de-DE"/>
        </w:rPr>
        <w:t xml:space="preserve"> </w:t>
      </w:r>
      <w:r w:rsidRPr="00DE1967">
        <w:rPr>
          <w:snapToGrid/>
          <w:szCs w:val="22"/>
          <w:lang w:val="de-DE" w:eastAsia="de-DE"/>
        </w:rPr>
        <w:t>Blutcholesterinspiegel, verringertes</w:t>
      </w:r>
      <w:r w:rsidR="00731609" w:rsidRPr="00DE1967">
        <w:rPr>
          <w:snapToGrid/>
          <w:szCs w:val="22"/>
          <w:lang w:val="de-DE" w:eastAsia="de-DE"/>
        </w:rPr>
        <w:t xml:space="preserve"> </w:t>
      </w:r>
      <w:r w:rsidRPr="00DE1967">
        <w:rPr>
          <w:snapToGrid/>
          <w:szCs w:val="22"/>
          <w:lang w:val="de-DE" w:eastAsia="de-DE"/>
        </w:rPr>
        <w:t>Blutvolumen, erhöhter Blutzuckerspiegel</w:t>
      </w:r>
      <w:r w:rsidR="00F7705F" w:rsidRPr="00DE1967">
        <w:rPr>
          <w:snapToGrid/>
          <w:szCs w:val="22"/>
          <w:lang w:val="de-DE" w:eastAsia="de-DE"/>
        </w:rPr>
        <w:t xml:space="preserve">, </w:t>
      </w:r>
      <w:r w:rsidR="00F7705F" w:rsidRPr="00DE1967">
        <w:rPr>
          <w:szCs w:val="22"/>
          <w:lang w:val="de-DE"/>
        </w:rPr>
        <w:t>Schwierigkeiten bei der Kontrolle der Blut-/Urinzuckerspiegel bei Patienten mit einem Diabetes mellitus</w:t>
      </w:r>
      <w:r w:rsidRPr="00DE1967">
        <w:rPr>
          <w:snapToGrid/>
          <w:szCs w:val="22"/>
          <w:lang w:val="de-DE" w:eastAsia="de-DE"/>
        </w:rPr>
        <w:t xml:space="preserve"> </w:t>
      </w:r>
      <w:r w:rsidR="00ED2859" w:rsidRPr="00DE1967">
        <w:rPr>
          <w:snapToGrid/>
          <w:szCs w:val="22"/>
          <w:lang w:val="de-DE" w:eastAsia="de-DE"/>
        </w:rPr>
        <w:t>oder</w:t>
      </w:r>
      <w:r w:rsidRPr="00DE1967">
        <w:rPr>
          <w:snapToGrid/>
          <w:szCs w:val="22"/>
          <w:lang w:val="de-DE" w:eastAsia="de-DE"/>
        </w:rPr>
        <w:t xml:space="preserve"> erhöhte Blutfettspiegel</w:t>
      </w:r>
      <w:r w:rsidR="00F7705F" w:rsidRPr="00DE1967">
        <w:rPr>
          <w:snapToGrid/>
          <w:szCs w:val="22"/>
          <w:lang w:val="de-DE" w:eastAsia="de-DE"/>
        </w:rPr>
        <w:t>.</w:t>
      </w:r>
    </w:p>
    <w:p w:rsidR="00637E20" w:rsidRPr="00DE1967" w:rsidRDefault="00637E20" w:rsidP="0003742E">
      <w:pPr>
        <w:widowControl w:val="0"/>
        <w:numPr>
          <w:ilvl w:val="12"/>
          <w:numId w:val="0"/>
        </w:numPr>
        <w:tabs>
          <w:tab w:val="clear" w:pos="567"/>
          <w:tab w:val="left" w:pos="720"/>
        </w:tabs>
        <w:spacing w:line="240" w:lineRule="auto"/>
        <w:ind w:right="-2"/>
        <w:rPr>
          <w:szCs w:val="22"/>
          <w:lang w:val="de-DE"/>
        </w:rPr>
      </w:pPr>
    </w:p>
    <w:p w:rsidR="00A33DD3" w:rsidRPr="00DE1967" w:rsidRDefault="00A33DD3" w:rsidP="0003742E">
      <w:pPr>
        <w:widowControl w:val="0"/>
        <w:numPr>
          <w:ilvl w:val="12"/>
          <w:numId w:val="0"/>
        </w:numPr>
        <w:tabs>
          <w:tab w:val="clear" w:pos="567"/>
          <w:tab w:val="left" w:pos="720"/>
        </w:tabs>
        <w:spacing w:line="240" w:lineRule="auto"/>
        <w:ind w:right="-2"/>
        <w:rPr>
          <w:b/>
          <w:szCs w:val="22"/>
          <w:lang w:val="de-DE"/>
        </w:rPr>
      </w:pPr>
      <w:r w:rsidRPr="00DE1967">
        <w:rPr>
          <w:b/>
          <w:noProof/>
          <w:szCs w:val="22"/>
          <w:lang w:val="de-DE"/>
        </w:rPr>
        <w:t>Meldung von Nebenwirkungen</w:t>
      </w:r>
    </w:p>
    <w:p w:rsidR="00A33DD3" w:rsidRPr="00DE1967" w:rsidRDefault="00A33DD3" w:rsidP="0003742E">
      <w:pPr>
        <w:widowControl w:val="0"/>
        <w:numPr>
          <w:ilvl w:val="12"/>
          <w:numId w:val="0"/>
        </w:numPr>
        <w:tabs>
          <w:tab w:val="clear" w:pos="567"/>
          <w:tab w:val="left" w:pos="720"/>
        </w:tabs>
        <w:spacing w:line="240" w:lineRule="auto"/>
        <w:ind w:right="-2"/>
        <w:rPr>
          <w:szCs w:val="22"/>
          <w:lang w:val="de-DE"/>
        </w:rPr>
      </w:pPr>
      <w:r w:rsidRPr="00DE1967">
        <w:rPr>
          <w:noProof/>
          <w:szCs w:val="22"/>
          <w:lang w:val="de-DE"/>
        </w:rPr>
        <w:t>Wenn Sie Nebenwirkungen bemerken, wenden Sie sich an Ihren Arzt oder Apotheker.</w:t>
      </w:r>
      <w:r w:rsidRPr="00DE1967">
        <w:rPr>
          <w:color w:val="FF0000"/>
          <w:szCs w:val="22"/>
          <w:lang w:val="de-DE"/>
        </w:rPr>
        <w:t xml:space="preserve"> </w:t>
      </w:r>
      <w:r w:rsidRPr="00DE1967">
        <w:rPr>
          <w:noProof/>
          <w:szCs w:val="22"/>
          <w:lang w:val="de-DE"/>
        </w:rPr>
        <w:t>Dies gilt auch für Nebenwirkungen, die nicht in dieser Packungsbeilage angegeben sind.</w:t>
      </w:r>
      <w:r w:rsidRPr="00DE1967">
        <w:rPr>
          <w:szCs w:val="22"/>
          <w:lang w:val="de-DE"/>
        </w:rPr>
        <w:t xml:space="preserve"> </w:t>
      </w:r>
      <w:r w:rsidRPr="00DE1967">
        <w:rPr>
          <w:noProof/>
          <w:szCs w:val="22"/>
          <w:lang w:val="de-DE"/>
        </w:rPr>
        <w:t xml:space="preserve">Sie können Nebenwirkungen auch direkt über das in </w:t>
      </w:r>
      <w:hyperlink r:id="rId15" w:history="1">
        <w:r w:rsidRPr="00DE1967">
          <w:rPr>
            <w:rStyle w:val="Hyperlink"/>
            <w:noProof/>
            <w:szCs w:val="22"/>
            <w:lang w:val="de-DE"/>
          </w:rPr>
          <w:t>Anhang V</w:t>
        </w:r>
      </w:hyperlink>
      <w:r w:rsidRPr="00DE1967">
        <w:rPr>
          <w:noProof/>
          <w:szCs w:val="22"/>
          <w:lang w:val="de-DE"/>
        </w:rPr>
        <w:t xml:space="preserve"> aufgeführte nationale Meldesystem anzeigen.</w:t>
      </w:r>
      <w:r w:rsidRPr="00DE1967">
        <w:rPr>
          <w:szCs w:val="22"/>
          <w:lang w:val="de-DE"/>
        </w:rPr>
        <w:t xml:space="preserve"> </w:t>
      </w:r>
      <w:r w:rsidRPr="00DE1967">
        <w:rPr>
          <w:noProof/>
          <w:szCs w:val="22"/>
          <w:lang w:val="de-DE"/>
        </w:rPr>
        <w:t>Indem Sie Nebenwirkungen melden, können Sie dazu beitragen, dass mehr Informationen über die Sicherheit dieses Arzneimittels zur Verfügung gestellt werden.</w:t>
      </w:r>
    </w:p>
    <w:p w:rsidR="00731609" w:rsidRPr="00DE1967" w:rsidRDefault="00731609" w:rsidP="0003742E">
      <w:pPr>
        <w:widowControl w:val="0"/>
        <w:numPr>
          <w:ilvl w:val="12"/>
          <w:numId w:val="0"/>
        </w:numPr>
        <w:tabs>
          <w:tab w:val="clear" w:pos="567"/>
          <w:tab w:val="left" w:pos="720"/>
        </w:tabs>
        <w:spacing w:line="240" w:lineRule="auto"/>
        <w:ind w:right="-2"/>
        <w:rPr>
          <w:szCs w:val="22"/>
          <w:lang w:val="de-DE"/>
        </w:rPr>
      </w:pPr>
    </w:p>
    <w:p w:rsidR="00A33DD3" w:rsidRPr="00DE1967" w:rsidRDefault="00A33DD3" w:rsidP="0003742E">
      <w:pPr>
        <w:widowControl w:val="0"/>
        <w:numPr>
          <w:ilvl w:val="12"/>
          <w:numId w:val="0"/>
        </w:numPr>
        <w:tabs>
          <w:tab w:val="clear" w:pos="567"/>
          <w:tab w:val="left" w:pos="720"/>
        </w:tabs>
        <w:spacing w:line="240" w:lineRule="auto"/>
        <w:ind w:right="-2"/>
        <w:rPr>
          <w:szCs w:val="22"/>
          <w:lang w:val="de-DE"/>
        </w:rPr>
      </w:pPr>
    </w:p>
    <w:p w:rsidR="00637E20" w:rsidRPr="00DE1967" w:rsidRDefault="00637E20" w:rsidP="0003742E">
      <w:pPr>
        <w:widowControl w:val="0"/>
        <w:numPr>
          <w:ilvl w:val="12"/>
          <w:numId w:val="0"/>
        </w:numPr>
        <w:tabs>
          <w:tab w:val="clear" w:pos="567"/>
        </w:tabs>
        <w:spacing w:line="240" w:lineRule="auto"/>
        <w:ind w:left="567" w:right="-2" w:hanging="567"/>
        <w:rPr>
          <w:b/>
          <w:szCs w:val="22"/>
          <w:lang w:val="de-DE"/>
        </w:rPr>
      </w:pPr>
      <w:r w:rsidRPr="00DE1967">
        <w:rPr>
          <w:b/>
          <w:szCs w:val="22"/>
          <w:lang w:val="de-DE"/>
        </w:rPr>
        <w:t>5.</w:t>
      </w:r>
      <w:r w:rsidRPr="00DE1967">
        <w:rPr>
          <w:b/>
          <w:szCs w:val="22"/>
          <w:lang w:val="de-DE"/>
        </w:rPr>
        <w:tab/>
      </w:r>
      <w:r w:rsidRPr="00DE1967">
        <w:rPr>
          <w:b/>
          <w:noProof/>
          <w:szCs w:val="22"/>
          <w:lang w:val="de-DE"/>
        </w:rPr>
        <w:t xml:space="preserve">Wie ist </w:t>
      </w:r>
      <w:r w:rsidR="00731609" w:rsidRPr="00DE1967">
        <w:rPr>
          <w:b/>
          <w:noProof/>
          <w:szCs w:val="22"/>
          <w:lang w:val="de-DE"/>
        </w:rPr>
        <w:t>Tolucombi</w:t>
      </w:r>
      <w:r w:rsidRPr="00DE1967">
        <w:rPr>
          <w:b/>
          <w:noProof/>
          <w:szCs w:val="22"/>
          <w:lang w:val="de-DE"/>
        </w:rPr>
        <w:t xml:space="preserve"> aufzubewahren?</w:t>
      </w:r>
    </w:p>
    <w:p w:rsidR="00637E20" w:rsidRPr="00DE1967" w:rsidRDefault="00637E20" w:rsidP="0003742E">
      <w:pPr>
        <w:widowControl w:val="0"/>
        <w:numPr>
          <w:ilvl w:val="12"/>
          <w:numId w:val="0"/>
        </w:numPr>
        <w:tabs>
          <w:tab w:val="clear" w:pos="567"/>
          <w:tab w:val="left" w:pos="720"/>
        </w:tabs>
        <w:spacing w:line="240" w:lineRule="auto"/>
        <w:ind w:right="-2"/>
        <w:rPr>
          <w:noProof/>
          <w:szCs w:val="22"/>
          <w:lang w:val="de-DE"/>
        </w:rPr>
      </w:pPr>
    </w:p>
    <w:p w:rsidR="0010426F" w:rsidRPr="00DE1967" w:rsidRDefault="0010426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Bewahren Sie dieses Arzneimittel für Kinder unzugänglich auf.</w:t>
      </w:r>
    </w:p>
    <w:p w:rsidR="00731609" w:rsidRPr="00DE1967" w:rsidRDefault="00731609" w:rsidP="0003742E">
      <w:pPr>
        <w:widowControl w:val="0"/>
        <w:tabs>
          <w:tab w:val="clear" w:pos="567"/>
        </w:tabs>
        <w:autoSpaceDE w:val="0"/>
        <w:autoSpaceDN w:val="0"/>
        <w:adjustRightInd w:val="0"/>
        <w:spacing w:line="240" w:lineRule="auto"/>
        <w:rPr>
          <w:snapToGrid/>
          <w:szCs w:val="22"/>
          <w:lang w:val="de-DE" w:eastAsia="de-DE"/>
        </w:rPr>
      </w:pPr>
    </w:p>
    <w:p w:rsidR="0009359E" w:rsidRPr="00DE1967" w:rsidRDefault="0009359E" w:rsidP="0009359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Sie dürfen dieses Arzneimittel nach dem auf dem Umkarton und der Blisterpackung nach „</w:t>
      </w:r>
      <w:r w:rsidR="00171E2D" w:rsidRPr="00DE1967">
        <w:rPr>
          <w:snapToGrid/>
          <w:szCs w:val="22"/>
          <w:lang w:val="de-DE" w:eastAsia="de-DE"/>
        </w:rPr>
        <w:t>v</w:t>
      </w:r>
      <w:r w:rsidRPr="00DE1967">
        <w:rPr>
          <w:snapToGrid/>
          <w:szCs w:val="22"/>
          <w:lang w:val="de-DE" w:eastAsia="de-DE"/>
        </w:rPr>
        <w:t xml:space="preserve">erwendbar bis“ </w:t>
      </w:r>
      <w:r w:rsidR="00471186" w:rsidRPr="00DE1967">
        <w:rPr>
          <w:lang w:val="de-AT"/>
        </w:rPr>
        <w:t>bzw. „EXP“</w:t>
      </w:r>
      <w:r w:rsidR="00471186" w:rsidRPr="00DE1967">
        <w:rPr>
          <w:snapToGrid/>
          <w:szCs w:val="22"/>
          <w:lang w:val="de-DE" w:eastAsia="de-DE"/>
        </w:rPr>
        <w:t xml:space="preserve"> </w:t>
      </w:r>
      <w:r w:rsidRPr="00DE1967">
        <w:rPr>
          <w:snapToGrid/>
          <w:szCs w:val="22"/>
          <w:lang w:val="de-DE" w:eastAsia="de-DE"/>
        </w:rPr>
        <w:t>angegebenen Verfalldatum nicht mehr verwenden. Das Verfalldatum bezieht sich auf den letzten Tag des angegebenen Monats.</w:t>
      </w:r>
    </w:p>
    <w:p w:rsidR="00731609" w:rsidRPr="00DE1967" w:rsidRDefault="00731609" w:rsidP="0003742E">
      <w:pPr>
        <w:widowControl w:val="0"/>
        <w:tabs>
          <w:tab w:val="clear" w:pos="567"/>
        </w:tabs>
        <w:autoSpaceDE w:val="0"/>
        <w:autoSpaceDN w:val="0"/>
        <w:adjustRightInd w:val="0"/>
        <w:spacing w:line="240" w:lineRule="auto"/>
        <w:rPr>
          <w:snapToGrid/>
          <w:szCs w:val="22"/>
          <w:lang w:val="de-DE" w:eastAsia="de-DE"/>
        </w:rPr>
      </w:pPr>
    </w:p>
    <w:p w:rsidR="005653E6" w:rsidRPr="00DE1967" w:rsidRDefault="005653E6" w:rsidP="005653E6">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Für dieses Arzneimittel sind bezüglich der Temperatur keine besonderen Lagerungsbedingungen erforderlich.</w:t>
      </w:r>
    </w:p>
    <w:p w:rsidR="005653E6" w:rsidRPr="00DE1967" w:rsidRDefault="005653E6" w:rsidP="005653E6">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In der Originalpackung aufbewahren, um den Inhalt vor Licht zu schützen.</w:t>
      </w:r>
    </w:p>
    <w:p w:rsidR="00731609" w:rsidRPr="00DE1967" w:rsidRDefault="00731609" w:rsidP="0003742E">
      <w:pPr>
        <w:widowControl w:val="0"/>
        <w:tabs>
          <w:tab w:val="clear" w:pos="567"/>
        </w:tabs>
        <w:autoSpaceDE w:val="0"/>
        <w:autoSpaceDN w:val="0"/>
        <w:adjustRightInd w:val="0"/>
        <w:spacing w:line="240" w:lineRule="auto"/>
        <w:rPr>
          <w:snapToGrid/>
          <w:szCs w:val="22"/>
          <w:lang w:val="de-DE" w:eastAsia="de-DE"/>
        </w:rPr>
      </w:pPr>
    </w:p>
    <w:p w:rsidR="00637E20" w:rsidRPr="00DE1967" w:rsidRDefault="0010426F" w:rsidP="0003742E">
      <w:pPr>
        <w:widowControl w:val="0"/>
        <w:tabs>
          <w:tab w:val="clear" w:pos="567"/>
        </w:tabs>
        <w:autoSpaceDE w:val="0"/>
        <w:autoSpaceDN w:val="0"/>
        <w:adjustRightInd w:val="0"/>
        <w:spacing w:line="240" w:lineRule="auto"/>
        <w:rPr>
          <w:snapToGrid/>
          <w:szCs w:val="22"/>
          <w:lang w:val="de-DE" w:eastAsia="de-DE"/>
        </w:rPr>
      </w:pPr>
      <w:r w:rsidRPr="00DE1967">
        <w:rPr>
          <w:snapToGrid/>
          <w:szCs w:val="22"/>
          <w:lang w:val="de-DE" w:eastAsia="de-DE"/>
        </w:rPr>
        <w:t>Entsorgen Sie Arzneimittel nicht im Abwasser oder Haushaltsabfall. Fragen Sie Ihren Apotheker, wie</w:t>
      </w:r>
      <w:r w:rsidR="004A3CFB" w:rsidRPr="00DE1967">
        <w:rPr>
          <w:snapToGrid/>
          <w:szCs w:val="22"/>
          <w:lang w:val="de-DE" w:eastAsia="de-DE"/>
        </w:rPr>
        <w:t xml:space="preserve"> </w:t>
      </w:r>
      <w:r w:rsidRPr="00DE1967">
        <w:rPr>
          <w:snapToGrid/>
          <w:szCs w:val="22"/>
          <w:lang w:val="de-DE" w:eastAsia="de-DE"/>
        </w:rPr>
        <w:t>das Arzneimittel zu entsorgen ist, wenn Sie es nicht mehr verwenden. Sie tragen damit zum Schutz der</w:t>
      </w:r>
      <w:r w:rsidR="004A3CFB" w:rsidRPr="00DE1967">
        <w:rPr>
          <w:snapToGrid/>
          <w:szCs w:val="22"/>
          <w:lang w:val="de-DE" w:eastAsia="de-DE"/>
        </w:rPr>
        <w:t xml:space="preserve"> </w:t>
      </w:r>
      <w:r w:rsidRPr="00DE1967">
        <w:rPr>
          <w:snapToGrid/>
          <w:szCs w:val="22"/>
          <w:lang w:val="de-DE" w:eastAsia="de-DE"/>
        </w:rPr>
        <w:t>Umwelt bei.</w:t>
      </w:r>
    </w:p>
    <w:p w:rsidR="0010426F" w:rsidRPr="00DE1967" w:rsidRDefault="0010426F" w:rsidP="0003742E">
      <w:pPr>
        <w:widowControl w:val="0"/>
        <w:numPr>
          <w:ilvl w:val="12"/>
          <w:numId w:val="0"/>
        </w:numPr>
        <w:tabs>
          <w:tab w:val="clear" w:pos="567"/>
          <w:tab w:val="left" w:pos="720"/>
        </w:tabs>
        <w:spacing w:line="240" w:lineRule="auto"/>
        <w:ind w:right="-2"/>
        <w:rPr>
          <w:szCs w:val="22"/>
          <w:lang w:val="de-DE"/>
        </w:rPr>
      </w:pPr>
    </w:p>
    <w:p w:rsidR="002229E0" w:rsidRPr="00DE1967" w:rsidRDefault="002229E0" w:rsidP="0003742E">
      <w:pPr>
        <w:widowControl w:val="0"/>
        <w:numPr>
          <w:ilvl w:val="12"/>
          <w:numId w:val="0"/>
        </w:numPr>
        <w:tabs>
          <w:tab w:val="clear" w:pos="567"/>
          <w:tab w:val="left" w:pos="720"/>
        </w:tabs>
        <w:spacing w:line="240" w:lineRule="auto"/>
        <w:ind w:right="-2"/>
        <w:rPr>
          <w:szCs w:val="22"/>
          <w:lang w:val="de-DE"/>
        </w:rPr>
      </w:pPr>
    </w:p>
    <w:p w:rsidR="00637E20" w:rsidRPr="00DE1967" w:rsidRDefault="00637E20" w:rsidP="0003742E">
      <w:pPr>
        <w:widowControl w:val="0"/>
        <w:numPr>
          <w:ilvl w:val="12"/>
          <w:numId w:val="0"/>
        </w:numPr>
        <w:tabs>
          <w:tab w:val="clear" w:pos="567"/>
        </w:tabs>
        <w:spacing w:line="240" w:lineRule="auto"/>
        <w:ind w:left="567" w:right="-2" w:hanging="567"/>
        <w:rPr>
          <w:b/>
          <w:szCs w:val="22"/>
          <w:lang w:val="de-DE"/>
        </w:rPr>
      </w:pPr>
      <w:r w:rsidRPr="00DE1967">
        <w:rPr>
          <w:b/>
          <w:szCs w:val="22"/>
          <w:lang w:val="de-DE"/>
        </w:rPr>
        <w:t>6.</w:t>
      </w:r>
      <w:r w:rsidRPr="00DE1967">
        <w:rPr>
          <w:b/>
          <w:szCs w:val="22"/>
          <w:lang w:val="de-DE"/>
        </w:rPr>
        <w:tab/>
      </w:r>
      <w:r w:rsidRPr="00DE1967">
        <w:rPr>
          <w:b/>
          <w:noProof/>
          <w:szCs w:val="22"/>
          <w:lang w:val="de-DE"/>
        </w:rPr>
        <w:t>Inhalt der Packung und weitere Informationen</w:t>
      </w:r>
    </w:p>
    <w:p w:rsidR="00637E20" w:rsidRPr="00DE1967" w:rsidRDefault="00637E20" w:rsidP="0003742E">
      <w:pPr>
        <w:widowControl w:val="0"/>
        <w:numPr>
          <w:ilvl w:val="12"/>
          <w:numId w:val="0"/>
        </w:numPr>
        <w:tabs>
          <w:tab w:val="clear" w:pos="567"/>
          <w:tab w:val="left" w:pos="720"/>
        </w:tabs>
        <w:spacing w:line="240" w:lineRule="auto"/>
        <w:rPr>
          <w:szCs w:val="22"/>
          <w:lang w:val="de-DE"/>
        </w:rPr>
      </w:pPr>
    </w:p>
    <w:p w:rsidR="00544F89" w:rsidRPr="00DE1967" w:rsidRDefault="00637E20" w:rsidP="0003742E">
      <w:pPr>
        <w:widowControl w:val="0"/>
        <w:numPr>
          <w:ilvl w:val="12"/>
          <w:numId w:val="0"/>
        </w:numPr>
        <w:tabs>
          <w:tab w:val="clear" w:pos="567"/>
          <w:tab w:val="left" w:pos="720"/>
        </w:tabs>
        <w:spacing w:line="240" w:lineRule="auto"/>
        <w:ind w:right="-2"/>
        <w:rPr>
          <w:b/>
          <w:noProof/>
          <w:szCs w:val="22"/>
          <w:lang w:val="de-DE"/>
        </w:rPr>
      </w:pPr>
      <w:r w:rsidRPr="00DE1967">
        <w:rPr>
          <w:b/>
          <w:noProof/>
          <w:szCs w:val="22"/>
          <w:lang w:val="de-DE"/>
        </w:rPr>
        <w:t xml:space="preserve">Was </w:t>
      </w:r>
      <w:r w:rsidR="0010426F" w:rsidRPr="00DE1967">
        <w:rPr>
          <w:b/>
          <w:noProof/>
          <w:szCs w:val="22"/>
          <w:lang w:val="de-DE"/>
        </w:rPr>
        <w:t>Tolucombi</w:t>
      </w:r>
      <w:r w:rsidRPr="00DE1967">
        <w:rPr>
          <w:b/>
          <w:noProof/>
          <w:szCs w:val="22"/>
          <w:lang w:val="de-DE"/>
        </w:rPr>
        <w:t xml:space="preserve"> enthält</w:t>
      </w:r>
    </w:p>
    <w:p w:rsidR="00544F89" w:rsidRPr="00DE1967" w:rsidRDefault="00731609" w:rsidP="0003742E">
      <w:pPr>
        <w:widowControl w:val="0"/>
        <w:numPr>
          <w:ilvl w:val="0"/>
          <w:numId w:val="5"/>
        </w:numPr>
        <w:tabs>
          <w:tab w:val="clear" w:pos="567"/>
        </w:tabs>
        <w:autoSpaceDE w:val="0"/>
        <w:autoSpaceDN w:val="0"/>
        <w:adjustRightInd w:val="0"/>
        <w:spacing w:line="240" w:lineRule="auto"/>
        <w:ind w:left="567" w:hanging="567"/>
        <w:rPr>
          <w:snapToGrid/>
          <w:szCs w:val="22"/>
          <w:lang w:val="de-DE" w:eastAsia="de-DE"/>
        </w:rPr>
      </w:pPr>
      <w:r w:rsidRPr="00DE1967">
        <w:rPr>
          <w:snapToGrid/>
          <w:szCs w:val="22"/>
          <w:lang w:val="de-DE" w:eastAsia="de-DE"/>
        </w:rPr>
        <w:t>Die Wirkstoffe sind</w:t>
      </w:r>
      <w:r w:rsidR="00D7558F" w:rsidRPr="00DE1967">
        <w:rPr>
          <w:snapToGrid/>
          <w:szCs w:val="22"/>
          <w:lang w:val="de-DE" w:eastAsia="de-DE"/>
        </w:rPr>
        <w:t>:</w:t>
      </w:r>
      <w:r w:rsidRPr="00DE1967">
        <w:rPr>
          <w:snapToGrid/>
          <w:szCs w:val="22"/>
          <w:lang w:val="de-DE" w:eastAsia="de-DE"/>
        </w:rPr>
        <w:t xml:space="preserve"> Telmisartan und Hydrochlorothiazid.</w:t>
      </w:r>
    </w:p>
    <w:p w:rsidR="00544F89" w:rsidRPr="00DE1967" w:rsidRDefault="00731609" w:rsidP="0003742E">
      <w:pPr>
        <w:widowControl w:val="0"/>
        <w:tabs>
          <w:tab w:val="clear" w:pos="567"/>
        </w:tabs>
        <w:autoSpaceDE w:val="0"/>
        <w:autoSpaceDN w:val="0"/>
        <w:adjustRightInd w:val="0"/>
        <w:spacing w:line="240" w:lineRule="auto"/>
        <w:ind w:left="567"/>
        <w:rPr>
          <w:noProof/>
          <w:szCs w:val="22"/>
          <w:lang w:val="de-DE"/>
        </w:rPr>
      </w:pPr>
      <w:r w:rsidRPr="00DE1967">
        <w:rPr>
          <w:snapToGrid/>
          <w:szCs w:val="22"/>
          <w:lang w:val="de-DE" w:eastAsia="de-DE"/>
        </w:rPr>
        <w:t>Jede Tablette enthält 40</w:t>
      </w:r>
      <w:r w:rsidR="00023E2B" w:rsidRPr="00DE1967">
        <w:rPr>
          <w:snapToGrid/>
          <w:szCs w:val="22"/>
          <w:lang w:val="de-DE" w:eastAsia="de-DE"/>
        </w:rPr>
        <w:t> mg</w:t>
      </w:r>
      <w:r w:rsidRPr="00DE1967">
        <w:rPr>
          <w:snapToGrid/>
          <w:szCs w:val="22"/>
          <w:lang w:val="de-DE" w:eastAsia="de-DE"/>
        </w:rPr>
        <w:t xml:space="preserve"> Telmisartan und 12,5</w:t>
      </w:r>
      <w:r w:rsidR="00023E2B" w:rsidRPr="00DE1967">
        <w:rPr>
          <w:snapToGrid/>
          <w:szCs w:val="22"/>
          <w:lang w:val="de-DE" w:eastAsia="de-DE"/>
        </w:rPr>
        <w:t> mg</w:t>
      </w:r>
      <w:r w:rsidRPr="00DE1967">
        <w:rPr>
          <w:snapToGrid/>
          <w:szCs w:val="22"/>
          <w:lang w:val="de-DE" w:eastAsia="de-DE"/>
        </w:rPr>
        <w:t xml:space="preserve"> Hydrochlorothiazid.</w:t>
      </w:r>
    </w:p>
    <w:p w:rsidR="00544F89" w:rsidRPr="00DE1967" w:rsidRDefault="00731609" w:rsidP="0003742E">
      <w:pPr>
        <w:widowControl w:val="0"/>
        <w:tabs>
          <w:tab w:val="clear" w:pos="567"/>
        </w:tabs>
        <w:autoSpaceDE w:val="0"/>
        <w:autoSpaceDN w:val="0"/>
        <w:adjustRightInd w:val="0"/>
        <w:spacing w:line="240" w:lineRule="auto"/>
        <w:ind w:left="567"/>
        <w:rPr>
          <w:noProof/>
          <w:szCs w:val="22"/>
          <w:lang w:val="de-DE"/>
        </w:rPr>
      </w:pPr>
      <w:r w:rsidRPr="00DE1967">
        <w:rPr>
          <w:snapToGrid/>
          <w:szCs w:val="22"/>
          <w:lang w:val="de-DE" w:eastAsia="de-DE"/>
        </w:rPr>
        <w:t>Jede Tablette enthält 80</w:t>
      </w:r>
      <w:r w:rsidR="00023E2B" w:rsidRPr="00DE1967">
        <w:rPr>
          <w:snapToGrid/>
          <w:szCs w:val="22"/>
          <w:lang w:val="de-DE" w:eastAsia="de-DE"/>
        </w:rPr>
        <w:t> mg</w:t>
      </w:r>
      <w:r w:rsidRPr="00DE1967">
        <w:rPr>
          <w:snapToGrid/>
          <w:szCs w:val="22"/>
          <w:lang w:val="de-DE" w:eastAsia="de-DE"/>
        </w:rPr>
        <w:t xml:space="preserve"> Telmisartan und 12,5</w:t>
      </w:r>
      <w:r w:rsidR="00023E2B" w:rsidRPr="00DE1967">
        <w:rPr>
          <w:snapToGrid/>
          <w:szCs w:val="22"/>
          <w:lang w:val="de-DE" w:eastAsia="de-DE"/>
        </w:rPr>
        <w:t> mg</w:t>
      </w:r>
      <w:r w:rsidRPr="00DE1967">
        <w:rPr>
          <w:snapToGrid/>
          <w:szCs w:val="22"/>
          <w:lang w:val="de-DE" w:eastAsia="de-DE"/>
        </w:rPr>
        <w:t xml:space="preserve"> Hydrochlorothiazid.</w:t>
      </w:r>
    </w:p>
    <w:p w:rsidR="00544F89" w:rsidRPr="00DE1967" w:rsidRDefault="00731609" w:rsidP="0003742E">
      <w:pPr>
        <w:widowControl w:val="0"/>
        <w:tabs>
          <w:tab w:val="clear" w:pos="567"/>
        </w:tabs>
        <w:autoSpaceDE w:val="0"/>
        <w:autoSpaceDN w:val="0"/>
        <w:adjustRightInd w:val="0"/>
        <w:spacing w:line="240" w:lineRule="auto"/>
        <w:ind w:left="567"/>
        <w:rPr>
          <w:noProof/>
          <w:szCs w:val="22"/>
          <w:lang w:val="de-DE"/>
        </w:rPr>
      </w:pPr>
      <w:r w:rsidRPr="00DE1967">
        <w:rPr>
          <w:snapToGrid/>
          <w:szCs w:val="22"/>
          <w:lang w:val="de-DE" w:eastAsia="de-DE"/>
        </w:rPr>
        <w:t>Jede Tablette enthält 80</w:t>
      </w:r>
      <w:r w:rsidR="00023E2B" w:rsidRPr="00DE1967">
        <w:rPr>
          <w:snapToGrid/>
          <w:szCs w:val="22"/>
          <w:lang w:val="de-DE" w:eastAsia="de-DE"/>
        </w:rPr>
        <w:t> mg</w:t>
      </w:r>
      <w:r w:rsidRPr="00DE1967">
        <w:rPr>
          <w:snapToGrid/>
          <w:szCs w:val="22"/>
          <w:lang w:val="de-DE" w:eastAsia="de-DE"/>
        </w:rPr>
        <w:t xml:space="preserve"> Telmisartan und 25</w:t>
      </w:r>
      <w:r w:rsidR="00023E2B" w:rsidRPr="00DE1967">
        <w:rPr>
          <w:snapToGrid/>
          <w:szCs w:val="22"/>
          <w:lang w:val="de-DE" w:eastAsia="de-DE"/>
        </w:rPr>
        <w:t> mg</w:t>
      </w:r>
      <w:r w:rsidRPr="00DE1967">
        <w:rPr>
          <w:snapToGrid/>
          <w:szCs w:val="22"/>
          <w:lang w:val="de-DE" w:eastAsia="de-DE"/>
        </w:rPr>
        <w:t xml:space="preserve"> Hydrochlorothiazid.</w:t>
      </w:r>
    </w:p>
    <w:p w:rsidR="006D7B5C" w:rsidRPr="007C3A45" w:rsidRDefault="00637E20" w:rsidP="00854C15">
      <w:pPr>
        <w:widowControl w:val="0"/>
        <w:numPr>
          <w:ilvl w:val="0"/>
          <w:numId w:val="5"/>
        </w:numPr>
        <w:tabs>
          <w:tab w:val="clear" w:pos="567"/>
        </w:tabs>
        <w:autoSpaceDE w:val="0"/>
        <w:autoSpaceDN w:val="0"/>
        <w:adjustRightInd w:val="0"/>
        <w:spacing w:line="240" w:lineRule="auto"/>
        <w:ind w:left="567" w:hanging="567"/>
        <w:rPr>
          <w:szCs w:val="22"/>
          <w:lang w:val="de-DE"/>
        </w:rPr>
      </w:pPr>
      <w:r w:rsidRPr="00DE1967">
        <w:rPr>
          <w:noProof/>
          <w:szCs w:val="22"/>
          <w:lang w:val="de-DE"/>
        </w:rPr>
        <w:t>Die</w:t>
      </w:r>
      <w:r w:rsidR="00731609" w:rsidRPr="00DE1967">
        <w:rPr>
          <w:noProof/>
          <w:szCs w:val="22"/>
          <w:lang w:val="de-DE"/>
        </w:rPr>
        <w:t xml:space="preserve"> sonstige</w:t>
      </w:r>
      <w:r w:rsidRPr="00DE1967">
        <w:rPr>
          <w:noProof/>
          <w:szCs w:val="22"/>
          <w:lang w:val="de-DE"/>
        </w:rPr>
        <w:t xml:space="preserve">n Bestandteile sind: </w:t>
      </w:r>
      <w:proofErr w:type="spellStart"/>
      <w:r w:rsidR="006D7B5C" w:rsidRPr="00DE1967">
        <w:rPr>
          <w:snapToGrid/>
          <w:szCs w:val="22"/>
          <w:lang w:val="de-DE" w:eastAsia="de-DE"/>
        </w:rPr>
        <w:t>Hyprolose</w:t>
      </w:r>
      <w:proofErr w:type="spellEnd"/>
      <w:r w:rsidR="00CD000A" w:rsidRPr="00DE1967">
        <w:rPr>
          <w:snapToGrid/>
          <w:szCs w:val="22"/>
          <w:lang w:val="de-DE" w:eastAsia="de-DE"/>
        </w:rPr>
        <w:t xml:space="preserve"> (53,4–80,5 % </w:t>
      </w:r>
      <w:proofErr w:type="spellStart"/>
      <w:r w:rsidR="00CD000A" w:rsidRPr="00DE1967">
        <w:rPr>
          <w:snapToGrid/>
          <w:szCs w:val="22"/>
          <w:lang w:val="de-DE" w:eastAsia="de-DE"/>
        </w:rPr>
        <w:t>Hydroxypropoxy</w:t>
      </w:r>
      <w:proofErr w:type="spellEnd"/>
      <w:r w:rsidR="00D51FF5" w:rsidRPr="00DE1967">
        <w:rPr>
          <w:snapToGrid/>
          <w:szCs w:val="22"/>
          <w:lang w:val="de-DE" w:eastAsia="de-DE"/>
        </w:rPr>
        <w:t>-</w:t>
      </w:r>
      <w:r w:rsidR="00CD000A" w:rsidRPr="00DE1967">
        <w:rPr>
          <w:snapToGrid/>
          <w:szCs w:val="22"/>
          <w:lang w:val="de-DE" w:eastAsia="de-DE"/>
        </w:rPr>
        <w:t>Gruppen)</w:t>
      </w:r>
      <w:r w:rsidR="006D7B5C" w:rsidRPr="00DE1967">
        <w:rPr>
          <w:snapToGrid/>
          <w:szCs w:val="22"/>
          <w:lang w:val="de-DE" w:eastAsia="de-DE"/>
        </w:rPr>
        <w:t>, Lactose-Monohydrat, Magnesiumstearat</w:t>
      </w:r>
      <w:r w:rsidR="004C5D00" w:rsidRPr="00DE1967">
        <w:rPr>
          <w:snapToGrid/>
          <w:szCs w:val="22"/>
          <w:lang w:val="de-DE" w:eastAsia="de-DE"/>
        </w:rPr>
        <w:t xml:space="preserve"> (</w:t>
      </w:r>
      <w:proofErr w:type="spellStart"/>
      <w:r w:rsidR="004C5D00" w:rsidRPr="00DE1967">
        <w:rPr>
          <w:snapToGrid/>
          <w:szCs w:val="22"/>
          <w:lang w:val="de-DE" w:eastAsia="de-DE"/>
        </w:rPr>
        <w:t>Ph.Eur</w:t>
      </w:r>
      <w:proofErr w:type="spellEnd"/>
      <w:r w:rsidR="004C5D00" w:rsidRPr="00DE1967">
        <w:rPr>
          <w:snapToGrid/>
          <w:szCs w:val="22"/>
          <w:lang w:val="de-DE" w:eastAsia="de-DE"/>
        </w:rPr>
        <w:t>.)</w:t>
      </w:r>
      <w:r w:rsidR="006D7B5C" w:rsidRPr="00DE1967">
        <w:rPr>
          <w:snapToGrid/>
          <w:szCs w:val="22"/>
          <w:lang w:val="de-DE" w:eastAsia="de-DE"/>
        </w:rPr>
        <w:t xml:space="preserve">, Mannitol, </w:t>
      </w:r>
      <w:proofErr w:type="spellStart"/>
      <w:r w:rsidR="006D7B5C" w:rsidRPr="00DE1967">
        <w:rPr>
          <w:snapToGrid/>
          <w:szCs w:val="22"/>
          <w:lang w:val="de-DE" w:eastAsia="de-DE"/>
        </w:rPr>
        <w:t>Meglumin</w:t>
      </w:r>
      <w:proofErr w:type="spellEnd"/>
      <w:r w:rsidR="006D7B5C" w:rsidRPr="00DE1967">
        <w:rPr>
          <w:snapToGrid/>
          <w:szCs w:val="22"/>
          <w:lang w:val="de-DE" w:eastAsia="de-DE"/>
        </w:rPr>
        <w:t xml:space="preserve">, </w:t>
      </w:r>
      <w:proofErr w:type="spellStart"/>
      <w:r w:rsidR="006D7B5C" w:rsidRPr="00DE1967">
        <w:rPr>
          <w:snapToGrid/>
          <w:szCs w:val="22"/>
          <w:lang w:val="de-DE" w:eastAsia="de-DE"/>
        </w:rPr>
        <w:t>Povidon</w:t>
      </w:r>
      <w:proofErr w:type="spellEnd"/>
      <w:r w:rsidR="006D7B5C" w:rsidRPr="00DE1967">
        <w:rPr>
          <w:snapToGrid/>
          <w:szCs w:val="22"/>
          <w:lang w:val="de-DE" w:eastAsia="de-DE"/>
        </w:rPr>
        <w:t xml:space="preserve"> (K30)</w:t>
      </w:r>
      <w:r w:rsidR="004C5D00" w:rsidRPr="00DE1967">
        <w:rPr>
          <w:snapToGrid/>
          <w:szCs w:val="22"/>
          <w:lang w:val="de-DE" w:eastAsia="de-DE"/>
        </w:rPr>
        <w:t xml:space="preserve">, </w:t>
      </w:r>
      <w:r w:rsidR="006D7B5C" w:rsidRPr="00DE1967">
        <w:rPr>
          <w:snapToGrid/>
          <w:szCs w:val="22"/>
          <w:lang w:val="de-DE" w:eastAsia="de-DE"/>
        </w:rPr>
        <w:t>Eisen(III)-oxid</w:t>
      </w:r>
      <w:r w:rsidR="004C5D00" w:rsidRPr="00DE1967">
        <w:rPr>
          <w:snapToGrid/>
          <w:szCs w:val="22"/>
          <w:lang w:val="de-DE" w:eastAsia="de-DE"/>
        </w:rPr>
        <w:t xml:space="preserve"> (E172) – </w:t>
      </w:r>
      <w:r w:rsidR="006B65AD" w:rsidRPr="00DE1967">
        <w:rPr>
          <w:szCs w:val="22"/>
          <w:lang w:val="de-DE"/>
        </w:rPr>
        <w:t xml:space="preserve">nur </w:t>
      </w:r>
      <w:r w:rsidR="004C5D00" w:rsidRPr="00DE1967">
        <w:rPr>
          <w:snapToGrid/>
          <w:szCs w:val="22"/>
          <w:lang w:val="de-DE" w:eastAsia="de-DE"/>
        </w:rPr>
        <w:t>in 40</w:t>
      </w:r>
      <w:r w:rsidR="00023E2B" w:rsidRPr="00DE1967">
        <w:rPr>
          <w:snapToGrid/>
          <w:szCs w:val="22"/>
          <w:lang w:val="de-DE" w:eastAsia="de-DE"/>
        </w:rPr>
        <w:t> mg</w:t>
      </w:r>
      <w:r w:rsidR="004C5D00" w:rsidRPr="00DE1967">
        <w:rPr>
          <w:snapToGrid/>
          <w:szCs w:val="22"/>
          <w:lang w:val="de-DE" w:eastAsia="de-DE"/>
        </w:rPr>
        <w:t>/12,5</w:t>
      </w:r>
      <w:r w:rsidR="00023E2B" w:rsidRPr="00DE1967">
        <w:rPr>
          <w:snapToGrid/>
          <w:szCs w:val="22"/>
          <w:lang w:val="de-DE" w:eastAsia="de-DE"/>
        </w:rPr>
        <w:t> mg</w:t>
      </w:r>
      <w:r w:rsidR="004C5D00" w:rsidRPr="00DE1967">
        <w:rPr>
          <w:snapToGrid/>
          <w:szCs w:val="22"/>
          <w:lang w:val="de-DE" w:eastAsia="de-DE"/>
        </w:rPr>
        <w:t xml:space="preserve"> und 80</w:t>
      </w:r>
      <w:r w:rsidR="00023E2B" w:rsidRPr="00DE1967">
        <w:rPr>
          <w:snapToGrid/>
          <w:szCs w:val="22"/>
          <w:lang w:val="de-DE" w:eastAsia="de-DE"/>
        </w:rPr>
        <w:t> mg</w:t>
      </w:r>
      <w:r w:rsidR="004C5D00" w:rsidRPr="00DE1967">
        <w:rPr>
          <w:snapToGrid/>
          <w:szCs w:val="22"/>
          <w:lang w:val="de-DE" w:eastAsia="de-DE"/>
        </w:rPr>
        <w:t>/12,5</w:t>
      </w:r>
      <w:r w:rsidR="00023E2B" w:rsidRPr="00DE1967">
        <w:rPr>
          <w:snapToGrid/>
          <w:szCs w:val="22"/>
          <w:lang w:val="de-DE" w:eastAsia="de-DE"/>
        </w:rPr>
        <w:t> mg</w:t>
      </w:r>
      <w:r w:rsidR="00A829F0" w:rsidRPr="00DE1967">
        <w:rPr>
          <w:snapToGrid/>
          <w:szCs w:val="22"/>
          <w:lang w:val="de-DE" w:eastAsia="de-DE"/>
        </w:rPr>
        <w:t xml:space="preserve"> Tabletten</w:t>
      </w:r>
      <w:r w:rsidR="004C5D00" w:rsidRPr="00DE1967">
        <w:rPr>
          <w:snapToGrid/>
          <w:szCs w:val="22"/>
          <w:lang w:val="de-DE" w:eastAsia="de-DE"/>
        </w:rPr>
        <w:t xml:space="preserve">, </w:t>
      </w:r>
      <w:r w:rsidR="000F4F3A" w:rsidRPr="00DE1967">
        <w:rPr>
          <w:snapToGrid/>
          <w:szCs w:val="22"/>
          <w:lang w:val="de-DE" w:eastAsia="de-DE"/>
        </w:rPr>
        <w:t>hochdisperses</w:t>
      </w:r>
      <w:r w:rsidR="006D7B5C" w:rsidRPr="00DE1967">
        <w:rPr>
          <w:snapToGrid/>
          <w:szCs w:val="22"/>
          <w:lang w:val="de-DE" w:eastAsia="de-DE"/>
        </w:rPr>
        <w:t xml:space="preserve"> Siliciumdioxid</w:t>
      </w:r>
      <w:r w:rsidR="004C5D00" w:rsidRPr="00DE1967">
        <w:rPr>
          <w:snapToGrid/>
          <w:szCs w:val="22"/>
          <w:lang w:val="de-DE" w:eastAsia="de-DE"/>
        </w:rPr>
        <w:t xml:space="preserve">, </w:t>
      </w:r>
      <w:r w:rsidR="006D7B5C" w:rsidRPr="00DE1967">
        <w:rPr>
          <w:snapToGrid/>
          <w:szCs w:val="22"/>
          <w:lang w:val="de-DE" w:eastAsia="de-DE"/>
        </w:rPr>
        <w:t>Natriumhydroxid (E524)</w:t>
      </w:r>
      <w:r w:rsidR="004C5D00" w:rsidRPr="00DE1967">
        <w:rPr>
          <w:snapToGrid/>
          <w:szCs w:val="22"/>
          <w:lang w:val="de-DE" w:eastAsia="de-DE"/>
        </w:rPr>
        <w:t xml:space="preserve">, </w:t>
      </w:r>
      <w:proofErr w:type="spellStart"/>
      <w:r w:rsidR="006D7B5C" w:rsidRPr="00DE1967">
        <w:rPr>
          <w:snapToGrid/>
          <w:szCs w:val="22"/>
          <w:lang w:val="de-DE" w:eastAsia="de-DE"/>
        </w:rPr>
        <w:t>Natriumstearylfumarat</w:t>
      </w:r>
      <w:proofErr w:type="spellEnd"/>
      <w:r w:rsidR="004C5D00" w:rsidRPr="00DE1967">
        <w:rPr>
          <w:snapToGrid/>
          <w:szCs w:val="22"/>
          <w:lang w:val="de-DE" w:eastAsia="de-DE"/>
        </w:rPr>
        <w:t xml:space="preserve"> (</w:t>
      </w:r>
      <w:proofErr w:type="spellStart"/>
      <w:r w:rsidR="004C5D00" w:rsidRPr="00DE1967">
        <w:rPr>
          <w:snapToGrid/>
          <w:szCs w:val="22"/>
          <w:lang w:val="de-DE" w:eastAsia="de-DE"/>
        </w:rPr>
        <w:t>Ph.Eur</w:t>
      </w:r>
      <w:proofErr w:type="spellEnd"/>
      <w:r w:rsidR="004C5D00" w:rsidRPr="00DE1967">
        <w:rPr>
          <w:snapToGrid/>
          <w:szCs w:val="22"/>
          <w:lang w:val="de-DE" w:eastAsia="de-DE"/>
        </w:rPr>
        <w:t xml:space="preserve">.), </w:t>
      </w:r>
      <w:r w:rsidR="006D7B5C" w:rsidRPr="00DE1967">
        <w:rPr>
          <w:snapToGrid/>
          <w:szCs w:val="22"/>
          <w:lang w:val="de-DE" w:eastAsia="de-DE"/>
        </w:rPr>
        <w:t xml:space="preserve">Sorbitol </w:t>
      </w:r>
      <w:r w:rsidR="00AC17CD" w:rsidRPr="00DE1967">
        <w:rPr>
          <w:snapToGrid/>
          <w:szCs w:val="22"/>
          <w:lang w:val="de-DE" w:eastAsia="de-DE"/>
        </w:rPr>
        <w:t>(</w:t>
      </w:r>
      <w:proofErr w:type="spellStart"/>
      <w:r w:rsidR="00AC17CD" w:rsidRPr="00DE1967">
        <w:rPr>
          <w:snapToGrid/>
          <w:szCs w:val="22"/>
          <w:lang w:val="de-DE" w:eastAsia="de-DE"/>
        </w:rPr>
        <w:t>Ph.Eur</w:t>
      </w:r>
      <w:proofErr w:type="spellEnd"/>
      <w:r w:rsidR="00AC17CD" w:rsidRPr="00DE1967">
        <w:rPr>
          <w:snapToGrid/>
          <w:szCs w:val="22"/>
          <w:lang w:val="de-DE" w:eastAsia="de-DE"/>
        </w:rPr>
        <w:t xml:space="preserve">.) </w:t>
      </w:r>
      <w:r w:rsidR="006D7B5C" w:rsidRPr="00DE1967">
        <w:rPr>
          <w:snapToGrid/>
          <w:szCs w:val="22"/>
          <w:lang w:val="de-DE" w:eastAsia="de-DE"/>
        </w:rPr>
        <w:t>(E420)</w:t>
      </w:r>
      <w:r w:rsidR="004C5D00" w:rsidRPr="00DE1967">
        <w:rPr>
          <w:snapToGrid/>
          <w:szCs w:val="22"/>
          <w:lang w:val="de-DE" w:eastAsia="de-DE"/>
        </w:rPr>
        <w:t xml:space="preserve"> und </w:t>
      </w:r>
      <w:r w:rsidR="004C5D00" w:rsidRPr="00DE1967">
        <w:rPr>
          <w:szCs w:val="22"/>
          <w:lang w:val="de-DE"/>
        </w:rPr>
        <w:t>Eisen(III)-hydroxid-oxid x H</w:t>
      </w:r>
      <w:r w:rsidR="004C5D00" w:rsidRPr="00DE1967">
        <w:rPr>
          <w:szCs w:val="22"/>
          <w:vertAlign w:val="subscript"/>
          <w:lang w:val="de-DE"/>
        </w:rPr>
        <w:t>2</w:t>
      </w:r>
      <w:r w:rsidR="004C5D00" w:rsidRPr="00DE1967">
        <w:rPr>
          <w:szCs w:val="22"/>
          <w:lang w:val="de-DE"/>
        </w:rPr>
        <w:t xml:space="preserve">O </w:t>
      </w:r>
      <w:r w:rsidR="00DB3DDE" w:rsidRPr="00DE1967">
        <w:rPr>
          <w:szCs w:val="22"/>
          <w:lang w:val="de-DE"/>
        </w:rPr>
        <w:t xml:space="preserve">(E172) </w:t>
      </w:r>
      <w:r w:rsidR="004C5D00" w:rsidRPr="00DE1967">
        <w:rPr>
          <w:szCs w:val="22"/>
          <w:lang w:val="de-DE"/>
        </w:rPr>
        <w:t>– nur in 80</w:t>
      </w:r>
      <w:r w:rsidR="00023E2B" w:rsidRPr="00DE1967">
        <w:rPr>
          <w:szCs w:val="22"/>
          <w:lang w:val="de-DE"/>
        </w:rPr>
        <w:t> mg</w:t>
      </w:r>
      <w:r w:rsidR="004C5D00" w:rsidRPr="00DE1967">
        <w:rPr>
          <w:szCs w:val="22"/>
          <w:lang w:val="de-DE"/>
        </w:rPr>
        <w:t>/25</w:t>
      </w:r>
      <w:r w:rsidR="00023E2B" w:rsidRPr="00DE1967">
        <w:rPr>
          <w:szCs w:val="22"/>
          <w:lang w:val="de-DE"/>
        </w:rPr>
        <w:t> mg</w:t>
      </w:r>
      <w:r w:rsidR="004C5D00" w:rsidRPr="00DE1967">
        <w:rPr>
          <w:szCs w:val="22"/>
          <w:lang w:val="de-DE"/>
        </w:rPr>
        <w:t xml:space="preserve"> Tabletten.</w:t>
      </w:r>
      <w:r w:rsidR="00424067" w:rsidRPr="00DE1967">
        <w:rPr>
          <w:szCs w:val="22"/>
          <w:lang w:val="de-DE"/>
        </w:rPr>
        <w:t xml:space="preserve"> Siehe Abschnitt 2 „</w:t>
      </w:r>
      <w:proofErr w:type="spellStart"/>
      <w:r w:rsidR="00424067" w:rsidRPr="00DE1967">
        <w:rPr>
          <w:szCs w:val="22"/>
          <w:lang w:val="de-DE"/>
        </w:rPr>
        <w:t>Tolucombi</w:t>
      </w:r>
      <w:proofErr w:type="spellEnd"/>
      <w:r w:rsidR="00424067" w:rsidRPr="00DE1967">
        <w:rPr>
          <w:szCs w:val="22"/>
          <w:lang w:val="de-DE"/>
        </w:rPr>
        <w:t xml:space="preserve"> enthält Lactose</w:t>
      </w:r>
      <w:r w:rsidR="008236CD">
        <w:rPr>
          <w:szCs w:val="22"/>
          <w:lang w:val="de-DE"/>
        </w:rPr>
        <w:t>,</w:t>
      </w:r>
      <w:r w:rsidR="00424067" w:rsidRPr="00424067">
        <w:rPr>
          <w:szCs w:val="22"/>
          <w:lang w:val="de-DE"/>
        </w:rPr>
        <w:t xml:space="preserve"> Sorbitol</w:t>
      </w:r>
      <w:r w:rsidR="00C05B50">
        <w:rPr>
          <w:szCs w:val="22"/>
          <w:lang w:val="de-DE"/>
        </w:rPr>
        <w:t xml:space="preserve"> und Natrium</w:t>
      </w:r>
      <w:r w:rsidR="00424067">
        <w:rPr>
          <w:szCs w:val="22"/>
          <w:lang w:val="de-DE"/>
        </w:rPr>
        <w:t>”.</w:t>
      </w:r>
    </w:p>
    <w:p w:rsidR="00637E20" w:rsidRPr="007C3A45" w:rsidRDefault="00637E20" w:rsidP="006B65AD">
      <w:pPr>
        <w:widowControl w:val="0"/>
        <w:tabs>
          <w:tab w:val="clear" w:pos="567"/>
          <w:tab w:val="left" w:pos="720"/>
        </w:tabs>
        <w:snapToGrid w:val="0"/>
        <w:spacing w:line="240" w:lineRule="auto"/>
        <w:ind w:right="-2"/>
        <w:rPr>
          <w:szCs w:val="22"/>
          <w:lang w:val="de-DE"/>
        </w:rPr>
      </w:pPr>
    </w:p>
    <w:p w:rsidR="00637E20" w:rsidRPr="007C3A45" w:rsidRDefault="00637E20" w:rsidP="0003742E">
      <w:pPr>
        <w:widowControl w:val="0"/>
        <w:numPr>
          <w:ilvl w:val="12"/>
          <w:numId w:val="0"/>
        </w:numPr>
        <w:tabs>
          <w:tab w:val="clear" w:pos="567"/>
          <w:tab w:val="left" w:pos="720"/>
        </w:tabs>
        <w:spacing w:line="240" w:lineRule="auto"/>
        <w:ind w:right="-2"/>
        <w:rPr>
          <w:b/>
          <w:szCs w:val="22"/>
          <w:lang w:val="de-DE"/>
        </w:rPr>
      </w:pPr>
      <w:r w:rsidRPr="007C3A45">
        <w:rPr>
          <w:b/>
          <w:noProof/>
          <w:szCs w:val="22"/>
          <w:lang w:val="de-DE"/>
        </w:rPr>
        <w:t xml:space="preserve">Wie </w:t>
      </w:r>
      <w:r w:rsidR="004C5D00" w:rsidRPr="007C3A45">
        <w:rPr>
          <w:b/>
          <w:noProof/>
          <w:szCs w:val="22"/>
          <w:lang w:val="de-DE"/>
        </w:rPr>
        <w:t>Tolucombi</w:t>
      </w:r>
      <w:r w:rsidRPr="007C3A45">
        <w:rPr>
          <w:b/>
          <w:noProof/>
          <w:szCs w:val="22"/>
          <w:lang w:val="de-DE"/>
        </w:rPr>
        <w:t xml:space="preserve"> aussieht und Inhalt der Packung</w:t>
      </w:r>
    </w:p>
    <w:p w:rsidR="000F4F3A" w:rsidRPr="007C3A45" w:rsidRDefault="004C5D00" w:rsidP="0003742E">
      <w:pPr>
        <w:widowControl w:val="0"/>
        <w:tabs>
          <w:tab w:val="clear" w:pos="567"/>
        </w:tabs>
        <w:autoSpaceDE w:val="0"/>
        <w:autoSpaceDN w:val="0"/>
        <w:adjustRightInd w:val="0"/>
        <w:spacing w:line="240" w:lineRule="auto"/>
        <w:rPr>
          <w:snapToGrid/>
          <w:szCs w:val="22"/>
          <w:lang w:val="de-DE" w:eastAsia="de-DE"/>
        </w:rPr>
      </w:pPr>
      <w:r w:rsidRPr="007C3A45">
        <w:rPr>
          <w:szCs w:val="22"/>
          <w:lang w:val="de-DE"/>
        </w:rPr>
        <w:t>40</w:t>
      </w:r>
      <w:r w:rsidR="00023E2B" w:rsidRPr="007C3A45">
        <w:rPr>
          <w:szCs w:val="22"/>
          <w:lang w:val="de-DE"/>
        </w:rPr>
        <w:t> mg</w:t>
      </w:r>
      <w:r w:rsidRPr="007C3A45">
        <w:rPr>
          <w:szCs w:val="22"/>
          <w:lang w:val="de-DE"/>
        </w:rPr>
        <w:t>/12,5</w:t>
      </w:r>
      <w:r w:rsidR="00023E2B" w:rsidRPr="007C3A45">
        <w:rPr>
          <w:szCs w:val="22"/>
          <w:lang w:val="de-DE"/>
        </w:rPr>
        <w:t> mg</w:t>
      </w:r>
      <w:r w:rsidRPr="007C3A45">
        <w:rPr>
          <w:szCs w:val="22"/>
          <w:lang w:val="de-DE"/>
        </w:rPr>
        <w:t xml:space="preserve"> Tabletten: </w:t>
      </w:r>
      <w:r w:rsidR="000F4F3A" w:rsidRPr="007C3A45">
        <w:rPr>
          <w:snapToGrid/>
          <w:szCs w:val="22"/>
          <w:lang w:val="de-DE" w:eastAsia="de-DE"/>
        </w:rPr>
        <w:t>Auf einer Seite weiße bis fast weiße oder rosa-weiße und auf der anderen Seite rosa marmorierte ovale, aus zwei Schichten bestehende bikonvexe Tablette; die Größe der Tablette ist 15 mm x 7 mm.</w:t>
      </w:r>
    </w:p>
    <w:p w:rsidR="000F4F3A" w:rsidRPr="007C3A45" w:rsidRDefault="00A829F0" w:rsidP="0003742E">
      <w:pPr>
        <w:widowControl w:val="0"/>
        <w:tabs>
          <w:tab w:val="clear" w:pos="567"/>
        </w:tabs>
        <w:autoSpaceDE w:val="0"/>
        <w:autoSpaceDN w:val="0"/>
        <w:adjustRightInd w:val="0"/>
        <w:spacing w:line="240" w:lineRule="auto"/>
        <w:rPr>
          <w:szCs w:val="22"/>
          <w:lang w:val="de-DE"/>
        </w:rPr>
      </w:pPr>
      <w:r w:rsidRPr="007C3A45">
        <w:rPr>
          <w:szCs w:val="22"/>
          <w:lang w:val="de-DE"/>
        </w:rPr>
        <w:t>80</w:t>
      </w:r>
      <w:r w:rsidR="00023E2B" w:rsidRPr="007C3A45">
        <w:rPr>
          <w:szCs w:val="22"/>
          <w:lang w:val="de-DE"/>
        </w:rPr>
        <w:t> mg</w:t>
      </w:r>
      <w:r w:rsidRPr="007C3A45">
        <w:rPr>
          <w:szCs w:val="22"/>
          <w:lang w:val="de-DE"/>
        </w:rPr>
        <w:t>/12,5</w:t>
      </w:r>
      <w:r w:rsidR="00023E2B" w:rsidRPr="007C3A45">
        <w:rPr>
          <w:szCs w:val="22"/>
          <w:lang w:val="de-DE"/>
        </w:rPr>
        <w:t> mg</w:t>
      </w:r>
      <w:r w:rsidRPr="007C3A45">
        <w:rPr>
          <w:szCs w:val="22"/>
          <w:lang w:val="de-DE"/>
        </w:rPr>
        <w:t xml:space="preserve"> Tabletten: </w:t>
      </w:r>
      <w:r w:rsidR="000F4F3A" w:rsidRPr="007C3A45">
        <w:rPr>
          <w:snapToGrid/>
          <w:szCs w:val="22"/>
          <w:lang w:val="de-DE" w:eastAsia="de-DE"/>
        </w:rPr>
        <w:t>Auf einer Seite weiße bis fast weiße oder rosa weiße</w:t>
      </w:r>
      <w:r w:rsidR="00F323B2" w:rsidRPr="007C3A45">
        <w:rPr>
          <w:snapToGrid/>
          <w:szCs w:val="22"/>
          <w:lang w:val="de-DE" w:eastAsia="de-DE"/>
        </w:rPr>
        <w:t xml:space="preserve"> </w:t>
      </w:r>
      <w:r w:rsidR="000F4F3A" w:rsidRPr="007C3A45">
        <w:rPr>
          <w:snapToGrid/>
          <w:szCs w:val="22"/>
          <w:lang w:val="de-DE" w:eastAsia="de-DE"/>
        </w:rPr>
        <w:t xml:space="preserve">und auf der anderen Seite </w:t>
      </w:r>
      <w:r w:rsidR="003A71E7">
        <w:rPr>
          <w:snapToGrid/>
          <w:szCs w:val="22"/>
          <w:lang w:val="de-DE" w:eastAsia="de-DE"/>
        </w:rPr>
        <w:t xml:space="preserve">rosa </w:t>
      </w:r>
      <w:r w:rsidR="000F4F3A" w:rsidRPr="007C3A45">
        <w:rPr>
          <w:snapToGrid/>
          <w:szCs w:val="22"/>
          <w:lang w:val="de-DE" w:eastAsia="de-DE"/>
        </w:rPr>
        <w:t>marmorierte ovale, aus zwei Schichten</w:t>
      </w:r>
      <w:r w:rsidR="00F323B2" w:rsidRPr="007C3A45">
        <w:rPr>
          <w:snapToGrid/>
          <w:szCs w:val="22"/>
          <w:lang w:val="de-DE" w:eastAsia="de-DE"/>
        </w:rPr>
        <w:t xml:space="preserve"> </w:t>
      </w:r>
      <w:r w:rsidR="000F4F3A" w:rsidRPr="007C3A45">
        <w:rPr>
          <w:snapToGrid/>
          <w:szCs w:val="22"/>
          <w:lang w:val="de-DE" w:eastAsia="de-DE"/>
        </w:rPr>
        <w:t>bestehende bikonvexe Tablette; die Größe der Tablette ist 18 mm x 9 mm.</w:t>
      </w:r>
    </w:p>
    <w:p w:rsidR="000F4F3A" w:rsidRPr="007C3A45" w:rsidRDefault="00A829F0" w:rsidP="0003742E">
      <w:pPr>
        <w:widowControl w:val="0"/>
        <w:tabs>
          <w:tab w:val="clear" w:pos="567"/>
        </w:tabs>
        <w:autoSpaceDE w:val="0"/>
        <w:autoSpaceDN w:val="0"/>
        <w:adjustRightInd w:val="0"/>
        <w:spacing w:line="240" w:lineRule="auto"/>
        <w:rPr>
          <w:szCs w:val="22"/>
          <w:lang w:val="de-DE"/>
        </w:rPr>
      </w:pPr>
      <w:r w:rsidRPr="007C3A45">
        <w:rPr>
          <w:szCs w:val="22"/>
          <w:lang w:val="de-DE"/>
        </w:rPr>
        <w:t>80</w:t>
      </w:r>
      <w:r w:rsidR="00023E2B" w:rsidRPr="007C3A45">
        <w:rPr>
          <w:szCs w:val="22"/>
          <w:lang w:val="de-DE"/>
        </w:rPr>
        <w:t> mg</w:t>
      </w:r>
      <w:r w:rsidRPr="007C3A45">
        <w:rPr>
          <w:szCs w:val="22"/>
          <w:lang w:val="de-DE"/>
        </w:rPr>
        <w:t>/25</w:t>
      </w:r>
      <w:r w:rsidR="00023E2B" w:rsidRPr="007C3A45">
        <w:rPr>
          <w:szCs w:val="22"/>
          <w:lang w:val="de-DE"/>
        </w:rPr>
        <w:t> mg</w:t>
      </w:r>
      <w:r w:rsidRPr="007C3A45">
        <w:rPr>
          <w:szCs w:val="22"/>
          <w:lang w:val="de-DE"/>
        </w:rPr>
        <w:t xml:space="preserve"> Tabletten: </w:t>
      </w:r>
      <w:r w:rsidR="000F4F3A" w:rsidRPr="007C3A45">
        <w:rPr>
          <w:snapToGrid/>
          <w:szCs w:val="22"/>
          <w:lang w:val="de-DE" w:eastAsia="de-DE"/>
        </w:rPr>
        <w:t>Auf einer Seite weiße bis gelb-weiße</w:t>
      </w:r>
      <w:r w:rsidR="00F323B2" w:rsidRPr="007C3A45">
        <w:rPr>
          <w:snapToGrid/>
          <w:szCs w:val="22"/>
          <w:lang w:val="de-DE" w:eastAsia="de-DE"/>
        </w:rPr>
        <w:t xml:space="preserve"> </w:t>
      </w:r>
      <w:r w:rsidR="000F4F3A" w:rsidRPr="007C3A45">
        <w:rPr>
          <w:snapToGrid/>
          <w:szCs w:val="22"/>
          <w:lang w:val="de-DE" w:eastAsia="de-DE"/>
        </w:rPr>
        <w:t>und auf der anderen Seite gelb marmorierte ovale, aus zwei Schichten</w:t>
      </w:r>
      <w:r w:rsidR="00F323B2" w:rsidRPr="007C3A45">
        <w:rPr>
          <w:snapToGrid/>
          <w:szCs w:val="22"/>
          <w:lang w:val="de-DE" w:eastAsia="de-DE"/>
        </w:rPr>
        <w:t xml:space="preserve"> </w:t>
      </w:r>
      <w:r w:rsidR="000F4F3A" w:rsidRPr="007C3A45">
        <w:rPr>
          <w:snapToGrid/>
          <w:szCs w:val="22"/>
          <w:lang w:val="de-DE" w:eastAsia="de-DE"/>
        </w:rPr>
        <w:t>bestehende bikonvexe Tablette; die Größe der Tablette ist 18 mm x 9 mm.</w:t>
      </w:r>
    </w:p>
    <w:p w:rsidR="002229E0" w:rsidRPr="007C3A45" w:rsidRDefault="002229E0" w:rsidP="0003742E">
      <w:pPr>
        <w:widowControl w:val="0"/>
        <w:tabs>
          <w:tab w:val="clear" w:pos="567"/>
        </w:tabs>
        <w:autoSpaceDE w:val="0"/>
        <w:autoSpaceDN w:val="0"/>
        <w:adjustRightInd w:val="0"/>
        <w:spacing w:line="240" w:lineRule="auto"/>
        <w:rPr>
          <w:szCs w:val="22"/>
          <w:lang w:val="de-DE"/>
        </w:rPr>
      </w:pPr>
    </w:p>
    <w:p w:rsidR="00A829F0" w:rsidRPr="007C3A45" w:rsidRDefault="000F4F3A" w:rsidP="0003742E">
      <w:pPr>
        <w:widowControl w:val="0"/>
        <w:tabs>
          <w:tab w:val="clear" w:pos="567"/>
        </w:tabs>
        <w:autoSpaceDE w:val="0"/>
        <w:autoSpaceDN w:val="0"/>
        <w:adjustRightInd w:val="0"/>
        <w:spacing w:line="240" w:lineRule="auto"/>
        <w:rPr>
          <w:szCs w:val="22"/>
          <w:lang w:val="de-DE"/>
        </w:rPr>
      </w:pPr>
      <w:r w:rsidRPr="007C3A45">
        <w:rPr>
          <w:szCs w:val="22"/>
          <w:lang w:val="de-DE"/>
        </w:rPr>
        <w:t>Blisterpackung (OPA/Al/PVC-Folie//Al-Folie)</w:t>
      </w:r>
      <w:r w:rsidR="00A829F0" w:rsidRPr="007C3A45">
        <w:rPr>
          <w:szCs w:val="22"/>
          <w:lang w:val="de-DE"/>
        </w:rPr>
        <w:t>: 14</w:t>
      </w:r>
      <w:r w:rsidR="009C1AA2">
        <w:rPr>
          <w:szCs w:val="22"/>
          <w:lang w:val="de-DE"/>
        </w:rPr>
        <w:t> x 1</w:t>
      </w:r>
      <w:r w:rsidR="00A829F0" w:rsidRPr="007C3A45">
        <w:rPr>
          <w:szCs w:val="22"/>
          <w:lang w:val="de-DE"/>
        </w:rPr>
        <w:t>, 28</w:t>
      </w:r>
      <w:r w:rsidR="009C1AA2">
        <w:rPr>
          <w:szCs w:val="22"/>
          <w:lang w:val="de-DE"/>
        </w:rPr>
        <w:t> x 1</w:t>
      </w:r>
      <w:r w:rsidR="00A829F0" w:rsidRPr="007C3A45">
        <w:rPr>
          <w:szCs w:val="22"/>
          <w:lang w:val="de-DE"/>
        </w:rPr>
        <w:t>, 30</w:t>
      </w:r>
      <w:r w:rsidR="009C1AA2">
        <w:rPr>
          <w:szCs w:val="22"/>
          <w:lang w:val="de-DE"/>
        </w:rPr>
        <w:t> x 1</w:t>
      </w:r>
      <w:r w:rsidR="00A829F0" w:rsidRPr="007C3A45">
        <w:rPr>
          <w:szCs w:val="22"/>
          <w:lang w:val="de-DE"/>
        </w:rPr>
        <w:t>, 56</w:t>
      </w:r>
      <w:r w:rsidR="009C1AA2">
        <w:rPr>
          <w:szCs w:val="22"/>
          <w:lang w:val="de-DE"/>
        </w:rPr>
        <w:t> x 1</w:t>
      </w:r>
      <w:r w:rsidR="00A829F0" w:rsidRPr="007C3A45">
        <w:rPr>
          <w:szCs w:val="22"/>
          <w:lang w:val="de-DE"/>
        </w:rPr>
        <w:t>, 60</w:t>
      </w:r>
      <w:r w:rsidR="009C1AA2">
        <w:rPr>
          <w:szCs w:val="22"/>
          <w:lang w:val="de-DE"/>
        </w:rPr>
        <w:t> x 1</w:t>
      </w:r>
      <w:r w:rsidR="00A829F0" w:rsidRPr="007C3A45">
        <w:rPr>
          <w:szCs w:val="22"/>
          <w:lang w:val="de-DE"/>
        </w:rPr>
        <w:t>, 84</w:t>
      </w:r>
      <w:r w:rsidR="009C1AA2">
        <w:rPr>
          <w:szCs w:val="22"/>
          <w:lang w:val="de-DE"/>
        </w:rPr>
        <w:t> x 1</w:t>
      </w:r>
      <w:r w:rsidR="00A829F0" w:rsidRPr="007C3A45">
        <w:rPr>
          <w:szCs w:val="22"/>
          <w:lang w:val="de-DE"/>
        </w:rPr>
        <w:t>, 90</w:t>
      </w:r>
      <w:r w:rsidR="009C1AA2">
        <w:rPr>
          <w:szCs w:val="22"/>
          <w:lang w:val="de-DE"/>
        </w:rPr>
        <w:t> x 1</w:t>
      </w:r>
      <w:r w:rsidR="006B65AD">
        <w:rPr>
          <w:szCs w:val="22"/>
          <w:lang w:val="de-DE"/>
        </w:rPr>
        <w:t>,</w:t>
      </w:r>
      <w:r w:rsidR="00A829F0" w:rsidRPr="007C3A45">
        <w:rPr>
          <w:szCs w:val="22"/>
          <w:lang w:val="de-DE"/>
        </w:rPr>
        <w:t xml:space="preserve"> 98</w:t>
      </w:r>
      <w:r w:rsidR="009C1AA2">
        <w:rPr>
          <w:szCs w:val="22"/>
          <w:lang w:val="de-DE"/>
        </w:rPr>
        <w:t> x 1</w:t>
      </w:r>
      <w:r w:rsidR="00A829F0" w:rsidRPr="007C3A45">
        <w:rPr>
          <w:szCs w:val="22"/>
          <w:lang w:val="de-DE"/>
        </w:rPr>
        <w:t xml:space="preserve"> </w:t>
      </w:r>
      <w:r w:rsidR="006B65AD" w:rsidRPr="007C3A45">
        <w:rPr>
          <w:szCs w:val="22"/>
          <w:lang w:val="de-DE"/>
        </w:rPr>
        <w:t xml:space="preserve">und </w:t>
      </w:r>
      <w:r w:rsidR="006B65AD">
        <w:rPr>
          <w:szCs w:val="22"/>
          <w:lang w:val="de-DE"/>
        </w:rPr>
        <w:t>100</w:t>
      </w:r>
      <w:r w:rsidR="009C1AA2">
        <w:rPr>
          <w:szCs w:val="22"/>
          <w:lang w:val="de-DE"/>
        </w:rPr>
        <w:t> x 1</w:t>
      </w:r>
      <w:r w:rsidR="006B65AD">
        <w:rPr>
          <w:szCs w:val="22"/>
          <w:lang w:val="de-DE"/>
        </w:rPr>
        <w:t xml:space="preserve"> </w:t>
      </w:r>
      <w:r w:rsidR="00A829F0" w:rsidRPr="007C3A45">
        <w:rPr>
          <w:szCs w:val="22"/>
          <w:lang w:val="de-DE"/>
        </w:rPr>
        <w:t>Tablette in einer Faltschachtel.</w:t>
      </w:r>
    </w:p>
    <w:p w:rsidR="00A829F0" w:rsidRPr="007C3A45" w:rsidRDefault="00D60896" w:rsidP="0003742E">
      <w:pPr>
        <w:widowControl w:val="0"/>
        <w:autoSpaceDE w:val="0"/>
        <w:autoSpaceDN w:val="0"/>
        <w:adjustRightInd w:val="0"/>
        <w:spacing w:line="240" w:lineRule="auto"/>
        <w:rPr>
          <w:szCs w:val="22"/>
          <w:lang w:val="de-DE"/>
        </w:rPr>
      </w:pPr>
      <w:r w:rsidRPr="007C3A45">
        <w:rPr>
          <w:szCs w:val="22"/>
          <w:lang w:val="de-DE"/>
        </w:rPr>
        <w:t>Blisterpackung (OPA/Al/PE</w:t>
      </w:r>
      <w:r w:rsidR="00A829F0" w:rsidRPr="007C3A45">
        <w:rPr>
          <w:szCs w:val="22"/>
          <w:lang w:val="de-DE"/>
        </w:rPr>
        <w:t>-Folie mit Trockenmittel/</w:t>
      </w:r>
      <w:r w:rsidR="006C70AD" w:rsidRPr="007C3A45">
        <w:rPr>
          <w:szCs w:val="22"/>
          <w:lang w:val="de-DE"/>
        </w:rPr>
        <w:t>/</w:t>
      </w:r>
      <w:r w:rsidR="00A829F0" w:rsidRPr="007C3A45">
        <w:rPr>
          <w:szCs w:val="22"/>
          <w:lang w:val="de-DE"/>
        </w:rPr>
        <w:t>Al-Folie): 14</w:t>
      </w:r>
      <w:r w:rsidR="009C1AA2">
        <w:rPr>
          <w:szCs w:val="22"/>
          <w:lang w:val="de-DE"/>
        </w:rPr>
        <w:t> x 1</w:t>
      </w:r>
      <w:r w:rsidR="00A829F0" w:rsidRPr="007C3A45">
        <w:rPr>
          <w:szCs w:val="22"/>
          <w:lang w:val="de-DE"/>
        </w:rPr>
        <w:t xml:space="preserve"> und 98</w:t>
      </w:r>
      <w:r w:rsidR="009C1AA2">
        <w:rPr>
          <w:szCs w:val="22"/>
          <w:lang w:val="de-DE"/>
        </w:rPr>
        <w:t> x 1</w:t>
      </w:r>
      <w:r w:rsidR="00A829F0" w:rsidRPr="007C3A45">
        <w:rPr>
          <w:szCs w:val="22"/>
          <w:lang w:val="de-DE"/>
        </w:rPr>
        <w:t xml:space="preserve"> Tablette in einer Faltschachtel.</w:t>
      </w:r>
    </w:p>
    <w:p w:rsidR="00A829F0" w:rsidRPr="007C3A45" w:rsidRDefault="00A829F0" w:rsidP="0003742E">
      <w:pPr>
        <w:widowControl w:val="0"/>
        <w:spacing w:line="240" w:lineRule="auto"/>
        <w:rPr>
          <w:szCs w:val="22"/>
          <w:lang w:val="de-DE"/>
        </w:rPr>
      </w:pPr>
      <w:r w:rsidRPr="007C3A45">
        <w:rPr>
          <w:szCs w:val="22"/>
          <w:lang w:val="de-DE"/>
        </w:rPr>
        <w:t>Es werden möglicherweise nicht alle Packungsgrößen in den Verkehr gebracht.</w:t>
      </w:r>
    </w:p>
    <w:p w:rsidR="00A829F0" w:rsidRPr="007C3A45" w:rsidRDefault="00A829F0" w:rsidP="0003742E">
      <w:pPr>
        <w:widowControl w:val="0"/>
        <w:numPr>
          <w:ilvl w:val="12"/>
          <w:numId w:val="0"/>
        </w:numPr>
        <w:tabs>
          <w:tab w:val="clear" w:pos="567"/>
          <w:tab w:val="left" w:pos="720"/>
        </w:tabs>
        <w:spacing w:line="240" w:lineRule="auto"/>
        <w:rPr>
          <w:szCs w:val="22"/>
          <w:lang w:val="de-DE"/>
        </w:rPr>
      </w:pPr>
    </w:p>
    <w:p w:rsidR="00544F89" w:rsidRPr="007C3A45" w:rsidRDefault="00637E20" w:rsidP="0003742E">
      <w:pPr>
        <w:widowControl w:val="0"/>
        <w:numPr>
          <w:ilvl w:val="12"/>
          <w:numId w:val="0"/>
        </w:numPr>
        <w:tabs>
          <w:tab w:val="clear" w:pos="567"/>
          <w:tab w:val="left" w:pos="720"/>
        </w:tabs>
        <w:spacing w:line="240" w:lineRule="auto"/>
        <w:ind w:right="-2"/>
        <w:rPr>
          <w:b/>
          <w:noProof/>
          <w:szCs w:val="22"/>
          <w:lang w:val="de-DE"/>
        </w:rPr>
      </w:pPr>
      <w:r w:rsidRPr="007C3A45">
        <w:rPr>
          <w:b/>
          <w:noProof/>
          <w:szCs w:val="22"/>
          <w:lang w:val="de-DE"/>
        </w:rPr>
        <w:t>Pharmazeutischer Unternehmer</w:t>
      </w:r>
    </w:p>
    <w:p w:rsidR="00637E20" w:rsidRPr="007C3A45" w:rsidRDefault="00A829F0" w:rsidP="0003742E">
      <w:pPr>
        <w:widowControl w:val="0"/>
        <w:numPr>
          <w:ilvl w:val="12"/>
          <w:numId w:val="0"/>
        </w:numPr>
        <w:tabs>
          <w:tab w:val="clear" w:pos="567"/>
          <w:tab w:val="left" w:pos="720"/>
        </w:tabs>
        <w:spacing w:line="240" w:lineRule="auto"/>
        <w:ind w:right="-2"/>
        <w:rPr>
          <w:szCs w:val="22"/>
          <w:lang w:val="de-DE"/>
        </w:rPr>
      </w:pPr>
      <w:r w:rsidRPr="007C3A45">
        <w:rPr>
          <w:szCs w:val="22"/>
          <w:lang w:val="de-DE"/>
        </w:rPr>
        <w:t xml:space="preserve">KRKA, d.d., Novo mesto, </w:t>
      </w:r>
      <w:proofErr w:type="spellStart"/>
      <w:r w:rsidRPr="007C3A45">
        <w:rPr>
          <w:szCs w:val="22"/>
          <w:lang w:val="de-DE"/>
        </w:rPr>
        <w:t>Šmarješka</w:t>
      </w:r>
      <w:proofErr w:type="spellEnd"/>
      <w:r w:rsidRPr="007C3A45">
        <w:rPr>
          <w:szCs w:val="22"/>
          <w:lang w:val="de-DE"/>
        </w:rPr>
        <w:t xml:space="preserve"> </w:t>
      </w:r>
      <w:proofErr w:type="spellStart"/>
      <w:r w:rsidRPr="007C3A45">
        <w:rPr>
          <w:szCs w:val="22"/>
          <w:lang w:val="de-DE"/>
        </w:rPr>
        <w:t>cesta</w:t>
      </w:r>
      <w:proofErr w:type="spellEnd"/>
      <w:r w:rsidRPr="007C3A45">
        <w:rPr>
          <w:szCs w:val="22"/>
          <w:lang w:val="de-DE"/>
        </w:rPr>
        <w:t xml:space="preserve"> 6, 8501 Novo mesto, Slowenien</w:t>
      </w:r>
    </w:p>
    <w:p w:rsidR="00A829F0" w:rsidRPr="007C3A45" w:rsidRDefault="00A829F0" w:rsidP="0003742E">
      <w:pPr>
        <w:widowControl w:val="0"/>
        <w:numPr>
          <w:ilvl w:val="12"/>
          <w:numId w:val="0"/>
        </w:numPr>
        <w:tabs>
          <w:tab w:val="clear" w:pos="567"/>
          <w:tab w:val="left" w:pos="720"/>
        </w:tabs>
        <w:spacing w:line="240" w:lineRule="auto"/>
        <w:ind w:right="-2"/>
        <w:rPr>
          <w:b/>
          <w:noProof/>
          <w:szCs w:val="22"/>
          <w:lang w:val="de-DE"/>
        </w:rPr>
      </w:pPr>
    </w:p>
    <w:p w:rsidR="00A829F0" w:rsidRPr="007C3A45" w:rsidRDefault="00A829F0" w:rsidP="0003742E">
      <w:pPr>
        <w:widowControl w:val="0"/>
        <w:numPr>
          <w:ilvl w:val="12"/>
          <w:numId w:val="0"/>
        </w:numPr>
        <w:tabs>
          <w:tab w:val="clear" w:pos="567"/>
          <w:tab w:val="left" w:pos="720"/>
        </w:tabs>
        <w:spacing w:line="240" w:lineRule="auto"/>
        <w:ind w:right="-2"/>
        <w:rPr>
          <w:szCs w:val="22"/>
          <w:lang w:val="de-DE"/>
        </w:rPr>
      </w:pPr>
      <w:r w:rsidRPr="007C3A45">
        <w:rPr>
          <w:b/>
          <w:noProof/>
          <w:szCs w:val="22"/>
          <w:lang w:val="de-DE"/>
        </w:rPr>
        <w:t>Hersteller</w:t>
      </w:r>
    </w:p>
    <w:p w:rsidR="00A829F0" w:rsidRPr="007C3A45" w:rsidRDefault="00A829F0" w:rsidP="0003742E">
      <w:pPr>
        <w:widowControl w:val="0"/>
        <w:spacing w:line="240" w:lineRule="auto"/>
        <w:rPr>
          <w:szCs w:val="22"/>
          <w:lang w:val="de-DE"/>
        </w:rPr>
      </w:pPr>
      <w:r w:rsidRPr="007C3A45">
        <w:rPr>
          <w:szCs w:val="22"/>
          <w:lang w:val="de-DE"/>
        </w:rPr>
        <w:t xml:space="preserve">KRKA, d.d., Novo mesto, </w:t>
      </w:r>
      <w:proofErr w:type="spellStart"/>
      <w:r w:rsidRPr="007C3A45">
        <w:rPr>
          <w:szCs w:val="22"/>
          <w:lang w:val="de-DE"/>
        </w:rPr>
        <w:t>Šmarješka</w:t>
      </w:r>
      <w:proofErr w:type="spellEnd"/>
      <w:r w:rsidRPr="007C3A45">
        <w:rPr>
          <w:szCs w:val="22"/>
          <w:lang w:val="de-DE"/>
        </w:rPr>
        <w:t xml:space="preserve"> </w:t>
      </w:r>
      <w:proofErr w:type="spellStart"/>
      <w:r w:rsidRPr="007C3A45">
        <w:rPr>
          <w:szCs w:val="22"/>
          <w:lang w:val="de-DE"/>
        </w:rPr>
        <w:t>cesta</w:t>
      </w:r>
      <w:proofErr w:type="spellEnd"/>
      <w:r w:rsidRPr="007C3A45">
        <w:rPr>
          <w:szCs w:val="22"/>
          <w:lang w:val="de-DE"/>
        </w:rPr>
        <w:t xml:space="preserve"> 6, 8501 Novo mesto, Slowenien</w:t>
      </w:r>
    </w:p>
    <w:p w:rsidR="00A829F0" w:rsidRPr="007A08A3" w:rsidRDefault="00A829F0" w:rsidP="0003742E">
      <w:pPr>
        <w:widowControl w:val="0"/>
        <w:overflowPunct w:val="0"/>
        <w:autoSpaceDE w:val="0"/>
        <w:autoSpaceDN w:val="0"/>
        <w:adjustRightInd w:val="0"/>
        <w:spacing w:line="240" w:lineRule="auto"/>
        <w:textAlignment w:val="baseline"/>
        <w:rPr>
          <w:szCs w:val="22"/>
          <w:highlight w:val="lightGray"/>
          <w:lang w:val="sv-SE" w:eastAsia="cs-CZ"/>
        </w:rPr>
      </w:pPr>
      <w:r w:rsidRPr="007A08A3">
        <w:rPr>
          <w:szCs w:val="22"/>
          <w:highlight w:val="lightGray"/>
          <w:lang w:val="sv-SE" w:eastAsia="cs-CZ"/>
        </w:rPr>
        <w:t>KRKA-POLSKA Sp. z o.o., ul. Równoległa 5, 02-235 Warszawa, Polen</w:t>
      </w:r>
    </w:p>
    <w:p w:rsidR="00A829F0" w:rsidRPr="007A08A3" w:rsidRDefault="00A829F0" w:rsidP="0003742E">
      <w:pPr>
        <w:widowControl w:val="0"/>
        <w:numPr>
          <w:ilvl w:val="12"/>
          <w:numId w:val="0"/>
        </w:numPr>
        <w:tabs>
          <w:tab w:val="clear" w:pos="567"/>
        </w:tabs>
        <w:spacing w:line="240" w:lineRule="auto"/>
        <w:ind w:right="-2"/>
        <w:rPr>
          <w:szCs w:val="22"/>
          <w:lang w:val="sv-SE"/>
        </w:rPr>
      </w:pPr>
      <w:r w:rsidRPr="007A08A3">
        <w:rPr>
          <w:szCs w:val="22"/>
          <w:highlight w:val="lightGray"/>
          <w:lang w:val="sv-SE"/>
        </w:rPr>
        <w:t>TAD Pharma GmbH, Heinz-Lohmann-Straße 5, 27472 Cuxhaven, Deutschland</w:t>
      </w:r>
    </w:p>
    <w:p w:rsidR="00A829F0" w:rsidRPr="007A08A3" w:rsidRDefault="00A829F0" w:rsidP="0003742E">
      <w:pPr>
        <w:widowControl w:val="0"/>
        <w:numPr>
          <w:ilvl w:val="12"/>
          <w:numId w:val="0"/>
        </w:numPr>
        <w:tabs>
          <w:tab w:val="clear" w:pos="567"/>
          <w:tab w:val="left" w:pos="720"/>
        </w:tabs>
        <w:spacing w:line="240" w:lineRule="auto"/>
        <w:ind w:right="-2"/>
        <w:rPr>
          <w:noProof/>
          <w:szCs w:val="22"/>
          <w:lang w:val="sv-SE"/>
        </w:rPr>
      </w:pPr>
    </w:p>
    <w:p w:rsidR="00637E20" w:rsidRPr="00FC327D" w:rsidRDefault="00637E20" w:rsidP="0003742E">
      <w:pPr>
        <w:widowControl w:val="0"/>
        <w:numPr>
          <w:ilvl w:val="12"/>
          <w:numId w:val="0"/>
        </w:numPr>
        <w:tabs>
          <w:tab w:val="clear" w:pos="567"/>
          <w:tab w:val="left" w:pos="720"/>
        </w:tabs>
        <w:spacing w:line="240" w:lineRule="auto"/>
        <w:ind w:right="-2"/>
        <w:rPr>
          <w:szCs w:val="22"/>
          <w:lang w:val="de-DE"/>
        </w:rPr>
      </w:pPr>
      <w:r w:rsidRPr="00FC327D">
        <w:rPr>
          <w:noProof/>
          <w:szCs w:val="22"/>
          <w:lang w:val="de-DE"/>
        </w:rPr>
        <w:t>Falls Sie weitere Informationen über das Arzneimittel wünschen, setzen Sie sich bitte mit dem örtlichen Vertreter des pharmazeutischen Unternehmers in Verbindung.</w:t>
      </w:r>
    </w:p>
    <w:p w:rsidR="00FC327D" w:rsidRPr="004277C0" w:rsidRDefault="00FC327D" w:rsidP="00FC327D">
      <w:pPr>
        <w:widowControl w:val="0"/>
        <w:spacing w:line="240" w:lineRule="auto"/>
        <w:rPr>
          <w:noProof/>
          <w:snapToGrid/>
          <w:szCs w:val="22"/>
          <w:highlight w:val="yellow"/>
          <w:lang w:val="de-DE"/>
        </w:rPr>
      </w:pPr>
    </w:p>
    <w:tbl>
      <w:tblPr>
        <w:tblW w:w="9360" w:type="dxa"/>
        <w:tblInd w:w="-34" w:type="dxa"/>
        <w:tblLayout w:type="fixed"/>
        <w:tblLook w:val="04A0" w:firstRow="1" w:lastRow="0" w:firstColumn="1" w:lastColumn="0" w:noHBand="0" w:noVBand="1"/>
      </w:tblPr>
      <w:tblGrid>
        <w:gridCol w:w="4680"/>
        <w:gridCol w:w="4680"/>
      </w:tblGrid>
      <w:tr w:rsidR="00841EF2" w:rsidRPr="007A08A3" w:rsidTr="004A4074">
        <w:tc>
          <w:tcPr>
            <w:tcW w:w="4680" w:type="dxa"/>
          </w:tcPr>
          <w:p w:rsidR="00841EF2" w:rsidRPr="00F24164" w:rsidRDefault="00841EF2" w:rsidP="004A4074">
            <w:pPr>
              <w:rPr>
                <w:b/>
                <w:noProof/>
                <w:lang w:val="pt-PT"/>
              </w:rPr>
            </w:pPr>
            <w:r w:rsidRPr="00F24164">
              <w:rPr>
                <w:b/>
                <w:noProof/>
                <w:lang w:val="pt-PT"/>
              </w:rPr>
              <w:t>België/Belgique/Belgien</w:t>
            </w:r>
          </w:p>
          <w:p w:rsidR="00841EF2" w:rsidRPr="00F24164" w:rsidRDefault="00841EF2" w:rsidP="004A4074">
            <w:pPr>
              <w:spacing w:line="240" w:lineRule="auto"/>
              <w:rPr>
                <w:b/>
                <w:noProof/>
                <w:lang w:val="fr-FR" w:eastAsia="sl-SI"/>
              </w:rPr>
            </w:pPr>
            <w:r w:rsidRPr="00F24164">
              <w:rPr>
                <w:lang w:val="fr-FR" w:eastAsia="sl-SI"/>
              </w:rPr>
              <w:t>KRKA Belgium, SA.</w:t>
            </w:r>
          </w:p>
          <w:p w:rsidR="00841EF2" w:rsidRPr="00F85F03" w:rsidRDefault="00841EF2" w:rsidP="004A4074">
            <w:pPr>
              <w:rPr>
                <w:b/>
                <w:noProof/>
                <w:lang w:val="pt-PT"/>
              </w:rPr>
            </w:pPr>
            <w:r w:rsidRPr="00F24164">
              <w:rPr>
                <w:noProof/>
                <w:lang w:val="pt-PT" w:eastAsia="sl-SI"/>
              </w:rPr>
              <w:t>Tél/Tel:</w:t>
            </w:r>
            <w:r w:rsidRPr="00F24164">
              <w:rPr>
                <w:b/>
                <w:noProof/>
                <w:lang w:val="pt-PT" w:eastAsia="sl-SI"/>
              </w:rPr>
              <w:t xml:space="preserve"> </w:t>
            </w:r>
            <w:r w:rsidRPr="00F24164">
              <w:rPr>
                <w:noProof/>
                <w:lang w:val="fr-FR" w:eastAsia="sl-SI"/>
              </w:rPr>
              <w:t xml:space="preserve">+32 (0) </w:t>
            </w:r>
            <w:r w:rsidRPr="00854C15">
              <w:rPr>
                <w:lang w:val="fr-FR" w:eastAsia="sl-SI"/>
              </w:rPr>
              <w:t>487 50 73 62</w:t>
            </w:r>
          </w:p>
          <w:p w:rsidR="00841EF2" w:rsidRPr="00854C15" w:rsidRDefault="00841EF2" w:rsidP="004A4074">
            <w:pPr>
              <w:widowControl w:val="0"/>
              <w:spacing w:line="240" w:lineRule="auto"/>
              <w:rPr>
                <w:noProof/>
                <w:lang w:val="fr-FR" w:eastAsia="sl-SI"/>
              </w:rPr>
            </w:pPr>
          </w:p>
        </w:tc>
        <w:tc>
          <w:tcPr>
            <w:tcW w:w="4680" w:type="dxa"/>
          </w:tcPr>
          <w:p w:rsidR="00841EF2" w:rsidRPr="007A08A3" w:rsidRDefault="00841EF2" w:rsidP="004A4074">
            <w:pPr>
              <w:widowControl w:val="0"/>
              <w:spacing w:line="240" w:lineRule="auto"/>
              <w:rPr>
                <w:b/>
                <w:noProof/>
                <w:lang w:val="fr-FR" w:eastAsia="sl-SI"/>
              </w:rPr>
            </w:pPr>
            <w:r w:rsidRPr="007A08A3">
              <w:rPr>
                <w:b/>
                <w:noProof/>
                <w:lang w:val="fr-FR" w:eastAsia="sl-SI"/>
              </w:rPr>
              <w:t>Lietuva</w:t>
            </w:r>
          </w:p>
          <w:p w:rsidR="00841EF2" w:rsidRPr="007A08A3" w:rsidRDefault="00841EF2" w:rsidP="004A4074">
            <w:pPr>
              <w:widowControl w:val="0"/>
              <w:spacing w:line="240" w:lineRule="auto"/>
              <w:rPr>
                <w:lang w:val="fr-FR" w:eastAsia="sl-SI"/>
              </w:rPr>
            </w:pPr>
            <w:r w:rsidRPr="007A08A3">
              <w:rPr>
                <w:lang w:val="fr-FR" w:eastAsia="sl-SI"/>
              </w:rPr>
              <w:t xml:space="preserve">UAB KRKA </w:t>
            </w:r>
            <w:proofErr w:type="spellStart"/>
            <w:r w:rsidRPr="007A08A3">
              <w:rPr>
                <w:lang w:val="fr-FR" w:eastAsia="sl-SI"/>
              </w:rPr>
              <w:t>Lietuva</w:t>
            </w:r>
            <w:proofErr w:type="spellEnd"/>
          </w:p>
          <w:p w:rsidR="00841EF2" w:rsidRPr="007A08A3" w:rsidRDefault="00841EF2" w:rsidP="004A4074">
            <w:pPr>
              <w:widowControl w:val="0"/>
              <w:numPr>
                <w:ilvl w:val="12"/>
                <w:numId w:val="0"/>
              </w:numPr>
              <w:spacing w:line="240" w:lineRule="auto"/>
              <w:ind w:right="-2"/>
              <w:rPr>
                <w:noProof/>
                <w:lang w:val="fr-FR" w:eastAsia="sl-SI"/>
              </w:rPr>
            </w:pPr>
            <w:r w:rsidRPr="007A08A3">
              <w:rPr>
                <w:noProof/>
                <w:lang w:val="fr-FR" w:eastAsia="sl-SI"/>
              </w:rPr>
              <w:t>Tel: + 370 5 236 27 40</w:t>
            </w:r>
          </w:p>
          <w:p w:rsidR="00841EF2" w:rsidRPr="007A08A3" w:rsidRDefault="00841EF2" w:rsidP="004A4074">
            <w:pPr>
              <w:widowControl w:val="0"/>
              <w:numPr>
                <w:ilvl w:val="12"/>
                <w:numId w:val="0"/>
              </w:numPr>
              <w:spacing w:line="240" w:lineRule="auto"/>
              <w:ind w:right="-2"/>
              <w:rPr>
                <w:noProof/>
                <w:lang w:val="fr-FR" w:eastAsia="sl-SI"/>
              </w:rPr>
            </w:pPr>
          </w:p>
        </w:tc>
      </w:tr>
      <w:tr w:rsidR="00841EF2" w:rsidRPr="00321FCD" w:rsidTr="004A4074">
        <w:tc>
          <w:tcPr>
            <w:tcW w:w="4680" w:type="dxa"/>
          </w:tcPr>
          <w:p w:rsidR="00841EF2" w:rsidRPr="00F85F03" w:rsidRDefault="00841EF2" w:rsidP="004A4074">
            <w:pPr>
              <w:rPr>
                <w:b/>
                <w:noProof/>
                <w:lang w:val="ru-RU"/>
              </w:rPr>
            </w:pPr>
            <w:r w:rsidRPr="00F85F03">
              <w:rPr>
                <w:b/>
                <w:noProof/>
                <w:lang w:val="ru-RU"/>
              </w:rPr>
              <w:t>България</w:t>
            </w:r>
          </w:p>
          <w:p w:rsidR="00841EF2" w:rsidRPr="00F85F03" w:rsidRDefault="00841EF2" w:rsidP="004A4074">
            <w:pPr>
              <w:rPr>
                <w:b/>
                <w:noProof/>
                <w:lang w:val="ru-RU"/>
              </w:rPr>
            </w:pPr>
            <w:r w:rsidRPr="00F85F03">
              <w:rPr>
                <w:color w:val="000000"/>
                <w:lang w:eastAsia="sl-SI"/>
              </w:rPr>
              <w:t>КРКА</w:t>
            </w:r>
            <w:r w:rsidRPr="00F85F03">
              <w:rPr>
                <w:color w:val="000000"/>
                <w:lang w:val="fi-FI" w:eastAsia="sl-SI"/>
              </w:rPr>
              <w:t xml:space="preserve"> </w:t>
            </w:r>
            <w:proofErr w:type="spellStart"/>
            <w:r w:rsidRPr="00F85F03">
              <w:rPr>
                <w:color w:val="000000"/>
                <w:lang w:eastAsia="sl-SI"/>
              </w:rPr>
              <w:t>България</w:t>
            </w:r>
            <w:proofErr w:type="spellEnd"/>
            <w:r w:rsidRPr="00F85F03">
              <w:rPr>
                <w:color w:val="000000"/>
                <w:lang w:val="fi-FI" w:eastAsia="sl-SI"/>
              </w:rPr>
              <w:t xml:space="preserve"> </w:t>
            </w:r>
            <w:r w:rsidRPr="00F85F03">
              <w:rPr>
                <w:color w:val="000000"/>
                <w:lang w:eastAsia="sl-SI"/>
              </w:rPr>
              <w:t>ЕООД</w:t>
            </w:r>
          </w:p>
          <w:p w:rsidR="00841EF2" w:rsidRPr="007A08A3" w:rsidRDefault="00841EF2" w:rsidP="004A4074">
            <w:pPr>
              <w:rPr>
                <w:b/>
                <w:noProof/>
                <w:lang w:val="fr-FR"/>
              </w:rPr>
            </w:pPr>
            <w:r w:rsidRPr="007A08A3">
              <w:rPr>
                <w:noProof/>
                <w:lang w:val="fr-FR"/>
              </w:rPr>
              <w:t>Te</w:t>
            </w:r>
            <w:r w:rsidRPr="00F85F03">
              <w:rPr>
                <w:noProof/>
              </w:rPr>
              <w:t>л</w:t>
            </w:r>
            <w:r w:rsidRPr="007A08A3">
              <w:rPr>
                <w:noProof/>
                <w:lang w:val="fr-FR"/>
              </w:rPr>
              <w:t>.:</w:t>
            </w:r>
            <w:r w:rsidRPr="007A08A3">
              <w:rPr>
                <w:b/>
                <w:noProof/>
                <w:lang w:val="fr-FR"/>
              </w:rPr>
              <w:t xml:space="preserve"> + </w:t>
            </w:r>
            <w:r w:rsidRPr="007A08A3">
              <w:rPr>
                <w:lang w:val="fr-FR"/>
              </w:rPr>
              <w:t>359 (02)</w:t>
            </w:r>
            <w:r w:rsidRPr="007A08A3">
              <w:rPr>
                <w:b/>
                <w:lang w:val="fr-FR"/>
              </w:rPr>
              <w:t xml:space="preserve"> </w:t>
            </w:r>
            <w:r w:rsidRPr="007A08A3">
              <w:rPr>
                <w:lang w:val="fr-FR"/>
              </w:rPr>
              <w:t>962 34 50</w:t>
            </w:r>
          </w:p>
          <w:p w:rsidR="00841EF2" w:rsidRPr="007A08A3" w:rsidRDefault="00841EF2" w:rsidP="004A4074">
            <w:pPr>
              <w:widowControl w:val="0"/>
              <w:spacing w:line="240" w:lineRule="auto"/>
              <w:rPr>
                <w:noProof/>
                <w:lang w:val="fr-FR" w:eastAsia="sl-SI"/>
              </w:rPr>
            </w:pPr>
          </w:p>
        </w:tc>
        <w:tc>
          <w:tcPr>
            <w:tcW w:w="4680" w:type="dxa"/>
          </w:tcPr>
          <w:p w:rsidR="00841EF2" w:rsidRPr="00F85F03" w:rsidRDefault="00841EF2" w:rsidP="004A4074">
            <w:pPr>
              <w:numPr>
                <w:ilvl w:val="12"/>
                <w:numId w:val="0"/>
              </w:numPr>
              <w:ind w:right="-2"/>
              <w:rPr>
                <w:b/>
                <w:noProof/>
                <w:lang w:val="pt-PT"/>
              </w:rPr>
            </w:pPr>
            <w:r w:rsidRPr="00F85F03">
              <w:rPr>
                <w:b/>
                <w:noProof/>
                <w:lang w:val="pt-PT"/>
              </w:rPr>
              <w:t>Luxembourg/Luxemburg</w:t>
            </w:r>
          </w:p>
          <w:p w:rsidR="000D7A01" w:rsidRDefault="00841EF2" w:rsidP="004A4074">
            <w:pPr>
              <w:widowControl w:val="0"/>
              <w:numPr>
                <w:ilvl w:val="12"/>
                <w:numId w:val="0"/>
              </w:numPr>
              <w:spacing w:line="240" w:lineRule="auto"/>
              <w:ind w:right="-2"/>
              <w:rPr>
                <w:lang w:val="pt-PT"/>
              </w:rPr>
            </w:pPr>
            <w:r w:rsidRPr="00F85F03">
              <w:rPr>
                <w:lang w:val="de-DE"/>
              </w:rPr>
              <w:t>KRKA Belgium, SA.</w:t>
            </w:r>
          </w:p>
          <w:p w:rsidR="00841EF2" w:rsidRPr="00F85F03" w:rsidRDefault="00841EF2" w:rsidP="004A4074">
            <w:pPr>
              <w:widowControl w:val="0"/>
              <w:numPr>
                <w:ilvl w:val="12"/>
                <w:numId w:val="0"/>
              </w:numPr>
              <w:spacing w:line="240" w:lineRule="auto"/>
              <w:ind w:right="-2"/>
              <w:rPr>
                <w:noProof/>
                <w:lang w:eastAsia="sl-SI"/>
              </w:rPr>
            </w:pPr>
            <w:r w:rsidRPr="00F85F03">
              <w:rPr>
                <w:noProof/>
                <w:lang w:val="pt-PT"/>
              </w:rPr>
              <w:t>Tél/Tel:</w:t>
            </w:r>
            <w:r w:rsidRPr="00F85F03">
              <w:rPr>
                <w:b/>
                <w:noProof/>
                <w:lang w:val="pt-PT"/>
              </w:rPr>
              <w:t xml:space="preserve"> </w:t>
            </w:r>
            <w:r w:rsidRPr="00F85F03">
              <w:rPr>
                <w:noProof/>
                <w:lang w:val="fr-FR" w:eastAsia="sl-SI"/>
              </w:rPr>
              <w:t xml:space="preserve">+32 (0) </w:t>
            </w:r>
            <w:r w:rsidRPr="00F85F03">
              <w:rPr>
                <w:lang w:val="de-DE" w:eastAsia="sl-SI"/>
              </w:rPr>
              <w:t>487 50 73 62</w:t>
            </w:r>
            <w:r w:rsidRPr="00F85F03">
              <w:rPr>
                <w:noProof/>
                <w:lang w:val="fr-FR" w:eastAsia="sl-SI"/>
              </w:rPr>
              <w:t xml:space="preserve"> (BE)</w:t>
            </w:r>
          </w:p>
        </w:tc>
      </w:tr>
      <w:tr w:rsidR="00841EF2" w:rsidRPr="00321FCD" w:rsidTr="004A4074">
        <w:trPr>
          <w:trHeight w:val="986"/>
        </w:trPr>
        <w:tc>
          <w:tcPr>
            <w:tcW w:w="4680" w:type="dxa"/>
          </w:tcPr>
          <w:p w:rsidR="00841EF2" w:rsidRPr="007A08A3" w:rsidRDefault="00841EF2" w:rsidP="004A4074">
            <w:pPr>
              <w:widowControl w:val="0"/>
              <w:spacing w:line="240" w:lineRule="auto"/>
              <w:rPr>
                <w:b/>
                <w:noProof/>
                <w:lang w:eastAsia="sl-SI"/>
              </w:rPr>
            </w:pPr>
            <w:r w:rsidRPr="007A08A3">
              <w:rPr>
                <w:b/>
                <w:noProof/>
                <w:lang w:eastAsia="sl-SI"/>
              </w:rPr>
              <w:t>Česká republika</w:t>
            </w:r>
          </w:p>
          <w:p w:rsidR="00841EF2" w:rsidRPr="007A08A3" w:rsidRDefault="00841EF2" w:rsidP="004A4074">
            <w:pPr>
              <w:widowControl w:val="0"/>
              <w:spacing w:line="240" w:lineRule="auto"/>
              <w:rPr>
                <w:noProof/>
                <w:lang w:eastAsia="sl-SI"/>
              </w:rPr>
            </w:pPr>
            <w:r w:rsidRPr="007A08A3">
              <w:rPr>
                <w:color w:val="000000"/>
                <w:lang w:eastAsia="sl-SI"/>
              </w:rPr>
              <w:t xml:space="preserve">KRKA ČR, </w:t>
            </w:r>
            <w:proofErr w:type="spellStart"/>
            <w:r w:rsidRPr="007A08A3">
              <w:rPr>
                <w:color w:val="000000"/>
                <w:lang w:eastAsia="sl-SI"/>
              </w:rPr>
              <w:t>s.r.o.</w:t>
            </w:r>
            <w:proofErr w:type="spellEnd"/>
          </w:p>
          <w:p w:rsidR="00841EF2" w:rsidRPr="00321FCD" w:rsidRDefault="00841EF2" w:rsidP="004A4074">
            <w:pPr>
              <w:widowControl w:val="0"/>
              <w:spacing w:line="240" w:lineRule="auto"/>
              <w:rPr>
                <w:noProof/>
                <w:lang w:eastAsia="sl-SI"/>
              </w:rPr>
            </w:pPr>
            <w:r w:rsidRPr="00321FCD">
              <w:rPr>
                <w:noProof/>
                <w:lang w:eastAsia="sl-SI"/>
              </w:rPr>
              <w:t>Tel: + 420 (0) 221 115 150</w:t>
            </w:r>
          </w:p>
          <w:p w:rsidR="00841EF2" w:rsidRPr="00321FCD" w:rsidRDefault="00841EF2" w:rsidP="004A4074">
            <w:pPr>
              <w:widowControl w:val="0"/>
              <w:spacing w:line="240" w:lineRule="auto"/>
              <w:rPr>
                <w:noProof/>
                <w:lang w:eastAsia="sl-SI"/>
              </w:rPr>
            </w:pPr>
          </w:p>
        </w:tc>
        <w:tc>
          <w:tcPr>
            <w:tcW w:w="4680" w:type="dxa"/>
          </w:tcPr>
          <w:p w:rsidR="00841EF2" w:rsidRPr="00321FCD" w:rsidRDefault="00841EF2" w:rsidP="004A4074">
            <w:pPr>
              <w:widowControl w:val="0"/>
              <w:numPr>
                <w:ilvl w:val="12"/>
                <w:numId w:val="0"/>
              </w:numPr>
              <w:spacing w:line="240" w:lineRule="auto"/>
              <w:ind w:right="-2"/>
              <w:rPr>
                <w:b/>
                <w:noProof/>
                <w:lang w:eastAsia="sl-SI"/>
              </w:rPr>
            </w:pPr>
            <w:r w:rsidRPr="00321FCD">
              <w:rPr>
                <w:b/>
                <w:noProof/>
                <w:lang w:eastAsia="sl-SI"/>
              </w:rPr>
              <w:t>Magyarország</w:t>
            </w:r>
          </w:p>
          <w:p w:rsidR="00841EF2" w:rsidRPr="00321FCD" w:rsidRDefault="00841EF2" w:rsidP="004A4074">
            <w:pPr>
              <w:widowControl w:val="0"/>
              <w:numPr>
                <w:ilvl w:val="12"/>
                <w:numId w:val="0"/>
              </w:numPr>
              <w:spacing w:line="240" w:lineRule="auto"/>
              <w:ind w:right="-2"/>
              <w:rPr>
                <w:noProof/>
                <w:lang w:eastAsia="sl-SI"/>
              </w:rPr>
            </w:pPr>
            <w:r w:rsidRPr="00321FCD">
              <w:rPr>
                <w:lang w:eastAsia="sl-SI"/>
              </w:rPr>
              <w:t xml:space="preserve">KRKA </w:t>
            </w:r>
            <w:r w:rsidRPr="00321FCD">
              <w:rPr>
                <w:noProof/>
                <w:color w:val="000000"/>
                <w:lang w:eastAsia="sl-SI"/>
              </w:rPr>
              <w:t>Magyarország Kereskedelmi Kft.</w:t>
            </w:r>
          </w:p>
          <w:p w:rsidR="00841EF2" w:rsidRPr="00321FCD" w:rsidRDefault="00841EF2" w:rsidP="004A4074">
            <w:pPr>
              <w:widowControl w:val="0"/>
              <w:numPr>
                <w:ilvl w:val="12"/>
                <w:numId w:val="0"/>
              </w:numPr>
              <w:spacing w:line="240" w:lineRule="auto"/>
              <w:ind w:right="-2"/>
              <w:rPr>
                <w:iCs/>
                <w:lang w:eastAsia="sl-SI"/>
              </w:rPr>
            </w:pPr>
            <w:r w:rsidRPr="00321FCD">
              <w:rPr>
                <w:noProof/>
                <w:lang w:eastAsia="sl-SI"/>
              </w:rPr>
              <w:t xml:space="preserve">Tel.: + </w:t>
            </w:r>
            <w:r w:rsidRPr="00321FCD">
              <w:rPr>
                <w:iCs/>
                <w:lang w:eastAsia="sl-SI"/>
              </w:rPr>
              <w:t>36</w:t>
            </w:r>
            <w:r w:rsidR="00C05B50">
              <w:rPr>
                <w:iCs/>
                <w:lang w:eastAsia="sl-SI"/>
              </w:rPr>
              <w:t xml:space="preserve"> (</w:t>
            </w:r>
            <w:r w:rsidRPr="00321FCD">
              <w:rPr>
                <w:iCs/>
                <w:lang w:eastAsia="sl-SI"/>
              </w:rPr>
              <w:t>1</w:t>
            </w:r>
            <w:r w:rsidR="00C05B50">
              <w:rPr>
                <w:iCs/>
                <w:lang w:eastAsia="sl-SI"/>
              </w:rPr>
              <w:t>)</w:t>
            </w:r>
            <w:r w:rsidRPr="00321FCD">
              <w:rPr>
                <w:iCs/>
                <w:lang w:eastAsia="sl-SI"/>
              </w:rPr>
              <w:t xml:space="preserve"> 355 8490</w:t>
            </w:r>
          </w:p>
          <w:p w:rsidR="00841EF2" w:rsidRPr="00321FCD" w:rsidRDefault="00841EF2" w:rsidP="004A4074">
            <w:pPr>
              <w:widowControl w:val="0"/>
              <w:numPr>
                <w:ilvl w:val="12"/>
                <w:numId w:val="0"/>
              </w:numPr>
              <w:spacing w:line="240" w:lineRule="auto"/>
              <w:ind w:right="-2"/>
              <w:rPr>
                <w:noProof/>
                <w:lang w:eastAsia="sl-SI"/>
              </w:rPr>
            </w:pPr>
          </w:p>
        </w:tc>
      </w:tr>
      <w:tr w:rsidR="00841EF2" w:rsidRPr="007A08A3" w:rsidTr="004A4074">
        <w:tc>
          <w:tcPr>
            <w:tcW w:w="4680" w:type="dxa"/>
          </w:tcPr>
          <w:p w:rsidR="00841EF2" w:rsidRPr="007A08A3" w:rsidRDefault="00841EF2" w:rsidP="004A4074">
            <w:pPr>
              <w:widowControl w:val="0"/>
              <w:spacing w:line="240" w:lineRule="auto"/>
              <w:rPr>
                <w:b/>
                <w:noProof/>
                <w:lang w:val="sv-SE" w:eastAsia="sl-SI"/>
              </w:rPr>
            </w:pPr>
            <w:r w:rsidRPr="007A08A3">
              <w:rPr>
                <w:b/>
                <w:noProof/>
                <w:lang w:val="sv-SE" w:eastAsia="sl-SI"/>
              </w:rPr>
              <w:t>Danmark</w:t>
            </w:r>
          </w:p>
          <w:p w:rsidR="00841EF2" w:rsidRPr="007A08A3" w:rsidRDefault="00841EF2" w:rsidP="004A4074">
            <w:pPr>
              <w:widowControl w:val="0"/>
              <w:spacing w:line="240" w:lineRule="auto"/>
              <w:rPr>
                <w:noProof/>
                <w:lang w:val="sv-SE" w:eastAsia="sl-SI"/>
              </w:rPr>
            </w:pPr>
            <w:r w:rsidRPr="007A08A3">
              <w:rPr>
                <w:noProof/>
                <w:lang w:val="sv-SE" w:eastAsia="sl-SI"/>
              </w:rPr>
              <w:t>KRKA Sverige AB</w:t>
            </w:r>
          </w:p>
          <w:p w:rsidR="00841EF2" w:rsidRPr="007A08A3" w:rsidRDefault="00841EF2" w:rsidP="004A4074">
            <w:pPr>
              <w:widowControl w:val="0"/>
              <w:spacing w:line="240" w:lineRule="auto"/>
              <w:rPr>
                <w:noProof/>
                <w:lang w:val="sv-SE" w:eastAsia="sl-SI"/>
              </w:rPr>
            </w:pPr>
            <w:r w:rsidRPr="007A08A3">
              <w:rPr>
                <w:noProof/>
                <w:lang w:val="sv-SE" w:eastAsia="sl-SI"/>
              </w:rPr>
              <w:t>Tlf: + 46 (0)</w:t>
            </w:r>
            <w:r w:rsidRPr="007A08A3">
              <w:rPr>
                <w:lang w:val="sv-SE" w:eastAsia="sl-SI"/>
              </w:rPr>
              <w:t>8 643 67 66 (SE)</w:t>
            </w:r>
          </w:p>
          <w:p w:rsidR="00841EF2" w:rsidRPr="007A08A3" w:rsidRDefault="00841EF2" w:rsidP="004A4074">
            <w:pPr>
              <w:widowControl w:val="0"/>
              <w:spacing w:line="240" w:lineRule="auto"/>
              <w:rPr>
                <w:noProof/>
                <w:lang w:val="sv-SE" w:eastAsia="sl-SI"/>
              </w:rPr>
            </w:pPr>
          </w:p>
        </w:tc>
        <w:tc>
          <w:tcPr>
            <w:tcW w:w="4680" w:type="dxa"/>
          </w:tcPr>
          <w:p w:rsidR="00841EF2" w:rsidRPr="007A08A3" w:rsidRDefault="00841EF2" w:rsidP="004A4074">
            <w:pPr>
              <w:widowControl w:val="0"/>
              <w:numPr>
                <w:ilvl w:val="12"/>
                <w:numId w:val="0"/>
              </w:numPr>
              <w:spacing w:line="240" w:lineRule="auto"/>
              <w:ind w:right="-2"/>
              <w:rPr>
                <w:b/>
                <w:noProof/>
                <w:lang w:val="sv-SE" w:eastAsia="sl-SI"/>
              </w:rPr>
            </w:pPr>
            <w:r w:rsidRPr="007A08A3">
              <w:rPr>
                <w:b/>
                <w:noProof/>
                <w:lang w:val="sv-SE" w:eastAsia="sl-SI"/>
              </w:rPr>
              <w:t>Malta</w:t>
            </w:r>
          </w:p>
          <w:p w:rsidR="00841EF2" w:rsidRPr="007A08A3" w:rsidRDefault="00841EF2" w:rsidP="004A4074">
            <w:pPr>
              <w:widowControl w:val="0"/>
              <w:numPr>
                <w:ilvl w:val="12"/>
                <w:numId w:val="0"/>
              </w:numPr>
              <w:spacing w:line="240" w:lineRule="auto"/>
              <w:ind w:right="-2"/>
              <w:rPr>
                <w:lang w:val="sv-SE" w:eastAsia="sl-SI"/>
              </w:rPr>
            </w:pPr>
            <w:r w:rsidRPr="007A08A3">
              <w:rPr>
                <w:bCs/>
                <w:lang w:val="sv-SE" w:eastAsia="sl-SI"/>
              </w:rPr>
              <w:t>E. J. Busuttil Ltd.</w:t>
            </w:r>
          </w:p>
          <w:p w:rsidR="00841EF2" w:rsidRPr="007A08A3" w:rsidRDefault="00841EF2" w:rsidP="004A4074">
            <w:pPr>
              <w:widowControl w:val="0"/>
              <w:numPr>
                <w:ilvl w:val="12"/>
                <w:numId w:val="0"/>
              </w:numPr>
              <w:spacing w:line="240" w:lineRule="auto"/>
              <w:ind w:right="-2"/>
              <w:rPr>
                <w:lang w:val="sv-SE" w:eastAsia="sl-SI"/>
              </w:rPr>
            </w:pPr>
            <w:r w:rsidRPr="007A08A3">
              <w:rPr>
                <w:lang w:val="sv-SE" w:eastAsia="sl-SI"/>
              </w:rPr>
              <w:t>Tel: + 356 21 445 885</w:t>
            </w:r>
          </w:p>
          <w:p w:rsidR="00841EF2" w:rsidRPr="007A08A3" w:rsidRDefault="00841EF2" w:rsidP="004A4074">
            <w:pPr>
              <w:widowControl w:val="0"/>
              <w:numPr>
                <w:ilvl w:val="12"/>
                <w:numId w:val="0"/>
              </w:numPr>
              <w:spacing w:line="240" w:lineRule="auto"/>
              <w:ind w:right="-2"/>
              <w:rPr>
                <w:noProof/>
                <w:lang w:val="sv-SE" w:eastAsia="sl-SI"/>
              </w:rPr>
            </w:pPr>
          </w:p>
        </w:tc>
      </w:tr>
      <w:tr w:rsidR="00841EF2" w:rsidRPr="007A08A3" w:rsidTr="004A4074">
        <w:tc>
          <w:tcPr>
            <w:tcW w:w="4680" w:type="dxa"/>
          </w:tcPr>
          <w:p w:rsidR="00841EF2" w:rsidRPr="00ED6C00" w:rsidRDefault="00841EF2" w:rsidP="004A4074">
            <w:pPr>
              <w:widowControl w:val="0"/>
              <w:spacing w:line="240" w:lineRule="auto"/>
              <w:rPr>
                <w:b/>
                <w:noProof/>
                <w:lang w:val="de-DE" w:eastAsia="sl-SI"/>
              </w:rPr>
            </w:pPr>
            <w:r w:rsidRPr="00ED6C00">
              <w:rPr>
                <w:b/>
                <w:noProof/>
                <w:lang w:val="de-DE" w:eastAsia="sl-SI"/>
              </w:rPr>
              <w:t>Deutschland</w:t>
            </w:r>
          </w:p>
          <w:p w:rsidR="00841EF2" w:rsidRPr="00ED6C00" w:rsidRDefault="00841EF2" w:rsidP="004A4074">
            <w:pPr>
              <w:widowControl w:val="0"/>
              <w:spacing w:line="240" w:lineRule="auto"/>
              <w:rPr>
                <w:noProof/>
                <w:lang w:val="de-DE" w:eastAsia="sl-SI"/>
              </w:rPr>
            </w:pPr>
            <w:r w:rsidRPr="00ED6C00">
              <w:rPr>
                <w:lang w:val="de-DE" w:eastAsia="sl-SI"/>
              </w:rPr>
              <w:t>TAD Pharma GmbH</w:t>
            </w:r>
          </w:p>
          <w:p w:rsidR="00841EF2" w:rsidRPr="00ED6C00" w:rsidRDefault="00841EF2" w:rsidP="004A4074">
            <w:pPr>
              <w:widowControl w:val="0"/>
              <w:spacing w:line="240" w:lineRule="auto"/>
              <w:rPr>
                <w:noProof/>
                <w:lang w:val="de-DE" w:eastAsia="sl-SI"/>
              </w:rPr>
            </w:pPr>
            <w:r w:rsidRPr="00ED6C00">
              <w:rPr>
                <w:noProof/>
                <w:lang w:val="de-DE" w:eastAsia="sl-SI"/>
              </w:rPr>
              <w:t xml:space="preserve">Tel: + </w:t>
            </w:r>
            <w:r w:rsidRPr="00ED6C00">
              <w:rPr>
                <w:iCs/>
                <w:lang w:val="de-DE" w:eastAsia="sl-SI"/>
              </w:rPr>
              <w:t>49 (0) 4721 606-0</w:t>
            </w:r>
          </w:p>
          <w:p w:rsidR="00841EF2" w:rsidRPr="00ED6C00" w:rsidRDefault="00841EF2" w:rsidP="004A4074">
            <w:pPr>
              <w:widowControl w:val="0"/>
              <w:spacing w:line="240" w:lineRule="auto"/>
              <w:rPr>
                <w:noProof/>
                <w:lang w:val="de-DE" w:eastAsia="sl-SI"/>
              </w:rPr>
            </w:pPr>
          </w:p>
        </w:tc>
        <w:tc>
          <w:tcPr>
            <w:tcW w:w="4680" w:type="dxa"/>
          </w:tcPr>
          <w:p w:rsidR="00841EF2" w:rsidRPr="00321FCD" w:rsidRDefault="00841EF2" w:rsidP="004A4074">
            <w:pPr>
              <w:numPr>
                <w:ilvl w:val="12"/>
                <w:numId w:val="0"/>
              </w:numPr>
              <w:ind w:right="-2"/>
              <w:rPr>
                <w:b/>
                <w:noProof/>
                <w:lang w:val="pt-PT"/>
              </w:rPr>
            </w:pPr>
            <w:r w:rsidRPr="00321FCD">
              <w:rPr>
                <w:b/>
                <w:noProof/>
                <w:lang w:val="pt-PT"/>
              </w:rPr>
              <w:t>Nederland</w:t>
            </w:r>
          </w:p>
          <w:p w:rsidR="00841EF2" w:rsidRPr="007A08A3" w:rsidRDefault="00841EF2" w:rsidP="004A4074">
            <w:pPr>
              <w:numPr>
                <w:ilvl w:val="12"/>
                <w:numId w:val="0"/>
              </w:numPr>
              <w:spacing w:line="240" w:lineRule="auto"/>
              <w:ind w:right="-2"/>
              <w:rPr>
                <w:b/>
                <w:noProof/>
                <w:lang w:val="sv-SE" w:eastAsia="sl-SI"/>
              </w:rPr>
            </w:pPr>
            <w:r w:rsidRPr="007A08A3">
              <w:rPr>
                <w:lang w:val="sv-SE" w:eastAsia="sl-SI"/>
              </w:rPr>
              <w:t>KRKA Belgium, SA.</w:t>
            </w:r>
          </w:p>
          <w:p w:rsidR="00841EF2" w:rsidRPr="007A08A3" w:rsidRDefault="00841EF2" w:rsidP="004A4074">
            <w:pPr>
              <w:widowControl w:val="0"/>
              <w:numPr>
                <w:ilvl w:val="12"/>
                <w:numId w:val="0"/>
              </w:numPr>
              <w:spacing w:line="240" w:lineRule="auto"/>
              <w:ind w:right="-2"/>
              <w:rPr>
                <w:noProof/>
                <w:lang w:val="sv-SE" w:eastAsia="sl-SI"/>
              </w:rPr>
            </w:pPr>
            <w:r w:rsidRPr="007A08A3">
              <w:rPr>
                <w:noProof/>
                <w:lang w:val="sv-SE" w:eastAsia="sl-SI"/>
              </w:rPr>
              <w:t>Tel:</w:t>
            </w:r>
            <w:r w:rsidRPr="007A08A3">
              <w:rPr>
                <w:b/>
                <w:noProof/>
                <w:lang w:val="sv-SE" w:eastAsia="sl-SI"/>
              </w:rPr>
              <w:t xml:space="preserve"> </w:t>
            </w:r>
            <w:r w:rsidRPr="007A08A3">
              <w:rPr>
                <w:noProof/>
                <w:lang w:val="sv-SE" w:eastAsia="sl-SI"/>
              </w:rPr>
              <w:t>+ 32 (0) 487 50 73 62</w:t>
            </w:r>
            <w:r w:rsidRPr="007A08A3" w:rsidDel="00F24164">
              <w:rPr>
                <w:noProof/>
                <w:lang w:val="sv-SE" w:eastAsia="sl-SI"/>
              </w:rPr>
              <w:t xml:space="preserve"> </w:t>
            </w:r>
            <w:r w:rsidRPr="007A08A3">
              <w:rPr>
                <w:noProof/>
                <w:lang w:val="sv-SE" w:eastAsia="sl-SI"/>
              </w:rPr>
              <w:t>(BE)</w:t>
            </w:r>
          </w:p>
        </w:tc>
      </w:tr>
      <w:tr w:rsidR="00841EF2" w:rsidRPr="007A08A3" w:rsidTr="004A4074">
        <w:tc>
          <w:tcPr>
            <w:tcW w:w="4680" w:type="dxa"/>
          </w:tcPr>
          <w:p w:rsidR="00841EF2" w:rsidRPr="007A08A3" w:rsidRDefault="00841EF2" w:rsidP="004A4074">
            <w:pPr>
              <w:widowControl w:val="0"/>
              <w:spacing w:line="240" w:lineRule="auto"/>
              <w:rPr>
                <w:b/>
                <w:noProof/>
                <w:lang w:val="it-IT" w:eastAsia="sl-SI"/>
              </w:rPr>
            </w:pPr>
            <w:r w:rsidRPr="007A08A3">
              <w:rPr>
                <w:b/>
                <w:noProof/>
                <w:lang w:val="it-IT" w:eastAsia="sl-SI"/>
              </w:rPr>
              <w:t>Eesti</w:t>
            </w:r>
          </w:p>
          <w:p w:rsidR="00841EF2" w:rsidRPr="007A08A3" w:rsidRDefault="00841EF2" w:rsidP="004A4074">
            <w:pPr>
              <w:widowControl w:val="0"/>
              <w:spacing w:line="240" w:lineRule="auto"/>
              <w:rPr>
                <w:noProof/>
                <w:lang w:val="it-IT" w:eastAsia="sl-SI"/>
              </w:rPr>
            </w:pPr>
            <w:r w:rsidRPr="007A08A3">
              <w:rPr>
                <w:lang w:val="it-IT" w:eastAsia="sl-SI"/>
              </w:rPr>
              <w:t xml:space="preserve">KRKA, </w:t>
            </w:r>
            <w:proofErr w:type="spellStart"/>
            <w:r w:rsidRPr="007A08A3">
              <w:rPr>
                <w:lang w:val="it-IT" w:eastAsia="sl-SI"/>
              </w:rPr>
              <w:t>d.d</w:t>
            </w:r>
            <w:proofErr w:type="spellEnd"/>
            <w:r w:rsidRPr="007A08A3">
              <w:rPr>
                <w:lang w:val="it-IT" w:eastAsia="sl-SI"/>
              </w:rPr>
              <w:t xml:space="preserve">., Novo mesto </w:t>
            </w:r>
            <w:proofErr w:type="spellStart"/>
            <w:r w:rsidRPr="007A08A3">
              <w:rPr>
                <w:color w:val="000000"/>
                <w:lang w:val="it-IT" w:eastAsia="sl-SI"/>
              </w:rPr>
              <w:t>Eesti</w:t>
            </w:r>
            <w:proofErr w:type="spellEnd"/>
            <w:r w:rsidRPr="007A08A3">
              <w:rPr>
                <w:color w:val="000000"/>
                <w:lang w:val="it-IT" w:eastAsia="sl-SI"/>
              </w:rPr>
              <w:t xml:space="preserve"> </w:t>
            </w:r>
            <w:proofErr w:type="spellStart"/>
            <w:r w:rsidRPr="007A08A3">
              <w:rPr>
                <w:color w:val="000000"/>
                <w:lang w:val="it-IT" w:eastAsia="sl-SI"/>
              </w:rPr>
              <w:t>filiaal</w:t>
            </w:r>
            <w:proofErr w:type="spellEnd"/>
          </w:p>
          <w:p w:rsidR="00841EF2" w:rsidRPr="00321FCD" w:rsidRDefault="00841EF2" w:rsidP="004A4074">
            <w:pPr>
              <w:widowControl w:val="0"/>
              <w:spacing w:line="240" w:lineRule="auto"/>
              <w:rPr>
                <w:noProof/>
                <w:lang w:eastAsia="sl-SI"/>
              </w:rPr>
            </w:pPr>
            <w:r w:rsidRPr="00321FCD">
              <w:rPr>
                <w:noProof/>
                <w:lang w:eastAsia="sl-SI"/>
              </w:rPr>
              <w:t>Tel: + 372 (0) 6 671 658</w:t>
            </w:r>
          </w:p>
          <w:p w:rsidR="00841EF2" w:rsidRPr="00321FCD" w:rsidRDefault="00841EF2" w:rsidP="004A4074">
            <w:pPr>
              <w:widowControl w:val="0"/>
              <w:spacing w:line="240" w:lineRule="auto"/>
              <w:rPr>
                <w:noProof/>
                <w:lang w:eastAsia="sl-SI"/>
              </w:rPr>
            </w:pPr>
          </w:p>
        </w:tc>
        <w:tc>
          <w:tcPr>
            <w:tcW w:w="4680" w:type="dxa"/>
          </w:tcPr>
          <w:p w:rsidR="00841EF2" w:rsidRPr="007A08A3" w:rsidRDefault="00841EF2" w:rsidP="004A4074">
            <w:pPr>
              <w:widowControl w:val="0"/>
              <w:numPr>
                <w:ilvl w:val="12"/>
                <w:numId w:val="0"/>
              </w:numPr>
              <w:spacing w:line="240" w:lineRule="auto"/>
              <w:ind w:right="-2"/>
              <w:rPr>
                <w:b/>
                <w:noProof/>
                <w:lang w:val="sv-SE" w:eastAsia="sl-SI"/>
              </w:rPr>
            </w:pPr>
            <w:r w:rsidRPr="007A08A3">
              <w:rPr>
                <w:b/>
                <w:noProof/>
                <w:lang w:val="sv-SE" w:eastAsia="sl-SI"/>
              </w:rPr>
              <w:t>Norge</w:t>
            </w:r>
          </w:p>
          <w:p w:rsidR="00841EF2" w:rsidRPr="007A08A3" w:rsidRDefault="00841EF2" w:rsidP="004A4074">
            <w:pPr>
              <w:widowControl w:val="0"/>
              <w:numPr>
                <w:ilvl w:val="12"/>
                <w:numId w:val="0"/>
              </w:numPr>
              <w:spacing w:line="240" w:lineRule="auto"/>
              <w:ind w:right="-2"/>
              <w:rPr>
                <w:noProof/>
                <w:lang w:val="sv-SE" w:eastAsia="sl-SI"/>
              </w:rPr>
            </w:pPr>
            <w:r w:rsidRPr="007A08A3">
              <w:rPr>
                <w:noProof/>
                <w:lang w:val="sv-SE" w:eastAsia="sl-SI"/>
              </w:rPr>
              <w:t>KRKA Sverige AB</w:t>
            </w:r>
          </w:p>
          <w:p w:rsidR="00841EF2" w:rsidRPr="007A08A3" w:rsidRDefault="00841EF2" w:rsidP="004A4074">
            <w:pPr>
              <w:widowControl w:val="0"/>
              <w:numPr>
                <w:ilvl w:val="12"/>
                <w:numId w:val="0"/>
              </w:numPr>
              <w:spacing w:line="240" w:lineRule="auto"/>
              <w:ind w:right="-2"/>
              <w:rPr>
                <w:lang w:val="sv-SE" w:eastAsia="sl-SI"/>
              </w:rPr>
            </w:pPr>
            <w:r w:rsidRPr="007A08A3">
              <w:rPr>
                <w:noProof/>
                <w:lang w:val="sv-SE" w:eastAsia="sl-SI"/>
              </w:rPr>
              <w:t>Tlf: + 46 (0)</w:t>
            </w:r>
            <w:r w:rsidRPr="007A08A3">
              <w:rPr>
                <w:lang w:val="sv-SE" w:eastAsia="sl-SI"/>
              </w:rPr>
              <w:t>8 643 67 66 (SE)</w:t>
            </w:r>
          </w:p>
          <w:p w:rsidR="00841EF2" w:rsidRPr="007A08A3" w:rsidRDefault="00841EF2" w:rsidP="004A4074">
            <w:pPr>
              <w:widowControl w:val="0"/>
              <w:numPr>
                <w:ilvl w:val="12"/>
                <w:numId w:val="0"/>
              </w:numPr>
              <w:spacing w:line="240" w:lineRule="auto"/>
              <w:ind w:right="-2"/>
              <w:rPr>
                <w:noProof/>
                <w:lang w:val="sv-SE" w:eastAsia="sl-SI"/>
              </w:rPr>
            </w:pPr>
          </w:p>
        </w:tc>
      </w:tr>
      <w:tr w:rsidR="00841EF2" w:rsidRPr="00ED6C00" w:rsidTr="004A4074">
        <w:tc>
          <w:tcPr>
            <w:tcW w:w="4680" w:type="dxa"/>
          </w:tcPr>
          <w:p w:rsidR="00841EF2" w:rsidRPr="007A08A3" w:rsidRDefault="00841EF2" w:rsidP="004A4074">
            <w:pPr>
              <w:widowControl w:val="0"/>
              <w:spacing w:line="240" w:lineRule="auto"/>
              <w:rPr>
                <w:b/>
                <w:noProof/>
                <w:lang w:val="it-IT" w:eastAsia="sl-SI"/>
              </w:rPr>
            </w:pPr>
            <w:r w:rsidRPr="00321FCD">
              <w:rPr>
                <w:b/>
                <w:noProof/>
                <w:lang w:eastAsia="sl-SI"/>
              </w:rPr>
              <w:t>Ελλάδα</w:t>
            </w:r>
          </w:p>
          <w:p w:rsidR="00841EF2" w:rsidRPr="007A08A3" w:rsidRDefault="00841EF2" w:rsidP="004A4074">
            <w:pPr>
              <w:widowControl w:val="0"/>
              <w:spacing w:line="240" w:lineRule="auto"/>
              <w:rPr>
                <w:lang w:val="it-IT" w:eastAsia="sl-SI"/>
              </w:rPr>
            </w:pPr>
            <w:r w:rsidRPr="007A08A3">
              <w:rPr>
                <w:lang w:val="it-IT" w:eastAsia="sl-SI"/>
              </w:rPr>
              <w:t>QUALIA PHARMA S.A.</w:t>
            </w:r>
          </w:p>
          <w:p w:rsidR="00841EF2" w:rsidRPr="00854C15" w:rsidRDefault="00841EF2" w:rsidP="004A4074">
            <w:pPr>
              <w:widowControl w:val="0"/>
              <w:spacing w:line="240" w:lineRule="auto"/>
              <w:rPr>
                <w:lang w:val="de-DE" w:eastAsia="sl-SI"/>
              </w:rPr>
            </w:pPr>
            <w:r w:rsidRPr="00321FCD">
              <w:rPr>
                <w:noProof/>
                <w:lang w:eastAsia="sl-SI"/>
              </w:rPr>
              <w:t>Τηλ</w:t>
            </w:r>
            <w:r w:rsidRPr="00854C15">
              <w:rPr>
                <w:noProof/>
                <w:lang w:val="de-DE" w:eastAsia="sl-SI"/>
              </w:rPr>
              <w:t xml:space="preserve">: </w:t>
            </w:r>
            <w:r w:rsidRPr="00854C15">
              <w:rPr>
                <w:lang w:val="de-DE" w:eastAsia="sl-SI"/>
              </w:rPr>
              <w:t>+30 210 6256177</w:t>
            </w:r>
          </w:p>
          <w:p w:rsidR="00841EF2" w:rsidRPr="00854C15" w:rsidRDefault="00841EF2" w:rsidP="004A4074">
            <w:pPr>
              <w:widowControl w:val="0"/>
              <w:spacing w:line="240" w:lineRule="auto"/>
              <w:rPr>
                <w:noProof/>
                <w:lang w:val="de-DE" w:eastAsia="sl-SI"/>
              </w:rPr>
            </w:pPr>
          </w:p>
        </w:tc>
        <w:tc>
          <w:tcPr>
            <w:tcW w:w="4680" w:type="dxa"/>
          </w:tcPr>
          <w:p w:rsidR="00841EF2" w:rsidRPr="00ED6C00" w:rsidRDefault="00841EF2" w:rsidP="004A4074">
            <w:pPr>
              <w:widowControl w:val="0"/>
              <w:numPr>
                <w:ilvl w:val="12"/>
                <w:numId w:val="0"/>
              </w:numPr>
              <w:spacing w:line="240" w:lineRule="auto"/>
              <w:ind w:right="-2"/>
              <w:rPr>
                <w:b/>
                <w:noProof/>
                <w:lang w:val="de-DE" w:eastAsia="sl-SI"/>
              </w:rPr>
            </w:pPr>
            <w:r w:rsidRPr="00ED6C00">
              <w:rPr>
                <w:b/>
                <w:noProof/>
                <w:lang w:val="de-DE" w:eastAsia="sl-SI"/>
              </w:rPr>
              <w:t>Österreich</w:t>
            </w:r>
          </w:p>
          <w:p w:rsidR="00841EF2" w:rsidRPr="00ED6C00" w:rsidRDefault="00841EF2" w:rsidP="004A4074">
            <w:pPr>
              <w:widowControl w:val="0"/>
              <w:numPr>
                <w:ilvl w:val="12"/>
                <w:numId w:val="0"/>
              </w:numPr>
              <w:spacing w:line="240" w:lineRule="auto"/>
              <w:ind w:right="-2"/>
              <w:rPr>
                <w:lang w:val="de-DE" w:eastAsia="sl-SI"/>
              </w:rPr>
            </w:pPr>
            <w:r w:rsidRPr="00ED6C00">
              <w:rPr>
                <w:lang w:val="de-DE" w:eastAsia="sl-SI"/>
              </w:rPr>
              <w:t>KRKA Pharma GmbH, Wien</w:t>
            </w:r>
          </w:p>
          <w:p w:rsidR="00841EF2" w:rsidRPr="00ED6C00" w:rsidRDefault="00841EF2" w:rsidP="004A4074">
            <w:pPr>
              <w:widowControl w:val="0"/>
              <w:numPr>
                <w:ilvl w:val="12"/>
                <w:numId w:val="0"/>
              </w:numPr>
              <w:spacing w:line="240" w:lineRule="auto"/>
              <w:ind w:right="-2"/>
              <w:rPr>
                <w:iCs/>
                <w:lang w:val="de-DE" w:eastAsia="sl-SI"/>
              </w:rPr>
            </w:pPr>
            <w:r w:rsidRPr="00ED6C00">
              <w:rPr>
                <w:lang w:val="de-DE" w:eastAsia="sl-SI"/>
              </w:rPr>
              <w:t>Tel:</w:t>
            </w:r>
            <w:r w:rsidRPr="00ED6C00">
              <w:rPr>
                <w:bCs/>
                <w:lang w:val="de-DE" w:eastAsia="sl-SI"/>
              </w:rPr>
              <w:t xml:space="preserve"> + </w:t>
            </w:r>
            <w:r w:rsidRPr="00ED6C00">
              <w:rPr>
                <w:lang w:val="de-DE" w:eastAsia="sl-SI"/>
              </w:rPr>
              <w:t>43 (0)1 66 24 300</w:t>
            </w:r>
          </w:p>
          <w:p w:rsidR="00841EF2" w:rsidRPr="00ED6C00" w:rsidRDefault="00841EF2" w:rsidP="004A4074">
            <w:pPr>
              <w:widowControl w:val="0"/>
              <w:numPr>
                <w:ilvl w:val="12"/>
                <w:numId w:val="0"/>
              </w:numPr>
              <w:spacing w:line="240" w:lineRule="auto"/>
              <w:ind w:right="-2"/>
              <w:rPr>
                <w:noProof/>
                <w:lang w:val="de-DE" w:eastAsia="sl-SI"/>
              </w:rPr>
            </w:pPr>
          </w:p>
        </w:tc>
      </w:tr>
      <w:tr w:rsidR="00841EF2" w:rsidRPr="00321FCD" w:rsidTr="004A4074">
        <w:tc>
          <w:tcPr>
            <w:tcW w:w="4680" w:type="dxa"/>
          </w:tcPr>
          <w:p w:rsidR="00841EF2" w:rsidRPr="007A08A3" w:rsidRDefault="00841EF2" w:rsidP="004A4074">
            <w:pPr>
              <w:widowControl w:val="0"/>
              <w:spacing w:line="240" w:lineRule="auto"/>
              <w:rPr>
                <w:b/>
                <w:noProof/>
                <w:lang w:val="es-ES_tradnl" w:eastAsia="sl-SI"/>
              </w:rPr>
            </w:pPr>
            <w:r w:rsidRPr="007A08A3">
              <w:rPr>
                <w:b/>
                <w:noProof/>
                <w:lang w:val="es-ES_tradnl" w:eastAsia="sl-SI"/>
              </w:rPr>
              <w:t>España</w:t>
            </w:r>
          </w:p>
          <w:p w:rsidR="00841EF2" w:rsidRPr="007A08A3" w:rsidRDefault="00841EF2" w:rsidP="004A4074">
            <w:pPr>
              <w:widowControl w:val="0"/>
              <w:spacing w:line="240" w:lineRule="auto"/>
              <w:rPr>
                <w:lang w:val="es-ES_tradnl" w:eastAsia="sl-SI"/>
              </w:rPr>
            </w:pPr>
            <w:r w:rsidRPr="007A08A3">
              <w:rPr>
                <w:lang w:val="es-ES_tradnl" w:eastAsia="sl-SI"/>
              </w:rPr>
              <w:t>KRKA</w:t>
            </w:r>
            <w:r w:rsidRPr="007A08A3">
              <w:rPr>
                <w:bCs/>
                <w:lang w:val="es-ES_tradnl" w:eastAsia="sl-SI"/>
              </w:rPr>
              <w:t xml:space="preserve"> Farmacéutica, S.L.</w:t>
            </w:r>
          </w:p>
          <w:p w:rsidR="00841EF2" w:rsidRPr="00321FCD" w:rsidRDefault="00841EF2" w:rsidP="004A4074">
            <w:pPr>
              <w:widowControl w:val="0"/>
              <w:spacing w:line="240" w:lineRule="auto"/>
              <w:rPr>
                <w:lang w:eastAsia="sl-SI"/>
              </w:rPr>
            </w:pPr>
            <w:r w:rsidRPr="00321FCD">
              <w:rPr>
                <w:lang w:eastAsia="sl-SI"/>
              </w:rPr>
              <w:t>Tel: + 34 911 61 03 81</w:t>
            </w:r>
          </w:p>
          <w:p w:rsidR="00841EF2" w:rsidRPr="00321FCD" w:rsidRDefault="00841EF2" w:rsidP="004A4074">
            <w:pPr>
              <w:widowControl w:val="0"/>
              <w:spacing w:line="240" w:lineRule="auto"/>
              <w:rPr>
                <w:noProof/>
                <w:lang w:eastAsia="sl-SI"/>
              </w:rPr>
            </w:pPr>
          </w:p>
        </w:tc>
        <w:tc>
          <w:tcPr>
            <w:tcW w:w="4680" w:type="dxa"/>
          </w:tcPr>
          <w:p w:rsidR="00841EF2" w:rsidRPr="007A08A3" w:rsidRDefault="00841EF2" w:rsidP="004A4074">
            <w:pPr>
              <w:widowControl w:val="0"/>
              <w:numPr>
                <w:ilvl w:val="12"/>
                <w:numId w:val="0"/>
              </w:numPr>
              <w:spacing w:line="240" w:lineRule="auto"/>
              <w:ind w:right="-2"/>
              <w:rPr>
                <w:b/>
                <w:noProof/>
                <w:lang w:val="sv-SE" w:eastAsia="sl-SI"/>
              </w:rPr>
            </w:pPr>
            <w:r w:rsidRPr="007A08A3">
              <w:rPr>
                <w:b/>
                <w:noProof/>
                <w:lang w:val="sv-SE" w:eastAsia="sl-SI"/>
              </w:rPr>
              <w:t>Polska</w:t>
            </w:r>
          </w:p>
          <w:p w:rsidR="00841EF2" w:rsidRPr="007A08A3" w:rsidRDefault="00841EF2" w:rsidP="004A4074">
            <w:pPr>
              <w:widowControl w:val="0"/>
              <w:numPr>
                <w:ilvl w:val="12"/>
                <w:numId w:val="0"/>
              </w:numPr>
              <w:spacing w:line="240" w:lineRule="auto"/>
              <w:ind w:right="-2"/>
              <w:rPr>
                <w:noProof/>
                <w:lang w:val="sv-SE" w:eastAsia="sl-SI"/>
              </w:rPr>
            </w:pPr>
            <w:r w:rsidRPr="007A08A3">
              <w:rPr>
                <w:lang w:val="sv-SE" w:eastAsia="sl-SI"/>
              </w:rPr>
              <w:t xml:space="preserve">KRKA-POLSKA </w:t>
            </w:r>
            <w:r w:rsidRPr="007A08A3">
              <w:rPr>
                <w:noProof/>
                <w:lang w:val="sv-SE" w:eastAsia="sl-SI"/>
              </w:rPr>
              <w:t>Sp. z o.o.</w:t>
            </w:r>
          </w:p>
          <w:p w:rsidR="00841EF2" w:rsidRPr="00321FCD" w:rsidRDefault="00841EF2" w:rsidP="004A4074">
            <w:pPr>
              <w:widowControl w:val="0"/>
              <w:numPr>
                <w:ilvl w:val="12"/>
                <w:numId w:val="0"/>
              </w:numPr>
              <w:spacing w:line="240" w:lineRule="auto"/>
              <w:ind w:right="-2"/>
              <w:rPr>
                <w:noProof/>
                <w:lang w:eastAsia="sl-SI"/>
              </w:rPr>
            </w:pPr>
            <w:r w:rsidRPr="00321FCD">
              <w:rPr>
                <w:noProof/>
                <w:lang w:eastAsia="sl-SI"/>
              </w:rPr>
              <w:t>Tel.: + 48 (0)22 573 7500</w:t>
            </w:r>
          </w:p>
          <w:p w:rsidR="00841EF2" w:rsidRPr="00321FCD" w:rsidRDefault="00841EF2" w:rsidP="004A4074">
            <w:pPr>
              <w:widowControl w:val="0"/>
              <w:numPr>
                <w:ilvl w:val="12"/>
                <w:numId w:val="0"/>
              </w:numPr>
              <w:spacing w:line="240" w:lineRule="auto"/>
              <w:ind w:right="-2"/>
              <w:rPr>
                <w:noProof/>
                <w:lang w:eastAsia="sl-SI"/>
              </w:rPr>
            </w:pPr>
          </w:p>
        </w:tc>
      </w:tr>
      <w:tr w:rsidR="00841EF2" w:rsidRPr="00321FCD" w:rsidTr="004A4074">
        <w:tc>
          <w:tcPr>
            <w:tcW w:w="4680" w:type="dxa"/>
          </w:tcPr>
          <w:p w:rsidR="00841EF2" w:rsidRPr="00854C15" w:rsidRDefault="00841EF2" w:rsidP="004A4074">
            <w:pPr>
              <w:widowControl w:val="0"/>
              <w:spacing w:line="240" w:lineRule="auto"/>
              <w:rPr>
                <w:b/>
                <w:noProof/>
                <w:lang w:val="fr-FR" w:eastAsia="sl-SI"/>
              </w:rPr>
            </w:pPr>
            <w:r w:rsidRPr="00854C15">
              <w:rPr>
                <w:b/>
                <w:noProof/>
                <w:lang w:val="fr-FR" w:eastAsia="sl-SI"/>
              </w:rPr>
              <w:t>France</w:t>
            </w:r>
          </w:p>
          <w:p w:rsidR="00841EF2" w:rsidRPr="00854C15" w:rsidRDefault="00841EF2" w:rsidP="004A4074">
            <w:pPr>
              <w:widowControl w:val="0"/>
              <w:spacing w:line="240" w:lineRule="auto"/>
              <w:rPr>
                <w:lang w:val="fr-FR" w:eastAsia="sl-SI"/>
              </w:rPr>
            </w:pPr>
            <w:r w:rsidRPr="00854C15">
              <w:rPr>
                <w:lang w:val="fr-FR" w:eastAsia="sl-SI"/>
              </w:rPr>
              <w:t xml:space="preserve">KRKA </w:t>
            </w:r>
            <w:r w:rsidRPr="00854C15">
              <w:rPr>
                <w:bCs/>
                <w:lang w:val="fr-FR" w:eastAsia="sl-SI"/>
              </w:rPr>
              <w:t>France Eurl</w:t>
            </w:r>
          </w:p>
          <w:p w:rsidR="00841EF2" w:rsidRPr="00854C15" w:rsidRDefault="00841EF2" w:rsidP="004A4074">
            <w:pPr>
              <w:widowControl w:val="0"/>
              <w:spacing w:line="240" w:lineRule="auto"/>
              <w:rPr>
                <w:noProof/>
                <w:lang w:val="fr-FR" w:eastAsia="sl-SI"/>
              </w:rPr>
            </w:pPr>
            <w:r w:rsidRPr="00854C15">
              <w:rPr>
                <w:lang w:val="fr-FR" w:eastAsia="sl-SI"/>
              </w:rPr>
              <w:t>Tél: + 33 (0)1 57 40 82 25</w:t>
            </w:r>
          </w:p>
          <w:p w:rsidR="00841EF2" w:rsidRPr="00854C15" w:rsidRDefault="00841EF2" w:rsidP="004A4074">
            <w:pPr>
              <w:widowControl w:val="0"/>
              <w:spacing w:line="240" w:lineRule="auto"/>
              <w:rPr>
                <w:noProof/>
                <w:lang w:val="fr-FR" w:eastAsia="sl-SI"/>
              </w:rPr>
            </w:pPr>
          </w:p>
        </w:tc>
        <w:tc>
          <w:tcPr>
            <w:tcW w:w="4680" w:type="dxa"/>
          </w:tcPr>
          <w:p w:rsidR="00841EF2" w:rsidRPr="007A08A3" w:rsidRDefault="00841EF2" w:rsidP="004A4074">
            <w:pPr>
              <w:widowControl w:val="0"/>
              <w:numPr>
                <w:ilvl w:val="12"/>
                <w:numId w:val="0"/>
              </w:numPr>
              <w:spacing w:line="240" w:lineRule="auto"/>
              <w:ind w:right="-2"/>
              <w:rPr>
                <w:b/>
                <w:noProof/>
                <w:lang w:val="es-ES_tradnl" w:eastAsia="sl-SI"/>
              </w:rPr>
            </w:pPr>
            <w:r w:rsidRPr="007A08A3">
              <w:rPr>
                <w:b/>
                <w:noProof/>
                <w:lang w:val="es-ES_tradnl" w:eastAsia="sl-SI"/>
              </w:rPr>
              <w:t>Portugal</w:t>
            </w:r>
          </w:p>
          <w:p w:rsidR="00841EF2" w:rsidRPr="007A08A3" w:rsidRDefault="00841EF2" w:rsidP="004A4074">
            <w:pPr>
              <w:widowControl w:val="0"/>
              <w:numPr>
                <w:ilvl w:val="12"/>
                <w:numId w:val="0"/>
              </w:numPr>
              <w:spacing w:line="240" w:lineRule="auto"/>
              <w:ind w:right="-2"/>
              <w:rPr>
                <w:noProof/>
                <w:lang w:val="es-ES_tradnl" w:eastAsia="sl-SI"/>
              </w:rPr>
            </w:pPr>
            <w:r w:rsidRPr="007A08A3">
              <w:rPr>
                <w:bCs/>
                <w:lang w:val="es-ES_tradnl" w:eastAsia="sl-SI"/>
              </w:rPr>
              <w:t xml:space="preserve">KRKA </w:t>
            </w:r>
            <w:proofErr w:type="spellStart"/>
            <w:r w:rsidRPr="007A08A3">
              <w:rPr>
                <w:bCs/>
                <w:lang w:val="es-ES_tradnl" w:eastAsia="sl-SI"/>
              </w:rPr>
              <w:t>Farmacêutica</w:t>
            </w:r>
            <w:proofErr w:type="spellEnd"/>
            <w:r w:rsidRPr="007A08A3">
              <w:rPr>
                <w:bCs/>
                <w:lang w:val="es-ES_tradnl" w:eastAsia="sl-SI"/>
              </w:rPr>
              <w:t xml:space="preserve">, </w:t>
            </w:r>
            <w:proofErr w:type="spellStart"/>
            <w:r w:rsidRPr="007A08A3">
              <w:rPr>
                <w:bCs/>
                <w:lang w:val="es-ES_tradnl" w:eastAsia="sl-SI"/>
              </w:rPr>
              <w:t>Sociedade</w:t>
            </w:r>
            <w:proofErr w:type="spellEnd"/>
            <w:r w:rsidRPr="007A08A3">
              <w:rPr>
                <w:bCs/>
                <w:lang w:val="es-ES_tradnl" w:eastAsia="sl-SI"/>
              </w:rPr>
              <w:t xml:space="preserve"> </w:t>
            </w:r>
            <w:proofErr w:type="spellStart"/>
            <w:r w:rsidRPr="007A08A3">
              <w:rPr>
                <w:bCs/>
                <w:lang w:val="es-ES_tradnl" w:eastAsia="sl-SI"/>
              </w:rPr>
              <w:t>Unipessoal</w:t>
            </w:r>
            <w:proofErr w:type="spellEnd"/>
            <w:r w:rsidRPr="007A08A3">
              <w:rPr>
                <w:bCs/>
                <w:lang w:val="es-ES_tradnl" w:eastAsia="sl-SI"/>
              </w:rPr>
              <w:t xml:space="preserve"> Lda.</w:t>
            </w:r>
          </w:p>
          <w:p w:rsidR="00841EF2" w:rsidRPr="00321FCD" w:rsidRDefault="00841EF2" w:rsidP="004A4074">
            <w:pPr>
              <w:widowControl w:val="0"/>
              <w:numPr>
                <w:ilvl w:val="12"/>
                <w:numId w:val="0"/>
              </w:numPr>
              <w:spacing w:line="240" w:lineRule="auto"/>
              <w:ind w:right="-2"/>
              <w:rPr>
                <w:lang w:eastAsia="sl-SI"/>
              </w:rPr>
            </w:pPr>
            <w:r w:rsidRPr="00321FCD">
              <w:rPr>
                <w:noProof/>
                <w:lang w:eastAsia="sl-SI"/>
              </w:rPr>
              <w:t xml:space="preserve">Tel: + </w:t>
            </w:r>
            <w:r w:rsidRPr="00321FCD">
              <w:rPr>
                <w:lang w:eastAsia="sl-SI"/>
              </w:rPr>
              <w:t>351 (0)21 46 43 650</w:t>
            </w:r>
          </w:p>
          <w:p w:rsidR="00841EF2" w:rsidRPr="00321FCD" w:rsidRDefault="00841EF2" w:rsidP="004A4074">
            <w:pPr>
              <w:widowControl w:val="0"/>
              <w:numPr>
                <w:ilvl w:val="12"/>
                <w:numId w:val="0"/>
              </w:numPr>
              <w:spacing w:line="240" w:lineRule="auto"/>
              <w:ind w:right="-2"/>
              <w:rPr>
                <w:noProof/>
                <w:lang w:eastAsia="sl-SI"/>
              </w:rPr>
            </w:pPr>
          </w:p>
        </w:tc>
      </w:tr>
      <w:tr w:rsidR="00841EF2" w:rsidRPr="00321FCD" w:rsidTr="004A4074">
        <w:tc>
          <w:tcPr>
            <w:tcW w:w="4680" w:type="dxa"/>
          </w:tcPr>
          <w:p w:rsidR="00841EF2" w:rsidRPr="007A08A3" w:rsidRDefault="00841EF2" w:rsidP="004A4074">
            <w:pPr>
              <w:widowControl w:val="0"/>
              <w:spacing w:line="240" w:lineRule="auto"/>
              <w:rPr>
                <w:b/>
                <w:noProof/>
                <w:lang w:val="sv-SE" w:eastAsia="sl-SI"/>
              </w:rPr>
            </w:pPr>
            <w:r w:rsidRPr="007A08A3">
              <w:rPr>
                <w:b/>
                <w:noProof/>
                <w:lang w:val="sv-SE" w:eastAsia="sl-SI"/>
              </w:rPr>
              <w:t>Hrvatska</w:t>
            </w:r>
          </w:p>
          <w:p w:rsidR="00841EF2" w:rsidRPr="007A08A3" w:rsidRDefault="00841EF2" w:rsidP="004A4074">
            <w:pPr>
              <w:widowControl w:val="0"/>
              <w:spacing w:line="240" w:lineRule="auto"/>
              <w:rPr>
                <w:noProof/>
                <w:lang w:val="sv-SE" w:eastAsia="sl-SI"/>
              </w:rPr>
            </w:pPr>
            <w:r w:rsidRPr="007A08A3">
              <w:rPr>
                <w:lang w:val="sv-SE"/>
              </w:rPr>
              <w:t>KRKA - FARMA</w:t>
            </w:r>
            <w:r w:rsidRPr="007A08A3">
              <w:rPr>
                <w:noProof/>
                <w:lang w:val="sv-SE" w:eastAsia="sl-SI"/>
              </w:rPr>
              <w:t xml:space="preserve"> d.o.o.</w:t>
            </w:r>
          </w:p>
          <w:p w:rsidR="00841EF2" w:rsidRPr="00321FCD" w:rsidRDefault="00841EF2" w:rsidP="004A4074">
            <w:pPr>
              <w:widowControl w:val="0"/>
              <w:spacing w:line="240" w:lineRule="auto"/>
              <w:rPr>
                <w:noProof/>
                <w:lang w:eastAsia="sl-SI"/>
              </w:rPr>
            </w:pPr>
            <w:r w:rsidRPr="00321FCD">
              <w:rPr>
                <w:noProof/>
                <w:lang w:eastAsia="sl-SI"/>
              </w:rPr>
              <w:t>Tel: + 385 1 6312 100</w:t>
            </w:r>
          </w:p>
          <w:p w:rsidR="00841EF2" w:rsidRPr="00321FCD" w:rsidRDefault="00841EF2" w:rsidP="004A4074">
            <w:pPr>
              <w:widowControl w:val="0"/>
              <w:spacing w:line="240" w:lineRule="auto"/>
              <w:rPr>
                <w:noProof/>
                <w:lang w:eastAsia="sl-SI"/>
              </w:rPr>
            </w:pPr>
          </w:p>
        </w:tc>
        <w:tc>
          <w:tcPr>
            <w:tcW w:w="4680" w:type="dxa"/>
          </w:tcPr>
          <w:p w:rsidR="00841EF2" w:rsidRPr="00321FCD" w:rsidRDefault="00841EF2" w:rsidP="004A4074">
            <w:pPr>
              <w:widowControl w:val="0"/>
              <w:numPr>
                <w:ilvl w:val="12"/>
                <w:numId w:val="0"/>
              </w:numPr>
              <w:spacing w:line="240" w:lineRule="auto"/>
              <w:ind w:right="-2"/>
              <w:rPr>
                <w:b/>
                <w:noProof/>
                <w:lang w:eastAsia="sl-SI"/>
              </w:rPr>
            </w:pPr>
            <w:r w:rsidRPr="00321FCD">
              <w:rPr>
                <w:b/>
                <w:noProof/>
                <w:lang w:eastAsia="sl-SI"/>
              </w:rPr>
              <w:t>România</w:t>
            </w:r>
          </w:p>
          <w:p w:rsidR="00841EF2" w:rsidRPr="00321FCD" w:rsidRDefault="00841EF2" w:rsidP="004A4074">
            <w:pPr>
              <w:widowControl w:val="0"/>
              <w:spacing w:line="240" w:lineRule="auto"/>
              <w:rPr>
                <w:bCs/>
                <w:lang w:eastAsia="sl-SI"/>
              </w:rPr>
            </w:pPr>
            <w:r w:rsidRPr="00321FCD">
              <w:rPr>
                <w:bCs/>
                <w:lang w:eastAsia="sl-SI"/>
              </w:rPr>
              <w:t>KRKA Romania S.R.L., Bucharest</w:t>
            </w:r>
          </w:p>
          <w:p w:rsidR="00841EF2" w:rsidRPr="00321FCD" w:rsidRDefault="00841EF2" w:rsidP="004A4074">
            <w:pPr>
              <w:widowControl w:val="0"/>
              <w:numPr>
                <w:ilvl w:val="12"/>
                <w:numId w:val="0"/>
              </w:numPr>
              <w:spacing w:line="240" w:lineRule="auto"/>
              <w:ind w:right="-2"/>
              <w:rPr>
                <w:lang w:eastAsia="sl-SI"/>
              </w:rPr>
            </w:pPr>
            <w:r w:rsidRPr="00321FCD">
              <w:rPr>
                <w:lang w:eastAsia="sl-SI"/>
              </w:rPr>
              <w:t>Tel: + 4 021 310 66 05</w:t>
            </w:r>
          </w:p>
          <w:p w:rsidR="00841EF2" w:rsidRPr="00321FCD" w:rsidRDefault="00841EF2" w:rsidP="004A4074">
            <w:pPr>
              <w:widowControl w:val="0"/>
              <w:numPr>
                <w:ilvl w:val="12"/>
                <w:numId w:val="0"/>
              </w:numPr>
              <w:spacing w:line="240" w:lineRule="auto"/>
              <w:ind w:right="-2"/>
              <w:rPr>
                <w:noProof/>
                <w:lang w:eastAsia="sl-SI"/>
              </w:rPr>
            </w:pPr>
          </w:p>
        </w:tc>
      </w:tr>
      <w:tr w:rsidR="00841EF2" w:rsidRPr="00321FCD" w:rsidTr="004A4074">
        <w:tc>
          <w:tcPr>
            <w:tcW w:w="4680" w:type="dxa"/>
          </w:tcPr>
          <w:p w:rsidR="00841EF2" w:rsidRPr="007A08A3" w:rsidRDefault="00841EF2" w:rsidP="004A4074">
            <w:pPr>
              <w:widowControl w:val="0"/>
              <w:spacing w:line="240" w:lineRule="auto"/>
              <w:rPr>
                <w:b/>
                <w:noProof/>
                <w:lang w:val="sv-SE" w:eastAsia="sl-SI"/>
              </w:rPr>
            </w:pPr>
            <w:r w:rsidRPr="007A08A3">
              <w:rPr>
                <w:noProof/>
                <w:lang w:val="sv-SE" w:eastAsia="sl-SI"/>
              </w:rPr>
              <w:br w:type="page"/>
            </w:r>
            <w:r w:rsidRPr="007A08A3">
              <w:rPr>
                <w:b/>
                <w:noProof/>
                <w:lang w:val="sv-SE" w:eastAsia="sl-SI"/>
              </w:rPr>
              <w:t>Ireland</w:t>
            </w:r>
          </w:p>
          <w:p w:rsidR="00841EF2" w:rsidRPr="007A08A3" w:rsidRDefault="00841EF2" w:rsidP="004A4074">
            <w:pPr>
              <w:widowControl w:val="0"/>
              <w:spacing w:line="240" w:lineRule="auto"/>
              <w:rPr>
                <w:noProof/>
                <w:lang w:val="sv-SE" w:eastAsia="sl-SI"/>
              </w:rPr>
            </w:pPr>
            <w:r w:rsidRPr="007A08A3">
              <w:rPr>
                <w:noProof/>
                <w:lang w:val="sv-SE" w:eastAsia="sl-SI"/>
              </w:rPr>
              <w:t>KRKA Pharma Dublin, Ltd.</w:t>
            </w:r>
          </w:p>
          <w:p w:rsidR="00841EF2" w:rsidRPr="00321FCD" w:rsidRDefault="00841EF2" w:rsidP="004A4074">
            <w:pPr>
              <w:widowControl w:val="0"/>
              <w:spacing w:line="240" w:lineRule="auto"/>
              <w:rPr>
                <w:noProof/>
                <w:lang w:eastAsia="sl-SI"/>
              </w:rPr>
            </w:pPr>
            <w:r w:rsidRPr="00321FCD">
              <w:rPr>
                <w:lang w:eastAsia="sl-SI"/>
              </w:rPr>
              <w:t>Tel: + 353 1 293 91 80</w:t>
            </w:r>
          </w:p>
          <w:p w:rsidR="00841EF2" w:rsidRPr="00321FCD" w:rsidRDefault="00841EF2" w:rsidP="004A4074">
            <w:pPr>
              <w:widowControl w:val="0"/>
              <w:spacing w:line="240" w:lineRule="auto"/>
              <w:rPr>
                <w:noProof/>
                <w:lang w:eastAsia="sl-SI"/>
              </w:rPr>
            </w:pPr>
          </w:p>
        </w:tc>
        <w:tc>
          <w:tcPr>
            <w:tcW w:w="4680" w:type="dxa"/>
          </w:tcPr>
          <w:p w:rsidR="00841EF2" w:rsidRPr="007A08A3" w:rsidRDefault="00841EF2" w:rsidP="004A4074">
            <w:pPr>
              <w:widowControl w:val="0"/>
              <w:numPr>
                <w:ilvl w:val="12"/>
                <w:numId w:val="0"/>
              </w:numPr>
              <w:spacing w:line="240" w:lineRule="auto"/>
              <w:ind w:right="-2"/>
              <w:rPr>
                <w:b/>
                <w:noProof/>
                <w:lang w:val="it-IT" w:eastAsia="sl-SI"/>
              </w:rPr>
            </w:pPr>
            <w:r w:rsidRPr="007A08A3">
              <w:rPr>
                <w:b/>
                <w:noProof/>
                <w:lang w:val="it-IT" w:eastAsia="sl-SI"/>
              </w:rPr>
              <w:t>Slovenija</w:t>
            </w:r>
          </w:p>
          <w:p w:rsidR="00841EF2" w:rsidRPr="007A08A3" w:rsidRDefault="00841EF2" w:rsidP="004A4074">
            <w:pPr>
              <w:widowControl w:val="0"/>
              <w:numPr>
                <w:ilvl w:val="12"/>
                <w:numId w:val="0"/>
              </w:numPr>
              <w:spacing w:line="240" w:lineRule="auto"/>
              <w:ind w:right="-2"/>
              <w:rPr>
                <w:noProof/>
                <w:lang w:val="it-IT" w:eastAsia="sl-SI"/>
              </w:rPr>
            </w:pPr>
            <w:r w:rsidRPr="007A08A3">
              <w:rPr>
                <w:lang w:val="it-IT" w:eastAsia="sl-SI"/>
              </w:rPr>
              <w:t xml:space="preserve">KRKA, </w:t>
            </w:r>
            <w:proofErr w:type="spellStart"/>
            <w:r w:rsidRPr="007A08A3">
              <w:rPr>
                <w:lang w:val="it-IT" w:eastAsia="sl-SI"/>
              </w:rPr>
              <w:t>d.d</w:t>
            </w:r>
            <w:proofErr w:type="spellEnd"/>
            <w:r w:rsidRPr="007A08A3">
              <w:rPr>
                <w:lang w:val="it-IT" w:eastAsia="sl-SI"/>
              </w:rPr>
              <w:t>., Novo mesto</w:t>
            </w:r>
          </w:p>
          <w:p w:rsidR="00841EF2" w:rsidRPr="00321FCD" w:rsidRDefault="00841EF2" w:rsidP="004A4074">
            <w:pPr>
              <w:widowControl w:val="0"/>
              <w:numPr>
                <w:ilvl w:val="12"/>
                <w:numId w:val="0"/>
              </w:numPr>
              <w:spacing w:line="240" w:lineRule="auto"/>
              <w:ind w:right="-2"/>
              <w:rPr>
                <w:noProof/>
                <w:lang w:eastAsia="sl-SI"/>
              </w:rPr>
            </w:pPr>
            <w:r w:rsidRPr="00321FCD">
              <w:rPr>
                <w:noProof/>
                <w:lang w:eastAsia="sl-SI"/>
              </w:rPr>
              <w:t>Tel: + 386 (0) 1 47 51 100</w:t>
            </w:r>
          </w:p>
          <w:p w:rsidR="00841EF2" w:rsidRPr="00321FCD" w:rsidRDefault="00841EF2" w:rsidP="004A4074">
            <w:pPr>
              <w:widowControl w:val="0"/>
              <w:numPr>
                <w:ilvl w:val="12"/>
                <w:numId w:val="0"/>
              </w:numPr>
              <w:spacing w:line="240" w:lineRule="auto"/>
              <w:ind w:right="-2"/>
              <w:rPr>
                <w:noProof/>
                <w:lang w:eastAsia="sl-SI"/>
              </w:rPr>
            </w:pPr>
          </w:p>
        </w:tc>
      </w:tr>
      <w:tr w:rsidR="00841EF2" w:rsidRPr="00321FCD" w:rsidTr="004A4074">
        <w:tc>
          <w:tcPr>
            <w:tcW w:w="4680" w:type="dxa"/>
            <w:hideMark/>
          </w:tcPr>
          <w:p w:rsidR="00841EF2" w:rsidRPr="007A08A3" w:rsidRDefault="00841EF2" w:rsidP="004A4074">
            <w:pPr>
              <w:widowControl w:val="0"/>
              <w:spacing w:line="240" w:lineRule="auto"/>
              <w:rPr>
                <w:b/>
                <w:noProof/>
                <w:lang w:val="sv-SE" w:eastAsia="sl-SI"/>
              </w:rPr>
            </w:pPr>
            <w:r w:rsidRPr="007A08A3">
              <w:rPr>
                <w:b/>
                <w:noProof/>
                <w:lang w:val="sv-SE" w:eastAsia="sl-SI"/>
              </w:rPr>
              <w:t>Ísland</w:t>
            </w:r>
          </w:p>
          <w:p w:rsidR="00C05B50" w:rsidRPr="007A08A3" w:rsidRDefault="00C05B50" w:rsidP="004A4074">
            <w:pPr>
              <w:widowControl w:val="0"/>
              <w:spacing w:line="240" w:lineRule="auto"/>
              <w:rPr>
                <w:noProof/>
                <w:lang w:val="sv-SE" w:eastAsia="sl-SI"/>
              </w:rPr>
            </w:pPr>
            <w:r w:rsidRPr="00430232">
              <w:rPr>
                <w:noProof/>
                <w:szCs w:val="22"/>
                <w:shd w:val="clear" w:color="auto" w:fill="FFFFFF"/>
                <w:lang w:val="sv-SE" w:eastAsia="sl-SI"/>
              </w:rPr>
              <w:t>LYFIS ehf.</w:t>
            </w:r>
          </w:p>
          <w:p w:rsidR="00841EF2" w:rsidRPr="007A08A3" w:rsidRDefault="00841EF2" w:rsidP="004A4074">
            <w:pPr>
              <w:widowControl w:val="0"/>
              <w:spacing w:line="240" w:lineRule="auto"/>
              <w:rPr>
                <w:noProof/>
                <w:lang w:val="sv-SE" w:eastAsia="sl-SI"/>
              </w:rPr>
            </w:pPr>
            <w:r w:rsidRPr="007A08A3">
              <w:rPr>
                <w:noProof/>
                <w:lang w:val="sv-SE" w:eastAsia="sl-SI"/>
              </w:rPr>
              <w:t xml:space="preserve">Sími: + </w:t>
            </w:r>
            <w:r w:rsidR="00C05B50" w:rsidRPr="00430232">
              <w:rPr>
                <w:noProof/>
                <w:szCs w:val="22"/>
                <w:shd w:val="clear" w:color="auto" w:fill="FFFFFF"/>
                <w:lang w:val="sv-SE" w:eastAsia="sl-SI"/>
              </w:rPr>
              <w:t>354 534 3500</w:t>
            </w:r>
          </w:p>
          <w:p w:rsidR="00841EF2" w:rsidRPr="007A08A3" w:rsidRDefault="00841EF2" w:rsidP="004A4074">
            <w:pPr>
              <w:widowControl w:val="0"/>
              <w:spacing w:line="240" w:lineRule="auto"/>
              <w:rPr>
                <w:noProof/>
                <w:lang w:val="sv-SE" w:eastAsia="sl-SI"/>
              </w:rPr>
            </w:pPr>
          </w:p>
        </w:tc>
        <w:tc>
          <w:tcPr>
            <w:tcW w:w="4680" w:type="dxa"/>
          </w:tcPr>
          <w:p w:rsidR="00841EF2" w:rsidRPr="00854C15" w:rsidRDefault="00841EF2" w:rsidP="004A4074">
            <w:pPr>
              <w:widowControl w:val="0"/>
              <w:numPr>
                <w:ilvl w:val="12"/>
                <w:numId w:val="0"/>
              </w:numPr>
              <w:spacing w:line="240" w:lineRule="auto"/>
              <w:ind w:right="-2"/>
              <w:rPr>
                <w:noProof/>
                <w:lang w:val="de-DE" w:eastAsia="sl-SI"/>
              </w:rPr>
            </w:pPr>
            <w:r w:rsidRPr="00854C15">
              <w:rPr>
                <w:b/>
                <w:noProof/>
                <w:lang w:val="de-DE" w:eastAsia="sl-SI"/>
              </w:rPr>
              <w:t>Slovenská</w:t>
            </w:r>
            <w:r w:rsidRPr="00854C15">
              <w:rPr>
                <w:noProof/>
                <w:lang w:val="de-DE" w:eastAsia="sl-SI"/>
              </w:rPr>
              <w:t xml:space="preserve"> </w:t>
            </w:r>
            <w:r w:rsidRPr="00854C15">
              <w:rPr>
                <w:b/>
                <w:noProof/>
                <w:lang w:val="de-DE" w:eastAsia="sl-SI"/>
              </w:rPr>
              <w:t>republika</w:t>
            </w:r>
          </w:p>
          <w:p w:rsidR="00841EF2" w:rsidRPr="00854C15" w:rsidRDefault="00841EF2" w:rsidP="004A4074">
            <w:pPr>
              <w:widowControl w:val="0"/>
              <w:numPr>
                <w:ilvl w:val="12"/>
                <w:numId w:val="0"/>
              </w:numPr>
              <w:spacing w:line="240" w:lineRule="auto"/>
              <w:ind w:right="-2"/>
              <w:rPr>
                <w:noProof/>
                <w:lang w:val="de-DE" w:eastAsia="sl-SI"/>
              </w:rPr>
            </w:pPr>
            <w:r w:rsidRPr="00854C15">
              <w:rPr>
                <w:lang w:val="de-DE" w:eastAsia="sl-SI"/>
              </w:rPr>
              <w:t xml:space="preserve">KRKA </w:t>
            </w:r>
            <w:proofErr w:type="spellStart"/>
            <w:r w:rsidRPr="00854C15">
              <w:rPr>
                <w:lang w:val="de-DE" w:eastAsia="sl-SI"/>
              </w:rPr>
              <w:t>Slovensko</w:t>
            </w:r>
            <w:proofErr w:type="spellEnd"/>
            <w:r w:rsidRPr="00854C15">
              <w:rPr>
                <w:color w:val="000000"/>
                <w:lang w:val="de-DE" w:eastAsia="sl-SI"/>
              </w:rPr>
              <w:t xml:space="preserve">, </w:t>
            </w:r>
            <w:proofErr w:type="spellStart"/>
            <w:r w:rsidRPr="00854C15">
              <w:rPr>
                <w:color w:val="000000"/>
                <w:lang w:val="de-DE" w:eastAsia="sl-SI"/>
              </w:rPr>
              <w:t>s.r.o</w:t>
            </w:r>
            <w:proofErr w:type="spellEnd"/>
            <w:r w:rsidRPr="00854C15">
              <w:rPr>
                <w:color w:val="000000"/>
                <w:lang w:val="de-DE" w:eastAsia="sl-SI"/>
              </w:rPr>
              <w:t>.</w:t>
            </w:r>
          </w:p>
          <w:p w:rsidR="00841EF2" w:rsidRPr="00321FCD" w:rsidRDefault="00841EF2" w:rsidP="004A4074">
            <w:pPr>
              <w:widowControl w:val="0"/>
              <w:numPr>
                <w:ilvl w:val="12"/>
                <w:numId w:val="0"/>
              </w:numPr>
              <w:spacing w:line="240" w:lineRule="auto"/>
              <w:ind w:right="-2"/>
              <w:rPr>
                <w:noProof/>
                <w:lang w:eastAsia="sl-SI"/>
              </w:rPr>
            </w:pPr>
            <w:r w:rsidRPr="00321FCD">
              <w:rPr>
                <w:noProof/>
                <w:lang w:eastAsia="sl-SI"/>
              </w:rPr>
              <w:t>Tel: + 421 (0) 2 571 04 501</w:t>
            </w:r>
          </w:p>
          <w:p w:rsidR="00841EF2" w:rsidRPr="00321FCD" w:rsidRDefault="00841EF2" w:rsidP="004A4074">
            <w:pPr>
              <w:widowControl w:val="0"/>
              <w:numPr>
                <w:ilvl w:val="12"/>
                <w:numId w:val="0"/>
              </w:numPr>
              <w:spacing w:line="240" w:lineRule="auto"/>
              <w:ind w:right="-2"/>
              <w:rPr>
                <w:noProof/>
                <w:lang w:eastAsia="sl-SI"/>
              </w:rPr>
            </w:pPr>
          </w:p>
        </w:tc>
      </w:tr>
      <w:tr w:rsidR="00841EF2" w:rsidRPr="007A08A3" w:rsidTr="004A4074">
        <w:tc>
          <w:tcPr>
            <w:tcW w:w="4680" w:type="dxa"/>
          </w:tcPr>
          <w:p w:rsidR="00841EF2" w:rsidRPr="007A08A3" w:rsidRDefault="00841EF2" w:rsidP="004A4074">
            <w:pPr>
              <w:widowControl w:val="0"/>
              <w:spacing w:line="240" w:lineRule="auto"/>
              <w:rPr>
                <w:b/>
                <w:noProof/>
                <w:lang w:val="it-IT" w:eastAsia="sl-SI"/>
              </w:rPr>
            </w:pPr>
            <w:r w:rsidRPr="007A08A3">
              <w:rPr>
                <w:b/>
                <w:noProof/>
                <w:lang w:val="it-IT" w:eastAsia="sl-SI"/>
              </w:rPr>
              <w:t>Italia</w:t>
            </w:r>
          </w:p>
          <w:p w:rsidR="00841EF2" w:rsidRPr="00321FCD" w:rsidRDefault="00841EF2" w:rsidP="004A4074">
            <w:pPr>
              <w:widowControl w:val="0"/>
              <w:numPr>
                <w:ilvl w:val="12"/>
                <w:numId w:val="0"/>
              </w:numPr>
              <w:spacing w:line="240" w:lineRule="auto"/>
              <w:ind w:right="-2"/>
              <w:rPr>
                <w:lang w:val="it-IT" w:eastAsia="sl-SI"/>
              </w:rPr>
            </w:pPr>
            <w:r w:rsidRPr="00321FCD">
              <w:rPr>
                <w:lang w:val="it-IT" w:eastAsia="sl-SI"/>
              </w:rPr>
              <w:t>KRKA Farmaceutici Milano S.r.l.</w:t>
            </w:r>
          </w:p>
          <w:p w:rsidR="00841EF2" w:rsidRPr="00321FCD" w:rsidRDefault="00841EF2" w:rsidP="004A4074">
            <w:pPr>
              <w:widowControl w:val="0"/>
              <w:numPr>
                <w:ilvl w:val="12"/>
                <w:numId w:val="0"/>
              </w:numPr>
              <w:spacing w:line="240" w:lineRule="auto"/>
              <w:ind w:right="-2"/>
              <w:rPr>
                <w:lang w:eastAsia="sl-SI"/>
              </w:rPr>
            </w:pPr>
            <w:r w:rsidRPr="00321FCD">
              <w:rPr>
                <w:lang w:eastAsia="sl-SI"/>
              </w:rPr>
              <w:t>Tel: + 39 02 3300 8841</w:t>
            </w:r>
          </w:p>
          <w:p w:rsidR="00841EF2" w:rsidRPr="00321FCD" w:rsidRDefault="00841EF2" w:rsidP="004A4074">
            <w:pPr>
              <w:widowControl w:val="0"/>
              <w:numPr>
                <w:ilvl w:val="12"/>
                <w:numId w:val="0"/>
              </w:numPr>
              <w:spacing w:line="240" w:lineRule="auto"/>
              <w:ind w:right="-2"/>
              <w:rPr>
                <w:noProof/>
                <w:lang w:eastAsia="sl-SI"/>
              </w:rPr>
            </w:pPr>
          </w:p>
        </w:tc>
        <w:tc>
          <w:tcPr>
            <w:tcW w:w="4680" w:type="dxa"/>
          </w:tcPr>
          <w:p w:rsidR="00841EF2" w:rsidRPr="007A08A3" w:rsidRDefault="00841EF2" w:rsidP="004A4074">
            <w:pPr>
              <w:numPr>
                <w:ilvl w:val="12"/>
                <w:numId w:val="0"/>
              </w:numPr>
              <w:ind w:right="-2"/>
              <w:rPr>
                <w:b/>
                <w:noProof/>
                <w:lang w:val="sv-SE"/>
              </w:rPr>
            </w:pPr>
            <w:r w:rsidRPr="007A08A3">
              <w:rPr>
                <w:b/>
                <w:noProof/>
                <w:lang w:val="sv-SE"/>
              </w:rPr>
              <w:t>Suomi/Finland</w:t>
            </w:r>
          </w:p>
          <w:p w:rsidR="00841EF2" w:rsidRPr="007A08A3" w:rsidRDefault="00841EF2" w:rsidP="004A4074">
            <w:pPr>
              <w:numPr>
                <w:ilvl w:val="12"/>
                <w:numId w:val="0"/>
              </w:numPr>
              <w:spacing w:line="240" w:lineRule="auto"/>
              <w:ind w:right="-2"/>
              <w:rPr>
                <w:b/>
                <w:noProof/>
                <w:lang w:val="sv-SE" w:eastAsia="sl-SI"/>
              </w:rPr>
            </w:pPr>
            <w:r w:rsidRPr="00321FCD">
              <w:rPr>
                <w:noProof/>
                <w:lang w:val="sv-SE" w:eastAsia="sl-SI"/>
              </w:rPr>
              <w:t>KRKA Finland Oy</w:t>
            </w:r>
          </w:p>
          <w:p w:rsidR="00841EF2" w:rsidRPr="007A08A3" w:rsidRDefault="00841EF2" w:rsidP="004A4074">
            <w:pPr>
              <w:numPr>
                <w:ilvl w:val="12"/>
                <w:numId w:val="0"/>
              </w:numPr>
              <w:ind w:right="-2"/>
              <w:rPr>
                <w:b/>
                <w:noProof/>
                <w:lang w:val="sv-SE"/>
              </w:rPr>
            </w:pPr>
            <w:r w:rsidRPr="007A08A3">
              <w:rPr>
                <w:noProof/>
                <w:lang w:val="sv-SE" w:eastAsia="sl-SI"/>
              </w:rPr>
              <w:t>Puh/Tel:</w:t>
            </w:r>
            <w:r w:rsidRPr="007A08A3">
              <w:rPr>
                <w:b/>
                <w:noProof/>
                <w:lang w:val="sv-SE" w:eastAsia="sl-SI"/>
              </w:rPr>
              <w:t xml:space="preserve"> </w:t>
            </w:r>
            <w:r w:rsidRPr="00321FCD">
              <w:rPr>
                <w:noProof/>
                <w:lang w:val="sv-SE" w:eastAsia="sl-SI"/>
              </w:rPr>
              <w:t>+358 20 754 5330</w:t>
            </w:r>
          </w:p>
          <w:p w:rsidR="00841EF2" w:rsidRPr="007A08A3" w:rsidRDefault="00841EF2" w:rsidP="004A4074">
            <w:pPr>
              <w:widowControl w:val="0"/>
              <w:numPr>
                <w:ilvl w:val="12"/>
                <w:numId w:val="0"/>
              </w:numPr>
              <w:spacing w:line="240" w:lineRule="auto"/>
              <w:ind w:right="-2"/>
              <w:rPr>
                <w:noProof/>
                <w:lang w:val="sv-SE" w:eastAsia="sl-SI"/>
              </w:rPr>
            </w:pPr>
          </w:p>
        </w:tc>
      </w:tr>
      <w:tr w:rsidR="00841EF2" w:rsidRPr="007A08A3" w:rsidTr="004A4074">
        <w:tc>
          <w:tcPr>
            <w:tcW w:w="4680" w:type="dxa"/>
          </w:tcPr>
          <w:p w:rsidR="00841EF2" w:rsidRPr="007A08A3" w:rsidRDefault="00841EF2" w:rsidP="004A4074">
            <w:pPr>
              <w:widowControl w:val="0"/>
              <w:spacing w:line="240" w:lineRule="auto"/>
              <w:rPr>
                <w:b/>
                <w:noProof/>
                <w:lang w:val="sv-SE" w:eastAsia="sl-SI"/>
              </w:rPr>
            </w:pPr>
            <w:r w:rsidRPr="00321FCD">
              <w:rPr>
                <w:b/>
                <w:noProof/>
                <w:lang w:eastAsia="sl-SI"/>
              </w:rPr>
              <w:t>Κύπρος</w:t>
            </w:r>
          </w:p>
          <w:p w:rsidR="00841EF2" w:rsidRPr="007A08A3" w:rsidRDefault="00635629" w:rsidP="004A4074">
            <w:pPr>
              <w:widowControl w:val="0"/>
              <w:spacing w:line="240" w:lineRule="auto"/>
              <w:rPr>
                <w:lang w:val="sv-SE" w:eastAsia="sl-SI"/>
              </w:rPr>
            </w:pPr>
            <w:r>
              <w:rPr>
                <w:lang w:eastAsia="sl-SI"/>
              </w:rPr>
              <w:t>KI.PA. (PHARMACAL) LIMITED</w:t>
            </w:r>
          </w:p>
          <w:p w:rsidR="00841EF2" w:rsidRPr="007A08A3" w:rsidRDefault="00841EF2" w:rsidP="004A4074">
            <w:pPr>
              <w:widowControl w:val="0"/>
              <w:spacing w:line="240" w:lineRule="auto"/>
              <w:rPr>
                <w:noProof/>
                <w:lang w:val="sv-SE" w:eastAsia="sl-SI"/>
              </w:rPr>
            </w:pPr>
            <w:r w:rsidRPr="00321FCD">
              <w:rPr>
                <w:noProof/>
                <w:lang w:eastAsia="sl-SI"/>
              </w:rPr>
              <w:t>Τηλ</w:t>
            </w:r>
            <w:r w:rsidRPr="007A08A3">
              <w:rPr>
                <w:noProof/>
                <w:lang w:val="sv-SE" w:eastAsia="sl-SI"/>
              </w:rPr>
              <w:t>: + 357 24 651 882</w:t>
            </w:r>
          </w:p>
          <w:p w:rsidR="00841EF2" w:rsidRPr="007A08A3" w:rsidRDefault="00841EF2" w:rsidP="004A4074">
            <w:pPr>
              <w:widowControl w:val="0"/>
              <w:spacing w:line="240" w:lineRule="auto"/>
              <w:rPr>
                <w:noProof/>
                <w:lang w:val="sv-SE" w:eastAsia="sl-SI"/>
              </w:rPr>
            </w:pPr>
          </w:p>
        </w:tc>
        <w:tc>
          <w:tcPr>
            <w:tcW w:w="4680" w:type="dxa"/>
          </w:tcPr>
          <w:p w:rsidR="00841EF2" w:rsidRPr="007A08A3" w:rsidRDefault="00841EF2" w:rsidP="004A4074">
            <w:pPr>
              <w:widowControl w:val="0"/>
              <w:numPr>
                <w:ilvl w:val="12"/>
                <w:numId w:val="0"/>
              </w:numPr>
              <w:spacing w:line="240" w:lineRule="auto"/>
              <w:ind w:right="-2"/>
              <w:rPr>
                <w:b/>
                <w:noProof/>
                <w:lang w:val="sv-SE" w:eastAsia="sl-SI"/>
              </w:rPr>
            </w:pPr>
            <w:r w:rsidRPr="007A08A3">
              <w:rPr>
                <w:b/>
                <w:noProof/>
                <w:lang w:val="sv-SE" w:eastAsia="sl-SI"/>
              </w:rPr>
              <w:t>Sverige</w:t>
            </w:r>
          </w:p>
          <w:p w:rsidR="00841EF2" w:rsidRPr="007A08A3" w:rsidRDefault="00841EF2" w:rsidP="004A4074">
            <w:pPr>
              <w:widowControl w:val="0"/>
              <w:numPr>
                <w:ilvl w:val="12"/>
                <w:numId w:val="0"/>
              </w:numPr>
              <w:spacing w:line="240" w:lineRule="auto"/>
              <w:ind w:right="-2"/>
              <w:rPr>
                <w:noProof/>
                <w:lang w:val="sv-SE" w:eastAsia="sl-SI"/>
              </w:rPr>
            </w:pPr>
            <w:r w:rsidRPr="007A08A3">
              <w:rPr>
                <w:noProof/>
                <w:lang w:val="sv-SE" w:eastAsia="sl-SI"/>
              </w:rPr>
              <w:t>KRKA Sverige AB</w:t>
            </w:r>
          </w:p>
          <w:p w:rsidR="00841EF2" w:rsidRPr="007A08A3" w:rsidRDefault="00841EF2" w:rsidP="004A4074">
            <w:pPr>
              <w:widowControl w:val="0"/>
              <w:numPr>
                <w:ilvl w:val="12"/>
                <w:numId w:val="0"/>
              </w:numPr>
              <w:spacing w:line="240" w:lineRule="auto"/>
              <w:ind w:right="-2"/>
              <w:rPr>
                <w:lang w:val="sv-SE" w:eastAsia="sl-SI"/>
              </w:rPr>
            </w:pPr>
            <w:r w:rsidRPr="007A08A3">
              <w:rPr>
                <w:noProof/>
                <w:lang w:val="sv-SE" w:eastAsia="sl-SI"/>
              </w:rPr>
              <w:t>Tel: + 46 (0)</w:t>
            </w:r>
            <w:r w:rsidRPr="007A08A3">
              <w:rPr>
                <w:lang w:val="sv-SE" w:eastAsia="sl-SI"/>
              </w:rPr>
              <w:t>8 643 67 66 (SE)</w:t>
            </w:r>
          </w:p>
          <w:p w:rsidR="00841EF2" w:rsidRPr="007A08A3" w:rsidRDefault="00841EF2" w:rsidP="004A4074">
            <w:pPr>
              <w:widowControl w:val="0"/>
              <w:numPr>
                <w:ilvl w:val="12"/>
                <w:numId w:val="0"/>
              </w:numPr>
              <w:spacing w:line="240" w:lineRule="auto"/>
              <w:ind w:right="-2"/>
              <w:rPr>
                <w:noProof/>
                <w:lang w:val="sv-SE" w:eastAsia="sl-SI"/>
              </w:rPr>
            </w:pPr>
          </w:p>
        </w:tc>
      </w:tr>
      <w:tr w:rsidR="00841EF2" w:rsidRPr="00321FCD" w:rsidTr="004A4074">
        <w:tc>
          <w:tcPr>
            <w:tcW w:w="4680" w:type="dxa"/>
          </w:tcPr>
          <w:p w:rsidR="00841EF2" w:rsidRPr="00321FCD" w:rsidRDefault="00841EF2" w:rsidP="004A4074">
            <w:pPr>
              <w:widowControl w:val="0"/>
              <w:spacing w:line="240" w:lineRule="auto"/>
              <w:rPr>
                <w:b/>
                <w:noProof/>
                <w:lang w:eastAsia="sl-SI"/>
              </w:rPr>
            </w:pPr>
            <w:r w:rsidRPr="00321FCD">
              <w:rPr>
                <w:b/>
                <w:noProof/>
                <w:lang w:eastAsia="sl-SI"/>
              </w:rPr>
              <w:t>Latvija</w:t>
            </w:r>
          </w:p>
          <w:p w:rsidR="00841EF2" w:rsidRPr="00321FCD" w:rsidRDefault="00841EF2" w:rsidP="004A4074">
            <w:pPr>
              <w:widowControl w:val="0"/>
              <w:numPr>
                <w:ilvl w:val="12"/>
                <w:numId w:val="0"/>
              </w:numPr>
              <w:spacing w:line="240" w:lineRule="auto"/>
              <w:ind w:right="-2"/>
              <w:rPr>
                <w:lang w:eastAsia="sl-SI"/>
              </w:rPr>
            </w:pPr>
            <w:r w:rsidRPr="00321FCD">
              <w:rPr>
                <w:lang w:eastAsia="sl-SI"/>
              </w:rPr>
              <w:t xml:space="preserve">KRKA </w:t>
            </w:r>
            <w:proofErr w:type="spellStart"/>
            <w:r w:rsidRPr="00321FCD">
              <w:rPr>
                <w:lang w:eastAsia="sl-SI"/>
              </w:rPr>
              <w:t>Latvija</w:t>
            </w:r>
            <w:proofErr w:type="spellEnd"/>
            <w:r w:rsidRPr="00321FCD">
              <w:rPr>
                <w:lang w:eastAsia="sl-SI"/>
              </w:rPr>
              <w:t xml:space="preserve"> SIA</w:t>
            </w:r>
          </w:p>
          <w:p w:rsidR="00841EF2" w:rsidRPr="00321FCD" w:rsidRDefault="00841EF2" w:rsidP="004A4074">
            <w:pPr>
              <w:widowControl w:val="0"/>
              <w:spacing w:line="240" w:lineRule="auto"/>
              <w:rPr>
                <w:noProof/>
                <w:lang w:eastAsia="sl-SI"/>
              </w:rPr>
            </w:pPr>
            <w:r w:rsidRPr="00321FCD">
              <w:rPr>
                <w:noProof/>
                <w:lang w:eastAsia="sl-SI"/>
              </w:rPr>
              <w:t>Tel: + 371 6 733 86 10</w:t>
            </w:r>
          </w:p>
          <w:p w:rsidR="00841EF2" w:rsidRPr="00321FCD" w:rsidRDefault="00841EF2" w:rsidP="004A4074">
            <w:pPr>
              <w:widowControl w:val="0"/>
              <w:spacing w:line="240" w:lineRule="auto"/>
              <w:rPr>
                <w:noProof/>
                <w:lang w:eastAsia="sl-SI"/>
              </w:rPr>
            </w:pPr>
          </w:p>
        </w:tc>
        <w:tc>
          <w:tcPr>
            <w:tcW w:w="4680" w:type="dxa"/>
          </w:tcPr>
          <w:p w:rsidR="00841EF2" w:rsidRPr="00321FCD" w:rsidRDefault="00841EF2" w:rsidP="004A4074">
            <w:pPr>
              <w:widowControl w:val="0"/>
              <w:numPr>
                <w:ilvl w:val="12"/>
                <w:numId w:val="0"/>
              </w:numPr>
              <w:spacing w:line="240" w:lineRule="auto"/>
              <w:ind w:right="-2"/>
              <w:rPr>
                <w:b/>
                <w:noProof/>
                <w:lang w:eastAsia="sl-SI"/>
              </w:rPr>
            </w:pPr>
            <w:r w:rsidRPr="00321FCD">
              <w:rPr>
                <w:b/>
                <w:noProof/>
                <w:lang w:eastAsia="sl-SI"/>
              </w:rPr>
              <w:t>United Kingdom</w:t>
            </w:r>
          </w:p>
          <w:p w:rsidR="00841EF2" w:rsidRPr="00321FCD" w:rsidRDefault="00841EF2" w:rsidP="004A4074">
            <w:pPr>
              <w:widowControl w:val="0"/>
              <w:numPr>
                <w:ilvl w:val="12"/>
                <w:numId w:val="0"/>
              </w:numPr>
              <w:spacing w:line="240" w:lineRule="auto"/>
              <w:ind w:right="-2"/>
              <w:rPr>
                <w:noProof/>
                <w:lang w:eastAsia="sl-SI"/>
              </w:rPr>
            </w:pPr>
            <w:proofErr w:type="spellStart"/>
            <w:r w:rsidRPr="00321FCD">
              <w:rPr>
                <w:lang w:eastAsia="sl-SI"/>
              </w:rPr>
              <w:t>Consilient</w:t>
            </w:r>
            <w:proofErr w:type="spellEnd"/>
            <w:r w:rsidRPr="00321FCD">
              <w:rPr>
                <w:lang w:eastAsia="sl-SI"/>
              </w:rPr>
              <w:t xml:space="preserve"> Health (UK) Ltd</w:t>
            </w:r>
            <w:r w:rsidRPr="00321FCD">
              <w:rPr>
                <w:noProof/>
                <w:lang w:eastAsia="sl-SI"/>
              </w:rPr>
              <w:t>.</w:t>
            </w:r>
          </w:p>
          <w:p w:rsidR="00841EF2" w:rsidRPr="00321FCD" w:rsidRDefault="00841EF2" w:rsidP="004A4074">
            <w:pPr>
              <w:widowControl w:val="0"/>
              <w:numPr>
                <w:ilvl w:val="12"/>
                <w:numId w:val="0"/>
              </w:numPr>
              <w:spacing w:line="240" w:lineRule="auto"/>
              <w:ind w:right="-2"/>
              <w:rPr>
                <w:lang w:eastAsia="sl-SI"/>
              </w:rPr>
            </w:pPr>
            <w:r w:rsidRPr="00321FCD">
              <w:rPr>
                <w:noProof/>
                <w:lang w:eastAsia="sl-SI"/>
              </w:rPr>
              <w:t>Tel: + 44 (0)203 751 1888</w:t>
            </w:r>
          </w:p>
          <w:p w:rsidR="00841EF2" w:rsidRPr="00321FCD" w:rsidRDefault="00841EF2" w:rsidP="004A4074">
            <w:pPr>
              <w:widowControl w:val="0"/>
              <w:numPr>
                <w:ilvl w:val="12"/>
                <w:numId w:val="0"/>
              </w:numPr>
              <w:spacing w:line="240" w:lineRule="auto"/>
              <w:ind w:right="-2"/>
              <w:rPr>
                <w:noProof/>
                <w:lang w:eastAsia="sl-SI"/>
              </w:rPr>
            </w:pPr>
          </w:p>
        </w:tc>
      </w:tr>
    </w:tbl>
    <w:p w:rsidR="00FC327D" w:rsidRPr="00FC327D" w:rsidRDefault="00FC327D" w:rsidP="00FC327D">
      <w:pPr>
        <w:widowControl w:val="0"/>
        <w:spacing w:line="240" w:lineRule="auto"/>
        <w:rPr>
          <w:noProof/>
          <w:snapToGrid/>
          <w:szCs w:val="22"/>
          <w:highlight w:val="yellow"/>
        </w:rPr>
      </w:pPr>
    </w:p>
    <w:p w:rsidR="000F4F3A" w:rsidRPr="00FC327D" w:rsidRDefault="000F4F3A" w:rsidP="0003742E">
      <w:pPr>
        <w:widowControl w:val="0"/>
        <w:numPr>
          <w:ilvl w:val="12"/>
          <w:numId w:val="0"/>
        </w:numPr>
        <w:tabs>
          <w:tab w:val="clear" w:pos="567"/>
          <w:tab w:val="left" w:pos="720"/>
        </w:tabs>
        <w:spacing w:line="240" w:lineRule="auto"/>
        <w:ind w:right="-2"/>
        <w:outlineLvl w:val="0"/>
        <w:rPr>
          <w:b/>
          <w:szCs w:val="22"/>
          <w:lang w:val="de-DE"/>
        </w:rPr>
      </w:pPr>
      <w:r w:rsidRPr="00FC327D">
        <w:rPr>
          <w:b/>
          <w:noProof/>
          <w:szCs w:val="22"/>
          <w:lang w:val="de-DE"/>
        </w:rPr>
        <w:t>Diese Packungsbeilage wurde zuletzt überarbeitet im</w:t>
      </w:r>
    </w:p>
    <w:p w:rsidR="00637E20" w:rsidRPr="007C3A45" w:rsidRDefault="00637E20" w:rsidP="0003742E">
      <w:pPr>
        <w:widowControl w:val="0"/>
        <w:numPr>
          <w:ilvl w:val="12"/>
          <w:numId w:val="0"/>
        </w:numPr>
        <w:spacing w:line="240" w:lineRule="auto"/>
        <w:ind w:right="-2"/>
        <w:rPr>
          <w:i/>
          <w:szCs w:val="22"/>
          <w:lang w:val="de-DE"/>
        </w:rPr>
      </w:pPr>
    </w:p>
    <w:p w:rsidR="00637E20" w:rsidRDefault="00637E20" w:rsidP="0003742E">
      <w:pPr>
        <w:widowControl w:val="0"/>
        <w:numPr>
          <w:ilvl w:val="12"/>
          <w:numId w:val="0"/>
        </w:numPr>
        <w:spacing w:line="240" w:lineRule="auto"/>
        <w:ind w:right="-2"/>
        <w:rPr>
          <w:noProof/>
          <w:szCs w:val="22"/>
          <w:lang w:val="de-DE"/>
        </w:rPr>
      </w:pPr>
    </w:p>
    <w:p w:rsidR="006B65AD" w:rsidRPr="007C3A45" w:rsidRDefault="00D7558F" w:rsidP="00854C15">
      <w:pPr>
        <w:rPr>
          <w:noProof/>
          <w:szCs w:val="22"/>
          <w:lang w:val="de-DE"/>
        </w:rPr>
      </w:pPr>
      <w:r w:rsidRPr="000B02D8">
        <w:rPr>
          <w:b/>
          <w:szCs w:val="22"/>
          <w:lang w:val="de-DE"/>
        </w:rPr>
        <w:t>Weitere Informationsquellen</w:t>
      </w:r>
    </w:p>
    <w:p w:rsidR="00544F89" w:rsidRPr="007C3A45" w:rsidRDefault="00637E20" w:rsidP="0003742E">
      <w:pPr>
        <w:widowControl w:val="0"/>
        <w:numPr>
          <w:ilvl w:val="12"/>
          <w:numId w:val="0"/>
        </w:numPr>
        <w:spacing w:line="240" w:lineRule="auto"/>
        <w:ind w:right="-2"/>
        <w:rPr>
          <w:noProof/>
          <w:szCs w:val="22"/>
          <w:lang w:val="de-DE"/>
        </w:rPr>
      </w:pPr>
      <w:r w:rsidRPr="007C3A45">
        <w:rPr>
          <w:noProof/>
          <w:szCs w:val="22"/>
          <w:lang w:val="de-DE"/>
        </w:rPr>
        <w:t xml:space="preserve">Ausführliche Informationen zu diesem Arzneimittel sind auf den Internetseiten der Europäischen Arzneimittel-Agentur </w:t>
      </w:r>
      <w:hyperlink r:id="rId16" w:history="1">
        <w:r w:rsidRPr="006B65AD">
          <w:rPr>
            <w:rStyle w:val="Hyperlink"/>
            <w:noProof/>
            <w:szCs w:val="22"/>
            <w:lang w:val="de-DE"/>
          </w:rPr>
          <w:t>http://www.ema.europa.eu/</w:t>
        </w:r>
      </w:hyperlink>
      <w:r w:rsidRPr="007C3A45">
        <w:rPr>
          <w:noProof/>
          <w:szCs w:val="22"/>
          <w:lang w:val="de-DE"/>
        </w:rPr>
        <w:t xml:space="preserve"> verfügbar.</w:t>
      </w:r>
    </w:p>
    <w:p w:rsidR="00637E20" w:rsidRPr="007C3A45" w:rsidRDefault="00637E20" w:rsidP="0003742E">
      <w:pPr>
        <w:widowControl w:val="0"/>
        <w:spacing w:line="240" w:lineRule="auto"/>
        <w:rPr>
          <w:szCs w:val="22"/>
          <w:lang w:val="de-DE"/>
        </w:rPr>
      </w:pPr>
    </w:p>
    <w:p w:rsidR="00FC327D" w:rsidRPr="007C3A45" w:rsidRDefault="00FC327D">
      <w:pPr>
        <w:widowControl w:val="0"/>
        <w:spacing w:line="240" w:lineRule="auto"/>
        <w:rPr>
          <w:szCs w:val="22"/>
          <w:lang w:val="de-DE"/>
        </w:rPr>
      </w:pPr>
    </w:p>
    <w:sectPr w:rsidR="00FC327D" w:rsidRPr="007C3A45" w:rsidSect="00597898">
      <w:footerReference w:type="default" r:id="rId17"/>
      <w:footerReference w:type="first" r:id="rId18"/>
      <w:endnotePr>
        <w:numFmt w:val="decimal"/>
      </w:endnotePr>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4DB" w:rsidRDefault="007554DB">
      <w:pPr>
        <w:rPr>
          <w:szCs w:val="24"/>
        </w:rPr>
      </w:pPr>
      <w:r>
        <w:rPr>
          <w:szCs w:val="24"/>
        </w:rPr>
        <w:separator/>
      </w:r>
    </w:p>
  </w:endnote>
  <w:endnote w:type="continuationSeparator" w:id="0">
    <w:p w:rsidR="007554DB" w:rsidRDefault="007554DB">
      <w:pPr>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AEB" w:rsidRDefault="00497AEB">
    <w:pPr>
      <w:pStyle w:val="Footer"/>
      <w:tabs>
        <w:tab w:val="right" w:pos="8931"/>
      </w:tabs>
      <w:ind w:right="96"/>
      <w:jc w:val="center"/>
      <w:rPr>
        <w:szCs w:val="24"/>
      </w:rPr>
    </w:pPr>
    <w:r>
      <w:rPr>
        <w:szCs w:val="24"/>
      </w:rPr>
      <w:fldChar w:fldCharType="begin"/>
    </w:r>
    <w:r>
      <w:rPr>
        <w:szCs w:val="24"/>
      </w:rPr>
      <w:instrText xml:space="preserve"> EQ </w:instrText>
    </w:r>
    <w:r>
      <w:rPr>
        <w:szCs w:val="24"/>
      </w:rPr>
      <w:fldChar w:fldCharType="end"/>
    </w:r>
    <w:r w:rsidRPr="00F551EF">
      <w:rPr>
        <w:rStyle w:val="PageNumber"/>
        <w:rFonts w:ascii="Arial" w:hAnsi="Arial" w:cs="Arial"/>
        <w:sz w:val="16"/>
        <w:szCs w:val="16"/>
      </w:rPr>
      <w:fldChar w:fldCharType="begin"/>
    </w:r>
    <w:r w:rsidRPr="00F551EF">
      <w:rPr>
        <w:rStyle w:val="PageNumber"/>
        <w:rFonts w:ascii="Arial" w:hAnsi="Arial" w:cs="Arial"/>
        <w:sz w:val="16"/>
        <w:szCs w:val="16"/>
      </w:rPr>
      <w:instrText xml:space="preserve">PAGE  </w:instrText>
    </w:r>
    <w:r w:rsidRPr="00F551EF">
      <w:rPr>
        <w:rStyle w:val="PageNumber"/>
        <w:rFonts w:ascii="Arial" w:hAnsi="Arial" w:cs="Arial"/>
        <w:sz w:val="16"/>
        <w:szCs w:val="16"/>
      </w:rPr>
      <w:fldChar w:fldCharType="separate"/>
    </w:r>
    <w:r w:rsidR="00F054C4">
      <w:rPr>
        <w:rStyle w:val="PageNumber"/>
        <w:rFonts w:ascii="Arial" w:hAnsi="Arial" w:cs="Arial"/>
        <w:noProof/>
        <w:sz w:val="16"/>
        <w:szCs w:val="16"/>
      </w:rPr>
      <w:t>23</w:t>
    </w:r>
    <w:r w:rsidRPr="00F551EF">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AEB" w:rsidRDefault="00497AEB">
    <w:pPr>
      <w:pStyle w:val="Footer"/>
      <w:tabs>
        <w:tab w:val="right" w:pos="8931"/>
      </w:tabs>
      <w:ind w:right="96"/>
      <w:jc w:val="center"/>
      <w:rPr>
        <w:szCs w:val="24"/>
      </w:rPr>
    </w:pPr>
    <w:r>
      <w:rPr>
        <w:szCs w:val="24"/>
      </w:rPr>
      <w:fldChar w:fldCharType="begin"/>
    </w:r>
    <w:r>
      <w:rPr>
        <w:szCs w:val="24"/>
      </w:rPr>
      <w:instrText xml:space="preserve"> EQ </w:instrText>
    </w:r>
    <w:r>
      <w:rPr>
        <w:szCs w:val="24"/>
      </w:rPr>
      <w:fldChar w:fldCharType="end"/>
    </w:r>
    <w:r>
      <w:rPr>
        <w:rStyle w:val="PageNumber"/>
        <w:szCs w:val="24"/>
      </w:rPr>
      <w:fldChar w:fldCharType="begin"/>
    </w:r>
    <w:r>
      <w:rPr>
        <w:rStyle w:val="PageNumber"/>
        <w:szCs w:val="24"/>
      </w:rPr>
      <w:instrText xml:space="preserve">PAGE  </w:instrText>
    </w:r>
    <w:r>
      <w:rPr>
        <w:rStyle w:val="PageNumber"/>
        <w:szCs w:val="24"/>
      </w:rPr>
      <w:fldChar w:fldCharType="separate"/>
    </w:r>
    <w:r w:rsidR="00F054C4">
      <w:rPr>
        <w:rStyle w:val="PageNumber"/>
        <w:noProof/>
        <w:szCs w:val="24"/>
      </w:rPr>
      <w:t>1</w:t>
    </w:r>
    <w:r>
      <w:rPr>
        <w:rStyle w:val="PageNumbe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4DB" w:rsidRDefault="007554DB">
      <w:pPr>
        <w:rPr>
          <w:szCs w:val="24"/>
        </w:rPr>
      </w:pPr>
      <w:r>
        <w:rPr>
          <w:szCs w:val="24"/>
        </w:rPr>
        <w:separator/>
      </w:r>
    </w:p>
  </w:footnote>
  <w:footnote w:type="continuationSeparator" w:id="0">
    <w:p w:rsidR="007554DB" w:rsidRDefault="007554DB">
      <w:pPr>
        <w:rPr>
          <w:szCs w:val="24"/>
        </w:rPr>
      </w:pPr>
      <w:r>
        <w:rPr>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5E229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03E3B3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06659D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148008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C42905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89EF65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0CC3B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2C10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9613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C3A5D3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5E84134"/>
    <w:multiLevelType w:val="hybridMultilevel"/>
    <w:tmpl w:val="4372FB0C"/>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0FA140AC"/>
    <w:multiLevelType w:val="hybridMultilevel"/>
    <w:tmpl w:val="7CCC16E0"/>
    <w:lvl w:ilvl="0" w:tplc="FFFFFFFF">
      <w:numFmt w:val="bullet"/>
      <w:lvlText w:val="-"/>
      <w:lvlJc w:val="left"/>
      <w:pPr>
        <w:ind w:left="720" w:hanging="360"/>
      </w:p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68E07CE"/>
    <w:multiLevelType w:val="hybridMultilevel"/>
    <w:tmpl w:val="58867F18"/>
    <w:lvl w:ilvl="0" w:tplc="FFFFFFFF">
      <w:start w:val="1"/>
      <w:numFmt w:val="bullet"/>
      <w:lvlText w:val="-"/>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94F27B5"/>
    <w:multiLevelType w:val="multilevel"/>
    <w:tmpl w:val="22021248"/>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04E76AF"/>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6" w15:restartNumberingAfterBreak="0">
    <w:nsid w:val="368E30D3"/>
    <w:multiLevelType w:val="multilevel"/>
    <w:tmpl w:val="88209D68"/>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7" w15:restartNumberingAfterBreak="0">
    <w:nsid w:val="3B25314A"/>
    <w:multiLevelType w:val="hybridMultilevel"/>
    <w:tmpl w:val="55B4501C"/>
    <w:lvl w:ilvl="0" w:tplc="1C16D8CE">
      <w:start w:val="1"/>
      <w:numFmt w:val="bullet"/>
      <w:lvlText w:val="-"/>
      <w:lvlJc w:val="left"/>
      <w:pPr>
        <w:tabs>
          <w:tab w:val="num" w:pos="720"/>
        </w:tabs>
        <w:ind w:left="720" w:hanging="360"/>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E119F2"/>
    <w:multiLevelType w:val="hybridMultilevel"/>
    <w:tmpl w:val="2B22F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7DD0CE4"/>
    <w:multiLevelType w:val="hybridMultilevel"/>
    <w:tmpl w:val="7932E8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8B56C73"/>
    <w:multiLevelType w:val="hybridMultilevel"/>
    <w:tmpl w:val="B0DA4330"/>
    <w:lvl w:ilvl="0" w:tplc="1F1E285E">
      <w:start w:val="2"/>
      <w:numFmt w:val="decimal"/>
      <w:lvlText w:val="%1."/>
      <w:lvlJc w:val="left"/>
      <w:pPr>
        <w:tabs>
          <w:tab w:val="num" w:pos="570"/>
        </w:tabs>
        <w:ind w:left="570" w:hanging="570"/>
      </w:pPr>
      <w:rPr>
        <w:rFonts w:cs="Times New Roman" w:hint="default"/>
        <w:b/>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15:restartNumberingAfterBreak="0">
    <w:nsid w:val="5A1B12DB"/>
    <w:multiLevelType w:val="hybridMultilevel"/>
    <w:tmpl w:val="157CADB4"/>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2" w15:restartNumberingAfterBreak="0">
    <w:nsid w:val="6B014835"/>
    <w:multiLevelType w:val="multilevel"/>
    <w:tmpl w:val="CFACB26E"/>
    <w:lvl w:ilvl="0">
      <w:start w:val="4"/>
      <w:numFmt w:val="decimal"/>
      <w:lvlText w:val="%1"/>
      <w:lvlJc w:val="left"/>
      <w:pPr>
        <w:tabs>
          <w:tab w:val="num" w:pos="570"/>
        </w:tabs>
        <w:ind w:left="570" w:hanging="570"/>
      </w:pPr>
      <w:rPr>
        <w:rFonts w:cs="Times New Roman" w:hint="default"/>
      </w:rPr>
    </w:lvl>
    <w:lvl w:ilvl="1">
      <w:start w:val="8"/>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3" w15:restartNumberingAfterBreak="0">
    <w:nsid w:val="6B794A90"/>
    <w:multiLevelType w:val="hybridMultilevel"/>
    <w:tmpl w:val="6C488C86"/>
    <w:lvl w:ilvl="0" w:tplc="330A4FBC">
      <w:start w:val="1"/>
      <w:numFmt w:val="bullet"/>
      <w:lvlText w:val="-"/>
      <w:lvlJc w:val="left"/>
      <w:pPr>
        <w:ind w:left="1287" w:hanging="360"/>
      </w:pPr>
      <w:rPr>
        <w:rFonts w:ascii="Times New Roman"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4" w15:restartNumberingAfterBreak="0">
    <w:nsid w:val="780812D7"/>
    <w:multiLevelType w:val="hybridMultilevel"/>
    <w:tmpl w:val="F8B4A92E"/>
    <w:lvl w:ilvl="0" w:tplc="FFFFFFFF">
      <w:numFmt w:val="bullet"/>
      <w:lvlText w:val="-"/>
      <w:lvlJc w:val="left"/>
      <w:pPr>
        <w:ind w:left="720" w:hanging="360"/>
      </w:p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F7F0F4C"/>
    <w:multiLevelType w:val="hybridMultilevel"/>
    <w:tmpl w:val="F732E72A"/>
    <w:lvl w:ilvl="0" w:tplc="F30EE344">
      <w:numFmt w:val="bullet"/>
      <w:lvlText w:val="-"/>
      <w:lvlJc w:val="left"/>
      <w:pPr>
        <w:tabs>
          <w:tab w:val="num" w:pos="648"/>
        </w:tabs>
        <w:ind w:left="648"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5"/>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lvl w:ilvl="0">
        <w:numFmt w:val="bullet"/>
        <w:lvlText w:val="-"/>
        <w:lvlJc w:val="left"/>
        <w:pPr>
          <w:ind w:left="360" w:hanging="360"/>
        </w:pPr>
      </w:lvl>
    </w:lvlOverride>
  </w:num>
  <w:num w:numId="6">
    <w:abstractNumId w:val="24"/>
  </w:num>
  <w:num w:numId="7">
    <w:abstractNumId w:val="12"/>
  </w:num>
  <w:num w:numId="8">
    <w:abstractNumId w:val="21"/>
  </w:num>
  <w:num w:numId="9">
    <w:abstractNumId w:val="14"/>
  </w:num>
  <w:num w:numId="10">
    <w:abstractNumId w:val="18"/>
  </w:num>
  <w:num w:numId="11">
    <w:abstractNumId w:val="19"/>
  </w:num>
  <w:num w:numId="12">
    <w:abstractNumId w:val="25"/>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13"/>
  </w:num>
  <w:num w:numId="24">
    <w:abstractNumId w:val="11"/>
  </w:num>
  <w:num w:numId="25">
    <w:abstractNumId w:val="10"/>
    <w:lvlOverride w:ilvl="0">
      <w:lvl w:ilvl="0">
        <w:start w:val="65535"/>
        <w:numFmt w:val="bullet"/>
        <w:lvlText w:val="-"/>
        <w:legacy w:legacy="1" w:legacySpace="0" w:legacyIndent="144"/>
        <w:lvlJc w:val="left"/>
        <w:rPr>
          <w:rFonts w:ascii="Verdana" w:hAnsi="Verdana" w:hint="default"/>
        </w:rPr>
      </w:lvl>
    </w:lvlOverride>
  </w:num>
  <w:num w:numId="26">
    <w:abstractNumId w:val="17"/>
  </w:num>
  <w:num w:numId="27">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numFmt w:val="decimal"/>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812D16"/>
    <w:rsid w:val="00000D62"/>
    <w:rsid w:val="00001587"/>
    <w:rsid w:val="00001CCA"/>
    <w:rsid w:val="00001D7F"/>
    <w:rsid w:val="00002FAB"/>
    <w:rsid w:val="0000362A"/>
    <w:rsid w:val="00005701"/>
    <w:rsid w:val="00007528"/>
    <w:rsid w:val="0001164F"/>
    <w:rsid w:val="00012F8A"/>
    <w:rsid w:val="00014869"/>
    <w:rsid w:val="000150D3"/>
    <w:rsid w:val="000166C1"/>
    <w:rsid w:val="00017495"/>
    <w:rsid w:val="0002006B"/>
    <w:rsid w:val="00020AE8"/>
    <w:rsid w:val="00021BCE"/>
    <w:rsid w:val="00023E2B"/>
    <w:rsid w:val="00024F90"/>
    <w:rsid w:val="00025EBE"/>
    <w:rsid w:val="00026BF2"/>
    <w:rsid w:val="000271F6"/>
    <w:rsid w:val="00030445"/>
    <w:rsid w:val="000313BF"/>
    <w:rsid w:val="000318C7"/>
    <w:rsid w:val="00032C6C"/>
    <w:rsid w:val="00033FDB"/>
    <w:rsid w:val="000344F6"/>
    <w:rsid w:val="0003571E"/>
    <w:rsid w:val="00035801"/>
    <w:rsid w:val="00035925"/>
    <w:rsid w:val="0003742E"/>
    <w:rsid w:val="00042263"/>
    <w:rsid w:val="00043505"/>
    <w:rsid w:val="00044042"/>
    <w:rsid w:val="00046D64"/>
    <w:rsid w:val="000474D2"/>
    <w:rsid w:val="000479C5"/>
    <w:rsid w:val="00050DFD"/>
    <w:rsid w:val="00053809"/>
    <w:rsid w:val="00053914"/>
    <w:rsid w:val="00054756"/>
    <w:rsid w:val="000560C5"/>
    <w:rsid w:val="000563F7"/>
    <w:rsid w:val="00056C49"/>
    <w:rsid w:val="00056FE0"/>
    <w:rsid w:val="000600C7"/>
    <w:rsid w:val="000603C8"/>
    <w:rsid w:val="000608A4"/>
    <w:rsid w:val="00060AA1"/>
    <w:rsid w:val="000631FD"/>
    <w:rsid w:val="00071F8A"/>
    <w:rsid w:val="00073334"/>
    <w:rsid w:val="00073D32"/>
    <w:rsid w:val="00073E04"/>
    <w:rsid w:val="0007628D"/>
    <w:rsid w:val="00081B49"/>
    <w:rsid w:val="00081DAB"/>
    <w:rsid w:val="00091E55"/>
    <w:rsid w:val="0009351E"/>
    <w:rsid w:val="0009359E"/>
    <w:rsid w:val="0009479A"/>
    <w:rsid w:val="00094EC5"/>
    <w:rsid w:val="000955A3"/>
    <w:rsid w:val="00095E44"/>
    <w:rsid w:val="00096D8D"/>
    <w:rsid w:val="0009755A"/>
    <w:rsid w:val="000A1232"/>
    <w:rsid w:val="000A40D0"/>
    <w:rsid w:val="000A588D"/>
    <w:rsid w:val="000B0097"/>
    <w:rsid w:val="000B101F"/>
    <w:rsid w:val="000B144E"/>
    <w:rsid w:val="000B1F4B"/>
    <w:rsid w:val="000B2F27"/>
    <w:rsid w:val="000B2F58"/>
    <w:rsid w:val="000B37A8"/>
    <w:rsid w:val="000B51D9"/>
    <w:rsid w:val="000B6E6E"/>
    <w:rsid w:val="000C03FB"/>
    <w:rsid w:val="000C308F"/>
    <w:rsid w:val="000C5A4E"/>
    <w:rsid w:val="000C6324"/>
    <w:rsid w:val="000C635D"/>
    <w:rsid w:val="000C7F49"/>
    <w:rsid w:val="000D1AEE"/>
    <w:rsid w:val="000D1F4F"/>
    <w:rsid w:val="000D4D07"/>
    <w:rsid w:val="000D712E"/>
    <w:rsid w:val="000D7535"/>
    <w:rsid w:val="000D7A01"/>
    <w:rsid w:val="000E165D"/>
    <w:rsid w:val="000E1778"/>
    <w:rsid w:val="000E1BAF"/>
    <w:rsid w:val="000E223E"/>
    <w:rsid w:val="000E2491"/>
    <w:rsid w:val="000E2EA9"/>
    <w:rsid w:val="000E3F48"/>
    <w:rsid w:val="000E46A3"/>
    <w:rsid w:val="000E4E88"/>
    <w:rsid w:val="000E5726"/>
    <w:rsid w:val="000E6C94"/>
    <w:rsid w:val="000F1BB2"/>
    <w:rsid w:val="000F2F63"/>
    <w:rsid w:val="000F3718"/>
    <w:rsid w:val="000F3F94"/>
    <w:rsid w:val="000F4F3A"/>
    <w:rsid w:val="00103501"/>
    <w:rsid w:val="00103B2D"/>
    <w:rsid w:val="00103CD2"/>
    <w:rsid w:val="00104061"/>
    <w:rsid w:val="0010426F"/>
    <w:rsid w:val="001062D3"/>
    <w:rsid w:val="00107236"/>
    <w:rsid w:val="001101A2"/>
    <w:rsid w:val="001103D2"/>
    <w:rsid w:val="001106F7"/>
    <w:rsid w:val="001108A9"/>
    <w:rsid w:val="00112EDA"/>
    <w:rsid w:val="00114174"/>
    <w:rsid w:val="00117C1D"/>
    <w:rsid w:val="00123688"/>
    <w:rsid w:val="00125562"/>
    <w:rsid w:val="00125EB7"/>
    <w:rsid w:val="00127F47"/>
    <w:rsid w:val="0013029F"/>
    <w:rsid w:val="00133290"/>
    <w:rsid w:val="00133572"/>
    <w:rsid w:val="00136D7A"/>
    <w:rsid w:val="00137CCD"/>
    <w:rsid w:val="00141135"/>
    <w:rsid w:val="00141470"/>
    <w:rsid w:val="00141540"/>
    <w:rsid w:val="001449DF"/>
    <w:rsid w:val="00144A80"/>
    <w:rsid w:val="0014569B"/>
    <w:rsid w:val="001470E0"/>
    <w:rsid w:val="00147C01"/>
    <w:rsid w:val="00150060"/>
    <w:rsid w:val="00154C69"/>
    <w:rsid w:val="00155160"/>
    <w:rsid w:val="0015704C"/>
    <w:rsid w:val="001575AC"/>
    <w:rsid w:val="00161701"/>
    <w:rsid w:val="00161E87"/>
    <w:rsid w:val="00164C3C"/>
    <w:rsid w:val="0016566C"/>
    <w:rsid w:val="00171E2D"/>
    <w:rsid w:val="00172367"/>
    <w:rsid w:val="001727F0"/>
    <w:rsid w:val="00172B06"/>
    <w:rsid w:val="00172E52"/>
    <w:rsid w:val="0017347E"/>
    <w:rsid w:val="001752D8"/>
    <w:rsid w:val="00175931"/>
    <w:rsid w:val="00175B8B"/>
    <w:rsid w:val="00176B25"/>
    <w:rsid w:val="00180A5E"/>
    <w:rsid w:val="0018238B"/>
    <w:rsid w:val="001825E3"/>
    <w:rsid w:val="00183419"/>
    <w:rsid w:val="0018394A"/>
    <w:rsid w:val="00184DCC"/>
    <w:rsid w:val="00186A9D"/>
    <w:rsid w:val="001874A6"/>
    <w:rsid w:val="0018765B"/>
    <w:rsid w:val="00190913"/>
    <w:rsid w:val="0019396C"/>
    <w:rsid w:val="00193DD3"/>
    <w:rsid w:val="00193F3B"/>
    <w:rsid w:val="001958A3"/>
    <w:rsid w:val="00195F65"/>
    <w:rsid w:val="001A07E2"/>
    <w:rsid w:val="001A2018"/>
    <w:rsid w:val="001A56F1"/>
    <w:rsid w:val="001A69B8"/>
    <w:rsid w:val="001B01C8"/>
    <w:rsid w:val="001B0B52"/>
    <w:rsid w:val="001B13F6"/>
    <w:rsid w:val="001B1747"/>
    <w:rsid w:val="001B1D01"/>
    <w:rsid w:val="001B2D44"/>
    <w:rsid w:val="001B35B6"/>
    <w:rsid w:val="001B752A"/>
    <w:rsid w:val="001C12FB"/>
    <w:rsid w:val="001C2463"/>
    <w:rsid w:val="001C2DB4"/>
    <w:rsid w:val="001C3228"/>
    <w:rsid w:val="001C35E9"/>
    <w:rsid w:val="001C36BD"/>
    <w:rsid w:val="001C3733"/>
    <w:rsid w:val="001C49B3"/>
    <w:rsid w:val="001C5B30"/>
    <w:rsid w:val="001C6470"/>
    <w:rsid w:val="001D229D"/>
    <w:rsid w:val="001D3C05"/>
    <w:rsid w:val="001D6AF4"/>
    <w:rsid w:val="001E0CC1"/>
    <w:rsid w:val="001E1C10"/>
    <w:rsid w:val="001E24C2"/>
    <w:rsid w:val="001E3146"/>
    <w:rsid w:val="001E3CC0"/>
    <w:rsid w:val="001E77C3"/>
    <w:rsid w:val="001F090B"/>
    <w:rsid w:val="001F0D16"/>
    <w:rsid w:val="001F180A"/>
    <w:rsid w:val="001F1A28"/>
    <w:rsid w:val="001F1AD0"/>
    <w:rsid w:val="001F35E8"/>
    <w:rsid w:val="001F4014"/>
    <w:rsid w:val="001F445E"/>
    <w:rsid w:val="001F6C53"/>
    <w:rsid w:val="00201213"/>
    <w:rsid w:val="0020165E"/>
    <w:rsid w:val="00202898"/>
    <w:rsid w:val="00202E50"/>
    <w:rsid w:val="0020395A"/>
    <w:rsid w:val="00205180"/>
    <w:rsid w:val="002065AD"/>
    <w:rsid w:val="00207546"/>
    <w:rsid w:val="00207F81"/>
    <w:rsid w:val="002109F4"/>
    <w:rsid w:val="00211ED8"/>
    <w:rsid w:val="00211FDA"/>
    <w:rsid w:val="00215FDA"/>
    <w:rsid w:val="002160C2"/>
    <w:rsid w:val="002161A3"/>
    <w:rsid w:val="0022089F"/>
    <w:rsid w:val="002229E0"/>
    <w:rsid w:val="00222BB9"/>
    <w:rsid w:val="002246A6"/>
    <w:rsid w:val="00224CC2"/>
    <w:rsid w:val="002258D6"/>
    <w:rsid w:val="002274FB"/>
    <w:rsid w:val="002309D2"/>
    <w:rsid w:val="00231630"/>
    <w:rsid w:val="00231B61"/>
    <w:rsid w:val="0023315B"/>
    <w:rsid w:val="002347FE"/>
    <w:rsid w:val="002354B1"/>
    <w:rsid w:val="00241122"/>
    <w:rsid w:val="0024178D"/>
    <w:rsid w:val="00241D07"/>
    <w:rsid w:val="0024392B"/>
    <w:rsid w:val="002450C6"/>
    <w:rsid w:val="00245DCF"/>
    <w:rsid w:val="00246C65"/>
    <w:rsid w:val="002542A8"/>
    <w:rsid w:val="00260344"/>
    <w:rsid w:val="00260A11"/>
    <w:rsid w:val="0026169A"/>
    <w:rsid w:val="00262763"/>
    <w:rsid w:val="00264BEA"/>
    <w:rsid w:val="0026534E"/>
    <w:rsid w:val="00265AE3"/>
    <w:rsid w:val="00267850"/>
    <w:rsid w:val="00270364"/>
    <w:rsid w:val="00271032"/>
    <w:rsid w:val="00271A4D"/>
    <w:rsid w:val="00273E3E"/>
    <w:rsid w:val="00274147"/>
    <w:rsid w:val="00274A7D"/>
    <w:rsid w:val="00275189"/>
    <w:rsid w:val="002756DC"/>
    <w:rsid w:val="0027581C"/>
    <w:rsid w:val="00276412"/>
    <w:rsid w:val="00276437"/>
    <w:rsid w:val="002777C0"/>
    <w:rsid w:val="0028063F"/>
    <w:rsid w:val="00280740"/>
    <w:rsid w:val="00283B02"/>
    <w:rsid w:val="00283C5D"/>
    <w:rsid w:val="002844B0"/>
    <w:rsid w:val="00286322"/>
    <w:rsid w:val="00287682"/>
    <w:rsid w:val="00296B03"/>
    <w:rsid w:val="00296C1F"/>
    <w:rsid w:val="002A210D"/>
    <w:rsid w:val="002A41E6"/>
    <w:rsid w:val="002A44C8"/>
    <w:rsid w:val="002A5E48"/>
    <w:rsid w:val="002B0059"/>
    <w:rsid w:val="002B0455"/>
    <w:rsid w:val="002B161A"/>
    <w:rsid w:val="002B261C"/>
    <w:rsid w:val="002B2BEE"/>
    <w:rsid w:val="002B35C5"/>
    <w:rsid w:val="002B3935"/>
    <w:rsid w:val="002B3F8D"/>
    <w:rsid w:val="002B3F92"/>
    <w:rsid w:val="002B406A"/>
    <w:rsid w:val="002B41D4"/>
    <w:rsid w:val="002B543F"/>
    <w:rsid w:val="002B7D73"/>
    <w:rsid w:val="002C06E3"/>
    <w:rsid w:val="002C0801"/>
    <w:rsid w:val="002C33B3"/>
    <w:rsid w:val="002C3525"/>
    <w:rsid w:val="002C3D58"/>
    <w:rsid w:val="002C44B0"/>
    <w:rsid w:val="002C4E07"/>
    <w:rsid w:val="002C5462"/>
    <w:rsid w:val="002C6B89"/>
    <w:rsid w:val="002C6CDE"/>
    <w:rsid w:val="002D0586"/>
    <w:rsid w:val="002D1023"/>
    <w:rsid w:val="002D1459"/>
    <w:rsid w:val="002D1470"/>
    <w:rsid w:val="002D21CF"/>
    <w:rsid w:val="002D4705"/>
    <w:rsid w:val="002D49B4"/>
    <w:rsid w:val="002D4A62"/>
    <w:rsid w:val="002D5B65"/>
    <w:rsid w:val="002D6396"/>
    <w:rsid w:val="002D7E5E"/>
    <w:rsid w:val="002E07EF"/>
    <w:rsid w:val="002E0D06"/>
    <w:rsid w:val="002E1810"/>
    <w:rsid w:val="002E4875"/>
    <w:rsid w:val="002E4E94"/>
    <w:rsid w:val="002F1F28"/>
    <w:rsid w:val="002F3E53"/>
    <w:rsid w:val="002F43CA"/>
    <w:rsid w:val="002F57AA"/>
    <w:rsid w:val="002F5882"/>
    <w:rsid w:val="002F5C04"/>
    <w:rsid w:val="002F69F3"/>
    <w:rsid w:val="002F714C"/>
    <w:rsid w:val="002F77BF"/>
    <w:rsid w:val="003004A2"/>
    <w:rsid w:val="00303DD5"/>
    <w:rsid w:val="00306D41"/>
    <w:rsid w:val="00307B74"/>
    <w:rsid w:val="00310764"/>
    <w:rsid w:val="00316236"/>
    <w:rsid w:val="00317A9D"/>
    <w:rsid w:val="00317AD1"/>
    <w:rsid w:val="00320203"/>
    <w:rsid w:val="00322002"/>
    <w:rsid w:val="003247B0"/>
    <w:rsid w:val="00325E81"/>
    <w:rsid w:val="00326948"/>
    <w:rsid w:val="00327052"/>
    <w:rsid w:val="0033094C"/>
    <w:rsid w:val="00331E36"/>
    <w:rsid w:val="00334449"/>
    <w:rsid w:val="0033486D"/>
    <w:rsid w:val="003367C4"/>
    <w:rsid w:val="00336D8E"/>
    <w:rsid w:val="003376B3"/>
    <w:rsid w:val="00343B65"/>
    <w:rsid w:val="00345F9C"/>
    <w:rsid w:val="00347776"/>
    <w:rsid w:val="00351A91"/>
    <w:rsid w:val="003520C4"/>
    <w:rsid w:val="003527D9"/>
    <w:rsid w:val="003533AE"/>
    <w:rsid w:val="00355E14"/>
    <w:rsid w:val="003567F1"/>
    <w:rsid w:val="00360810"/>
    <w:rsid w:val="00361280"/>
    <w:rsid w:val="003615F1"/>
    <w:rsid w:val="003617C1"/>
    <w:rsid w:val="00361A6E"/>
    <w:rsid w:val="00363D7F"/>
    <w:rsid w:val="00366037"/>
    <w:rsid w:val="00367C66"/>
    <w:rsid w:val="003700B2"/>
    <w:rsid w:val="00371F9F"/>
    <w:rsid w:val="0037233D"/>
    <w:rsid w:val="003736EF"/>
    <w:rsid w:val="003737E3"/>
    <w:rsid w:val="00377C1A"/>
    <w:rsid w:val="00380A1A"/>
    <w:rsid w:val="00380D80"/>
    <w:rsid w:val="00383F97"/>
    <w:rsid w:val="0038500E"/>
    <w:rsid w:val="0038761D"/>
    <w:rsid w:val="003906F8"/>
    <w:rsid w:val="003935EE"/>
    <w:rsid w:val="0039408A"/>
    <w:rsid w:val="003945F5"/>
    <w:rsid w:val="0039673D"/>
    <w:rsid w:val="00396FDA"/>
    <w:rsid w:val="003975DA"/>
    <w:rsid w:val="00397893"/>
    <w:rsid w:val="00397ADE"/>
    <w:rsid w:val="003A2407"/>
    <w:rsid w:val="003A2CF0"/>
    <w:rsid w:val="003A33D3"/>
    <w:rsid w:val="003A3880"/>
    <w:rsid w:val="003A5518"/>
    <w:rsid w:val="003A5BC5"/>
    <w:rsid w:val="003A5D55"/>
    <w:rsid w:val="003A71E7"/>
    <w:rsid w:val="003A75E6"/>
    <w:rsid w:val="003B0859"/>
    <w:rsid w:val="003B20AC"/>
    <w:rsid w:val="003B255B"/>
    <w:rsid w:val="003B3317"/>
    <w:rsid w:val="003B4B2F"/>
    <w:rsid w:val="003B52D4"/>
    <w:rsid w:val="003C1CA5"/>
    <w:rsid w:val="003C1EC7"/>
    <w:rsid w:val="003C3D8E"/>
    <w:rsid w:val="003C64A0"/>
    <w:rsid w:val="003C6F0B"/>
    <w:rsid w:val="003C7BA3"/>
    <w:rsid w:val="003D0C9B"/>
    <w:rsid w:val="003D0DD4"/>
    <w:rsid w:val="003D2038"/>
    <w:rsid w:val="003D4E9C"/>
    <w:rsid w:val="003D5943"/>
    <w:rsid w:val="003D70A3"/>
    <w:rsid w:val="003E0D78"/>
    <w:rsid w:val="003E1CB1"/>
    <w:rsid w:val="003E2A60"/>
    <w:rsid w:val="003E2A79"/>
    <w:rsid w:val="003E3A1D"/>
    <w:rsid w:val="003E43DB"/>
    <w:rsid w:val="003E6CA0"/>
    <w:rsid w:val="003F1F41"/>
    <w:rsid w:val="003F2FDE"/>
    <w:rsid w:val="003F330B"/>
    <w:rsid w:val="003F3B5D"/>
    <w:rsid w:val="003F6FDF"/>
    <w:rsid w:val="004016F5"/>
    <w:rsid w:val="004045AA"/>
    <w:rsid w:val="00405291"/>
    <w:rsid w:val="0040549A"/>
    <w:rsid w:val="004055AE"/>
    <w:rsid w:val="00405CC9"/>
    <w:rsid w:val="00405F37"/>
    <w:rsid w:val="00407D67"/>
    <w:rsid w:val="004138DE"/>
    <w:rsid w:val="00414B2F"/>
    <w:rsid w:val="00415E58"/>
    <w:rsid w:val="00416231"/>
    <w:rsid w:val="004208AB"/>
    <w:rsid w:val="004219EF"/>
    <w:rsid w:val="00423E03"/>
    <w:rsid w:val="00424067"/>
    <w:rsid w:val="00424B13"/>
    <w:rsid w:val="00424C0C"/>
    <w:rsid w:val="00426CD9"/>
    <w:rsid w:val="004277C0"/>
    <w:rsid w:val="00430FEB"/>
    <w:rsid w:val="004310EE"/>
    <w:rsid w:val="00432A3A"/>
    <w:rsid w:val="00432FF8"/>
    <w:rsid w:val="00433677"/>
    <w:rsid w:val="00433771"/>
    <w:rsid w:val="004340D5"/>
    <w:rsid w:val="00434880"/>
    <w:rsid w:val="0043526D"/>
    <w:rsid w:val="00437AA0"/>
    <w:rsid w:val="004460E9"/>
    <w:rsid w:val="004468B1"/>
    <w:rsid w:val="00447B6F"/>
    <w:rsid w:val="00447DA1"/>
    <w:rsid w:val="00453623"/>
    <w:rsid w:val="00453C11"/>
    <w:rsid w:val="00454B63"/>
    <w:rsid w:val="004557B0"/>
    <w:rsid w:val="00455EA0"/>
    <w:rsid w:val="00456052"/>
    <w:rsid w:val="00457946"/>
    <w:rsid w:val="00457D8B"/>
    <w:rsid w:val="00460A17"/>
    <w:rsid w:val="00460D9E"/>
    <w:rsid w:val="0046112A"/>
    <w:rsid w:val="00461465"/>
    <w:rsid w:val="00463ECE"/>
    <w:rsid w:val="00470CB5"/>
    <w:rsid w:val="00471186"/>
    <w:rsid w:val="00471EAB"/>
    <w:rsid w:val="004723EE"/>
    <w:rsid w:val="00474E0E"/>
    <w:rsid w:val="0047548A"/>
    <w:rsid w:val="00475A92"/>
    <w:rsid w:val="00477BB9"/>
    <w:rsid w:val="00485E21"/>
    <w:rsid w:val="00487366"/>
    <w:rsid w:val="004873E4"/>
    <w:rsid w:val="00487B8C"/>
    <w:rsid w:val="0049072C"/>
    <w:rsid w:val="00490FD1"/>
    <w:rsid w:val="0049152D"/>
    <w:rsid w:val="00491AD2"/>
    <w:rsid w:val="004935C0"/>
    <w:rsid w:val="00493B43"/>
    <w:rsid w:val="00494EB1"/>
    <w:rsid w:val="00496414"/>
    <w:rsid w:val="00497A38"/>
    <w:rsid w:val="00497AEB"/>
    <w:rsid w:val="004A3CFB"/>
    <w:rsid w:val="004A3D0A"/>
    <w:rsid w:val="004A4074"/>
    <w:rsid w:val="004A45BD"/>
    <w:rsid w:val="004A4656"/>
    <w:rsid w:val="004A77B0"/>
    <w:rsid w:val="004B08A9"/>
    <w:rsid w:val="004B1CED"/>
    <w:rsid w:val="004B1D90"/>
    <w:rsid w:val="004B216D"/>
    <w:rsid w:val="004B34A7"/>
    <w:rsid w:val="004B3B06"/>
    <w:rsid w:val="004B4643"/>
    <w:rsid w:val="004B7BA7"/>
    <w:rsid w:val="004B7F67"/>
    <w:rsid w:val="004C0C91"/>
    <w:rsid w:val="004C1994"/>
    <w:rsid w:val="004C5D00"/>
    <w:rsid w:val="004D4080"/>
    <w:rsid w:val="004E05FD"/>
    <w:rsid w:val="004E1A0D"/>
    <w:rsid w:val="004E23F5"/>
    <w:rsid w:val="004E5418"/>
    <w:rsid w:val="004E5EC5"/>
    <w:rsid w:val="004E63E5"/>
    <w:rsid w:val="004E6B76"/>
    <w:rsid w:val="004E73F9"/>
    <w:rsid w:val="004F2993"/>
    <w:rsid w:val="004F3540"/>
    <w:rsid w:val="004F52DB"/>
    <w:rsid w:val="004F5624"/>
    <w:rsid w:val="004F5DA4"/>
    <w:rsid w:val="004F62B2"/>
    <w:rsid w:val="004F6424"/>
    <w:rsid w:val="00501396"/>
    <w:rsid w:val="005034FE"/>
    <w:rsid w:val="005040CD"/>
    <w:rsid w:val="00505229"/>
    <w:rsid w:val="00505972"/>
    <w:rsid w:val="0050748E"/>
    <w:rsid w:val="0050759B"/>
    <w:rsid w:val="00507F98"/>
    <w:rsid w:val="005108A3"/>
    <w:rsid w:val="005109DB"/>
    <w:rsid w:val="00510F6E"/>
    <w:rsid w:val="005118AE"/>
    <w:rsid w:val="00513457"/>
    <w:rsid w:val="00515501"/>
    <w:rsid w:val="0051587A"/>
    <w:rsid w:val="005158FA"/>
    <w:rsid w:val="005169AD"/>
    <w:rsid w:val="00516E3C"/>
    <w:rsid w:val="005208B9"/>
    <w:rsid w:val="00521CB2"/>
    <w:rsid w:val="005221F0"/>
    <w:rsid w:val="005242B6"/>
    <w:rsid w:val="005242D3"/>
    <w:rsid w:val="00524807"/>
    <w:rsid w:val="00525FF9"/>
    <w:rsid w:val="00526561"/>
    <w:rsid w:val="005317D2"/>
    <w:rsid w:val="00531C58"/>
    <w:rsid w:val="00532C41"/>
    <w:rsid w:val="00532D3F"/>
    <w:rsid w:val="0053386D"/>
    <w:rsid w:val="00534700"/>
    <w:rsid w:val="0053791F"/>
    <w:rsid w:val="00544F89"/>
    <w:rsid w:val="00547538"/>
    <w:rsid w:val="00547E04"/>
    <w:rsid w:val="00552372"/>
    <w:rsid w:val="00553BFA"/>
    <w:rsid w:val="00554D05"/>
    <w:rsid w:val="0056077E"/>
    <w:rsid w:val="00560EDA"/>
    <w:rsid w:val="0056213D"/>
    <w:rsid w:val="005629EE"/>
    <w:rsid w:val="005630AB"/>
    <w:rsid w:val="0056352F"/>
    <w:rsid w:val="005642B6"/>
    <w:rsid w:val="005648FA"/>
    <w:rsid w:val="00564D50"/>
    <w:rsid w:val="005653E6"/>
    <w:rsid w:val="00567346"/>
    <w:rsid w:val="0057371B"/>
    <w:rsid w:val="00573E71"/>
    <w:rsid w:val="00575EB8"/>
    <w:rsid w:val="00580BC1"/>
    <w:rsid w:val="00581A01"/>
    <w:rsid w:val="00582A9B"/>
    <w:rsid w:val="005832AB"/>
    <w:rsid w:val="0058437C"/>
    <w:rsid w:val="005860EA"/>
    <w:rsid w:val="00587976"/>
    <w:rsid w:val="005918F5"/>
    <w:rsid w:val="00591CC1"/>
    <w:rsid w:val="00592E35"/>
    <w:rsid w:val="005935F4"/>
    <w:rsid w:val="00593E0A"/>
    <w:rsid w:val="00595224"/>
    <w:rsid w:val="00597898"/>
    <w:rsid w:val="005A00FE"/>
    <w:rsid w:val="005A167F"/>
    <w:rsid w:val="005A346E"/>
    <w:rsid w:val="005A3561"/>
    <w:rsid w:val="005A73CF"/>
    <w:rsid w:val="005B2859"/>
    <w:rsid w:val="005B3F6F"/>
    <w:rsid w:val="005B798B"/>
    <w:rsid w:val="005B7B1D"/>
    <w:rsid w:val="005C1FAE"/>
    <w:rsid w:val="005C2C90"/>
    <w:rsid w:val="005C39E8"/>
    <w:rsid w:val="005C5660"/>
    <w:rsid w:val="005D4B68"/>
    <w:rsid w:val="005D7345"/>
    <w:rsid w:val="005D7CD4"/>
    <w:rsid w:val="005E025B"/>
    <w:rsid w:val="005E11C1"/>
    <w:rsid w:val="005E1BDC"/>
    <w:rsid w:val="005E2563"/>
    <w:rsid w:val="005E394C"/>
    <w:rsid w:val="005E42BF"/>
    <w:rsid w:val="005E4E70"/>
    <w:rsid w:val="005E65BB"/>
    <w:rsid w:val="005F0DA0"/>
    <w:rsid w:val="005F4914"/>
    <w:rsid w:val="005F62B7"/>
    <w:rsid w:val="005F6869"/>
    <w:rsid w:val="005F6BB9"/>
    <w:rsid w:val="0060069E"/>
    <w:rsid w:val="00601015"/>
    <w:rsid w:val="006028DA"/>
    <w:rsid w:val="00602E8F"/>
    <w:rsid w:val="00603148"/>
    <w:rsid w:val="00604DEC"/>
    <w:rsid w:val="00606FC7"/>
    <w:rsid w:val="00610456"/>
    <w:rsid w:val="00611473"/>
    <w:rsid w:val="00611B36"/>
    <w:rsid w:val="00611F77"/>
    <w:rsid w:val="00613A34"/>
    <w:rsid w:val="00614BCC"/>
    <w:rsid w:val="00615ADA"/>
    <w:rsid w:val="00616958"/>
    <w:rsid w:val="0062125F"/>
    <w:rsid w:val="006221CD"/>
    <w:rsid w:val="006266A9"/>
    <w:rsid w:val="00630426"/>
    <w:rsid w:val="006316C1"/>
    <w:rsid w:val="00631ED4"/>
    <w:rsid w:val="00633BC7"/>
    <w:rsid w:val="00634813"/>
    <w:rsid w:val="00635629"/>
    <w:rsid w:val="00635E9C"/>
    <w:rsid w:val="00636B07"/>
    <w:rsid w:val="00637B41"/>
    <w:rsid w:val="00637E20"/>
    <w:rsid w:val="006414EE"/>
    <w:rsid w:val="00642524"/>
    <w:rsid w:val="00642D0A"/>
    <w:rsid w:val="0064536E"/>
    <w:rsid w:val="00646FE1"/>
    <w:rsid w:val="00647DB0"/>
    <w:rsid w:val="00647F08"/>
    <w:rsid w:val="0065581D"/>
    <w:rsid w:val="00655C2F"/>
    <w:rsid w:val="00660403"/>
    <w:rsid w:val="00661140"/>
    <w:rsid w:val="00661B6F"/>
    <w:rsid w:val="006621D3"/>
    <w:rsid w:val="006709AE"/>
    <w:rsid w:val="006710DD"/>
    <w:rsid w:val="0067171C"/>
    <w:rsid w:val="00673200"/>
    <w:rsid w:val="0067501E"/>
    <w:rsid w:val="00675423"/>
    <w:rsid w:val="006771AD"/>
    <w:rsid w:val="006773D2"/>
    <w:rsid w:val="006801F7"/>
    <w:rsid w:val="0068054A"/>
    <w:rsid w:val="00680581"/>
    <w:rsid w:val="00680E26"/>
    <w:rsid w:val="00681A41"/>
    <w:rsid w:val="006821B2"/>
    <w:rsid w:val="006838C0"/>
    <w:rsid w:val="0068417B"/>
    <w:rsid w:val="00685901"/>
    <w:rsid w:val="00685BB9"/>
    <w:rsid w:val="00690127"/>
    <w:rsid w:val="00691130"/>
    <w:rsid w:val="00691BFF"/>
    <w:rsid w:val="00694745"/>
    <w:rsid w:val="006953C1"/>
    <w:rsid w:val="00695924"/>
    <w:rsid w:val="00696EB2"/>
    <w:rsid w:val="006A16E9"/>
    <w:rsid w:val="006A400D"/>
    <w:rsid w:val="006A5450"/>
    <w:rsid w:val="006A5AE3"/>
    <w:rsid w:val="006B0199"/>
    <w:rsid w:val="006B0A32"/>
    <w:rsid w:val="006B0BD8"/>
    <w:rsid w:val="006B65AD"/>
    <w:rsid w:val="006B7336"/>
    <w:rsid w:val="006C0251"/>
    <w:rsid w:val="006C1AE3"/>
    <w:rsid w:val="006C2B9A"/>
    <w:rsid w:val="006C39BB"/>
    <w:rsid w:val="006C4502"/>
    <w:rsid w:val="006C4950"/>
    <w:rsid w:val="006C575A"/>
    <w:rsid w:val="006C70AD"/>
    <w:rsid w:val="006D5E91"/>
    <w:rsid w:val="006D7B5C"/>
    <w:rsid w:val="006E0F4A"/>
    <w:rsid w:val="006E14E6"/>
    <w:rsid w:val="006E1AEE"/>
    <w:rsid w:val="006E2F52"/>
    <w:rsid w:val="006E3B9C"/>
    <w:rsid w:val="006E51A2"/>
    <w:rsid w:val="006F0DE2"/>
    <w:rsid w:val="006F3495"/>
    <w:rsid w:val="006F417D"/>
    <w:rsid w:val="006F5C83"/>
    <w:rsid w:val="006F67CC"/>
    <w:rsid w:val="00700858"/>
    <w:rsid w:val="00700EA2"/>
    <w:rsid w:val="007018D6"/>
    <w:rsid w:val="00701C2D"/>
    <w:rsid w:val="00702162"/>
    <w:rsid w:val="00703930"/>
    <w:rsid w:val="0070610E"/>
    <w:rsid w:val="007075A8"/>
    <w:rsid w:val="00707759"/>
    <w:rsid w:val="00710081"/>
    <w:rsid w:val="00710B0D"/>
    <w:rsid w:val="00713CB5"/>
    <w:rsid w:val="007150F8"/>
    <w:rsid w:val="0071558B"/>
    <w:rsid w:val="00715AF2"/>
    <w:rsid w:val="007162BF"/>
    <w:rsid w:val="00721189"/>
    <w:rsid w:val="00721636"/>
    <w:rsid w:val="00721D37"/>
    <w:rsid w:val="007221C3"/>
    <w:rsid w:val="00722F2C"/>
    <w:rsid w:val="00723024"/>
    <w:rsid w:val="007254D1"/>
    <w:rsid w:val="00725B32"/>
    <w:rsid w:val="00725B3C"/>
    <w:rsid w:val="00726176"/>
    <w:rsid w:val="00731609"/>
    <w:rsid w:val="00733D54"/>
    <w:rsid w:val="007355CF"/>
    <w:rsid w:val="00736A4F"/>
    <w:rsid w:val="00737753"/>
    <w:rsid w:val="00740CE9"/>
    <w:rsid w:val="00741E5C"/>
    <w:rsid w:val="007428E3"/>
    <w:rsid w:val="0074394E"/>
    <w:rsid w:val="007439C5"/>
    <w:rsid w:val="00750D0A"/>
    <w:rsid w:val="00751D93"/>
    <w:rsid w:val="00752300"/>
    <w:rsid w:val="007546F8"/>
    <w:rsid w:val="007554DB"/>
    <w:rsid w:val="00755BAB"/>
    <w:rsid w:val="0076080E"/>
    <w:rsid w:val="0076411D"/>
    <w:rsid w:val="007670F8"/>
    <w:rsid w:val="007671D4"/>
    <w:rsid w:val="00770A85"/>
    <w:rsid w:val="00770A88"/>
    <w:rsid w:val="00770FC4"/>
    <w:rsid w:val="00773DC9"/>
    <w:rsid w:val="00773EC9"/>
    <w:rsid w:val="0077572E"/>
    <w:rsid w:val="0078031B"/>
    <w:rsid w:val="00780434"/>
    <w:rsid w:val="00780906"/>
    <w:rsid w:val="007828C8"/>
    <w:rsid w:val="00783C75"/>
    <w:rsid w:val="00784F44"/>
    <w:rsid w:val="00786672"/>
    <w:rsid w:val="007870DD"/>
    <w:rsid w:val="007872CF"/>
    <w:rsid w:val="0079201C"/>
    <w:rsid w:val="0079307F"/>
    <w:rsid w:val="007932C2"/>
    <w:rsid w:val="00793AF0"/>
    <w:rsid w:val="007940C5"/>
    <w:rsid w:val="007947C4"/>
    <w:rsid w:val="00795CE1"/>
    <w:rsid w:val="00797046"/>
    <w:rsid w:val="007A06AC"/>
    <w:rsid w:val="007A08A3"/>
    <w:rsid w:val="007B1014"/>
    <w:rsid w:val="007B103F"/>
    <w:rsid w:val="007B1484"/>
    <w:rsid w:val="007B1A10"/>
    <w:rsid w:val="007B6659"/>
    <w:rsid w:val="007B76AB"/>
    <w:rsid w:val="007B7DBD"/>
    <w:rsid w:val="007C17C0"/>
    <w:rsid w:val="007C1D08"/>
    <w:rsid w:val="007C3A45"/>
    <w:rsid w:val="007C45D3"/>
    <w:rsid w:val="007C597B"/>
    <w:rsid w:val="007C760C"/>
    <w:rsid w:val="007D0259"/>
    <w:rsid w:val="007D08FD"/>
    <w:rsid w:val="007D1517"/>
    <w:rsid w:val="007D1584"/>
    <w:rsid w:val="007D2044"/>
    <w:rsid w:val="007D4D30"/>
    <w:rsid w:val="007D4F33"/>
    <w:rsid w:val="007D5008"/>
    <w:rsid w:val="007D65C7"/>
    <w:rsid w:val="007D74D2"/>
    <w:rsid w:val="007D79B5"/>
    <w:rsid w:val="007E0DC5"/>
    <w:rsid w:val="007E2334"/>
    <w:rsid w:val="007E23CE"/>
    <w:rsid w:val="007E2CE7"/>
    <w:rsid w:val="007E2E8A"/>
    <w:rsid w:val="007E43D0"/>
    <w:rsid w:val="007E4F00"/>
    <w:rsid w:val="007E54F8"/>
    <w:rsid w:val="007E5987"/>
    <w:rsid w:val="007E5BD8"/>
    <w:rsid w:val="007E7BF9"/>
    <w:rsid w:val="007F02BC"/>
    <w:rsid w:val="007F1D17"/>
    <w:rsid w:val="007F2E65"/>
    <w:rsid w:val="007F3C76"/>
    <w:rsid w:val="007F43BA"/>
    <w:rsid w:val="007F45D1"/>
    <w:rsid w:val="007F64BE"/>
    <w:rsid w:val="007F6DC3"/>
    <w:rsid w:val="008006B4"/>
    <w:rsid w:val="008015B6"/>
    <w:rsid w:val="00803FD4"/>
    <w:rsid w:val="0080481C"/>
    <w:rsid w:val="00804C54"/>
    <w:rsid w:val="008056DD"/>
    <w:rsid w:val="00806EDB"/>
    <w:rsid w:val="0080789C"/>
    <w:rsid w:val="00807968"/>
    <w:rsid w:val="00810E3A"/>
    <w:rsid w:val="0081104C"/>
    <w:rsid w:val="0081134B"/>
    <w:rsid w:val="00812D16"/>
    <w:rsid w:val="008158A8"/>
    <w:rsid w:val="00816C51"/>
    <w:rsid w:val="00817290"/>
    <w:rsid w:val="00820EDE"/>
    <w:rsid w:val="0082181D"/>
    <w:rsid w:val="00821865"/>
    <w:rsid w:val="0082327D"/>
    <w:rsid w:val="008236CD"/>
    <w:rsid w:val="00823EF5"/>
    <w:rsid w:val="0082433D"/>
    <w:rsid w:val="00824605"/>
    <w:rsid w:val="00826509"/>
    <w:rsid w:val="008319DC"/>
    <w:rsid w:val="0083354D"/>
    <w:rsid w:val="00834B6B"/>
    <w:rsid w:val="0083561B"/>
    <w:rsid w:val="008379B8"/>
    <w:rsid w:val="00837D78"/>
    <w:rsid w:val="00840D79"/>
    <w:rsid w:val="00841EF2"/>
    <w:rsid w:val="00842A21"/>
    <w:rsid w:val="008449E8"/>
    <w:rsid w:val="00845CB1"/>
    <w:rsid w:val="00845DAD"/>
    <w:rsid w:val="00846FBE"/>
    <w:rsid w:val="00851377"/>
    <w:rsid w:val="00853410"/>
    <w:rsid w:val="00854B2F"/>
    <w:rsid w:val="00854C15"/>
    <w:rsid w:val="00855481"/>
    <w:rsid w:val="00855925"/>
    <w:rsid w:val="00856354"/>
    <w:rsid w:val="008568E1"/>
    <w:rsid w:val="00856BE9"/>
    <w:rsid w:val="008578F8"/>
    <w:rsid w:val="00857CEB"/>
    <w:rsid w:val="00860566"/>
    <w:rsid w:val="0086165C"/>
    <w:rsid w:val="00861B26"/>
    <w:rsid w:val="00862EED"/>
    <w:rsid w:val="008643FC"/>
    <w:rsid w:val="008649B9"/>
    <w:rsid w:val="00864B8E"/>
    <w:rsid w:val="00865AC0"/>
    <w:rsid w:val="0086784F"/>
    <w:rsid w:val="00870394"/>
    <w:rsid w:val="0087073B"/>
    <w:rsid w:val="00870D29"/>
    <w:rsid w:val="00870F01"/>
    <w:rsid w:val="00871137"/>
    <w:rsid w:val="00871ABB"/>
    <w:rsid w:val="00873967"/>
    <w:rsid w:val="008769E1"/>
    <w:rsid w:val="008770D4"/>
    <w:rsid w:val="0088127F"/>
    <w:rsid w:val="008815EF"/>
    <w:rsid w:val="00885273"/>
    <w:rsid w:val="00885F2C"/>
    <w:rsid w:val="00886386"/>
    <w:rsid w:val="0088701C"/>
    <w:rsid w:val="00892AA5"/>
    <w:rsid w:val="00892BE0"/>
    <w:rsid w:val="0089499B"/>
    <w:rsid w:val="00894ACA"/>
    <w:rsid w:val="00894EC5"/>
    <w:rsid w:val="00896303"/>
    <w:rsid w:val="00896658"/>
    <w:rsid w:val="008967B5"/>
    <w:rsid w:val="008A03AC"/>
    <w:rsid w:val="008A3130"/>
    <w:rsid w:val="008A345A"/>
    <w:rsid w:val="008A3DB9"/>
    <w:rsid w:val="008A5139"/>
    <w:rsid w:val="008A6A5C"/>
    <w:rsid w:val="008A7316"/>
    <w:rsid w:val="008B3AB9"/>
    <w:rsid w:val="008B500A"/>
    <w:rsid w:val="008B6651"/>
    <w:rsid w:val="008B7F07"/>
    <w:rsid w:val="008C1610"/>
    <w:rsid w:val="008C2F1E"/>
    <w:rsid w:val="008C30E5"/>
    <w:rsid w:val="008C3B5B"/>
    <w:rsid w:val="008C409F"/>
    <w:rsid w:val="008C602D"/>
    <w:rsid w:val="008C6BCC"/>
    <w:rsid w:val="008D098D"/>
    <w:rsid w:val="008D0B0F"/>
    <w:rsid w:val="008D12CF"/>
    <w:rsid w:val="008D135A"/>
    <w:rsid w:val="008D2205"/>
    <w:rsid w:val="008D2331"/>
    <w:rsid w:val="008D36CD"/>
    <w:rsid w:val="008D4380"/>
    <w:rsid w:val="008D451B"/>
    <w:rsid w:val="008D48D1"/>
    <w:rsid w:val="008D696F"/>
    <w:rsid w:val="008D6BE8"/>
    <w:rsid w:val="008E1394"/>
    <w:rsid w:val="008E27E9"/>
    <w:rsid w:val="008E5D2D"/>
    <w:rsid w:val="008F2C49"/>
    <w:rsid w:val="008F36F0"/>
    <w:rsid w:val="008F7CFF"/>
    <w:rsid w:val="008F7ED1"/>
    <w:rsid w:val="00901C8D"/>
    <w:rsid w:val="00904A4D"/>
    <w:rsid w:val="00904C92"/>
    <w:rsid w:val="00905EE9"/>
    <w:rsid w:val="009065F4"/>
    <w:rsid w:val="009075A7"/>
    <w:rsid w:val="00907DFB"/>
    <w:rsid w:val="00910624"/>
    <w:rsid w:val="00910FBA"/>
    <w:rsid w:val="00911D39"/>
    <w:rsid w:val="00912B9F"/>
    <w:rsid w:val="00917C0F"/>
    <w:rsid w:val="00920248"/>
    <w:rsid w:val="0092040E"/>
    <w:rsid w:val="00920C6C"/>
    <w:rsid w:val="00921C6D"/>
    <w:rsid w:val="009227D9"/>
    <w:rsid w:val="00923C44"/>
    <w:rsid w:val="00927791"/>
    <w:rsid w:val="00930607"/>
    <w:rsid w:val="00930D0A"/>
    <w:rsid w:val="009329BA"/>
    <w:rsid w:val="00932D3E"/>
    <w:rsid w:val="0093304D"/>
    <w:rsid w:val="00934424"/>
    <w:rsid w:val="00936939"/>
    <w:rsid w:val="0094053B"/>
    <w:rsid w:val="00942040"/>
    <w:rsid w:val="00942C9F"/>
    <w:rsid w:val="00943353"/>
    <w:rsid w:val="00945631"/>
    <w:rsid w:val="00946DC2"/>
    <w:rsid w:val="00947549"/>
    <w:rsid w:val="00951D33"/>
    <w:rsid w:val="00952DBE"/>
    <w:rsid w:val="0095793C"/>
    <w:rsid w:val="0096045D"/>
    <w:rsid w:val="0096111E"/>
    <w:rsid w:val="00961125"/>
    <w:rsid w:val="00963362"/>
    <w:rsid w:val="00963714"/>
    <w:rsid w:val="00963BD1"/>
    <w:rsid w:val="00966B1F"/>
    <w:rsid w:val="0097116E"/>
    <w:rsid w:val="009732D0"/>
    <w:rsid w:val="00973308"/>
    <w:rsid w:val="00974518"/>
    <w:rsid w:val="00975617"/>
    <w:rsid w:val="00977A2A"/>
    <w:rsid w:val="00980FE0"/>
    <w:rsid w:val="009857A3"/>
    <w:rsid w:val="00986148"/>
    <w:rsid w:val="00986914"/>
    <w:rsid w:val="00990BEB"/>
    <w:rsid w:val="00990C3B"/>
    <w:rsid w:val="00991CBD"/>
    <w:rsid w:val="00991CF1"/>
    <w:rsid w:val="009928B7"/>
    <w:rsid w:val="0099321A"/>
    <w:rsid w:val="009934BB"/>
    <w:rsid w:val="009947E8"/>
    <w:rsid w:val="009960B7"/>
    <w:rsid w:val="009972FE"/>
    <w:rsid w:val="0099732F"/>
    <w:rsid w:val="009A4D9C"/>
    <w:rsid w:val="009B096D"/>
    <w:rsid w:val="009B536C"/>
    <w:rsid w:val="009B5C19"/>
    <w:rsid w:val="009B6496"/>
    <w:rsid w:val="009C01DA"/>
    <w:rsid w:val="009C1528"/>
    <w:rsid w:val="009C1AA2"/>
    <w:rsid w:val="009C20CC"/>
    <w:rsid w:val="009C3558"/>
    <w:rsid w:val="009C562E"/>
    <w:rsid w:val="009C7377"/>
    <w:rsid w:val="009C7531"/>
    <w:rsid w:val="009D220C"/>
    <w:rsid w:val="009D221F"/>
    <w:rsid w:val="009D3748"/>
    <w:rsid w:val="009E0657"/>
    <w:rsid w:val="009E09F0"/>
    <w:rsid w:val="009E19E8"/>
    <w:rsid w:val="009E377C"/>
    <w:rsid w:val="009E411C"/>
    <w:rsid w:val="009E4589"/>
    <w:rsid w:val="009E458A"/>
    <w:rsid w:val="009E5316"/>
    <w:rsid w:val="009E54E7"/>
    <w:rsid w:val="009E5D7C"/>
    <w:rsid w:val="009E5DFC"/>
    <w:rsid w:val="009F0216"/>
    <w:rsid w:val="009F104A"/>
    <w:rsid w:val="009F1789"/>
    <w:rsid w:val="009F2C1D"/>
    <w:rsid w:val="009F2E3B"/>
    <w:rsid w:val="009F36D2"/>
    <w:rsid w:val="009F3B6B"/>
    <w:rsid w:val="009F4504"/>
    <w:rsid w:val="009F502C"/>
    <w:rsid w:val="009F603B"/>
    <w:rsid w:val="009F6987"/>
    <w:rsid w:val="009F720F"/>
    <w:rsid w:val="00A010E7"/>
    <w:rsid w:val="00A01A17"/>
    <w:rsid w:val="00A01A60"/>
    <w:rsid w:val="00A0350B"/>
    <w:rsid w:val="00A070ED"/>
    <w:rsid w:val="00A076F9"/>
    <w:rsid w:val="00A07997"/>
    <w:rsid w:val="00A07F87"/>
    <w:rsid w:val="00A11AA3"/>
    <w:rsid w:val="00A12236"/>
    <w:rsid w:val="00A13202"/>
    <w:rsid w:val="00A1665B"/>
    <w:rsid w:val="00A1731C"/>
    <w:rsid w:val="00A17367"/>
    <w:rsid w:val="00A177F5"/>
    <w:rsid w:val="00A206ED"/>
    <w:rsid w:val="00A20806"/>
    <w:rsid w:val="00A20C7F"/>
    <w:rsid w:val="00A21D41"/>
    <w:rsid w:val="00A22DBA"/>
    <w:rsid w:val="00A2329D"/>
    <w:rsid w:val="00A25BFF"/>
    <w:rsid w:val="00A26F62"/>
    <w:rsid w:val="00A27522"/>
    <w:rsid w:val="00A27783"/>
    <w:rsid w:val="00A27A4F"/>
    <w:rsid w:val="00A3102E"/>
    <w:rsid w:val="00A33DD3"/>
    <w:rsid w:val="00A34C33"/>
    <w:rsid w:val="00A34D0C"/>
    <w:rsid w:val="00A34D76"/>
    <w:rsid w:val="00A365D0"/>
    <w:rsid w:val="00A402B8"/>
    <w:rsid w:val="00A4043E"/>
    <w:rsid w:val="00A443A6"/>
    <w:rsid w:val="00A45A1A"/>
    <w:rsid w:val="00A45E61"/>
    <w:rsid w:val="00A47F32"/>
    <w:rsid w:val="00A52D2B"/>
    <w:rsid w:val="00A53220"/>
    <w:rsid w:val="00A538E6"/>
    <w:rsid w:val="00A54F59"/>
    <w:rsid w:val="00A56102"/>
    <w:rsid w:val="00A56800"/>
    <w:rsid w:val="00A56D7E"/>
    <w:rsid w:val="00A57404"/>
    <w:rsid w:val="00A575BD"/>
    <w:rsid w:val="00A602DB"/>
    <w:rsid w:val="00A60EEC"/>
    <w:rsid w:val="00A618DF"/>
    <w:rsid w:val="00A61980"/>
    <w:rsid w:val="00A62BF1"/>
    <w:rsid w:val="00A637D3"/>
    <w:rsid w:val="00A63A68"/>
    <w:rsid w:val="00A65BD9"/>
    <w:rsid w:val="00A65ED9"/>
    <w:rsid w:val="00A66718"/>
    <w:rsid w:val="00A70B31"/>
    <w:rsid w:val="00A73A74"/>
    <w:rsid w:val="00A759FE"/>
    <w:rsid w:val="00A76D67"/>
    <w:rsid w:val="00A776B8"/>
    <w:rsid w:val="00A81CCA"/>
    <w:rsid w:val="00A81EB6"/>
    <w:rsid w:val="00A829F0"/>
    <w:rsid w:val="00A82DEC"/>
    <w:rsid w:val="00A837FE"/>
    <w:rsid w:val="00A85357"/>
    <w:rsid w:val="00A857D7"/>
    <w:rsid w:val="00A902DD"/>
    <w:rsid w:val="00A90EA4"/>
    <w:rsid w:val="00A91617"/>
    <w:rsid w:val="00A932EF"/>
    <w:rsid w:val="00A9660B"/>
    <w:rsid w:val="00A96FA8"/>
    <w:rsid w:val="00A9770A"/>
    <w:rsid w:val="00AA0A43"/>
    <w:rsid w:val="00AA0DD3"/>
    <w:rsid w:val="00AA1C07"/>
    <w:rsid w:val="00AA3688"/>
    <w:rsid w:val="00AA5887"/>
    <w:rsid w:val="00AB19F8"/>
    <w:rsid w:val="00AB2A61"/>
    <w:rsid w:val="00AB3A12"/>
    <w:rsid w:val="00AB5A8D"/>
    <w:rsid w:val="00AB6642"/>
    <w:rsid w:val="00AC17CD"/>
    <w:rsid w:val="00AC2EFE"/>
    <w:rsid w:val="00AC3930"/>
    <w:rsid w:val="00AC3AB1"/>
    <w:rsid w:val="00AC4680"/>
    <w:rsid w:val="00AC68C6"/>
    <w:rsid w:val="00AC79C1"/>
    <w:rsid w:val="00AC7CA4"/>
    <w:rsid w:val="00AD16DF"/>
    <w:rsid w:val="00AD4A64"/>
    <w:rsid w:val="00AD598F"/>
    <w:rsid w:val="00AD6D09"/>
    <w:rsid w:val="00AD7359"/>
    <w:rsid w:val="00AD7B97"/>
    <w:rsid w:val="00AE07DA"/>
    <w:rsid w:val="00AE098E"/>
    <w:rsid w:val="00AE0BBA"/>
    <w:rsid w:val="00AE228F"/>
    <w:rsid w:val="00AE2291"/>
    <w:rsid w:val="00AE25C8"/>
    <w:rsid w:val="00AE4113"/>
    <w:rsid w:val="00AE4380"/>
    <w:rsid w:val="00AE4FAC"/>
    <w:rsid w:val="00AE5525"/>
    <w:rsid w:val="00AE6381"/>
    <w:rsid w:val="00AE656F"/>
    <w:rsid w:val="00AE7086"/>
    <w:rsid w:val="00AE7D78"/>
    <w:rsid w:val="00AF2380"/>
    <w:rsid w:val="00AF41F6"/>
    <w:rsid w:val="00AF438E"/>
    <w:rsid w:val="00AF45CA"/>
    <w:rsid w:val="00AF5CEE"/>
    <w:rsid w:val="00AF7506"/>
    <w:rsid w:val="00B007DD"/>
    <w:rsid w:val="00B0098A"/>
    <w:rsid w:val="00B01016"/>
    <w:rsid w:val="00B0146E"/>
    <w:rsid w:val="00B014AB"/>
    <w:rsid w:val="00B02160"/>
    <w:rsid w:val="00B027CB"/>
    <w:rsid w:val="00B034D2"/>
    <w:rsid w:val="00B0352B"/>
    <w:rsid w:val="00B073E6"/>
    <w:rsid w:val="00B074F8"/>
    <w:rsid w:val="00B121B0"/>
    <w:rsid w:val="00B151E0"/>
    <w:rsid w:val="00B15E17"/>
    <w:rsid w:val="00B17A87"/>
    <w:rsid w:val="00B17FAB"/>
    <w:rsid w:val="00B207A3"/>
    <w:rsid w:val="00B22C5F"/>
    <w:rsid w:val="00B23687"/>
    <w:rsid w:val="00B25710"/>
    <w:rsid w:val="00B26E79"/>
    <w:rsid w:val="00B27B03"/>
    <w:rsid w:val="00B3078E"/>
    <w:rsid w:val="00B31B62"/>
    <w:rsid w:val="00B33711"/>
    <w:rsid w:val="00B34889"/>
    <w:rsid w:val="00B360EB"/>
    <w:rsid w:val="00B36A60"/>
    <w:rsid w:val="00B37550"/>
    <w:rsid w:val="00B37602"/>
    <w:rsid w:val="00B37669"/>
    <w:rsid w:val="00B402C6"/>
    <w:rsid w:val="00B41DC1"/>
    <w:rsid w:val="00B43125"/>
    <w:rsid w:val="00B4575E"/>
    <w:rsid w:val="00B46EC7"/>
    <w:rsid w:val="00B505D6"/>
    <w:rsid w:val="00B50A91"/>
    <w:rsid w:val="00B51761"/>
    <w:rsid w:val="00B52022"/>
    <w:rsid w:val="00B52187"/>
    <w:rsid w:val="00B54691"/>
    <w:rsid w:val="00B54A8A"/>
    <w:rsid w:val="00B578E0"/>
    <w:rsid w:val="00B60CCD"/>
    <w:rsid w:val="00B62854"/>
    <w:rsid w:val="00B62EF1"/>
    <w:rsid w:val="00B640CC"/>
    <w:rsid w:val="00B645B6"/>
    <w:rsid w:val="00B64B2F"/>
    <w:rsid w:val="00B667BF"/>
    <w:rsid w:val="00B6797D"/>
    <w:rsid w:val="00B735B8"/>
    <w:rsid w:val="00B74858"/>
    <w:rsid w:val="00B752EB"/>
    <w:rsid w:val="00B77BE4"/>
    <w:rsid w:val="00B812BE"/>
    <w:rsid w:val="00B813D5"/>
    <w:rsid w:val="00B83930"/>
    <w:rsid w:val="00B839FF"/>
    <w:rsid w:val="00B86608"/>
    <w:rsid w:val="00B87847"/>
    <w:rsid w:val="00B90477"/>
    <w:rsid w:val="00B92AA5"/>
    <w:rsid w:val="00B93B6F"/>
    <w:rsid w:val="00B9505D"/>
    <w:rsid w:val="00B955FE"/>
    <w:rsid w:val="00B96744"/>
    <w:rsid w:val="00BA03EB"/>
    <w:rsid w:val="00BA0B9F"/>
    <w:rsid w:val="00BA5790"/>
    <w:rsid w:val="00BA6419"/>
    <w:rsid w:val="00BA6550"/>
    <w:rsid w:val="00BA6B87"/>
    <w:rsid w:val="00BA6CAF"/>
    <w:rsid w:val="00BA792C"/>
    <w:rsid w:val="00BB0581"/>
    <w:rsid w:val="00BB3642"/>
    <w:rsid w:val="00BB59F6"/>
    <w:rsid w:val="00BB5C90"/>
    <w:rsid w:val="00BB66AB"/>
    <w:rsid w:val="00BB6845"/>
    <w:rsid w:val="00BC0AD6"/>
    <w:rsid w:val="00BC0BA3"/>
    <w:rsid w:val="00BC122E"/>
    <w:rsid w:val="00BC3584"/>
    <w:rsid w:val="00BC4C51"/>
    <w:rsid w:val="00BD424C"/>
    <w:rsid w:val="00BD70D2"/>
    <w:rsid w:val="00BE466A"/>
    <w:rsid w:val="00BE4ED6"/>
    <w:rsid w:val="00BE54F3"/>
    <w:rsid w:val="00BE5F67"/>
    <w:rsid w:val="00BE7920"/>
    <w:rsid w:val="00BF1E46"/>
    <w:rsid w:val="00BF2CD1"/>
    <w:rsid w:val="00BF4B60"/>
    <w:rsid w:val="00BF4B6A"/>
    <w:rsid w:val="00BF5135"/>
    <w:rsid w:val="00BF7131"/>
    <w:rsid w:val="00BF753D"/>
    <w:rsid w:val="00C00312"/>
    <w:rsid w:val="00C009F5"/>
    <w:rsid w:val="00C01129"/>
    <w:rsid w:val="00C02239"/>
    <w:rsid w:val="00C022E1"/>
    <w:rsid w:val="00C02F0B"/>
    <w:rsid w:val="00C0398D"/>
    <w:rsid w:val="00C05605"/>
    <w:rsid w:val="00C05B50"/>
    <w:rsid w:val="00C071AC"/>
    <w:rsid w:val="00C111A1"/>
    <w:rsid w:val="00C11E4C"/>
    <w:rsid w:val="00C1339E"/>
    <w:rsid w:val="00C14954"/>
    <w:rsid w:val="00C179B0"/>
    <w:rsid w:val="00C17BFA"/>
    <w:rsid w:val="00C209E2"/>
    <w:rsid w:val="00C20CA6"/>
    <w:rsid w:val="00C226F9"/>
    <w:rsid w:val="00C23398"/>
    <w:rsid w:val="00C23B23"/>
    <w:rsid w:val="00C24840"/>
    <w:rsid w:val="00C26817"/>
    <w:rsid w:val="00C26C22"/>
    <w:rsid w:val="00C27B03"/>
    <w:rsid w:val="00C3089B"/>
    <w:rsid w:val="00C34B40"/>
    <w:rsid w:val="00C35836"/>
    <w:rsid w:val="00C36288"/>
    <w:rsid w:val="00C41CD3"/>
    <w:rsid w:val="00C43438"/>
    <w:rsid w:val="00C44264"/>
    <w:rsid w:val="00C46251"/>
    <w:rsid w:val="00C46FF1"/>
    <w:rsid w:val="00C4790F"/>
    <w:rsid w:val="00C47FC0"/>
    <w:rsid w:val="00C47FF4"/>
    <w:rsid w:val="00C528CC"/>
    <w:rsid w:val="00C53ABD"/>
    <w:rsid w:val="00C53AD3"/>
    <w:rsid w:val="00C53C94"/>
    <w:rsid w:val="00C575BE"/>
    <w:rsid w:val="00C57741"/>
    <w:rsid w:val="00C6074F"/>
    <w:rsid w:val="00C62568"/>
    <w:rsid w:val="00C63FF9"/>
    <w:rsid w:val="00C64143"/>
    <w:rsid w:val="00C6434D"/>
    <w:rsid w:val="00C652E5"/>
    <w:rsid w:val="00C65B93"/>
    <w:rsid w:val="00C67446"/>
    <w:rsid w:val="00C711BA"/>
    <w:rsid w:val="00C74F89"/>
    <w:rsid w:val="00C762F6"/>
    <w:rsid w:val="00C7697F"/>
    <w:rsid w:val="00C80068"/>
    <w:rsid w:val="00C8136C"/>
    <w:rsid w:val="00C82FFA"/>
    <w:rsid w:val="00C842BE"/>
    <w:rsid w:val="00C85521"/>
    <w:rsid w:val="00C863EE"/>
    <w:rsid w:val="00C870A0"/>
    <w:rsid w:val="00C92646"/>
    <w:rsid w:val="00C9316A"/>
    <w:rsid w:val="00C93B07"/>
    <w:rsid w:val="00C93B5E"/>
    <w:rsid w:val="00C93F33"/>
    <w:rsid w:val="00C951A2"/>
    <w:rsid w:val="00C95D8D"/>
    <w:rsid w:val="00C97C7F"/>
    <w:rsid w:val="00CA2283"/>
    <w:rsid w:val="00CA2AEF"/>
    <w:rsid w:val="00CA325F"/>
    <w:rsid w:val="00CA33B8"/>
    <w:rsid w:val="00CB09E8"/>
    <w:rsid w:val="00CB1582"/>
    <w:rsid w:val="00CB221C"/>
    <w:rsid w:val="00CB22B7"/>
    <w:rsid w:val="00CB31DA"/>
    <w:rsid w:val="00CB5032"/>
    <w:rsid w:val="00CB5326"/>
    <w:rsid w:val="00CB7DF6"/>
    <w:rsid w:val="00CC303F"/>
    <w:rsid w:val="00CC3695"/>
    <w:rsid w:val="00CC3C96"/>
    <w:rsid w:val="00CC59D4"/>
    <w:rsid w:val="00CC5A71"/>
    <w:rsid w:val="00CD000A"/>
    <w:rsid w:val="00CD077C"/>
    <w:rsid w:val="00CD342A"/>
    <w:rsid w:val="00CD3940"/>
    <w:rsid w:val="00CD3E83"/>
    <w:rsid w:val="00CE0E67"/>
    <w:rsid w:val="00CE3610"/>
    <w:rsid w:val="00CE487C"/>
    <w:rsid w:val="00CE609B"/>
    <w:rsid w:val="00CE6A0B"/>
    <w:rsid w:val="00CF0950"/>
    <w:rsid w:val="00CF3B07"/>
    <w:rsid w:val="00CF4C13"/>
    <w:rsid w:val="00CF6384"/>
    <w:rsid w:val="00CF6902"/>
    <w:rsid w:val="00CF7D1A"/>
    <w:rsid w:val="00D03179"/>
    <w:rsid w:val="00D066B7"/>
    <w:rsid w:val="00D06E88"/>
    <w:rsid w:val="00D11F90"/>
    <w:rsid w:val="00D13527"/>
    <w:rsid w:val="00D13F1B"/>
    <w:rsid w:val="00D15E4E"/>
    <w:rsid w:val="00D16895"/>
    <w:rsid w:val="00D16B9D"/>
    <w:rsid w:val="00D172C9"/>
    <w:rsid w:val="00D174C1"/>
    <w:rsid w:val="00D17601"/>
    <w:rsid w:val="00D20D6E"/>
    <w:rsid w:val="00D21300"/>
    <w:rsid w:val="00D22F7B"/>
    <w:rsid w:val="00D230DC"/>
    <w:rsid w:val="00D24E6E"/>
    <w:rsid w:val="00D26C9A"/>
    <w:rsid w:val="00D303E8"/>
    <w:rsid w:val="00D309AC"/>
    <w:rsid w:val="00D31BA6"/>
    <w:rsid w:val="00D32228"/>
    <w:rsid w:val="00D335E1"/>
    <w:rsid w:val="00D3545E"/>
    <w:rsid w:val="00D355CE"/>
    <w:rsid w:val="00D35FEA"/>
    <w:rsid w:val="00D366E4"/>
    <w:rsid w:val="00D40168"/>
    <w:rsid w:val="00D423AC"/>
    <w:rsid w:val="00D42481"/>
    <w:rsid w:val="00D42524"/>
    <w:rsid w:val="00D44DC6"/>
    <w:rsid w:val="00D50D23"/>
    <w:rsid w:val="00D514E5"/>
    <w:rsid w:val="00D51FF5"/>
    <w:rsid w:val="00D53589"/>
    <w:rsid w:val="00D539D5"/>
    <w:rsid w:val="00D544D5"/>
    <w:rsid w:val="00D602DE"/>
    <w:rsid w:val="00D60896"/>
    <w:rsid w:val="00D6096A"/>
    <w:rsid w:val="00D60ABE"/>
    <w:rsid w:val="00D60CE5"/>
    <w:rsid w:val="00D61811"/>
    <w:rsid w:val="00D62CA5"/>
    <w:rsid w:val="00D63E56"/>
    <w:rsid w:val="00D63F9F"/>
    <w:rsid w:val="00D646D3"/>
    <w:rsid w:val="00D662F2"/>
    <w:rsid w:val="00D665F1"/>
    <w:rsid w:val="00D6711E"/>
    <w:rsid w:val="00D73B08"/>
    <w:rsid w:val="00D74116"/>
    <w:rsid w:val="00D7558F"/>
    <w:rsid w:val="00D75747"/>
    <w:rsid w:val="00D80127"/>
    <w:rsid w:val="00D804E2"/>
    <w:rsid w:val="00D805D1"/>
    <w:rsid w:val="00D80699"/>
    <w:rsid w:val="00D80F1D"/>
    <w:rsid w:val="00D819FB"/>
    <w:rsid w:val="00D82FD7"/>
    <w:rsid w:val="00D84FA6"/>
    <w:rsid w:val="00D85C5F"/>
    <w:rsid w:val="00D85ECC"/>
    <w:rsid w:val="00D864C7"/>
    <w:rsid w:val="00D86EB7"/>
    <w:rsid w:val="00D87BB3"/>
    <w:rsid w:val="00D90868"/>
    <w:rsid w:val="00D924BD"/>
    <w:rsid w:val="00D92839"/>
    <w:rsid w:val="00D92B5E"/>
    <w:rsid w:val="00D93388"/>
    <w:rsid w:val="00D9419E"/>
    <w:rsid w:val="00D94C8B"/>
    <w:rsid w:val="00D95457"/>
    <w:rsid w:val="00D97A7B"/>
    <w:rsid w:val="00DA1259"/>
    <w:rsid w:val="00DA1AAD"/>
    <w:rsid w:val="00DA1D83"/>
    <w:rsid w:val="00DA1E08"/>
    <w:rsid w:val="00DA4A52"/>
    <w:rsid w:val="00DA4FBC"/>
    <w:rsid w:val="00DA7457"/>
    <w:rsid w:val="00DB1083"/>
    <w:rsid w:val="00DB2995"/>
    <w:rsid w:val="00DB2ED0"/>
    <w:rsid w:val="00DB38F0"/>
    <w:rsid w:val="00DB3DDE"/>
    <w:rsid w:val="00DB3EE8"/>
    <w:rsid w:val="00DB4701"/>
    <w:rsid w:val="00DB59C0"/>
    <w:rsid w:val="00DB6E7A"/>
    <w:rsid w:val="00DC0146"/>
    <w:rsid w:val="00DC03EE"/>
    <w:rsid w:val="00DC36B8"/>
    <w:rsid w:val="00DC53F2"/>
    <w:rsid w:val="00DC639F"/>
    <w:rsid w:val="00DC6B01"/>
    <w:rsid w:val="00DC7797"/>
    <w:rsid w:val="00DD078A"/>
    <w:rsid w:val="00DD1737"/>
    <w:rsid w:val="00DD34E1"/>
    <w:rsid w:val="00DD6D65"/>
    <w:rsid w:val="00DD7667"/>
    <w:rsid w:val="00DD777C"/>
    <w:rsid w:val="00DD787D"/>
    <w:rsid w:val="00DE0D2F"/>
    <w:rsid w:val="00DE0D75"/>
    <w:rsid w:val="00DE1967"/>
    <w:rsid w:val="00DE19EB"/>
    <w:rsid w:val="00DE5B0F"/>
    <w:rsid w:val="00DE6A30"/>
    <w:rsid w:val="00DE6F2F"/>
    <w:rsid w:val="00DF0FE3"/>
    <w:rsid w:val="00DF2CB1"/>
    <w:rsid w:val="00DF4034"/>
    <w:rsid w:val="00DF41F5"/>
    <w:rsid w:val="00DF69F9"/>
    <w:rsid w:val="00E02579"/>
    <w:rsid w:val="00E02B50"/>
    <w:rsid w:val="00E04B3F"/>
    <w:rsid w:val="00E04C78"/>
    <w:rsid w:val="00E060C1"/>
    <w:rsid w:val="00E06B1E"/>
    <w:rsid w:val="00E07787"/>
    <w:rsid w:val="00E10AAF"/>
    <w:rsid w:val="00E112D2"/>
    <w:rsid w:val="00E14588"/>
    <w:rsid w:val="00E147D5"/>
    <w:rsid w:val="00E14C0E"/>
    <w:rsid w:val="00E16642"/>
    <w:rsid w:val="00E1787C"/>
    <w:rsid w:val="00E20511"/>
    <w:rsid w:val="00E21137"/>
    <w:rsid w:val="00E2249E"/>
    <w:rsid w:val="00E22B76"/>
    <w:rsid w:val="00E234F1"/>
    <w:rsid w:val="00E24AAF"/>
    <w:rsid w:val="00E24E3A"/>
    <w:rsid w:val="00E250E5"/>
    <w:rsid w:val="00E25AF8"/>
    <w:rsid w:val="00E26C55"/>
    <w:rsid w:val="00E26F6C"/>
    <w:rsid w:val="00E31BD0"/>
    <w:rsid w:val="00E34CA3"/>
    <w:rsid w:val="00E35C4A"/>
    <w:rsid w:val="00E37DA6"/>
    <w:rsid w:val="00E37FE3"/>
    <w:rsid w:val="00E40354"/>
    <w:rsid w:val="00E410D4"/>
    <w:rsid w:val="00E43AAA"/>
    <w:rsid w:val="00E44C62"/>
    <w:rsid w:val="00E44CFF"/>
    <w:rsid w:val="00E54EF2"/>
    <w:rsid w:val="00E60ACD"/>
    <w:rsid w:val="00E60DC5"/>
    <w:rsid w:val="00E63559"/>
    <w:rsid w:val="00E670B8"/>
    <w:rsid w:val="00E67180"/>
    <w:rsid w:val="00E676E2"/>
    <w:rsid w:val="00E67F14"/>
    <w:rsid w:val="00E714BE"/>
    <w:rsid w:val="00E743C3"/>
    <w:rsid w:val="00E74E98"/>
    <w:rsid w:val="00E74FA5"/>
    <w:rsid w:val="00E7561B"/>
    <w:rsid w:val="00E756A8"/>
    <w:rsid w:val="00E76032"/>
    <w:rsid w:val="00E768F2"/>
    <w:rsid w:val="00E776E3"/>
    <w:rsid w:val="00E77E9E"/>
    <w:rsid w:val="00E81DED"/>
    <w:rsid w:val="00E82316"/>
    <w:rsid w:val="00E82558"/>
    <w:rsid w:val="00E825B3"/>
    <w:rsid w:val="00E849DE"/>
    <w:rsid w:val="00E8517F"/>
    <w:rsid w:val="00E85948"/>
    <w:rsid w:val="00E86536"/>
    <w:rsid w:val="00E9167E"/>
    <w:rsid w:val="00E922A4"/>
    <w:rsid w:val="00E925CE"/>
    <w:rsid w:val="00E93F3F"/>
    <w:rsid w:val="00EA05D9"/>
    <w:rsid w:val="00EA076D"/>
    <w:rsid w:val="00EA0B73"/>
    <w:rsid w:val="00EA1104"/>
    <w:rsid w:val="00EA3ECC"/>
    <w:rsid w:val="00EA5257"/>
    <w:rsid w:val="00EA59B6"/>
    <w:rsid w:val="00EB0325"/>
    <w:rsid w:val="00EB0433"/>
    <w:rsid w:val="00EB1B8B"/>
    <w:rsid w:val="00EB22D0"/>
    <w:rsid w:val="00EB3C54"/>
    <w:rsid w:val="00EB40DF"/>
    <w:rsid w:val="00EB4951"/>
    <w:rsid w:val="00EC098E"/>
    <w:rsid w:val="00EC09A5"/>
    <w:rsid w:val="00EC0BCB"/>
    <w:rsid w:val="00EC0E71"/>
    <w:rsid w:val="00EC6F58"/>
    <w:rsid w:val="00ED0AD4"/>
    <w:rsid w:val="00ED164D"/>
    <w:rsid w:val="00ED2859"/>
    <w:rsid w:val="00ED3E49"/>
    <w:rsid w:val="00ED613A"/>
    <w:rsid w:val="00ED6C00"/>
    <w:rsid w:val="00ED6CFA"/>
    <w:rsid w:val="00ED6D53"/>
    <w:rsid w:val="00EE1855"/>
    <w:rsid w:val="00EE2B68"/>
    <w:rsid w:val="00EE2DA3"/>
    <w:rsid w:val="00EE3733"/>
    <w:rsid w:val="00EE564A"/>
    <w:rsid w:val="00EE6D70"/>
    <w:rsid w:val="00EF1386"/>
    <w:rsid w:val="00EF1882"/>
    <w:rsid w:val="00EF2491"/>
    <w:rsid w:val="00EF256B"/>
    <w:rsid w:val="00EF5277"/>
    <w:rsid w:val="00EF5412"/>
    <w:rsid w:val="00EF5CAD"/>
    <w:rsid w:val="00EF611F"/>
    <w:rsid w:val="00EF707C"/>
    <w:rsid w:val="00EF76E1"/>
    <w:rsid w:val="00F00F60"/>
    <w:rsid w:val="00F021AF"/>
    <w:rsid w:val="00F054C4"/>
    <w:rsid w:val="00F0789A"/>
    <w:rsid w:val="00F1030E"/>
    <w:rsid w:val="00F10925"/>
    <w:rsid w:val="00F10DB1"/>
    <w:rsid w:val="00F12F6C"/>
    <w:rsid w:val="00F13DAE"/>
    <w:rsid w:val="00F152FC"/>
    <w:rsid w:val="00F157D8"/>
    <w:rsid w:val="00F16F3C"/>
    <w:rsid w:val="00F201AD"/>
    <w:rsid w:val="00F21481"/>
    <w:rsid w:val="00F21B21"/>
    <w:rsid w:val="00F222BB"/>
    <w:rsid w:val="00F23DD5"/>
    <w:rsid w:val="00F241E0"/>
    <w:rsid w:val="00F2491A"/>
    <w:rsid w:val="00F24EF6"/>
    <w:rsid w:val="00F254E4"/>
    <w:rsid w:val="00F26F5D"/>
    <w:rsid w:val="00F31DF4"/>
    <w:rsid w:val="00F323B2"/>
    <w:rsid w:val="00F35D19"/>
    <w:rsid w:val="00F37A1E"/>
    <w:rsid w:val="00F41269"/>
    <w:rsid w:val="00F41319"/>
    <w:rsid w:val="00F44B13"/>
    <w:rsid w:val="00F45BE7"/>
    <w:rsid w:val="00F463D7"/>
    <w:rsid w:val="00F50163"/>
    <w:rsid w:val="00F50593"/>
    <w:rsid w:val="00F510E2"/>
    <w:rsid w:val="00F515F1"/>
    <w:rsid w:val="00F5273A"/>
    <w:rsid w:val="00F52D6B"/>
    <w:rsid w:val="00F52E18"/>
    <w:rsid w:val="00F546FB"/>
    <w:rsid w:val="00F551EF"/>
    <w:rsid w:val="00F55335"/>
    <w:rsid w:val="00F55CF7"/>
    <w:rsid w:val="00F57D1C"/>
    <w:rsid w:val="00F6086A"/>
    <w:rsid w:val="00F6169B"/>
    <w:rsid w:val="00F62824"/>
    <w:rsid w:val="00F62CA3"/>
    <w:rsid w:val="00F62D7C"/>
    <w:rsid w:val="00F62D8D"/>
    <w:rsid w:val="00F634C8"/>
    <w:rsid w:val="00F67155"/>
    <w:rsid w:val="00F7058F"/>
    <w:rsid w:val="00F709BF"/>
    <w:rsid w:val="00F70D21"/>
    <w:rsid w:val="00F70FEF"/>
    <w:rsid w:val="00F710EE"/>
    <w:rsid w:val="00F7195A"/>
    <w:rsid w:val="00F74E6E"/>
    <w:rsid w:val="00F74F3A"/>
    <w:rsid w:val="00F75750"/>
    <w:rsid w:val="00F75C02"/>
    <w:rsid w:val="00F7705F"/>
    <w:rsid w:val="00F77381"/>
    <w:rsid w:val="00F77ECB"/>
    <w:rsid w:val="00F8062C"/>
    <w:rsid w:val="00F8185D"/>
    <w:rsid w:val="00F81E47"/>
    <w:rsid w:val="00F824EF"/>
    <w:rsid w:val="00F84408"/>
    <w:rsid w:val="00F85E4A"/>
    <w:rsid w:val="00F85F03"/>
    <w:rsid w:val="00F86474"/>
    <w:rsid w:val="00F868B4"/>
    <w:rsid w:val="00F8730A"/>
    <w:rsid w:val="00F9016F"/>
    <w:rsid w:val="00F90601"/>
    <w:rsid w:val="00F91C1A"/>
    <w:rsid w:val="00F92C79"/>
    <w:rsid w:val="00F93262"/>
    <w:rsid w:val="00F94C90"/>
    <w:rsid w:val="00FA03F2"/>
    <w:rsid w:val="00FA5F7B"/>
    <w:rsid w:val="00FA78FD"/>
    <w:rsid w:val="00FB11BE"/>
    <w:rsid w:val="00FB1357"/>
    <w:rsid w:val="00FB1B56"/>
    <w:rsid w:val="00FB27F1"/>
    <w:rsid w:val="00FB43C8"/>
    <w:rsid w:val="00FB4C6F"/>
    <w:rsid w:val="00FB6D39"/>
    <w:rsid w:val="00FC327D"/>
    <w:rsid w:val="00FC5E76"/>
    <w:rsid w:val="00FC69CF"/>
    <w:rsid w:val="00FC7214"/>
    <w:rsid w:val="00FC72A2"/>
    <w:rsid w:val="00FD0B70"/>
    <w:rsid w:val="00FD11B8"/>
    <w:rsid w:val="00FD1440"/>
    <w:rsid w:val="00FD1489"/>
    <w:rsid w:val="00FD17D7"/>
    <w:rsid w:val="00FD2DA9"/>
    <w:rsid w:val="00FD35FA"/>
    <w:rsid w:val="00FD41B4"/>
    <w:rsid w:val="00FD445E"/>
    <w:rsid w:val="00FD59F1"/>
    <w:rsid w:val="00FD6FE2"/>
    <w:rsid w:val="00FD73A6"/>
    <w:rsid w:val="00FD74CB"/>
    <w:rsid w:val="00FD7543"/>
    <w:rsid w:val="00FD7BF5"/>
    <w:rsid w:val="00FE17A7"/>
    <w:rsid w:val="00FE185C"/>
    <w:rsid w:val="00FE3C5F"/>
    <w:rsid w:val="00FE401B"/>
    <w:rsid w:val="00FE4705"/>
    <w:rsid w:val="00FE557C"/>
    <w:rsid w:val="00FE5645"/>
    <w:rsid w:val="00FF1527"/>
    <w:rsid w:val="00FF1D1F"/>
    <w:rsid w:val="00FF20FA"/>
    <w:rsid w:val="00FF4C3A"/>
    <w:rsid w:val="00FF5742"/>
    <w:rsid w:val="00FF62F4"/>
    <w:rsid w:val="00FF65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15AAFAF-1847-48FB-8905-34410208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snapToGrid w:val="0"/>
      <w:sz w:val="22"/>
      <w:lang w:eastAsia="en-US"/>
    </w:rPr>
  </w:style>
  <w:style w:type="paragraph" w:styleId="Heading1">
    <w:name w:val="heading 1"/>
    <w:basedOn w:val="Normal"/>
    <w:next w:val="Normal"/>
    <w:link w:val="Heading1Char"/>
    <w:qFormat/>
    <w:rsid w:val="00F551EF"/>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F551EF"/>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F551EF"/>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F551EF"/>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F551EF"/>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F551EF"/>
    <w:pPr>
      <w:spacing w:before="240" w:after="60"/>
      <w:outlineLvl w:val="5"/>
    </w:pPr>
    <w:rPr>
      <w:rFonts w:ascii="Calibri" w:hAnsi="Calibri"/>
      <w:b/>
      <w:bCs/>
      <w:szCs w:val="22"/>
    </w:rPr>
  </w:style>
  <w:style w:type="paragraph" w:styleId="Heading7">
    <w:name w:val="heading 7"/>
    <w:basedOn w:val="Normal"/>
    <w:next w:val="Normal"/>
    <w:link w:val="Heading7Char"/>
    <w:semiHidden/>
    <w:unhideWhenUsed/>
    <w:qFormat/>
    <w:rsid w:val="00F551EF"/>
    <w:p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F551EF"/>
    <w:p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F551EF"/>
    <w:pPr>
      <w:spacing w:before="240" w:after="60"/>
      <w:outlineLvl w:val="8"/>
    </w:pPr>
    <w:rPr>
      <w:rFonts w:ascii="Cambria" w:hAnsi="Cambria"/>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lang w:eastAsia="x-none"/>
    </w:rPr>
  </w:style>
  <w:style w:type="character" w:customStyle="1" w:styleId="FooterChar">
    <w:name w:val="Footer Char"/>
    <w:link w:val="Footer"/>
    <w:uiPriority w:val="99"/>
    <w:semiHidden/>
    <w:rPr>
      <w:rFonts w:ascii="Times New Roman" w:hAnsi="Times New Roman" w:cs="Times New Roman"/>
      <w:snapToGrid w:val="0"/>
      <w:sz w:val="22"/>
      <w:lang w:val="en-GB"/>
    </w:rPr>
  </w:style>
  <w:style w:type="character" w:styleId="PageNumber">
    <w:name w:val="page number"/>
    <w:uiPriority w:val="99"/>
    <w:rPr>
      <w:rFonts w:cs="Times New Roman"/>
    </w:rPr>
  </w:style>
  <w:style w:type="character" w:styleId="Hyperlink">
    <w:name w:val="Hyperlink"/>
    <w:uiPriority w:val="99"/>
    <w:rPr>
      <w:color w:val="0000FF"/>
      <w:u w:val="single"/>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customStyle="1" w:styleId="BodytextAgency">
    <w:name w:val="Body text (Agency)"/>
    <w:basedOn w:val="Normal"/>
    <w:pPr>
      <w:tabs>
        <w:tab w:val="clear" w:pos="567"/>
      </w:tabs>
      <w:spacing w:after="140" w:line="280" w:lineRule="atLeast"/>
    </w:pPr>
    <w:rPr>
      <w:rFonts w:ascii="Verdana" w:hAnsi="Verdana" w:cs="Verdana"/>
      <w:sz w:val="18"/>
      <w:szCs w:val="18"/>
    </w:rPr>
  </w:style>
  <w:style w:type="paragraph" w:customStyle="1" w:styleId="NormalAgency">
    <w:name w:val="Normal (Agency)"/>
    <w:rPr>
      <w:rFonts w:ascii="Verdana" w:hAnsi="Verdana" w:cs="Verdana"/>
      <w:snapToGrid w:val="0"/>
      <w:sz w:val="18"/>
      <w:szCs w:val="18"/>
      <w:lang w:eastAsia="en-US"/>
    </w:rPr>
  </w:style>
  <w:style w:type="paragraph" w:customStyle="1" w:styleId="TabletextrowsAgency">
    <w:name w:val="Table text rows (Agency)"/>
    <w:basedOn w:val="Normal"/>
    <w:pPr>
      <w:tabs>
        <w:tab w:val="clear" w:pos="567"/>
      </w:tabs>
      <w:spacing w:line="280" w:lineRule="exact"/>
    </w:pPr>
    <w:rPr>
      <w:rFonts w:ascii="Verdana" w:hAnsi="Verdana" w:cs="Verdana"/>
      <w:sz w:val="18"/>
      <w:szCs w:val="18"/>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Header">
    <w:name w:val="header"/>
    <w:basedOn w:val="Normal"/>
    <w:rsid w:val="00BC0BA3"/>
    <w:pPr>
      <w:tabs>
        <w:tab w:val="clear" w:pos="567"/>
        <w:tab w:val="center" w:pos="4320"/>
        <w:tab w:val="right" w:pos="8640"/>
      </w:tabs>
    </w:pPr>
  </w:style>
  <w:style w:type="paragraph" w:customStyle="1" w:styleId="Default">
    <w:name w:val="Default"/>
    <w:rsid w:val="005034FE"/>
    <w:pPr>
      <w:autoSpaceDE w:val="0"/>
      <w:autoSpaceDN w:val="0"/>
      <w:adjustRightInd w:val="0"/>
    </w:pPr>
    <w:rPr>
      <w:color w:val="000000"/>
      <w:sz w:val="24"/>
      <w:szCs w:val="24"/>
      <w:lang w:val="de-DE" w:eastAsia="de-DE"/>
    </w:rPr>
  </w:style>
  <w:style w:type="paragraph" w:styleId="PlainText">
    <w:name w:val="Plain Text"/>
    <w:basedOn w:val="Normal"/>
    <w:link w:val="PlainTextChar"/>
    <w:uiPriority w:val="99"/>
    <w:unhideWhenUsed/>
    <w:rsid w:val="00A829F0"/>
    <w:pPr>
      <w:tabs>
        <w:tab w:val="clear" w:pos="567"/>
      </w:tabs>
      <w:spacing w:line="240" w:lineRule="auto"/>
    </w:pPr>
    <w:rPr>
      <w:rFonts w:ascii="Consolas" w:eastAsia="Calibri" w:hAnsi="Consolas"/>
      <w:snapToGrid/>
      <w:sz w:val="21"/>
      <w:szCs w:val="21"/>
      <w:lang w:val="sl-SI" w:eastAsia="sl-SI"/>
    </w:rPr>
  </w:style>
  <w:style w:type="character" w:customStyle="1" w:styleId="PlainTextChar">
    <w:name w:val="Plain Text Char"/>
    <w:link w:val="PlainText"/>
    <w:uiPriority w:val="99"/>
    <w:rsid w:val="00A829F0"/>
    <w:rPr>
      <w:rFonts w:ascii="Consolas" w:eastAsia="Calibri" w:hAnsi="Consolas"/>
      <w:sz w:val="21"/>
      <w:szCs w:val="21"/>
      <w:lang w:val="sl-SI" w:eastAsia="sl-SI"/>
    </w:rPr>
  </w:style>
  <w:style w:type="character" w:styleId="CommentReference">
    <w:name w:val="annotation reference"/>
    <w:rsid w:val="00207546"/>
    <w:rPr>
      <w:sz w:val="16"/>
      <w:szCs w:val="16"/>
    </w:rPr>
  </w:style>
  <w:style w:type="paragraph" w:styleId="CommentText">
    <w:name w:val="annotation text"/>
    <w:basedOn w:val="Normal"/>
    <w:link w:val="CommentTextChar"/>
    <w:rsid w:val="00207546"/>
    <w:rPr>
      <w:sz w:val="20"/>
    </w:rPr>
  </w:style>
  <w:style w:type="character" w:customStyle="1" w:styleId="CommentTextChar">
    <w:name w:val="Comment Text Char"/>
    <w:link w:val="CommentText"/>
    <w:rsid w:val="00207546"/>
    <w:rPr>
      <w:snapToGrid w:val="0"/>
      <w:lang w:val="en-GB" w:eastAsia="en-US"/>
    </w:rPr>
  </w:style>
  <w:style w:type="paragraph" w:styleId="Revision">
    <w:name w:val="Revision"/>
    <w:hidden/>
    <w:uiPriority w:val="99"/>
    <w:semiHidden/>
    <w:rsid w:val="00F323B2"/>
    <w:rPr>
      <w:snapToGrid w:val="0"/>
      <w:sz w:val="22"/>
      <w:lang w:eastAsia="en-US"/>
    </w:rPr>
  </w:style>
  <w:style w:type="paragraph" w:styleId="BalloonText">
    <w:name w:val="Balloon Text"/>
    <w:basedOn w:val="Normal"/>
    <w:link w:val="BalloonTextChar"/>
    <w:rsid w:val="00F323B2"/>
    <w:pPr>
      <w:spacing w:line="240" w:lineRule="auto"/>
    </w:pPr>
    <w:rPr>
      <w:rFonts w:ascii="Tahoma" w:hAnsi="Tahoma"/>
      <w:sz w:val="16"/>
      <w:szCs w:val="16"/>
    </w:rPr>
  </w:style>
  <w:style w:type="character" w:customStyle="1" w:styleId="BalloonTextChar">
    <w:name w:val="Balloon Text Char"/>
    <w:link w:val="BalloonText"/>
    <w:rsid w:val="00F323B2"/>
    <w:rPr>
      <w:rFonts w:ascii="Tahoma" w:hAnsi="Tahoma" w:cs="Tahoma"/>
      <w:snapToGrid w:val="0"/>
      <w:sz w:val="16"/>
      <w:szCs w:val="16"/>
      <w:lang w:val="en-GB" w:eastAsia="en-US"/>
    </w:rPr>
  </w:style>
  <w:style w:type="character" w:customStyle="1" w:styleId="hps">
    <w:name w:val="hps"/>
    <w:rsid w:val="00371F9F"/>
  </w:style>
  <w:style w:type="paragraph" w:customStyle="1" w:styleId="TitleA">
    <w:name w:val="Title A"/>
    <w:basedOn w:val="Normal"/>
    <w:qFormat/>
    <w:rsid w:val="00F551EF"/>
    <w:pPr>
      <w:widowControl w:val="0"/>
      <w:tabs>
        <w:tab w:val="left" w:pos="-1440"/>
        <w:tab w:val="left" w:pos="-720"/>
      </w:tabs>
      <w:spacing w:line="240" w:lineRule="auto"/>
      <w:jc w:val="center"/>
    </w:pPr>
    <w:rPr>
      <w:b/>
      <w:noProof/>
      <w:szCs w:val="22"/>
      <w:lang w:val="de-DE"/>
    </w:rPr>
  </w:style>
  <w:style w:type="paragraph" w:customStyle="1" w:styleId="TitleB">
    <w:name w:val="Title B"/>
    <w:basedOn w:val="Normal"/>
    <w:qFormat/>
    <w:rsid w:val="00F551EF"/>
    <w:pPr>
      <w:suppressLineNumbers/>
      <w:spacing w:line="240" w:lineRule="auto"/>
      <w:ind w:left="567" w:hanging="567"/>
    </w:pPr>
    <w:rPr>
      <w:b/>
      <w:noProof/>
      <w:szCs w:val="22"/>
      <w:lang w:val="de-DE"/>
    </w:rPr>
  </w:style>
  <w:style w:type="paragraph" w:styleId="Bibliography">
    <w:name w:val="Bibliography"/>
    <w:basedOn w:val="Normal"/>
    <w:next w:val="Normal"/>
    <w:uiPriority w:val="37"/>
    <w:semiHidden/>
    <w:unhideWhenUsed/>
    <w:rsid w:val="00F551EF"/>
  </w:style>
  <w:style w:type="paragraph" w:styleId="BlockText">
    <w:name w:val="Block Text"/>
    <w:basedOn w:val="Normal"/>
    <w:rsid w:val="00F551EF"/>
    <w:pPr>
      <w:spacing w:after="120"/>
      <w:ind w:left="1440" w:right="1440"/>
    </w:pPr>
  </w:style>
  <w:style w:type="paragraph" w:styleId="NoSpacing">
    <w:name w:val="No Spacing"/>
    <w:uiPriority w:val="1"/>
    <w:qFormat/>
    <w:rsid w:val="00F551EF"/>
    <w:pPr>
      <w:tabs>
        <w:tab w:val="left" w:pos="567"/>
      </w:tabs>
    </w:pPr>
    <w:rPr>
      <w:snapToGrid w:val="0"/>
      <w:sz w:val="22"/>
      <w:lang w:eastAsia="en-US"/>
    </w:rPr>
  </w:style>
  <w:style w:type="paragraph" w:styleId="Quote">
    <w:name w:val="Quote"/>
    <w:basedOn w:val="Normal"/>
    <w:next w:val="Normal"/>
    <w:link w:val="QuoteChar"/>
    <w:uiPriority w:val="29"/>
    <w:qFormat/>
    <w:rsid w:val="00F551EF"/>
    <w:rPr>
      <w:i/>
      <w:iCs/>
      <w:color w:val="000000"/>
    </w:rPr>
  </w:style>
  <w:style w:type="character" w:customStyle="1" w:styleId="QuoteChar">
    <w:name w:val="Quote Char"/>
    <w:link w:val="Quote"/>
    <w:uiPriority w:val="29"/>
    <w:rsid w:val="00F551EF"/>
    <w:rPr>
      <w:i/>
      <w:iCs/>
      <w:snapToGrid w:val="0"/>
      <w:color w:val="000000"/>
      <w:sz w:val="22"/>
      <w:lang w:val="en-GB" w:eastAsia="en-US"/>
    </w:rPr>
  </w:style>
  <w:style w:type="paragraph" w:styleId="Date">
    <w:name w:val="Date"/>
    <w:basedOn w:val="Normal"/>
    <w:next w:val="Normal"/>
    <w:link w:val="DateChar"/>
    <w:rsid w:val="00F551EF"/>
  </w:style>
  <w:style w:type="character" w:customStyle="1" w:styleId="DateChar">
    <w:name w:val="Date Char"/>
    <w:link w:val="Date"/>
    <w:rsid w:val="00F551EF"/>
    <w:rPr>
      <w:snapToGrid w:val="0"/>
      <w:sz w:val="22"/>
      <w:lang w:val="en-GB" w:eastAsia="en-US"/>
    </w:rPr>
  </w:style>
  <w:style w:type="paragraph" w:styleId="E-mailSignature">
    <w:name w:val="E-mail Signature"/>
    <w:basedOn w:val="Normal"/>
    <w:link w:val="E-mailSignatureChar"/>
    <w:rsid w:val="00F551EF"/>
  </w:style>
  <w:style w:type="character" w:customStyle="1" w:styleId="E-mailSignatureChar">
    <w:name w:val="E-mail Signature Char"/>
    <w:link w:val="E-mailSignature"/>
    <w:rsid w:val="00F551EF"/>
    <w:rPr>
      <w:snapToGrid w:val="0"/>
      <w:sz w:val="22"/>
      <w:lang w:val="en-GB" w:eastAsia="en-US"/>
    </w:rPr>
  </w:style>
  <w:style w:type="paragraph" w:styleId="MessageHeader">
    <w:name w:val="Message Header"/>
    <w:basedOn w:val="Normal"/>
    <w:link w:val="MessageHeaderChar"/>
    <w:rsid w:val="00F551EF"/>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rsid w:val="00F551EF"/>
    <w:rPr>
      <w:rFonts w:ascii="Cambria" w:eastAsia="Times New Roman" w:hAnsi="Cambria" w:cs="Times New Roman"/>
      <w:snapToGrid w:val="0"/>
      <w:sz w:val="24"/>
      <w:szCs w:val="24"/>
      <w:shd w:val="pct20" w:color="auto" w:fill="auto"/>
      <w:lang w:val="en-GB" w:eastAsia="en-US"/>
    </w:rPr>
  </w:style>
  <w:style w:type="paragraph" w:styleId="HTMLAddress">
    <w:name w:val="HTML Address"/>
    <w:basedOn w:val="Normal"/>
    <w:link w:val="HTMLAddressChar"/>
    <w:rsid w:val="00F551EF"/>
    <w:rPr>
      <w:i/>
      <w:iCs/>
    </w:rPr>
  </w:style>
  <w:style w:type="character" w:customStyle="1" w:styleId="HTMLAddressChar">
    <w:name w:val="HTML Address Char"/>
    <w:link w:val="HTMLAddress"/>
    <w:rsid w:val="00F551EF"/>
    <w:rPr>
      <w:i/>
      <w:iCs/>
      <w:snapToGrid w:val="0"/>
      <w:sz w:val="22"/>
      <w:lang w:val="en-GB" w:eastAsia="en-US"/>
    </w:rPr>
  </w:style>
  <w:style w:type="paragraph" w:styleId="HTMLPreformatted">
    <w:name w:val="HTML Preformatted"/>
    <w:basedOn w:val="Normal"/>
    <w:link w:val="HTMLPreformattedChar"/>
    <w:rsid w:val="00F551EF"/>
    <w:rPr>
      <w:rFonts w:ascii="Courier New" w:hAnsi="Courier New" w:cs="Courier New"/>
      <w:sz w:val="20"/>
    </w:rPr>
  </w:style>
  <w:style w:type="character" w:customStyle="1" w:styleId="HTMLPreformattedChar">
    <w:name w:val="HTML Preformatted Char"/>
    <w:link w:val="HTMLPreformatted"/>
    <w:rsid w:val="00F551EF"/>
    <w:rPr>
      <w:rFonts w:ascii="Courier New" w:hAnsi="Courier New" w:cs="Courier New"/>
      <w:snapToGrid w:val="0"/>
      <w:lang w:val="en-GB" w:eastAsia="en-US"/>
    </w:rPr>
  </w:style>
  <w:style w:type="paragraph" w:styleId="IntenseQuote">
    <w:name w:val="Intense Quote"/>
    <w:basedOn w:val="Normal"/>
    <w:next w:val="Normal"/>
    <w:link w:val="IntenseQuoteChar"/>
    <w:uiPriority w:val="30"/>
    <w:qFormat/>
    <w:rsid w:val="00F551E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F551EF"/>
    <w:rPr>
      <w:b/>
      <w:bCs/>
      <w:i/>
      <w:iCs/>
      <w:snapToGrid w:val="0"/>
      <w:color w:val="4F81BD"/>
      <w:sz w:val="22"/>
      <w:lang w:val="en-GB" w:eastAsia="en-US"/>
    </w:rPr>
  </w:style>
  <w:style w:type="paragraph" w:styleId="TableofFigures">
    <w:name w:val="table of figures"/>
    <w:basedOn w:val="Normal"/>
    <w:next w:val="Normal"/>
    <w:rsid w:val="00F551EF"/>
    <w:pPr>
      <w:tabs>
        <w:tab w:val="clear" w:pos="567"/>
      </w:tabs>
    </w:pPr>
  </w:style>
  <w:style w:type="paragraph" w:styleId="TableofAuthorities">
    <w:name w:val="table of authorities"/>
    <w:basedOn w:val="Normal"/>
    <w:next w:val="Normal"/>
    <w:rsid w:val="00F551EF"/>
    <w:pPr>
      <w:tabs>
        <w:tab w:val="clear" w:pos="567"/>
      </w:tabs>
      <w:ind w:left="220" w:hanging="220"/>
    </w:pPr>
  </w:style>
  <w:style w:type="paragraph" w:styleId="TOAHeading">
    <w:name w:val="toa heading"/>
    <w:basedOn w:val="Normal"/>
    <w:next w:val="Normal"/>
    <w:rsid w:val="00F551EF"/>
    <w:pPr>
      <w:spacing w:before="120"/>
    </w:pPr>
    <w:rPr>
      <w:rFonts w:ascii="Cambria" w:hAnsi="Cambria"/>
      <w:b/>
      <w:bCs/>
      <w:sz w:val="24"/>
      <w:szCs w:val="24"/>
    </w:rPr>
  </w:style>
  <w:style w:type="paragraph" w:styleId="TOC1">
    <w:name w:val="toc 1"/>
    <w:basedOn w:val="Normal"/>
    <w:next w:val="Normal"/>
    <w:autoRedefine/>
    <w:rsid w:val="00F551EF"/>
    <w:pPr>
      <w:tabs>
        <w:tab w:val="clear" w:pos="567"/>
      </w:tabs>
    </w:pPr>
  </w:style>
  <w:style w:type="paragraph" w:styleId="TOC2">
    <w:name w:val="toc 2"/>
    <w:basedOn w:val="Normal"/>
    <w:next w:val="Normal"/>
    <w:autoRedefine/>
    <w:rsid w:val="00F551EF"/>
    <w:pPr>
      <w:tabs>
        <w:tab w:val="clear" w:pos="567"/>
      </w:tabs>
      <w:ind w:left="220"/>
    </w:pPr>
  </w:style>
  <w:style w:type="paragraph" w:styleId="TOC3">
    <w:name w:val="toc 3"/>
    <w:basedOn w:val="Normal"/>
    <w:next w:val="Normal"/>
    <w:autoRedefine/>
    <w:rsid w:val="00F551EF"/>
    <w:pPr>
      <w:tabs>
        <w:tab w:val="clear" w:pos="567"/>
      </w:tabs>
      <w:ind w:left="440"/>
    </w:pPr>
  </w:style>
  <w:style w:type="paragraph" w:styleId="TOC4">
    <w:name w:val="toc 4"/>
    <w:basedOn w:val="Normal"/>
    <w:next w:val="Normal"/>
    <w:autoRedefine/>
    <w:rsid w:val="00F551EF"/>
    <w:pPr>
      <w:tabs>
        <w:tab w:val="clear" w:pos="567"/>
      </w:tabs>
      <w:ind w:left="660"/>
    </w:pPr>
  </w:style>
  <w:style w:type="paragraph" w:styleId="TOC5">
    <w:name w:val="toc 5"/>
    <w:basedOn w:val="Normal"/>
    <w:next w:val="Normal"/>
    <w:autoRedefine/>
    <w:rsid w:val="00F551EF"/>
    <w:pPr>
      <w:tabs>
        <w:tab w:val="clear" w:pos="567"/>
      </w:tabs>
      <w:ind w:left="880"/>
    </w:pPr>
  </w:style>
  <w:style w:type="paragraph" w:styleId="TOC6">
    <w:name w:val="toc 6"/>
    <w:basedOn w:val="Normal"/>
    <w:next w:val="Normal"/>
    <w:autoRedefine/>
    <w:rsid w:val="00F551EF"/>
    <w:pPr>
      <w:tabs>
        <w:tab w:val="clear" w:pos="567"/>
      </w:tabs>
      <w:ind w:left="1100"/>
    </w:pPr>
  </w:style>
  <w:style w:type="paragraph" w:styleId="TOC7">
    <w:name w:val="toc 7"/>
    <w:basedOn w:val="Normal"/>
    <w:next w:val="Normal"/>
    <w:autoRedefine/>
    <w:rsid w:val="00F551EF"/>
    <w:pPr>
      <w:tabs>
        <w:tab w:val="clear" w:pos="567"/>
      </w:tabs>
      <w:ind w:left="1320"/>
    </w:pPr>
  </w:style>
  <w:style w:type="paragraph" w:styleId="TOC8">
    <w:name w:val="toc 8"/>
    <w:basedOn w:val="Normal"/>
    <w:next w:val="Normal"/>
    <w:autoRedefine/>
    <w:rsid w:val="00F551EF"/>
    <w:pPr>
      <w:tabs>
        <w:tab w:val="clear" w:pos="567"/>
      </w:tabs>
      <w:ind w:left="1540"/>
    </w:pPr>
  </w:style>
  <w:style w:type="paragraph" w:styleId="TOC9">
    <w:name w:val="toc 9"/>
    <w:basedOn w:val="Normal"/>
    <w:next w:val="Normal"/>
    <w:autoRedefine/>
    <w:rsid w:val="00F551EF"/>
    <w:pPr>
      <w:tabs>
        <w:tab w:val="clear" w:pos="567"/>
      </w:tabs>
      <w:ind w:left="1760"/>
    </w:pPr>
  </w:style>
  <w:style w:type="paragraph" w:styleId="EndnoteText">
    <w:name w:val="endnote text"/>
    <w:basedOn w:val="Normal"/>
    <w:link w:val="EndnoteTextChar"/>
    <w:rsid w:val="00F551EF"/>
    <w:rPr>
      <w:sz w:val="20"/>
    </w:rPr>
  </w:style>
  <w:style w:type="character" w:customStyle="1" w:styleId="EndnoteTextChar">
    <w:name w:val="Endnote Text Char"/>
    <w:link w:val="EndnoteText"/>
    <w:rsid w:val="00F551EF"/>
    <w:rPr>
      <w:snapToGrid w:val="0"/>
      <w:lang w:val="en-GB" w:eastAsia="en-US"/>
    </w:rPr>
  </w:style>
  <w:style w:type="paragraph" w:styleId="MacroText">
    <w:name w:val="macro"/>
    <w:link w:val="MacroTextChar"/>
    <w:rsid w:val="00F551EF"/>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snapToGrid w:val="0"/>
      <w:lang w:eastAsia="en-US"/>
    </w:rPr>
  </w:style>
  <w:style w:type="character" w:customStyle="1" w:styleId="MacroTextChar">
    <w:name w:val="Macro Text Char"/>
    <w:link w:val="MacroText"/>
    <w:rsid w:val="00F551EF"/>
    <w:rPr>
      <w:rFonts w:ascii="Courier New" w:hAnsi="Courier New" w:cs="Courier New"/>
      <w:snapToGrid w:val="0"/>
      <w:lang w:val="en-GB" w:eastAsia="en-US"/>
    </w:rPr>
  </w:style>
  <w:style w:type="paragraph" w:styleId="Caption">
    <w:name w:val="caption"/>
    <w:basedOn w:val="Normal"/>
    <w:next w:val="Normal"/>
    <w:semiHidden/>
    <w:unhideWhenUsed/>
    <w:qFormat/>
    <w:rsid w:val="00F551EF"/>
    <w:rPr>
      <w:b/>
      <w:bCs/>
      <w:sz w:val="20"/>
    </w:rPr>
  </w:style>
  <w:style w:type="paragraph" w:styleId="Title">
    <w:name w:val="Title"/>
    <w:basedOn w:val="Normal"/>
    <w:next w:val="Normal"/>
    <w:link w:val="TitleChar"/>
    <w:qFormat/>
    <w:rsid w:val="00F551EF"/>
    <w:pPr>
      <w:spacing w:before="240" w:after="60"/>
      <w:jc w:val="center"/>
      <w:outlineLvl w:val="0"/>
    </w:pPr>
    <w:rPr>
      <w:rFonts w:ascii="Cambria" w:hAnsi="Cambria"/>
      <w:b/>
      <w:bCs/>
      <w:kern w:val="28"/>
      <w:sz w:val="32"/>
      <w:szCs w:val="32"/>
    </w:rPr>
  </w:style>
  <w:style w:type="character" w:customStyle="1" w:styleId="TitleChar">
    <w:name w:val="Title Char"/>
    <w:link w:val="Title"/>
    <w:rsid w:val="00F551EF"/>
    <w:rPr>
      <w:rFonts w:ascii="Cambria" w:eastAsia="Times New Roman" w:hAnsi="Cambria" w:cs="Times New Roman"/>
      <w:b/>
      <w:bCs/>
      <w:snapToGrid w:val="0"/>
      <w:kern w:val="28"/>
      <w:sz w:val="32"/>
      <w:szCs w:val="32"/>
      <w:lang w:val="en-GB" w:eastAsia="en-US"/>
    </w:rPr>
  </w:style>
  <w:style w:type="character" w:customStyle="1" w:styleId="Heading1Char">
    <w:name w:val="Heading 1 Char"/>
    <w:link w:val="Heading1"/>
    <w:rsid w:val="00F551EF"/>
    <w:rPr>
      <w:rFonts w:ascii="Cambria" w:eastAsia="Times New Roman" w:hAnsi="Cambria" w:cs="Times New Roman"/>
      <w:b/>
      <w:bCs/>
      <w:snapToGrid w:val="0"/>
      <w:kern w:val="32"/>
      <w:sz w:val="32"/>
      <w:szCs w:val="32"/>
      <w:lang w:val="en-GB" w:eastAsia="en-US"/>
    </w:rPr>
  </w:style>
  <w:style w:type="character" w:customStyle="1" w:styleId="Heading2Char">
    <w:name w:val="Heading 2 Char"/>
    <w:link w:val="Heading2"/>
    <w:semiHidden/>
    <w:rsid w:val="00F551EF"/>
    <w:rPr>
      <w:rFonts w:ascii="Cambria" w:eastAsia="Times New Roman" w:hAnsi="Cambria" w:cs="Times New Roman"/>
      <w:b/>
      <w:bCs/>
      <w:i/>
      <w:iCs/>
      <w:snapToGrid w:val="0"/>
      <w:sz w:val="28"/>
      <w:szCs w:val="28"/>
      <w:lang w:val="en-GB" w:eastAsia="en-US"/>
    </w:rPr>
  </w:style>
  <w:style w:type="character" w:customStyle="1" w:styleId="Heading3Char">
    <w:name w:val="Heading 3 Char"/>
    <w:link w:val="Heading3"/>
    <w:semiHidden/>
    <w:rsid w:val="00F551EF"/>
    <w:rPr>
      <w:rFonts w:ascii="Cambria" w:eastAsia="Times New Roman" w:hAnsi="Cambria" w:cs="Times New Roman"/>
      <w:b/>
      <w:bCs/>
      <w:snapToGrid w:val="0"/>
      <w:sz w:val="26"/>
      <w:szCs w:val="26"/>
      <w:lang w:val="en-GB" w:eastAsia="en-US"/>
    </w:rPr>
  </w:style>
  <w:style w:type="character" w:customStyle="1" w:styleId="Heading4Char">
    <w:name w:val="Heading 4 Char"/>
    <w:link w:val="Heading4"/>
    <w:semiHidden/>
    <w:rsid w:val="00F551EF"/>
    <w:rPr>
      <w:rFonts w:ascii="Calibri" w:eastAsia="Times New Roman" w:hAnsi="Calibri" w:cs="Times New Roman"/>
      <w:b/>
      <w:bCs/>
      <w:snapToGrid w:val="0"/>
      <w:sz w:val="28"/>
      <w:szCs w:val="28"/>
      <w:lang w:val="en-GB" w:eastAsia="en-US"/>
    </w:rPr>
  </w:style>
  <w:style w:type="character" w:customStyle="1" w:styleId="Heading5Char">
    <w:name w:val="Heading 5 Char"/>
    <w:link w:val="Heading5"/>
    <w:semiHidden/>
    <w:rsid w:val="00F551EF"/>
    <w:rPr>
      <w:rFonts w:ascii="Calibri" w:eastAsia="Times New Roman" w:hAnsi="Calibri" w:cs="Times New Roman"/>
      <w:b/>
      <w:bCs/>
      <w:i/>
      <w:iCs/>
      <w:snapToGrid w:val="0"/>
      <w:sz w:val="26"/>
      <w:szCs w:val="26"/>
      <w:lang w:val="en-GB" w:eastAsia="en-US"/>
    </w:rPr>
  </w:style>
  <w:style w:type="character" w:customStyle="1" w:styleId="Heading6Char">
    <w:name w:val="Heading 6 Char"/>
    <w:link w:val="Heading6"/>
    <w:semiHidden/>
    <w:rsid w:val="00F551EF"/>
    <w:rPr>
      <w:rFonts w:ascii="Calibri" w:eastAsia="Times New Roman" w:hAnsi="Calibri" w:cs="Times New Roman"/>
      <w:b/>
      <w:bCs/>
      <w:snapToGrid w:val="0"/>
      <w:sz w:val="22"/>
      <w:szCs w:val="22"/>
      <w:lang w:val="en-GB" w:eastAsia="en-US"/>
    </w:rPr>
  </w:style>
  <w:style w:type="character" w:customStyle="1" w:styleId="Heading7Char">
    <w:name w:val="Heading 7 Char"/>
    <w:link w:val="Heading7"/>
    <w:semiHidden/>
    <w:rsid w:val="00F551EF"/>
    <w:rPr>
      <w:rFonts w:ascii="Calibri" w:eastAsia="Times New Roman" w:hAnsi="Calibri" w:cs="Times New Roman"/>
      <w:snapToGrid w:val="0"/>
      <w:sz w:val="24"/>
      <w:szCs w:val="24"/>
      <w:lang w:val="en-GB" w:eastAsia="en-US"/>
    </w:rPr>
  </w:style>
  <w:style w:type="character" w:customStyle="1" w:styleId="Heading8Char">
    <w:name w:val="Heading 8 Char"/>
    <w:link w:val="Heading8"/>
    <w:semiHidden/>
    <w:rsid w:val="00F551EF"/>
    <w:rPr>
      <w:rFonts w:ascii="Calibri" w:eastAsia="Times New Roman" w:hAnsi="Calibri" w:cs="Times New Roman"/>
      <w:i/>
      <w:iCs/>
      <w:snapToGrid w:val="0"/>
      <w:sz w:val="24"/>
      <w:szCs w:val="24"/>
      <w:lang w:val="en-GB" w:eastAsia="en-US"/>
    </w:rPr>
  </w:style>
  <w:style w:type="character" w:customStyle="1" w:styleId="Heading9Char">
    <w:name w:val="Heading 9 Char"/>
    <w:link w:val="Heading9"/>
    <w:semiHidden/>
    <w:rsid w:val="00F551EF"/>
    <w:rPr>
      <w:rFonts w:ascii="Cambria" w:eastAsia="Times New Roman" w:hAnsi="Cambria" w:cs="Times New Roman"/>
      <w:snapToGrid w:val="0"/>
      <w:sz w:val="22"/>
      <w:szCs w:val="22"/>
      <w:lang w:val="en-GB" w:eastAsia="en-US"/>
    </w:rPr>
  </w:style>
  <w:style w:type="paragraph" w:styleId="EnvelopeAddress">
    <w:name w:val="envelope address"/>
    <w:basedOn w:val="Normal"/>
    <w:rsid w:val="00F551EF"/>
    <w:pPr>
      <w:framePr w:w="7920" w:h="1980" w:hRule="exact" w:hSpace="141" w:wrap="auto" w:hAnchor="page" w:xAlign="center" w:yAlign="bottom"/>
      <w:ind w:left="2880"/>
    </w:pPr>
    <w:rPr>
      <w:rFonts w:ascii="Cambria" w:hAnsi="Cambria"/>
      <w:sz w:val="24"/>
      <w:szCs w:val="24"/>
    </w:rPr>
  </w:style>
  <w:style w:type="paragraph" w:styleId="EnvelopeReturn">
    <w:name w:val="envelope return"/>
    <w:basedOn w:val="Normal"/>
    <w:rsid w:val="00F551EF"/>
    <w:rPr>
      <w:rFonts w:ascii="Cambria" w:hAnsi="Cambria"/>
      <w:sz w:val="20"/>
    </w:rPr>
  </w:style>
  <w:style w:type="paragraph" w:styleId="TOCHeading">
    <w:name w:val="TOC Heading"/>
    <w:basedOn w:val="Heading1"/>
    <w:next w:val="Normal"/>
    <w:uiPriority w:val="39"/>
    <w:semiHidden/>
    <w:unhideWhenUsed/>
    <w:qFormat/>
    <w:rsid w:val="00F551EF"/>
    <w:pPr>
      <w:outlineLvl w:val="9"/>
    </w:pPr>
  </w:style>
  <w:style w:type="paragraph" w:styleId="NormalIndent">
    <w:name w:val="Normal Indent"/>
    <w:basedOn w:val="Normal"/>
    <w:rsid w:val="00F551EF"/>
    <w:pPr>
      <w:ind w:left="708"/>
    </w:pPr>
  </w:style>
  <w:style w:type="paragraph" w:styleId="NormalWeb">
    <w:name w:val="Normal (Web)"/>
    <w:basedOn w:val="Normal"/>
    <w:rsid w:val="00F551EF"/>
    <w:rPr>
      <w:sz w:val="24"/>
      <w:szCs w:val="24"/>
    </w:rPr>
  </w:style>
  <w:style w:type="paragraph" w:styleId="ListParagraph">
    <w:name w:val="List Paragraph"/>
    <w:basedOn w:val="Normal"/>
    <w:uiPriority w:val="34"/>
    <w:qFormat/>
    <w:rsid w:val="00F551EF"/>
    <w:pPr>
      <w:ind w:left="708"/>
    </w:pPr>
  </w:style>
  <w:style w:type="paragraph" w:styleId="NoteHeading">
    <w:name w:val="Note Heading"/>
    <w:basedOn w:val="Normal"/>
    <w:next w:val="Normal"/>
    <w:link w:val="NoteHeadingChar"/>
    <w:rsid w:val="00F551EF"/>
  </w:style>
  <w:style w:type="character" w:customStyle="1" w:styleId="NoteHeadingChar">
    <w:name w:val="Note Heading Char"/>
    <w:link w:val="NoteHeading"/>
    <w:rsid w:val="00F551EF"/>
    <w:rPr>
      <w:snapToGrid w:val="0"/>
      <w:sz w:val="22"/>
      <w:lang w:val="en-GB" w:eastAsia="en-US"/>
    </w:rPr>
  </w:style>
  <w:style w:type="paragraph" w:styleId="ListNumber">
    <w:name w:val="List Number"/>
    <w:basedOn w:val="Normal"/>
    <w:rsid w:val="00F551EF"/>
    <w:pPr>
      <w:numPr>
        <w:numId w:val="13"/>
      </w:numPr>
      <w:contextualSpacing/>
    </w:pPr>
  </w:style>
  <w:style w:type="paragraph" w:styleId="ListNumber2">
    <w:name w:val="List Number 2"/>
    <w:basedOn w:val="Normal"/>
    <w:rsid w:val="00F551EF"/>
    <w:pPr>
      <w:numPr>
        <w:numId w:val="14"/>
      </w:numPr>
      <w:contextualSpacing/>
    </w:pPr>
  </w:style>
  <w:style w:type="paragraph" w:styleId="ListNumber3">
    <w:name w:val="List Number 3"/>
    <w:basedOn w:val="Normal"/>
    <w:rsid w:val="00F551EF"/>
    <w:pPr>
      <w:numPr>
        <w:numId w:val="15"/>
      </w:numPr>
      <w:contextualSpacing/>
    </w:pPr>
  </w:style>
  <w:style w:type="paragraph" w:styleId="ListNumber4">
    <w:name w:val="List Number 4"/>
    <w:basedOn w:val="Normal"/>
    <w:rsid w:val="00F551EF"/>
    <w:pPr>
      <w:numPr>
        <w:numId w:val="16"/>
      </w:numPr>
      <w:contextualSpacing/>
    </w:pPr>
  </w:style>
  <w:style w:type="paragraph" w:styleId="ListNumber5">
    <w:name w:val="List Number 5"/>
    <w:basedOn w:val="Normal"/>
    <w:rsid w:val="00F551EF"/>
    <w:pPr>
      <w:numPr>
        <w:numId w:val="17"/>
      </w:numPr>
      <w:contextualSpacing/>
    </w:pPr>
  </w:style>
  <w:style w:type="paragraph" w:styleId="ListBullet">
    <w:name w:val="List Bullet"/>
    <w:basedOn w:val="Normal"/>
    <w:rsid w:val="00F551EF"/>
    <w:pPr>
      <w:numPr>
        <w:numId w:val="18"/>
      </w:numPr>
      <w:contextualSpacing/>
    </w:pPr>
  </w:style>
  <w:style w:type="paragraph" w:styleId="ListBullet2">
    <w:name w:val="List Bullet 2"/>
    <w:basedOn w:val="Normal"/>
    <w:rsid w:val="00F551EF"/>
    <w:pPr>
      <w:numPr>
        <w:numId w:val="19"/>
      </w:numPr>
      <w:contextualSpacing/>
    </w:pPr>
  </w:style>
  <w:style w:type="paragraph" w:styleId="ListBullet3">
    <w:name w:val="List Bullet 3"/>
    <w:basedOn w:val="Normal"/>
    <w:rsid w:val="00F551EF"/>
    <w:pPr>
      <w:numPr>
        <w:numId w:val="20"/>
      </w:numPr>
      <w:contextualSpacing/>
    </w:pPr>
  </w:style>
  <w:style w:type="paragraph" w:styleId="ListBullet4">
    <w:name w:val="List Bullet 4"/>
    <w:basedOn w:val="Normal"/>
    <w:rsid w:val="00F551EF"/>
    <w:pPr>
      <w:numPr>
        <w:numId w:val="21"/>
      </w:numPr>
      <w:contextualSpacing/>
    </w:pPr>
  </w:style>
  <w:style w:type="paragraph" w:styleId="ListBullet5">
    <w:name w:val="List Bullet 5"/>
    <w:basedOn w:val="Normal"/>
    <w:rsid w:val="00F551EF"/>
    <w:pPr>
      <w:numPr>
        <w:numId w:val="22"/>
      </w:numPr>
      <w:contextualSpacing/>
    </w:pPr>
  </w:style>
  <w:style w:type="paragraph" w:styleId="Subtitle">
    <w:name w:val="Subtitle"/>
    <w:basedOn w:val="Normal"/>
    <w:next w:val="Normal"/>
    <w:link w:val="SubtitleChar"/>
    <w:qFormat/>
    <w:rsid w:val="00F551EF"/>
    <w:pPr>
      <w:spacing w:after="60"/>
      <w:jc w:val="center"/>
      <w:outlineLvl w:val="1"/>
    </w:pPr>
    <w:rPr>
      <w:rFonts w:ascii="Cambria" w:hAnsi="Cambria"/>
      <w:sz w:val="24"/>
      <w:szCs w:val="24"/>
    </w:rPr>
  </w:style>
  <w:style w:type="character" w:customStyle="1" w:styleId="SubtitleChar">
    <w:name w:val="Subtitle Char"/>
    <w:link w:val="Subtitle"/>
    <w:rsid w:val="00F551EF"/>
    <w:rPr>
      <w:rFonts w:ascii="Cambria" w:eastAsia="Times New Roman" w:hAnsi="Cambria" w:cs="Times New Roman"/>
      <w:snapToGrid w:val="0"/>
      <w:sz w:val="24"/>
      <w:szCs w:val="24"/>
      <w:lang w:val="en-GB" w:eastAsia="en-US"/>
    </w:rPr>
  </w:style>
  <w:style w:type="paragraph" w:styleId="Signature">
    <w:name w:val="Signature"/>
    <w:basedOn w:val="Normal"/>
    <w:link w:val="SignatureChar"/>
    <w:rsid w:val="00F551EF"/>
    <w:pPr>
      <w:ind w:left="4252"/>
    </w:pPr>
  </w:style>
  <w:style w:type="character" w:customStyle="1" w:styleId="SignatureChar">
    <w:name w:val="Signature Char"/>
    <w:link w:val="Signature"/>
    <w:rsid w:val="00F551EF"/>
    <w:rPr>
      <w:snapToGrid w:val="0"/>
      <w:sz w:val="22"/>
      <w:lang w:val="en-GB" w:eastAsia="en-US"/>
    </w:rPr>
  </w:style>
  <w:style w:type="paragraph" w:styleId="List">
    <w:name w:val="List"/>
    <w:basedOn w:val="Normal"/>
    <w:rsid w:val="00F551EF"/>
    <w:pPr>
      <w:ind w:left="283" w:hanging="283"/>
      <w:contextualSpacing/>
    </w:pPr>
  </w:style>
  <w:style w:type="paragraph" w:styleId="ListContinue">
    <w:name w:val="List Continue"/>
    <w:basedOn w:val="Normal"/>
    <w:rsid w:val="00F551EF"/>
    <w:pPr>
      <w:spacing w:after="120"/>
      <w:ind w:left="283"/>
      <w:contextualSpacing/>
    </w:pPr>
  </w:style>
  <w:style w:type="paragraph" w:styleId="ListContinue2">
    <w:name w:val="List Continue 2"/>
    <w:basedOn w:val="Normal"/>
    <w:rsid w:val="00F551EF"/>
    <w:pPr>
      <w:spacing w:after="120"/>
      <w:ind w:left="566"/>
      <w:contextualSpacing/>
    </w:pPr>
  </w:style>
  <w:style w:type="paragraph" w:styleId="ListContinue3">
    <w:name w:val="List Continue 3"/>
    <w:basedOn w:val="Normal"/>
    <w:rsid w:val="00F551EF"/>
    <w:pPr>
      <w:spacing w:after="120"/>
      <w:ind w:left="849"/>
      <w:contextualSpacing/>
    </w:pPr>
  </w:style>
  <w:style w:type="paragraph" w:styleId="ListContinue4">
    <w:name w:val="List Continue 4"/>
    <w:basedOn w:val="Normal"/>
    <w:rsid w:val="00F551EF"/>
    <w:pPr>
      <w:spacing w:after="120"/>
      <w:ind w:left="1132"/>
      <w:contextualSpacing/>
    </w:pPr>
  </w:style>
  <w:style w:type="paragraph" w:styleId="ListContinue5">
    <w:name w:val="List Continue 5"/>
    <w:basedOn w:val="Normal"/>
    <w:rsid w:val="00F551EF"/>
    <w:pPr>
      <w:spacing w:after="120"/>
      <w:ind w:left="1415"/>
      <w:contextualSpacing/>
    </w:pPr>
  </w:style>
  <w:style w:type="paragraph" w:styleId="List2">
    <w:name w:val="List 2"/>
    <w:basedOn w:val="Normal"/>
    <w:rsid w:val="00F551EF"/>
    <w:pPr>
      <w:ind w:left="566" w:hanging="283"/>
      <w:contextualSpacing/>
    </w:pPr>
  </w:style>
  <w:style w:type="paragraph" w:styleId="List3">
    <w:name w:val="List 3"/>
    <w:basedOn w:val="Normal"/>
    <w:rsid w:val="00F551EF"/>
    <w:pPr>
      <w:ind w:left="849" w:hanging="283"/>
      <w:contextualSpacing/>
    </w:pPr>
  </w:style>
  <w:style w:type="paragraph" w:styleId="List4">
    <w:name w:val="List 4"/>
    <w:basedOn w:val="Normal"/>
    <w:rsid w:val="00F551EF"/>
    <w:pPr>
      <w:ind w:left="1132" w:hanging="283"/>
      <w:contextualSpacing/>
    </w:pPr>
  </w:style>
  <w:style w:type="paragraph" w:styleId="List5">
    <w:name w:val="List 5"/>
    <w:basedOn w:val="Normal"/>
    <w:rsid w:val="00F551EF"/>
    <w:pPr>
      <w:ind w:left="1415" w:hanging="283"/>
      <w:contextualSpacing/>
    </w:pPr>
  </w:style>
  <w:style w:type="paragraph" w:styleId="FootnoteText">
    <w:name w:val="footnote text"/>
    <w:basedOn w:val="Normal"/>
    <w:link w:val="FootnoteTextChar"/>
    <w:rsid w:val="00F551EF"/>
    <w:rPr>
      <w:sz w:val="20"/>
    </w:rPr>
  </w:style>
  <w:style w:type="character" w:customStyle="1" w:styleId="FootnoteTextChar">
    <w:name w:val="Footnote Text Char"/>
    <w:link w:val="FootnoteText"/>
    <w:rsid w:val="00F551EF"/>
    <w:rPr>
      <w:snapToGrid w:val="0"/>
      <w:lang w:val="en-GB" w:eastAsia="en-US"/>
    </w:rPr>
  </w:style>
  <w:style w:type="paragraph" w:styleId="Index1">
    <w:name w:val="index 1"/>
    <w:basedOn w:val="Normal"/>
    <w:next w:val="Normal"/>
    <w:autoRedefine/>
    <w:rsid w:val="00F551EF"/>
    <w:pPr>
      <w:tabs>
        <w:tab w:val="clear" w:pos="567"/>
      </w:tabs>
      <w:ind w:left="220" w:hanging="220"/>
    </w:pPr>
  </w:style>
  <w:style w:type="paragraph" w:styleId="IndexHeading">
    <w:name w:val="index heading"/>
    <w:basedOn w:val="Normal"/>
    <w:next w:val="Index1"/>
    <w:rsid w:val="00F551EF"/>
    <w:rPr>
      <w:rFonts w:ascii="Cambria" w:hAnsi="Cambria"/>
      <w:b/>
      <w:bCs/>
    </w:rPr>
  </w:style>
  <w:style w:type="paragraph" w:styleId="Index2">
    <w:name w:val="index 2"/>
    <w:basedOn w:val="Normal"/>
    <w:next w:val="Normal"/>
    <w:autoRedefine/>
    <w:rsid w:val="00F551EF"/>
    <w:pPr>
      <w:tabs>
        <w:tab w:val="clear" w:pos="567"/>
      </w:tabs>
      <w:ind w:left="440" w:hanging="220"/>
    </w:pPr>
  </w:style>
  <w:style w:type="paragraph" w:styleId="Index3">
    <w:name w:val="index 3"/>
    <w:basedOn w:val="Normal"/>
    <w:next w:val="Normal"/>
    <w:autoRedefine/>
    <w:rsid w:val="00F551EF"/>
    <w:pPr>
      <w:tabs>
        <w:tab w:val="clear" w:pos="567"/>
      </w:tabs>
      <w:ind w:left="660" w:hanging="220"/>
    </w:pPr>
  </w:style>
  <w:style w:type="paragraph" w:styleId="Index4">
    <w:name w:val="index 4"/>
    <w:basedOn w:val="Normal"/>
    <w:next w:val="Normal"/>
    <w:autoRedefine/>
    <w:rsid w:val="00F551EF"/>
    <w:pPr>
      <w:tabs>
        <w:tab w:val="clear" w:pos="567"/>
      </w:tabs>
      <w:ind w:left="880" w:hanging="220"/>
    </w:pPr>
  </w:style>
  <w:style w:type="paragraph" w:styleId="Index5">
    <w:name w:val="index 5"/>
    <w:basedOn w:val="Normal"/>
    <w:next w:val="Normal"/>
    <w:autoRedefine/>
    <w:rsid w:val="00F551EF"/>
    <w:pPr>
      <w:tabs>
        <w:tab w:val="clear" w:pos="567"/>
      </w:tabs>
      <w:ind w:left="1100" w:hanging="220"/>
    </w:pPr>
  </w:style>
  <w:style w:type="paragraph" w:styleId="Index6">
    <w:name w:val="index 6"/>
    <w:basedOn w:val="Normal"/>
    <w:next w:val="Normal"/>
    <w:autoRedefine/>
    <w:rsid w:val="00F551EF"/>
    <w:pPr>
      <w:tabs>
        <w:tab w:val="clear" w:pos="567"/>
      </w:tabs>
      <w:ind w:left="1320" w:hanging="220"/>
    </w:pPr>
  </w:style>
  <w:style w:type="paragraph" w:styleId="Index7">
    <w:name w:val="index 7"/>
    <w:basedOn w:val="Normal"/>
    <w:next w:val="Normal"/>
    <w:autoRedefine/>
    <w:rsid w:val="00F551EF"/>
    <w:pPr>
      <w:tabs>
        <w:tab w:val="clear" w:pos="567"/>
      </w:tabs>
      <w:ind w:left="1540" w:hanging="220"/>
    </w:pPr>
  </w:style>
  <w:style w:type="paragraph" w:styleId="Index8">
    <w:name w:val="index 8"/>
    <w:basedOn w:val="Normal"/>
    <w:next w:val="Normal"/>
    <w:autoRedefine/>
    <w:rsid w:val="00F551EF"/>
    <w:pPr>
      <w:tabs>
        <w:tab w:val="clear" w:pos="567"/>
      </w:tabs>
      <w:ind w:left="1760" w:hanging="220"/>
    </w:pPr>
  </w:style>
  <w:style w:type="paragraph" w:styleId="Index9">
    <w:name w:val="index 9"/>
    <w:basedOn w:val="Normal"/>
    <w:next w:val="Normal"/>
    <w:autoRedefine/>
    <w:rsid w:val="00F551EF"/>
    <w:pPr>
      <w:tabs>
        <w:tab w:val="clear" w:pos="567"/>
      </w:tabs>
      <w:ind w:left="1980" w:hanging="220"/>
    </w:pPr>
  </w:style>
  <w:style w:type="paragraph" w:styleId="BodyText">
    <w:name w:val="Body Text"/>
    <w:basedOn w:val="Normal"/>
    <w:link w:val="BodyTextChar"/>
    <w:rsid w:val="00F551EF"/>
    <w:pPr>
      <w:spacing w:after="120"/>
    </w:pPr>
  </w:style>
  <w:style w:type="character" w:customStyle="1" w:styleId="BodyTextChar">
    <w:name w:val="Body Text Char"/>
    <w:link w:val="BodyText"/>
    <w:rsid w:val="00F551EF"/>
    <w:rPr>
      <w:snapToGrid w:val="0"/>
      <w:sz w:val="22"/>
      <w:lang w:val="en-GB" w:eastAsia="en-US"/>
    </w:rPr>
  </w:style>
  <w:style w:type="paragraph" w:styleId="BodyTextFirstIndent">
    <w:name w:val="Body Text First Indent"/>
    <w:basedOn w:val="BodyText"/>
    <w:link w:val="BodyTextFirstIndentChar"/>
    <w:rsid w:val="00F551EF"/>
    <w:pPr>
      <w:ind w:firstLine="210"/>
    </w:pPr>
  </w:style>
  <w:style w:type="character" w:customStyle="1" w:styleId="BodyTextFirstIndentChar">
    <w:name w:val="Body Text First Indent Char"/>
    <w:basedOn w:val="BodyTextChar"/>
    <w:link w:val="BodyTextFirstIndent"/>
    <w:rsid w:val="00F551EF"/>
    <w:rPr>
      <w:snapToGrid w:val="0"/>
      <w:sz w:val="22"/>
      <w:lang w:val="en-GB" w:eastAsia="en-US"/>
    </w:rPr>
  </w:style>
  <w:style w:type="paragraph" w:styleId="BodyTextIndent">
    <w:name w:val="Body Text Indent"/>
    <w:basedOn w:val="Normal"/>
    <w:link w:val="BodyTextIndentChar"/>
    <w:rsid w:val="00F551EF"/>
    <w:pPr>
      <w:spacing w:after="120"/>
      <w:ind w:left="283"/>
    </w:pPr>
  </w:style>
  <w:style w:type="character" w:customStyle="1" w:styleId="BodyTextIndentChar">
    <w:name w:val="Body Text Indent Char"/>
    <w:link w:val="BodyTextIndent"/>
    <w:rsid w:val="00F551EF"/>
    <w:rPr>
      <w:snapToGrid w:val="0"/>
      <w:sz w:val="22"/>
      <w:lang w:val="en-GB" w:eastAsia="en-US"/>
    </w:rPr>
  </w:style>
  <w:style w:type="paragraph" w:styleId="BodyTextFirstIndent2">
    <w:name w:val="Body Text First Indent 2"/>
    <w:basedOn w:val="BodyTextIndent"/>
    <w:link w:val="BodyTextFirstIndent2Char"/>
    <w:rsid w:val="00F551EF"/>
    <w:pPr>
      <w:ind w:firstLine="210"/>
    </w:pPr>
  </w:style>
  <w:style w:type="character" w:customStyle="1" w:styleId="BodyTextFirstIndent2Char">
    <w:name w:val="Body Text First Indent 2 Char"/>
    <w:basedOn w:val="BodyTextIndentChar"/>
    <w:link w:val="BodyTextFirstIndent2"/>
    <w:rsid w:val="00F551EF"/>
    <w:rPr>
      <w:snapToGrid w:val="0"/>
      <w:sz w:val="22"/>
      <w:lang w:val="en-GB" w:eastAsia="en-US"/>
    </w:rPr>
  </w:style>
  <w:style w:type="paragraph" w:styleId="BodyTextIndent2">
    <w:name w:val="Body Text Indent 2"/>
    <w:basedOn w:val="Normal"/>
    <w:link w:val="BodyTextIndent2Char"/>
    <w:rsid w:val="00F551EF"/>
    <w:pPr>
      <w:spacing w:after="120" w:line="480" w:lineRule="auto"/>
      <w:ind w:left="283"/>
    </w:pPr>
  </w:style>
  <w:style w:type="character" w:customStyle="1" w:styleId="BodyTextIndent2Char">
    <w:name w:val="Body Text Indent 2 Char"/>
    <w:link w:val="BodyTextIndent2"/>
    <w:rsid w:val="00F551EF"/>
    <w:rPr>
      <w:snapToGrid w:val="0"/>
      <w:sz w:val="22"/>
      <w:lang w:val="en-GB" w:eastAsia="en-US"/>
    </w:rPr>
  </w:style>
  <w:style w:type="paragraph" w:styleId="BodyTextIndent3">
    <w:name w:val="Body Text Indent 3"/>
    <w:basedOn w:val="Normal"/>
    <w:link w:val="BodyTextIndent3Char"/>
    <w:rsid w:val="00F551EF"/>
    <w:pPr>
      <w:spacing w:after="120"/>
      <w:ind w:left="283"/>
    </w:pPr>
    <w:rPr>
      <w:sz w:val="16"/>
      <w:szCs w:val="16"/>
    </w:rPr>
  </w:style>
  <w:style w:type="character" w:customStyle="1" w:styleId="BodyTextIndent3Char">
    <w:name w:val="Body Text Indent 3 Char"/>
    <w:link w:val="BodyTextIndent3"/>
    <w:rsid w:val="00F551EF"/>
    <w:rPr>
      <w:snapToGrid w:val="0"/>
      <w:sz w:val="16"/>
      <w:szCs w:val="16"/>
      <w:lang w:val="en-GB" w:eastAsia="en-US"/>
    </w:rPr>
  </w:style>
  <w:style w:type="paragraph" w:styleId="BodyText2">
    <w:name w:val="Body Text 2"/>
    <w:basedOn w:val="Normal"/>
    <w:link w:val="BodyText2Char"/>
    <w:rsid w:val="00F551EF"/>
    <w:pPr>
      <w:spacing w:after="120" w:line="480" w:lineRule="auto"/>
    </w:pPr>
  </w:style>
  <w:style w:type="character" w:customStyle="1" w:styleId="BodyText2Char">
    <w:name w:val="Body Text 2 Char"/>
    <w:link w:val="BodyText2"/>
    <w:rsid w:val="00F551EF"/>
    <w:rPr>
      <w:snapToGrid w:val="0"/>
      <w:sz w:val="22"/>
      <w:lang w:val="en-GB" w:eastAsia="en-US"/>
    </w:rPr>
  </w:style>
  <w:style w:type="paragraph" w:styleId="BodyText3">
    <w:name w:val="Body Text 3"/>
    <w:basedOn w:val="Normal"/>
    <w:link w:val="BodyText3Char"/>
    <w:rsid w:val="00F551EF"/>
    <w:pPr>
      <w:spacing w:after="120"/>
    </w:pPr>
    <w:rPr>
      <w:sz w:val="16"/>
      <w:szCs w:val="16"/>
    </w:rPr>
  </w:style>
  <w:style w:type="character" w:customStyle="1" w:styleId="BodyText3Char">
    <w:name w:val="Body Text 3 Char"/>
    <w:link w:val="BodyText3"/>
    <w:rsid w:val="00F551EF"/>
    <w:rPr>
      <w:snapToGrid w:val="0"/>
      <w:sz w:val="16"/>
      <w:szCs w:val="16"/>
      <w:lang w:val="en-GB" w:eastAsia="en-US"/>
    </w:rPr>
  </w:style>
  <w:style w:type="paragraph" w:styleId="Salutation">
    <w:name w:val="Salutation"/>
    <w:basedOn w:val="Normal"/>
    <w:next w:val="Normal"/>
    <w:link w:val="SalutationChar"/>
    <w:rsid w:val="00F551EF"/>
  </w:style>
  <w:style w:type="character" w:customStyle="1" w:styleId="SalutationChar">
    <w:name w:val="Salutation Char"/>
    <w:link w:val="Salutation"/>
    <w:rsid w:val="00F551EF"/>
    <w:rPr>
      <w:snapToGrid w:val="0"/>
      <w:sz w:val="22"/>
      <w:lang w:val="en-GB" w:eastAsia="en-US"/>
    </w:rPr>
  </w:style>
  <w:style w:type="paragraph" w:styleId="CommentSubject">
    <w:name w:val="annotation subject"/>
    <w:basedOn w:val="CommentText"/>
    <w:next w:val="CommentText"/>
    <w:link w:val="CommentSubjectChar"/>
    <w:rsid w:val="00F551EF"/>
    <w:rPr>
      <w:b/>
      <w:bCs/>
    </w:rPr>
  </w:style>
  <w:style w:type="character" w:customStyle="1" w:styleId="CommentSubjectChar">
    <w:name w:val="Comment Subject Char"/>
    <w:link w:val="CommentSubject"/>
    <w:rsid w:val="00F551EF"/>
    <w:rPr>
      <w:b/>
      <w:bCs/>
      <w:snapToGrid w:val="0"/>
      <w:lang w:val="en-GB" w:eastAsia="en-US"/>
    </w:rPr>
  </w:style>
  <w:style w:type="paragraph" w:styleId="Closing">
    <w:name w:val="Closing"/>
    <w:basedOn w:val="Normal"/>
    <w:link w:val="ClosingChar"/>
    <w:rsid w:val="00F551EF"/>
    <w:pPr>
      <w:ind w:left="4252"/>
    </w:pPr>
  </w:style>
  <w:style w:type="character" w:customStyle="1" w:styleId="ClosingChar">
    <w:name w:val="Closing Char"/>
    <w:link w:val="Closing"/>
    <w:rsid w:val="00F551EF"/>
    <w:rPr>
      <w:snapToGrid w:val="0"/>
      <w:sz w:val="22"/>
      <w:lang w:val="en-GB" w:eastAsia="en-US"/>
    </w:rPr>
  </w:style>
  <w:style w:type="paragraph" w:styleId="DocumentMap">
    <w:name w:val="Document Map"/>
    <w:basedOn w:val="Normal"/>
    <w:link w:val="DocumentMapChar"/>
    <w:rsid w:val="00F551EF"/>
    <w:rPr>
      <w:rFonts w:ascii="Tahoma" w:hAnsi="Tahoma" w:cs="Tahoma"/>
      <w:sz w:val="16"/>
      <w:szCs w:val="16"/>
    </w:rPr>
  </w:style>
  <w:style w:type="character" w:customStyle="1" w:styleId="DocumentMapChar">
    <w:name w:val="Document Map Char"/>
    <w:link w:val="DocumentMap"/>
    <w:rsid w:val="00F551EF"/>
    <w:rPr>
      <w:rFonts w:ascii="Tahoma" w:hAnsi="Tahoma" w:cs="Tahoma"/>
      <w:snapToGrid w:val="0"/>
      <w:sz w:val="16"/>
      <w:szCs w:val="16"/>
      <w:lang w:val="en-GB" w:eastAsia="en-US"/>
    </w:rPr>
  </w:style>
  <w:style w:type="paragraph" w:customStyle="1" w:styleId="Style10">
    <w:name w:val="Style10"/>
    <w:basedOn w:val="Normal"/>
    <w:uiPriority w:val="99"/>
    <w:rsid w:val="00B37602"/>
    <w:pPr>
      <w:widowControl w:val="0"/>
      <w:tabs>
        <w:tab w:val="clear" w:pos="567"/>
      </w:tabs>
      <w:autoSpaceDE w:val="0"/>
      <w:autoSpaceDN w:val="0"/>
      <w:adjustRightInd w:val="0"/>
      <w:spacing w:line="331" w:lineRule="exact"/>
      <w:jc w:val="both"/>
    </w:pPr>
    <w:rPr>
      <w:rFonts w:ascii="Verdana" w:eastAsia="PMingLiU" w:hAnsi="Verdana" w:cs="Arial"/>
      <w:snapToGrid/>
      <w:sz w:val="24"/>
      <w:szCs w:val="24"/>
      <w:lang w:val="de-DE" w:eastAsia="zh-TW"/>
    </w:rPr>
  </w:style>
  <w:style w:type="paragraph" w:customStyle="1" w:styleId="Style13">
    <w:name w:val="Style13"/>
    <w:basedOn w:val="Normal"/>
    <w:uiPriority w:val="99"/>
    <w:rsid w:val="00B37602"/>
    <w:pPr>
      <w:widowControl w:val="0"/>
      <w:tabs>
        <w:tab w:val="clear" w:pos="567"/>
      </w:tabs>
      <w:autoSpaceDE w:val="0"/>
      <w:autoSpaceDN w:val="0"/>
      <w:adjustRightInd w:val="0"/>
      <w:spacing w:line="523" w:lineRule="exact"/>
    </w:pPr>
    <w:rPr>
      <w:rFonts w:ascii="Verdana" w:eastAsia="PMingLiU" w:hAnsi="Verdana" w:cs="Arial"/>
      <w:snapToGrid/>
      <w:sz w:val="24"/>
      <w:szCs w:val="24"/>
      <w:lang w:val="de-DE" w:eastAsia="zh-TW"/>
    </w:rPr>
  </w:style>
  <w:style w:type="character" w:customStyle="1" w:styleId="FontStyle26">
    <w:name w:val="Font Style26"/>
    <w:uiPriority w:val="99"/>
    <w:rsid w:val="00B37602"/>
    <w:rPr>
      <w:rFonts w:ascii="Verdana" w:hAnsi="Verdana" w:cs="Verdana"/>
      <w:i/>
      <w:iCs/>
      <w:sz w:val="16"/>
      <w:szCs w:val="16"/>
    </w:rPr>
  </w:style>
  <w:style w:type="paragraph" w:customStyle="1" w:styleId="Style11">
    <w:name w:val="Style11"/>
    <w:basedOn w:val="Normal"/>
    <w:uiPriority w:val="99"/>
    <w:rsid w:val="00943353"/>
    <w:pPr>
      <w:widowControl w:val="0"/>
      <w:tabs>
        <w:tab w:val="clear" w:pos="567"/>
      </w:tabs>
      <w:autoSpaceDE w:val="0"/>
      <w:autoSpaceDN w:val="0"/>
      <w:adjustRightInd w:val="0"/>
      <w:spacing w:line="216" w:lineRule="exact"/>
    </w:pPr>
    <w:rPr>
      <w:rFonts w:ascii="Verdana" w:eastAsia="PMingLiU" w:hAnsi="Verdana" w:cs="Arial"/>
      <w:snapToGrid/>
      <w:sz w:val="24"/>
      <w:szCs w:val="24"/>
      <w:lang w:val="de-DE" w:eastAsia="zh-TW"/>
    </w:rPr>
  </w:style>
  <w:style w:type="paragraph" w:customStyle="1" w:styleId="Style14">
    <w:name w:val="Style14"/>
    <w:basedOn w:val="Normal"/>
    <w:uiPriority w:val="99"/>
    <w:rsid w:val="00943353"/>
    <w:pPr>
      <w:widowControl w:val="0"/>
      <w:tabs>
        <w:tab w:val="clear" w:pos="567"/>
      </w:tabs>
      <w:autoSpaceDE w:val="0"/>
      <w:autoSpaceDN w:val="0"/>
      <w:adjustRightInd w:val="0"/>
      <w:spacing w:line="216" w:lineRule="exact"/>
      <w:jc w:val="both"/>
    </w:pPr>
    <w:rPr>
      <w:rFonts w:ascii="Verdana" w:eastAsia="PMingLiU" w:hAnsi="Verdana" w:cs="Arial"/>
      <w:snapToGrid/>
      <w:sz w:val="24"/>
      <w:szCs w:val="24"/>
      <w:lang w:val="de-DE" w:eastAsia="zh-TW"/>
    </w:rPr>
  </w:style>
  <w:style w:type="character" w:customStyle="1" w:styleId="FontStyle24">
    <w:name w:val="Font Style24"/>
    <w:uiPriority w:val="99"/>
    <w:rsid w:val="00943353"/>
    <w:rPr>
      <w:rFonts w:ascii="Verdana" w:hAnsi="Verdana" w:cs="Verdan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75222">
      <w:bodyDiv w:val="1"/>
      <w:marLeft w:val="0"/>
      <w:marRight w:val="0"/>
      <w:marTop w:val="0"/>
      <w:marBottom w:val="0"/>
      <w:divBdr>
        <w:top w:val="none" w:sz="0" w:space="0" w:color="auto"/>
        <w:left w:val="none" w:sz="0" w:space="0" w:color="auto"/>
        <w:bottom w:val="none" w:sz="0" w:space="0" w:color="auto"/>
        <w:right w:val="none" w:sz="0" w:space="0" w:color="auto"/>
      </w:divBdr>
    </w:div>
    <w:div w:id="527722361">
      <w:marLeft w:val="0"/>
      <w:marRight w:val="0"/>
      <w:marTop w:val="0"/>
      <w:marBottom w:val="0"/>
      <w:divBdr>
        <w:top w:val="none" w:sz="0" w:space="0" w:color="auto"/>
        <w:left w:val="none" w:sz="0" w:space="0" w:color="auto"/>
        <w:bottom w:val="none" w:sz="0" w:space="0" w:color="auto"/>
        <w:right w:val="none" w:sz="0" w:space="0" w:color="auto"/>
      </w:divBdr>
    </w:div>
    <w:div w:id="527722362">
      <w:marLeft w:val="0"/>
      <w:marRight w:val="0"/>
      <w:marTop w:val="0"/>
      <w:marBottom w:val="0"/>
      <w:divBdr>
        <w:top w:val="none" w:sz="0" w:space="0" w:color="auto"/>
        <w:left w:val="none" w:sz="0" w:space="0" w:color="auto"/>
        <w:bottom w:val="none" w:sz="0" w:space="0" w:color="auto"/>
        <w:right w:val="none" w:sz="0" w:space="0" w:color="auto"/>
      </w:divBdr>
    </w:div>
    <w:div w:id="527722363">
      <w:marLeft w:val="0"/>
      <w:marRight w:val="0"/>
      <w:marTop w:val="0"/>
      <w:marBottom w:val="0"/>
      <w:divBdr>
        <w:top w:val="none" w:sz="0" w:space="0" w:color="auto"/>
        <w:left w:val="none" w:sz="0" w:space="0" w:color="auto"/>
        <w:bottom w:val="none" w:sz="0" w:space="0" w:color="auto"/>
        <w:right w:val="none" w:sz="0" w:space="0" w:color="auto"/>
      </w:divBdr>
    </w:div>
    <w:div w:id="527722364">
      <w:marLeft w:val="0"/>
      <w:marRight w:val="0"/>
      <w:marTop w:val="0"/>
      <w:marBottom w:val="0"/>
      <w:divBdr>
        <w:top w:val="none" w:sz="0" w:space="0" w:color="auto"/>
        <w:left w:val="none" w:sz="0" w:space="0" w:color="auto"/>
        <w:bottom w:val="none" w:sz="0" w:space="0" w:color="auto"/>
        <w:right w:val="none" w:sz="0" w:space="0" w:color="auto"/>
      </w:divBdr>
    </w:div>
    <w:div w:id="527722365">
      <w:marLeft w:val="0"/>
      <w:marRight w:val="0"/>
      <w:marTop w:val="0"/>
      <w:marBottom w:val="0"/>
      <w:divBdr>
        <w:top w:val="none" w:sz="0" w:space="0" w:color="auto"/>
        <w:left w:val="none" w:sz="0" w:space="0" w:color="auto"/>
        <w:bottom w:val="none" w:sz="0" w:space="0" w:color="auto"/>
        <w:right w:val="none" w:sz="0" w:space="0" w:color="auto"/>
      </w:divBdr>
    </w:div>
    <w:div w:id="527722366">
      <w:marLeft w:val="0"/>
      <w:marRight w:val="0"/>
      <w:marTop w:val="0"/>
      <w:marBottom w:val="0"/>
      <w:divBdr>
        <w:top w:val="none" w:sz="0" w:space="0" w:color="auto"/>
        <w:left w:val="none" w:sz="0" w:space="0" w:color="auto"/>
        <w:bottom w:val="none" w:sz="0" w:space="0" w:color="auto"/>
        <w:right w:val="none" w:sz="0" w:space="0" w:color="auto"/>
      </w:divBdr>
    </w:div>
    <w:div w:id="527722367">
      <w:marLeft w:val="0"/>
      <w:marRight w:val="0"/>
      <w:marTop w:val="0"/>
      <w:marBottom w:val="0"/>
      <w:divBdr>
        <w:top w:val="none" w:sz="0" w:space="0" w:color="auto"/>
        <w:left w:val="none" w:sz="0" w:space="0" w:color="auto"/>
        <w:bottom w:val="none" w:sz="0" w:space="0" w:color="auto"/>
        <w:right w:val="none" w:sz="0" w:space="0" w:color="auto"/>
      </w:divBdr>
    </w:div>
    <w:div w:id="527722368">
      <w:marLeft w:val="0"/>
      <w:marRight w:val="0"/>
      <w:marTop w:val="0"/>
      <w:marBottom w:val="0"/>
      <w:divBdr>
        <w:top w:val="none" w:sz="0" w:space="0" w:color="auto"/>
        <w:left w:val="none" w:sz="0" w:space="0" w:color="auto"/>
        <w:bottom w:val="none" w:sz="0" w:space="0" w:color="auto"/>
        <w:right w:val="none" w:sz="0" w:space="0" w:color="auto"/>
      </w:divBdr>
    </w:div>
    <w:div w:id="527722369">
      <w:marLeft w:val="0"/>
      <w:marRight w:val="0"/>
      <w:marTop w:val="0"/>
      <w:marBottom w:val="0"/>
      <w:divBdr>
        <w:top w:val="none" w:sz="0" w:space="0" w:color="auto"/>
        <w:left w:val="none" w:sz="0" w:space="0" w:color="auto"/>
        <w:bottom w:val="none" w:sz="0" w:space="0" w:color="auto"/>
        <w:right w:val="none" w:sz="0" w:space="0" w:color="auto"/>
      </w:divBdr>
    </w:div>
    <w:div w:id="527722370">
      <w:marLeft w:val="0"/>
      <w:marRight w:val="0"/>
      <w:marTop w:val="0"/>
      <w:marBottom w:val="0"/>
      <w:divBdr>
        <w:top w:val="none" w:sz="0" w:space="0" w:color="auto"/>
        <w:left w:val="none" w:sz="0" w:space="0" w:color="auto"/>
        <w:bottom w:val="none" w:sz="0" w:space="0" w:color="auto"/>
        <w:right w:val="none" w:sz="0" w:space="0" w:color="auto"/>
      </w:divBdr>
    </w:div>
    <w:div w:id="527722371">
      <w:marLeft w:val="0"/>
      <w:marRight w:val="0"/>
      <w:marTop w:val="0"/>
      <w:marBottom w:val="0"/>
      <w:divBdr>
        <w:top w:val="none" w:sz="0" w:space="0" w:color="auto"/>
        <w:left w:val="none" w:sz="0" w:space="0" w:color="auto"/>
        <w:bottom w:val="none" w:sz="0" w:space="0" w:color="auto"/>
        <w:right w:val="none" w:sz="0" w:space="0" w:color="auto"/>
      </w:divBdr>
    </w:div>
    <w:div w:id="527722372">
      <w:marLeft w:val="0"/>
      <w:marRight w:val="0"/>
      <w:marTop w:val="0"/>
      <w:marBottom w:val="0"/>
      <w:divBdr>
        <w:top w:val="none" w:sz="0" w:space="0" w:color="auto"/>
        <w:left w:val="none" w:sz="0" w:space="0" w:color="auto"/>
        <w:bottom w:val="none" w:sz="0" w:space="0" w:color="auto"/>
        <w:right w:val="none" w:sz="0" w:space="0" w:color="auto"/>
      </w:divBdr>
    </w:div>
    <w:div w:id="527722373">
      <w:marLeft w:val="0"/>
      <w:marRight w:val="0"/>
      <w:marTop w:val="0"/>
      <w:marBottom w:val="0"/>
      <w:divBdr>
        <w:top w:val="none" w:sz="0" w:space="0" w:color="auto"/>
        <w:left w:val="none" w:sz="0" w:space="0" w:color="auto"/>
        <w:bottom w:val="none" w:sz="0" w:space="0" w:color="auto"/>
        <w:right w:val="none" w:sz="0" w:space="0" w:color="auto"/>
      </w:divBdr>
    </w:div>
    <w:div w:id="573470797">
      <w:bodyDiv w:val="1"/>
      <w:marLeft w:val="0"/>
      <w:marRight w:val="0"/>
      <w:marTop w:val="0"/>
      <w:marBottom w:val="0"/>
      <w:divBdr>
        <w:top w:val="none" w:sz="0" w:space="0" w:color="auto"/>
        <w:left w:val="none" w:sz="0" w:space="0" w:color="auto"/>
        <w:bottom w:val="none" w:sz="0" w:space="0" w:color="auto"/>
        <w:right w:val="none" w:sz="0" w:space="0" w:color="auto"/>
      </w:divBdr>
    </w:div>
    <w:div w:id="1072699218">
      <w:bodyDiv w:val="1"/>
      <w:marLeft w:val="0"/>
      <w:marRight w:val="0"/>
      <w:marTop w:val="0"/>
      <w:marBottom w:val="0"/>
      <w:divBdr>
        <w:top w:val="none" w:sz="0" w:space="0" w:color="auto"/>
        <w:left w:val="none" w:sz="0" w:space="0" w:color="auto"/>
        <w:bottom w:val="none" w:sz="0" w:space="0" w:color="auto"/>
        <w:right w:val="none" w:sz="0" w:space="0" w:color="auto"/>
      </w:divBdr>
    </w:div>
    <w:div w:id="1217545115">
      <w:bodyDiv w:val="1"/>
      <w:marLeft w:val="0"/>
      <w:marRight w:val="0"/>
      <w:marTop w:val="0"/>
      <w:marBottom w:val="0"/>
      <w:divBdr>
        <w:top w:val="none" w:sz="0" w:space="0" w:color="auto"/>
        <w:left w:val="none" w:sz="0" w:space="0" w:color="auto"/>
        <w:bottom w:val="none" w:sz="0" w:space="0" w:color="auto"/>
        <w:right w:val="none" w:sz="0" w:space="0" w:color="auto"/>
      </w:divBdr>
    </w:div>
    <w:div w:id="1304509257">
      <w:bodyDiv w:val="1"/>
      <w:marLeft w:val="0"/>
      <w:marRight w:val="0"/>
      <w:marTop w:val="0"/>
      <w:marBottom w:val="0"/>
      <w:divBdr>
        <w:top w:val="none" w:sz="0" w:space="0" w:color="auto"/>
        <w:left w:val="none" w:sz="0" w:space="0" w:color="auto"/>
        <w:bottom w:val="none" w:sz="0" w:space="0" w:color="auto"/>
        <w:right w:val="none" w:sz="0" w:space="0" w:color="auto"/>
      </w:divBdr>
    </w:div>
    <w:div w:id="1448701200">
      <w:bodyDiv w:val="1"/>
      <w:marLeft w:val="0"/>
      <w:marRight w:val="0"/>
      <w:marTop w:val="0"/>
      <w:marBottom w:val="0"/>
      <w:divBdr>
        <w:top w:val="none" w:sz="0" w:space="0" w:color="auto"/>
        <w:left w:val="none" w:sz="0" w:space="0" w:color="auto"/>
        <w:bottom w:val="none" w:sz="0" w:space="0" w:color="auto"/>
        <w:right w:val="none" w:sz="0" w:space="0" w:color="auto"/>
      </w:divBdr>
    </w:div>
    <w:div w:id="1469326253">
      <w:bodyDiv w:val="1"/>
      <w:marLeft w:val="0"/>
      <w:marRight w:val="0"/>
      <w:marTop w:val="0"/>
      <w:marBottom w:val="0"/>
      <w:divBdr>
        <w:top w:val="none" w:sz="0" w:space="0" w:color="auto"/>
        <w:left w:val="none" w:sz="0" w:space="0" w:color="auto"/>
        <w:bottom w:val="none" w:sz="0" w:space="0" w:color="auto"/>
        <w:right w:val="none" w:sz="0" w:space="0" w:color="auto"/>
      </w:divBdr>
    </w:div>
    <w:div w:id="153315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52494-C638-4981-BD1A-15FF51FB5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05ECA9-304B-46AD-B41B-457C28774AB4}">
  <ds:schemaRefs>
    <ds:schemaRef ds:uri="http://schemas.microsoft.com/sharepoint/v3/contenttype/forms"/>
  </ds:schemaRefs>
</ds:datastoreItem>
</file>

<file path=customXml/itemProps3.xml><?xml version="1.0" encoding="utf-8"?>
<ds:datastoreItem xmlns:ds="http://schemas.openxmlformats.org/officeDocument/2006/customXml" ds:itemID="{A02F2C15-3572-40D2-AF50-82815BF54F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7AC31D-7BFA-4B27-AD58-EC9599E93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24153</Words>
  <Characters>137673</Characters>
  <Application>Microsoft Office Word</Application>
  <DocSecurity>0</DocSecurity>
  <Lines>1147</Lines>
  <Paragraphs>323</Paragraphs>
  <ScaleCrop>false</ScaleCrop>
  <HeadingPairs>
    <vt:vector size="6" baseType="variant">
      <vt:variant>
        <vt:lpstr>Title</vt:lpstr>
      </vt:variant>
      <vt:variant>
        <vt:i4>1</vt:i4>
      </vt:variant>
      <vt:variant>
        <vt:lpstr>Titel</vt:lpstr>
      </vt:variant>
      <vt:variant>
        <vt:i4>1</vt:i4>
      </vt:variant>
      <vt:variant>
        <vt:lpstr>Naslov</vt:lpstr>
      </vt:variant>
      <vt:variant>
        <vt:i4>1</vt:i4>
      </vt:variant>
    </vt:vector>
  </HeadingPairs>
  <TitlesOfParts>
    <vt:vector size="3" baseType="lpstr">
      <vt:lpstr>Tolucombi, INN - telmisartan/hydrochlorothiazide</vt:lpstr>
      <vt:lpstr>Tolucombi, INN - telmisartan/hydrochlorothiazide</vt:lpstr>
      <vt:lpstr>Tolucombi, INN - telmisartan/hydrochlorothiazide</vt:lpstr>
    </vt:vector>
  </TitlesOfParts>
  <Company>Translation Centre</Company>
  <LinksUpToDate>false</LinksUpToDate>
  <CharactersWithSpaces>161503</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Tolucombi, INN - telmisartan/hydrochlorothiazide</dc:title>
  <dc:subject>EPAR</dc:subject>
  <dc:creator>CHMP</dc:creator>
  <cp:keywords>Tolucombi, INN - telmisartan/hydrochlorothiazide</cp:keywords>
  <cp:lastModifiedBy>Voutsas Achilleas</cp:lastModifiedBy>
  <cp:revision>2</cp:revision>
  <cp:lastPrinted>2014-06-16T11:40:00Z</cp:lastPrinted>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CURRENT,1.0</vt:lpwstr>
  </property>
  <property fmtid="{D5CDD505-2E9C-101B-9397-08002B2CF9AE}" pid="31" name="DM_Name">
    <vt:lpwstr>Hqrdtemplatecleande</vt:lpwstr>
  </property>
  <property fmtid="{D5CDD505-2E9C-101B-9397-08002B2CF9AE}" pid="32" name="DM_Creation_Date">
    <vt:lpwstr>09/11/2012 15:05:20</vt:lpwstr>
  </property>
  <property fmtid="{D5CDD505-2E9C-101B-9397-08002B2CF9AE}" pid="33" name="DM_Modify_Date">
    <vt:lpwstr>09/11/2012 15:05:20</vt:lpwstr>
  </property>
  <property fmtid="{D5CDD505-2E9C-101B-9397-08002B2CF9AE}" pid="34" name="DM_Creator_Name">
    <vt:lpwstr>Wozniak Izabela</vt:lpwstr>
  </property>
  <property fmtid="{D5CDD505-2E9C-101B-9397-08002B2CF9AE}" pid="35" name="DM_Modifier_Name">
    <vt:lpwstr>Wozniak Izabela</vt:lpwstr>
  </property>
  <property fmtid="{D5CDD505-2E9C-101B-9397-08002B2CF9AE}" pid="36" name="DM_Type">
    <vt:lpwstr>emea_document</vt:lpwstr>
  </property>
  <property fmtid="{D5CDD505-2E9C-101B-9397-08002B2CF9AE}" pid="37" name="DM_DocRefId">
    <vt:lpwstr>EMA/723319/2012</vt:lpwstr>
  </property>
  <property fmtid="{D5CDD505-2E9C-101B-9397-08002B2CF9AE}" pid="38" name="DM_Category">
    <vt:lpwstr>Templates and Form</vt:lpwstr>
  </property>
  <property fmtid="{D5CDD505-2E9C-101B-9397-08002B2CF9AE}" pid="39" name="DM_Path">
    <vt:lpwstr>/02b. Administration of Scientific Meeting/WPs SAGs DGs and other WGs/CxMP - QRD/3. Other activities/02. Procedures/01. QRD PI templates/01 QRD Human Templates/04 H-qrd template v9/Revised Annex II (Nov 2012)/4 - Published/clean</vt:lpwstr>
  </property>
  <property fmtid="{D5CDD505-2E9C-101B-9397-08002B2CF9AE}" pid="40" name="DM_emea_doc_ref_id">
    <vt:lpwstr>EMA/723319/2012</vt:lpwstr>
  </property>
  <property fmtid="{D5CDD505-2E9C-101B-9397-08002B2CF9AE}" pid="41" name="DM_Modifer_Name">
    <vt:lpwstr>Wozniak Izabela</vt:lpwstr>
  </property>
  <property fmtid="{D5CDD505-2E9C-101B-9397-08002B2CF9AE}" pid="42" name="DM_Modified_Date">
    <vt:lpwstr>09/11/2012 15:05:20</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2021-06-03T23:52:23Z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f0622a9a-608d-4d59-9547-67ad5310029c</vt:lpwstr>
  </property>
  <property fmtid="{D5CDD505-2E9C-101B-9397-08002B2CF9AE}" pid="49" name="MSIP_Label_0eea11ca-d417-4147-80ed-01a58412c458_ContentBits">
    <vt:lpwstr>2</vt:lpwstr>
  </property>
</Properties>
</file>