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191" w:rsidRPr="00AF60DE" w:rsidRDefault="00681191" w:rsidP="00681191">
      <w:pPr>
        <w:widowControl w:val="0"/>
        <w:spacing w:line="240" w:lineRule="auto"/>
        <w:jc w:val="center"/>
        <w:outlineLvl w:val="0"/>
        <w:rPr>
          <w:b/>
          <w:noProof/>
          <w:szCs w:val="22"/>
          <w:lang w:val="en-US"/>
        </w:rPr>
      </w:pPr>
      <w:bookmarkStart w:id="0" w:name="_GoBack"/>
      <w:bookmarkEnd w:id="0"/>
    </w:p>
    <w:p w:rsidR="00681191" w:rsidRPr="00FC2F1F" w:rsidRDefault="00681191" w:rsidP="00681191">
      <w:pPr>
        <w:widowControl w:val="0"/>
        <w:spacing w:line="240" w:lineRule="auto"/>
        <w:jc w:val="center"/>
        <w:outlineLvl w:val="0"/>
        <w:rPr>
          <w:b/>
          <w:noProof/>
          <w:szCs w:val="22"/>
          <w:lang w:val="el-GR"/>
        </w:rPr>
      </w:pPr>
    </w:p>
    <w:p w:rsidR="00681191" w:rsidRPr="00FC2F1F" w:rsidRDefault="00681191" w:rsidP="00681191">
      <w:pPr>
        <w:widowControl w:val="0"/>
        <w:spacing w:line="240" w:lineRule="auto"/>
        <w:jc w:val="center"/>
        <w:outlineLvl w:val="0"/>
        <w:rPr>
          <w:b/>
          <w:noProof/>
          <w:szCs w:val="22"/>
          <w:lang w:val="el-GR"/>
        </w:rPr>
      </w:pPr>
    </w:p>
    <w:p w:rsidR="00681191" w:rsidRPr="00FC2F1F" w:rsidRDefault="00681191" w:rsidP="00681191">
      <w:pPr>
        <w:widowControl w:val="0"/>
        <w:spacing w:line="240" w:lineRule="auto"/>
        <w:jc w:val="center"/>
        <w:outlineLvl w:val="0"/>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tabs>
          <w:tab w:val="left" w:pos="-1440"/>
          <w:tab w:val="left" w:pos="-720"/>
        </w:tabs>
        <w:spacing w:line="240" w:lineRule="auto"/>
        <w:jc w:val="center"/>
        <w:rPr>
          <w:b/>
          <w:noProof/>
          <w:szCs w:val="22"/>
          <w:lang w:val="el-GR"/>
        </w:rPr>
      </w:pPr>
    </w:p>
    <w:p w:rsidR="00681191" w:rsidRPr="00FC2F1F" w:rsidRDefault="00681191" w:rsidP="00681191">
      <w:pPr>
        <w:widowControl w:val="0"/>
        <w:spacing w:line="240" w:lineRule="auto"/>
        <w:jc w:val="center"/>
        <w:rPr>
          <w:b/>
          <w:noProof/>
          <w:szCs w:val="22"/>
          <w:lang w:val="el-GR"/>
        </w:rPr>
      </w:pPr>
      <w:r w:rsidRPr="00FC2F1F">
        <w:rPr>
          <w:b/>
          <w:noProof/>
          <w:szCs w:val="22"/>
          <w:lang w:val="el-GR"/>
        </w:rPr>
        <w:t>ΠΑΡΑΡΤΗΜΑ Ι</w:t>
      </w:r>
    </w:p>
    <w:p w:rsidR="00681191" w:rsidRPr="00FC2F1F" w:rsidRDefault="00681191" w:rsidP="00681191">
      <w:pPr>
        <w:widowControl w:val="0"/>
        <w:spacing w:line="240" w:lineRule="auto"/>
        <w:jc w:val="center"/>
        <w:rPr>
          <w:b/>
          <w:noProof/>
          <w:szCs w:val="22"/>
          <w:lang w:val="el-GR"/>
        </w:rPr>
      </w:pPr>
    </w:p>
    <w:p w:rsidR="00681191" w:rsidRPr="00FC2F1F" w:rsidRDefault="00681191" w:rsidP="00681191">
      <w:pPr>
        <w:pStyle w:val="TitleA"/>
      </w:pPr>
      <w:r w:rsidRPr="00FC2F1F">
        <w:t>ΠΕΡΙΛΗΨΗ ΤΩΝ ΧΑΡΑΚΤΗΡΙΣΤΙΚΩΝ ΤΟΥ ΠΡΟΪΟΝΤΟΣ</w:t>
      </w:r>
    </w:p>
    <w:p w:rsidR="00681191" w:rsidRPr="00FC2F1F" w:rsidRDefault="00681191" w:rsidP="00681191">
      <w:pPr>
        <w:widowControl w:val="0"/>
        <w:tabs>
          <w:tab w:val="left" w:pos="-1440"/>
          <w:tab w:val="left" w:pos="-720"/>
        </w:tabs>
        <w:spacing w:line="240" w:lineRule="auto"/>
        <w:jc w:val="center"/>
        <w:rPr>
          <w:noProof/>
          <w:szCs w:val="22"/>
          <w:lang w:val="el-GR"/>
        </w:rPr>
      </w:pPr>
    </w:p>
    <w:p w:rsidR="00681191" w:rsidRPr="00FC2F1F" w:rsidRDefault="00681191" w:rsidP="00681191">
      <w:pPr>
        <w:widowControl w:val="0"/>
        <w:tabs>
          <w:tab w:val="clear" w:pos="567"/>
        </w:tabs>
        <w:spacing w:line="240" w:lineRule="auto"/>
        <w:ind w:left="567" w:hanging="567"/>
        <w:rPr>
          <w:noProof/>
          <w:szCs w:val="22"/>
          <w:lang w:val="el-GR"/>
        </w:rPr>
      </w:pPr>
      <w:r w:rsidRPr="00FC2F1F">
        <w:rPr>
          <w:noProof/>
          <w:szCs w:val="22"/>
          <w:lang w:val="el-GR"/>
        </w:rPr>
        <w:br w:type="page"/>
      </w:r>
      <w:r w:rsidRPr="00FC2F1F">
        <w:rPr>
          <w:b/>
          <w:noProof/>
          <w:szCs w:val="22"/>
          <w:lang w:val="el-GR"/>
        </w:rPr>
        <w:lastRenderedPageBreak/>
        <w:t>1.</w:t>
      </w:r>
      <w:r w:rsidRPr="00FC2F1F">
        <w:rPr>
          <w:b/>
          <w:noProof/>
          <w:szCs w:val="22"/>
          <w:lang w:val="el-GR"/>
        </w:rPr>
        <w:tab/>
        <w:t>ΟΝΟΜΑΣΙΑ ΤΟΥ ΦΑΡΜΑΚΕΥΤΙΚΟΥ ΠΡΟΪΟΝΤΟΣ</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bookmarkStart w:id="1" w:name="_Hlk499645308"/>
      <w:r w:rsidRPr="00FC2F1F">
        <w:rPr>
          <w:noProof/>
          <w:szCs w:val="22"/>
          <w:lang w:val="el-GR"/>
        </w:rPr>
        <w:t>Tolucombi 40</w:t>
      </w:r>
      <w:r>
        <w:rPr>
          <w:noProof/>
          <w:szCs w:val="22"/>
          <w:lang w:val="el-GR"/>
        </w:rPr>
        <w:t> mg</w:t>
      </w:r>
      <w:r w:rsidRPr="00FC2F1F">
        <w:rPr>
          <w:noProof/>
          <w:szCs w:val="22"/>
          <w:lang w:val="el-GR"/>
        </w:rPr>
        <w:t>/12,5</w:t>
      </w:r>
      <w:r>
        <w:rPr>
          <w:noProof/>
          <w:szCs w:val="22"/>
          <w:lang w:val="el-GR"/>
        </w:rPr>
        <w:t> mg</w:t>
      </w:r>
      <w:r w:rsidRPr="00FC2F1F">
        <w:rPr>
          <w:noProof/>
          <w:szCs w:val="22"/>
          <w:lang w:val="el-GR"/>
        </w:rPr>
        <w:t xml:space="preserve"> δισκία</w:t>
      </w:r>
    </w:p>
    <w:p w:rsidR="00BE7140" w:rsidRPr="00FC2F1F" w:rsidRDefault="00BE7140" w:rsidP="00BE7140">
      <w:pPr>
        <w:widowControl w:val="0"/>
        <w:tabs>
          <w:tab w:val="clear" w:pos="567"/>
        </w:tabs>
        <w:spacing w:line="240" w:lineRule="auto"/>
        <w:rPr>
          <w:noProof/>
          <w:szCs w:val="22"/>
          <w:lang w:val="el-GR"/>
        </w:rPr>
      </w:pPr>
      <w:bookmarkStart w:id="2" w:name="_Hlk499645332"/>
      <w:bookmarkEnd w:id="1"/>
      <w:r w:rsidRPr="00FC2F1F">
        <w:rPr>
          <w:noProof/>
          <w:szCs w:val="22"/>
          <w:lang w:val="el-GR"/>
        </w:rPr>
        <w:t xml:space="preserve">Tolucombi </w:t>
      </w:r>
      <w:r w:rsidRPr="002210C0">
        <w:rPr>
          <w:noProof/>
          <w:szCs w:val="22"/>
          <w:lang w:val="el-GR"/>
        </w:rPr>
        <w:t>8</w:t>
      </w:r>
      <w:r w:rsidRPr="00FC2F1F">
        <w:rPr>
          <w:noProof/>
          <w:szCs w:val="22"/>
          <w:lang w:val="el-GR"/>
        </w:rPr>
        <w:t>0</w:t>
      </w:r>
      <w:r>
        <w:rPr>
          <w:noProof/>
          <w:szCs w:val="22"/>
          <w:lang w:val="el-GR"/>
        </w:rPr>
        <w:t> mg</w:t>
      </w:r>
      <w:r w:rsidRPr="00FC2F1F">
        <w:rPr>
          <w:noProof/>
          <w:szCs w:val="22"/>
          <w:lang w:val="el-GR"/>
        </w:rPr>
        <w:t>/12,5</w:t>
      </w:r>
      <w:r>
        <w:rPr>
          <w:noProof/>
          <w:szCs w:val="22"/>
          <w:lang w:val="el-GR"/>
        </w:rPr>
        <w:t> mg</w:t>
      </w:r>
      <w:r w:rsidRPr="00FC2F1F">
        <w:rPr>
          <w:noProof/>
          <w:szCs w:val="22"/>
          <w:lang w:val="el-GR"/>
        </w:rPr>
        <w:t xml:space="preserve"> δισκία</w:t>
      </w:r>
    </w:p>
    <w:bookmarkEnd w:id="2"/>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ΠΟΙΟΤΙΚΗ ΚΑΙ ΠΟΣΟΤΙΚΗ ΣΥΝΘΕΣΗ</w:t>
      </w:r>
    </w:p>
    <w:p w:rsidR="00681191" w:rsidRPr="00FC2F1F" w:rsidRDefault="00681191" w:rsidP="00681191">
      <w:pPr>
        <w:widowControl w:val="0"/>
        <w:tabs>
          <w:tab w:val="clear" w:pos="567"/>
        </w:tabs>
        <w:spacing w:line="240" w:lineRule="auto"/>
        <w:rPr>
          <w:noProof/>
          <w:szCs w:val="22"/>
          <w:lang w:val="el-GR"/>
        </w:rPr>
      </w:pPr>
    </w:p>
    <w:p w:rsidR="00BE7140" w:rsidRPr="002210C0" w:rsidRDefault="00BE7140" w:rsidP="00BE7140">
      <w:pPr>
        <w:widowControl w:val="0"/>
        <w:tabs>
          <w:tab w:val="clear" w:pos="567"/>
        </w:tabs>
        <w:spacing w:line="240" w:lineRule="auto"/>
        <w:rPr>
          <w:noProof/>
          <w:szCs w:val="22"/>
          <w:u w:val="single"/>
          <w:lang w:val="el-GR"/>
        </w:rPr>
      </w:pPr>
      <w:bookmarkStart w:id="3" w:name="_Hlk499645401"/>
      <w:r w:rsidRPr="002210C0">
        <w:rPr>
          <w:noProof/>
          <w:szCs w:val="22"/>
          <w:u w:val="single"/>
          <w:lang w:val="el-GR"/>
        </w:rPr>
        <w:t xml:space="preserve">Tolucombi </w:t>
      </w:r>
      <w:bookmarkStart w:id="4" w:name="_Hlk499645369"/>
      <w:r w:rsidRPr="002210C0">
        <w:rPr>
          <w:noProof/>
          <w:szCs w:val="22"/>
          <w:u w:val="single"/>
          <w:lang w:val="el-GR"/>
        </w:rPr>
        <w:t xml:space="preserve">40 mg/12,5 mg </w:t>
      </w:r>
      <w:bookmarkEnd w:id="4"/>
      <w:r w:rsidRPr="002210C0">
        <w:rPr>
          <w:noProof/>
          <w:szCs w:val="22"/>
          <w:u w:val="single"/>
          <w:lang w:val="el-GR"/>
        </w:rPr>
        <w:t>δισκία</w:t>
      </w:r>
    </w:p>
    <w:p w:rsidR="00681191" w:rsidRPr="00FC2F1F" w:rsidRDefault="00681191" w:rsidP="00681191">
      <w:pPr>
        <w:widowControl w:val="0"/>
        <w:tabs>
          <w:tab w:val="clear" w:pos="567"/>
        </w:tabs>
        <w:spacing w:line="240" w:lineRule="auto"/>
        <w:rPr>
          <w:noProof/>
          <w:szCs w:val="22"/>
          <w:lang w:val="el-GR"/>
        </w:rPr>
      </w:pPr>
      <w:bookmarkStart w:id="5" w:name="_Hlk499645342"/>
      <w:bookmarkEnd w:id="3"/>
      <w:r w:rsidRPr="00FC2F1F">
        <w:rPr>
          <w:noProof/>
          <w:szCs w:val="22"/>
          <w:lang w:val="el-GR"/>
        </w:rPr>
        <w:t>Κάθε δισκίο περιέχει 40</w:t>
      </w:r>
      <w:r>
        <w:rPr>
          <w:noProof/>
          <w:szCs w:val="22"/>
          <w:lang w:val="el-GR"/>
        </w:rPr>
        <w:t> mg</w:t>
      </w:r>
      <w:r w:rsidRPr="00FC2F1F">
        <w:rPr>
          <w:noProof/>
          <w:szCs w:val="22"/>
          <w:lang w:val="el-GR"/>
        </w:rPr>
        <w:t xml:space="preserve"> τελμισαρτάνης και 12,5</w:t>
      </w:r>
      <w:r>
        <w:rPr>
          <w:noProof/>
          <w:szCs w:val="22"/>
          <w:lang w:val="el-GR"/>
        </w:rPr>
        <w:t> mg</w:t>
      </w:r>
      <w:r w:rsidRPr="00FC2F1F">
        <w:rPr>
          <w:noProof/>
          <w:szCs w:val="22"/>
          <w:lang w:val="el-GR"/>
        </w:rPr>
        <w:t xml:space="preserve"> υδροχλωροθειαζίδης.</w:t>
      </w:r>
    </w:p>
    <w:bookmarkEnd w:id="5"/>
    <w:p w:rsidR="00681191" w:rsidRDefault="00681191" w:rsidP="00681191">
      <w:pPr>
        <w:widowControl w:val="0"/>
        <w:tabs>
          <w:tab w:val="clear" w:pos="567"/>
        </w:tabs>
        <w:spacing w:line="240" w:lineRule="auto"/>
        <w:rPr>
          <w:noProof/>
          <w:szCs w:val="22"/>
          <w:lang w:val="el-GR"/>
        </w:rPr>
      </w:pPr>
    </w:p>
    <w:p w:rsidR="00BE7140" w:rsidRPr="002210C0" w:rsidRDefault="00BE7140" w:rsidP="00BE7140">
      <w:pPr>
        <w:widowControl w:val="0"/>
        <w:tabs>
          <w:tab w:val="clear" w:pos="567"/>
        </w:tabs>
        <w:spacing w:line="240" w:lineRule="auto"/>
        <w:rPr>
          <w:noProof/>
          <w:szCs w:val="22"/>
          <w:u w:val="single"/>
          <w:lang w:val="el-GR"/>
        </w:rPr>
      </w:pPr>
      <w:r w:rsidRPr="002210C0">
        <w:rPr>
          <w:noProof/>
          <w:szCs w:val="22"/>
          <w:u w:val="single"/>
          <w:lang w:val="el-GR"/>
        </w:rPr>
        <w:t>Tolucombi 80 mg/12,5 mg δισκία</w:t>
      </w:r>
    </w:p>
    <w:p w:rsidR="00BE7140" w:rsidRPr="00BE7140" w:rsidRDefault="00BE7140" w:rsidP="00BE7140">
      <w:pPr>
        <w:widowControl w:val="0"/>
        <w:tabs>
          <w:tab w:val="clear" w:pos="567"/>
        </w:tabs>
        <w:spacing w:line="240" w:lineRule="auto"/>
        <w:rPr>
          <w:noProof/>
          <w:szCs w:val="22"/>
          <w:lang w:val="el-GR"/>
        </w:rPr>
      </w:pPr>
      <w:r w:rsidRPr="00BE7140">
        <w:rPr>
          <w:noProof/>
          <w:szCs w:val="22"/>
          <w:lang w:val="el-GR"/>
        </w:rPr>
        <w:t xml:space="preserve">Κάθε δισκίο περιέχει </w:t>
      </w:r>
      <w:r w:rsidR="00B60F5C" w:rsidRPr="002210C0">
        <w:rPr>
          <w:noProof/>
          <w:szCs w:val="22"/>
          <w:lang w:val="el-GR"/>
        </w:rPr>
        <w:t>8</w:t>
      </w:r>
      <w:r w:rsidRPr="00BE7140">
        <w:rPr>
          <w:noProof/>
          <w:szCs w:val="22"/>
          <w:lang w:val="el-GR"/>
        </w:rPr>
        <w:t>0 mg τελμισαρτάνης και 12,5 mg υδροχλωροθειαζίδης.</w:t>
      </w:r>
    </w:p>
    <w:p w:rsidR="00BE7140" w:rsidRPr="00FC2F1F" w:rsidRDefault="00BE7140"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u w:val="single"/>
          <w:lang w:val="el-GR"/>
        </w:rPr>
        <w:t>Έκδοχο(α) με γνωστ</w:t>
      </w:r>
      <w:r w:rsidR="00A451BB">
        <w:rPr>
          <w:noProof/>
          <w:szCs w:val="22"/>
          <w:u w:val="single"/>
          <w:lang w:val="el-GR"/>
        </w:rPr>
        <w:t>ή</w:t>
      </w:r>
      <w:r w:rsidRPr="00FC2F1F">
        <w:rPr>
          <w:noProof/>
          <w:szCs w:val="22"/>
          <w:u w:val="single"/>
          <w:lang w:val="el-GR"/>
        </w:rPr>
        <w:t xml:space="preserve"> δράσ</w:t>
      </w:r>
      <w:r w:rsidR="00A451BB">
        <w:rPr>
          <w:noProof/>
          <w:szCs w:val="22"/>
          <w:u w:val="single"/>
          <w:lang w:val="el-GR"/>
        </w:rPr>
        <w:t>η</w:t>
      </w: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 xml:space="preserve">Κάθε δισκίο </w:t>
      </w:r>
      <w:r w:rsidR="00BE7140" w:rsidRPr="002210C0">
        <w:rPr>
          <w:noProof/>
          <w:szCs w:val="22"/>
          <w:lang w:val="el-GR"/>
        </w:rPr>
        <w:t xml:space="preserve">40 mg/12,5 mg </w:t>
      </w:r>
      <w:r w:rsidRPr="00FC2F1F">
        <w:rPr>
          <w:noProof/>
          <w:szCs w:val="22"/>
          <w:lang w:val="el-GR"/>
        </w:rPr>
        <w:t>περιέχει 57</w:t>
      </w:r>
      <w:r>
        <w:rPr>
          <w:noProof/>
          <w:szCs w:val="22"/>
          <w:lang w:val="el-GR"/>
        </w:rPr>
        <w:t> mg</w:t>
      </w:r>
      <w:r w:rsidRPr="00FC2F1F">
        <w:rPr>
          <w:noProof/>
          <w:szCs w:val="22"/>
          <w:lang w:val="el-GR"/>
        </w:rPr>
        <w:t xml:space="preserve"> λακτόζης (ως μονοϋδρική) και 147,04</w:t>
      </w:r>
      <w:r>
        <w:rPr>
          <w:noProof/>
          <w:szCs w:val="22"/>
          <w:lang w:val="el-GR"/>
        </w:rPr>
        <w:t> mg</w:t>
      </w:r>
      <w:r w:rsidRPr="00FC2F1F">
        <w:rPr>
          <w:noProof/>
          <w:szCs w:val="22"/>
          <w:lang w:val="el-GR"/>
        </w:rPr>
        <w:t xml:space="preserve"> σορβιτόλης (Ε420).</w:t>
      </w:r>
    </w:p>
    <w:p w:rsidR="00681191" w:rsidRPr="00FC2F1F" w:rsidRDefault="00681191" w:rsidP="00681191">
      <w:pPr>
        <w:widowControl w:val="0"/>
        <w:tabs>
          <w:tab w:val="clear" w:pos="567"/>
        </w:tabs>
        <w:spacing w:line="240" w:lineRule="auto"/>
        <w:rPr>
          <w:noProof/>
          <w:szCs w:val="22"/>
          <w:lang w:val="el-GR"/>
        </w:rPr>
      </w:pPr>
    </w:p>
    <w:p w:rsidR="00BE7140" w:rsidRPr="00BE7140" w:rsidRDefault="00BE7140" w:rsidP="00BE7140">
      <w:pPr>
        <w:widowControl w:val="0"/>
        <w:tabs>
          <w:tab w:val="clear" w:pos="567"/>
        </w:tabs>
        <w:spacing w:line="240" w:lineRule="auto"/>
        <w:rPr>
          <w:noProof/>
          <w:szCs w:val="22"/>
          <w:lang w:val="el-GR"/>
        </w:rPr>
      </w:pPr>
      <w:r w:rsidRPr="00BE7140">
        <w:rPr>
          <w:noProof/>
          <w:szCs w:val="22"/>
          <w:lang w:val="el-GR"/>
        </w:rPr>
        <w:t xml:space="preserve">Κάθε δισκίο </w:t>
      </w:r>
      <w:r w:rsidRPr="002210C0">
        <w:rPr>
          <w:noProof/>
          <w:szCs w:val="22"/>
          <w:lang w:val="el-GR"/>
        </w:rPr>
        <w:t xml:space="preserve">80 mg/12,5 mg </w:t>
      </w:r>
      <w:r w:rsidRPr="00BE7140">
        <w:rPr>
          <w:noProof/>
          <w:szCs w:val="22"/>
          <w:lang w:val="el-GR"/>
        </w:rPr>
        <w:t xml:space="preserve">περιέχει </w:t>
      </w:r>
      <w:r w:rsidR="00116373" w:rsidRPr="002210C0">
        <w:rPr>
          <w:noProof/>
          <w:szCs w:val="22"/>
          <w:lang w:val="el-GR"/>
        </w:rPr>
        <w:t>114</w:t>
      </w:r>
      <w:r w:rsidRPr="00BE7140">
        <w:rPr>
          <w:noProof/>
          <w:szCs w:val="22"/>
          <w:lang w:val="el-GR"/>
        </w:rPr>
        <w:t xml:space="preserve"> mg λακτόζης (ως μονοϋδρική) και </w:t>
      </w:r>
      <w:r w:rsidR="00116373" w:rsidRPr="002210C0">
        <w:rPr>
          <w:noProof/>
          <w:szCs w:val="22"/>
          <w:lang w:val="el-GR"/>
        </w:rPr>
        <w:t>294</w:t>
      </w:r>
      <w:r w:rsidRPr="00BE7140">
        <w:rPr>
          <w:noProof/>
          <w:szCs w:val="22"/>
          <w:lang w:val="el-GR"/>
        </w:rPr>
        <w:t>,0</w:t>
      </w:r>
      <w:r w:rsidR="00116373" w:rsidRPr="002210C0">
        <w:rPr>
          <w:noProof/>
          <w:szCs w:val="22"/>
          <w:lang w:val="el-GR"/>
        </w:rPr>
        <w:t>8</w:t>
      </w:r>
      <w:r w:rsidRPr="00BE7140">
        <w:rPr>
          <w:noProof/>
          <w:szCs w:val="22"/>
          <w:lang w:val="el-GR"/>
        </w:rPr>
        <w:t> mg σορβιτόλης (Ε420).</w:t>
      </w:r>
    </w:p>
    <w:p w:rsidR="00BE7140" w:rsidRDefault="00BE7140"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Για τον πλήρη κατάλογο των εκδόχων, βλ. παράγραφο 6.1.</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ΦΑΡΜΑΚΟΤΕΧΝΙΚΗ ΜΟΡΦΗ</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Δισκίο.</w:t>
      </w:r>
    </w:p>
    <w:p w:rsidR="00A57DBB" w:rsidRDefault="00A57DBB" w:rsidP="00681191">
      <w:pPr>
        <w:widowControl w:val="0"/>
        <w:tabs>
          <w:tab w:val="clear" w:pos="567"/>
        </w:tabs>
        <w:spacing w:line="240" w:lineRule="auto"/>
        <w:rPr>
          <w:noProof/>
          <w:szCs w:val="22"/>
          <w:lang w:val="el-GR"/>
        </w:rPr>
      </w:pPr>
    </w:p>
    <w:p w:rsidR="00BE7140" w:rsidRPr="00BE7140" w:rsidRDefault="00BE7140" w:rsidP="00BE7140">
      <w:pPr>
        <w:widowControl w:val="0"/>
        <w:tabs>
          <w:tab w:val="clear" w:pos="567"/>
        </w:tabs>
        <w:spacing w:line="240" w:lineRule="auto"/>
        <w:rPr>
          <w:noProof/>
          <w:szCs w:val="22"/>
          <w:u w:val="single"/>
          <w:lang w:val="el-GR"/>
        </w:rPr>
      </w:pPr>
      <w:r w:rsidRPr="00BE7140">
        <w:rPr>
          <w:noProof/>
          <w:szCs w:val="22"/>
          <w:u w:val="single"/>
          <w:lang w:val="el-GR"/>
        </w:rPr>
        <w:t>Tolucombi 40 mg/12,5 mg δισκία</w:t>
      </w: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 xml:space="preserve">Λευκά έως υπόλευκα ή ελαφρώς ροδόχρουν-λευκά στη μία όψη </w:t>
      </w:r>
      <w:r w:rsidRPr="00BD437F">
        <w:rPr>
          <w:noProof/>
          <w:szCs w:val="22"/>
          <w:lang w:val="el-GR"/>
        </w:rPr>
        <w:t>και ροδόχρουν με νερά μαρμάρου</w:t>
      </w:r>
      <w:r w:rsidRPr="00FC2F1F">
        <w:rPr>
          <w:noProof/>
          <w:szCs w:val="22"/>
          <w:lang w:val="el-GR"/>
        </w:rPr>
        <w:t xml:space="preserve"> στην αντίθετη όψη του αμφίκυρτου οβάλ δισκίου δύο στρωμάτων, διαστάσεις δισκίου 15 mm x 7 mm.</w:t>
      </w:r>
    </w:p>
    <w:p w:rsidR="00681191" w:rsidRPr="00FC2F1F" w:rsidRDefault="00681191" w:rsidP="00681191">
      <w:pPr>
        <w:widowControl w:val="0"/>
        <w:tabs>
          <w:tab w:val="clear" w:pos="567"/>
        </w:tabs>
        <w:spacing w:line="240" w:lineRule="auto"/>
        <w:rPr>
          <w:noProof/>
          <w:szCs w:val="22"/>
          <w:lang w:val="el-GR"/>
        </w:rPr>
      </w:pPr>
    </w:p>
    <w:p w:rsidR="00BE7140" w:rsidRPr="00BE7140" w:rsidRDefault="00BE7140" w:rsidP="00BE7140">
      <w:pPr>
        <w:widowControl w:val="0"/>
        <w:tabs>
          <w:tab w:val="clear" w:pos="567"/>
        </w:tabs>
        <w:spacing w:line="240" w:lineRule="auto"/>
        <w:rPr>
          <w:noProof/>
          <w:szCs w:val="22"/>
          <w:u w:val="single"/>
          <w:lang w:val="el-GR"/>
        </w:rPr>
      </w:pPr>
      <w:r w:rsidRPr="00BE7140">
        <w:rPr>
          <w:noProof/>
          <w:szCs w:val="22"/>
          <w:u w:val="single"/>
          <w:lang w:val="el-GR"/>
        </w:rPr>
        <w:t>Tolucombi 80 mg/12,5 mg δισκία</w:t>
      </w:r>
    </w:p>
    <w:p w:rsidR="00BE7140" w:rsidRPr="00BE7140" w:rsidRDefault="00BE7140" w:rsidP="00BE7140">
      <w:pPr>
        <w:widowControl w:val="0"/>
        <w:tabs>
          <w:tab w:val="clear" w:pos="567"/>
        </w:tabs>
        <w:spacing w:line="240" w:lineRule="auto"/>
        <w:rPr>
          <w:noProof/>
          <w:szCs w:val="22"/>
          <w:lang w:val="el-GR"/>
        </w:rPr>
      </w:pPr>
      <w:r w:rsidRPr="00BE7140">
        <w:rPr>
          <w:noProof/>
          <w:szCs w:val="22"/>
          <w:lang w:val="el-GR"/>
        </w:rPr>
        <w:t>Λευκά έως υπόλευκα ή ελαφρώς ροδόχρουν-λευκά στη μία όψη και ροδόχρουν με νερά μαρμάρου στην αντίθετη όψη του αμφίκυρτου οβάλ δισκίου δύο στρωμάτων, διαστάσεις δισκίου 18 mm x 9 mm.</w:t>
      </w:r>
    </w:p>
    <w:p w:rsidR="00681191" w:rsidRDefault="00681191" w:rsidP="00681191">
      <w:pPr>
        <w:widowControl w:val="0"/>
        <w:tabs>
          <w:tab w:val="clear" w:pos="567"/>
        </w:tabs>
        <w:spacing w:line="240" w:lineRule="auto"/>
        <w:rPr>
          <w:noProof/>
          <w:szCs w:val="22"/>
          <w:lang w:val="el-GR"/>
        </w:rPr>
      </w:pPr>
    </w:p>
    <w:p w:rsidR="00CA58BB" w:rsidRPr="00FC2F1F" w:rsidRDefault="00CA58BB"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ΚΛΙΝΙΚΕΣ ΠΛΗΡΟΦΟΡΙΕΣ</w:t>
      </w:r>
    </w:p>
    <w:p w:rsidR="00681191" w:rsidRPr="00FC2F1F" w:rsidRDefault="00681191" w:rsidP="00681191">
      <w:pPr>
        <w:widowControl w:val="0"/>
        <w:tabs>
          <w:tab w:val="clear" w:pos="567"/>
        </w:tabs>
        <w:spacing w:line="240" w:lineRule="auto"/>
        <w:ind w:left="567" w:hanging="567"/>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4.1</w:t>
      </w:r>
      <w:r w:rsidRPr="00FC2F1F">
        <w:rPr>
          <w:b/>
          <w:noProof/>
          <w:szCs w:val="22"/>
          <w:lang w:val="el-GR"/>
        </w:rPr>
        <w:tab/>
        <w:t>Θεραπευτικές ενδείξεις</w:t>
      </w:r>
    </w:p>
    <w:p w:rsidR="00681191" w:rsidRPr="00FC2F1F" w:rsidRDefault="00681191" w:rsidP="00681191">
      <w:pPr>
        <w:widowControl w:val="0"/>
        <w:tabs>
          <w:tab w:val="clear" w:pos="567"/>
        </w:tabs>
        <w:spacing w:line="240" w:lineRule="auto"/>
        <w:rPr>
          <w:b/>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noProof/>
          <w:szCs w:val="22"/>
          <w:lang w:val="el-GR"/>
        </w:rPr>
        <w:t>Θεραπεία της ιδιοπαθούς υπέρτασης.</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noProof/>
          <w:szCs w:val="22"/>
          <w:lang w:val="el-GR"/>
        </w:rPr>
        <w:t xml:space="preserve">Ο συνδυασμός σταθερών δόσεων </w:t>
      </w:r>
      <w:r w:rsidRPr="00FC2F1F">
        <w:rPr>
          <w:szCs w:val="22"/>
          <w:lang w:val="el-GR"/>
        </w:rPr>
        <w:t>Tolucombi</w:t>
      </w:r>
      <w:r w:rsidRPr="00FC2F1F">
        <w:rPr>
          <w:noProof/>
          <w:szCs w:val="22"/>
          <w:lang w:val="el-GR"/>
        </w:rPr>
        <w:t xml:space="preserve"> (40</w:t>
      </w:r>
      <w:r>
        <w:rPr>
          <w:noProof/>
          <w:szCs w:val="22"/>
          <w:lang w:val="el-GR"/>
        </w:rPr>
        <w:t> mg τελμισαρτάνης/12,</w:t>
      </w:r>
      <w:r w:rsidRPr="00FC2F1F">
        <w:rPr>
          <w:noProof/>
          <w:szCs w:val="22"/>
          <w:lang w:val="el-GR"/>
        </w:rPr>
        <w:t>5</w:t>
      </w:r>
      <w:r>
        <w:rPr>
          <w:noProof/>
          <w:szCs w:val="22"/>
          <w:lang w:val="el-GR"/>
        </w:rPr>
        <w:t> mg</w:t>
      </w:r>
      <w:r w:rsidRPr="00FC2F1F">
        <w:rPr>
          <w:noProof/>
          <w:szCs w:val="22"/>
          <w:lang w:val="el-GR"/>
        </w:rPr>
        <w:t xml:space="preserve"> υδροχλωροθειαζίδης</w:t>
      </w:r>
      <w:r w:rsidR="00B12197" w:rsidRPr="002210C0">
        <w:rPr>
          <w:noProof/>
          <w:szCs w:val="22"/>
          <w:lang w:val="el-GR"/>
        </w:rPr>
        <w:t xml:space="preserve"> </w:t>
      </w:r>
      <w:r w:rsidR="00B12197">
        <w:rPr>
          <w:noProof/>
          <w:szCs w:val="22"/>
          <w:lang w:val="el-GR"/>
        </w:rPr>
        <w:t>και 8</w:t>
      </w:r>
      <w:r w:rsidR="00B12197" w:rsidRPr="00FC2F1F">
        <w:rPr>
          <w:noProof/>
          <w:szCs w:val="22"/>
          <w:lang w:val="el-GR"/>
        </w:rPr>
        <w:t>0</w:t>
      </w:r>
      <w:r w:rsidR="00B12197">
        <w:rPr>
          <w:noProof/>
          <w:szCs w:val="22"/>
          <w:lang w:val="el-GR"/>
        </w:rPr>
        <w:t> mg τελμισαρτάνης/12,</w:t>
      </w:r>
      <w:r w:rsidR="00B12197" w:rsidRPr="00FC2F1F">
        <w:rPr>
          <w:noProof/>
          <w:szCs w:val="22"/>
          <w:lang w:val="el-GR"/>
        </w:rPr>
        <w:t>5</w:t>
      </w:r>
      <w:r w:rsidR="00B12197">
        <w:rPr>
          <w:noProof/>
          <w:szCs w:val="22"/>
          <w:lang w:val="el-GR"/>
        </w:rPr>
        <w:t> mg</w:t>
      </w:r>
      <w:r w:rsidR="00B12197" w:rsidRPr="00FC2F1F">
        <w:rPr>
          <w:noProof/>
          <w:szCs w:val="22"/>
          <w:lang w:val="el-GR"/>
        </w:rPr>
        <w:t xml:space="preserve"> υδροχλωροθειαζίδης</w:t>
      </w:r>
      <w:r w:rsidRPr="00FC2F1F">
        <w:rPr>
          <w:noProof/>
          <w:szCs w:val="22"/>
          <w:lang w:val="el-GR"/>
        </w:rPr>
        <w:t>) ενδείκνυται σε ενήλικες των οποίων η αρτηριακή πίεση δε</w:t>
      </w:r>
      <w:r w:rsidR="00B12197">
        <w:rPr>
          <w:noProof/>
          <w:szCs w:val="22"/>
          <w:lang w:val="el-GR"/>
        </w:rPr>
        <w:t>ν</w:t>
      </w:r>
      <w:r w:rsidRPr="00FC2F1F">
        <w:rPr>
          <w:noProof/>
          <w:szCs w:val="22"/>
          <w:lang w:val="el-GR"/>
        </w:rPr>
        <w:t xml:space="preserve"> ρυθμίζεται επαρκώς με μονοθεραπεία τελμισαρτάνη</w:t>
      </w:r>
      <w:r w:rsidR="00FC0A5E">
        <w:rPr>
          <w:noProof/>
          <w:szCs w:val="22"/>
          <w:lang w:val="el-GR"/>
        </w:rPr>
        <w:t>ς</w:t>
      </w:r>
      <w:r w:rsidRPr="00FC2F1F">
        <w:rPr>
          <w:noProof/>
          <w:szCs w:val="22"/>
          <w:lang w:val="el-GR"/>
        </w:rPr>
        <w:t>.</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4.2</w:t>
      </w:r>
      <w:r w:rsidRPr="00FC2F1F">
        <w:rPr>
          <w:b/>
          <w:noProof/>
          <w:szCs w:val="22"/>
          <w:lang w:val="el-GR"/>
        </w:rPr>
        <w:tab/>
        <w:t>Δοσολογία και τρόπος χορήγησης</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203E6C" w:rsidRDefault="00681191" w:rsidP="00681191">
      <w:pPr>
        <w:widowControl w:val="0"/>
        <w:tabs>
          <w:tab w:val="clear" w:pos="567"/>
        </w:tabs>
        <w:autoSpaceDE w:val="0"/>
        <w:autoSpaceDN w:val="0"/>
        <w:adjustRightInd w:val="0"/>
        <w:spacing w:line="240" w:lineRule="auto"/>
        <w:rPr>
          <w:noProof/>
          <w:szCs w:val="22"/>
          <w:u w:val="single"/>
          <w:lang w:val="el-GR"/>
        </w:rPr>
      </w:pPr>
      <w:r w:rsidRPr="00203E6C">
        <w:rPr>
          <w:noProof/>
          <w:szCs w:val="22"/>
          <w:u w:val="single"/>
          <w:lang w:val="el-GR"/>
        </w:rPr>
        <w:t>Δοσολογία</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noProof/>
          <w:szCs w:val="22"/>
          <w:lang w:val="el-GR"/>
        </w:rPr>
        <w:t>Το Tolucombi πρέπει να λαμβάνεται από ασθενείς των οποίων η αρτηριακή πίεση δε</w:t>
      </w:r>
      <w:r w:rsidR="00FC0A5E">
        <w:rPr>
          <w:noProof/>
          <w:szCs w:val="22"/>
          <w:lang w:val="el-GR"/>
        </w:rPr>
        <w:t>ν</w:t>
      </w:r>
      <w:r w:rsidRPr="00FC2F1F">
        <w:rPr>
          <w:noProof/>
          <w:szCs w:val="22"/>
          <w:lang w:val="el-GR"/>
        </w:rPr>
        <w:t xml:space="preserve"> ρυθμίζεται επαρκώς με μονοθεραπεία τελμισαρτάνης. </w:t>
      </w:r>
      <w:r w:rsidR="00FC0A5E">
        <w:rPr>
          <w:noProof/>
          <w:szCs w:val="22"/>
          <w:lang w:val="el-GR"/>
        </w:rPr>
        <w:t>Συνιστάται ε</w:t>
      </w:r>
      <w:r w:rsidRPr="00FC2F1F">
        <w:rPr>
          <w:noProof/>
          <w:szCs w:val="22"/>
          <w:lang w:val="el-GR"/>
        </w:rPr>
        <w:t xml:space="preserve">ξατομικευμένη τιτλοποίηση της δόσης με καθένα από τα δύο συστατικά πριν την αλλαγή στο συνδυασμό σταθερών δόσεων. Όταν ενδείκνυται κλινικά, μπορεί να εξετασθεί </w:t>
      </w:r>
      <w:r w:rsidR="00FC0A5E">
        <w:rPr>
          <w:noProof/>
          <w:szCs w:val="22"/>
          <w:lang w:val="el-GR"/>
        </w:rPr>
        <w:t xml:space="preserve">το ενδεχόμενο </w:t>
      </w:r>
      <w:r w:rsidRPr="00FC2F1F">
        <w:rPr>
          <w:noProof/>
          <w:szCs w:val="22"/>
          <w:lang w:val="el-GR"/>
        </w:rPr>
        <w:t>απευθείας αλλαγή</w:t>
      </w:r>
      <w:r w:rsidR="00FC0A5E">
        <w:rPr>
          <w:noProof/>
          <w:szCs w:val="22"/>
          <w:lang w:val="el-GR"/>
        </w:rPr>
        <w:t>ς</w:t>
      </w:r>
      <w:r w:rsidRPr="00FC2F1F">
        <w:rPr>
          <w:noProof/>
          <w:szCs w:val="22"/>
          <w:lang w:val="el-GR"/>
        </w:rPr>
        <w:t xml:space="preserve"> από τη μονοθεραπεία στο σταθερ</w:t>
      </w:r>
      <w:r w:rsidR="00FC3483">
        <w:rPr>
          <w:noProof/>
          <w:szCs w:val="22"/>
          <w:lang w:val="el-GR"/>
        </w:rPr>
        <w:t>ό</w:t>
      </w:r>
      <w:r w:rsidRPr="00FC2F1F">
        <w:rPr>
          <w:noProof/>
          <w:szCs w:val="22"/>
          <w:lang w:val="el-GR"/>
        </w:rPr>
        <w:t xml:space="preserve"> συνδυασμ</w:t>
      </w:r>
      <w:r w:rsidR="00FC3483">
        <w:rPr>
          <w:noProof/>
          <w:szCs w:val="22"/>
          <w:lang w:val="el-GR"/>
        </w:rPr>
        <w:t>ό</w:t>
      </w:r>
      <w:r w:rsidRPr="00FC2F1F">
        <w:rPr>
          <w:noProof/>
          <w:szCs w:val="22"/>
          <w:lang w:val="el-GR"/>
        </w:rPr>
        <w:t>.</w:t>
      </w:r>
    </w:p>
    <w:p w:rsidR="00681191" w:rsidRPr="00FC2F1F" w:rsidRDefault="00681191" w:rsidP="00681191">
      <w:pPr>
        <w:widowControl w:val="0"/>
        <w:spacing w:line="240" w:lineRule="auto"/>
        <w:rPr>
          <w:snapToGrid/>
          <w:szCs w:val="22"/>
          <w:lang w:val="el-GR"/>
        </w:rPr>
      </w:pPr>
    </w:p>
    <w:p w:rsidR="00681191" w:rsidRPr="00FC2F1F" w:rsidRDefault="00681191" w:rsidP="00681191">
      <w:pPr>
        <w:pStyle w:val="ListParagraph"/>
        <w:widowControl w:val="0"/>
        <w:numPr>
          <w:ilvl w:val="0"/>
          <w:numId w:val="4"/>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lastRenderedPageBreak/>
        <w:t>Το Tolucombi 40</w:t>
      </w:r>
      <w:r>
        <w:rPr>
          <w:rFonts w:ascii="Times New Roman" w:hAnsi="Times New Roman"/>
          <w:lang w:val="el-GR"/>
        </w:rPr>
        <w:t> mg</w:t>
      </w:r>
      <w:r w:rsidRPr="00FC2F1F">
        <w:rPr>
          <w:rFonts w:ascii="Times New Roman" w:hAnsi="Times New Roman"/>
          <w:lang w:val="el-GR"/>
        </w:rPr>
        <w:t>/12,5</w:t>
      </w:r>
      <w:r>
        <w:rPr>
          <w:rFonts w:ascii="Times New Roman" w:hAnsi="Times New Roman"/>
          <w:lang w:val="el-GR"/>
        </w:rPr>
        <w:t> mg</w:t>
      </w:r>
      <w:r w:rsidRPr="00FC2F1F">
        <w:rPr>
          <w:rFonts w:ascii="Times New Roman" w:hAnsi="Times New Roman"/>
          <w:lang w:val="el-GR"/>
        </w:rPr>
        <w:t xml:space="preserve"> μπορεί να χορηγηθεί μια φορά την ημέρα σε ασθενείς των οποίων η αρτηριακή πίεση δε</w:t>
      </w:r>
      <w:r w:rsidR="00FC3483">
        <w:rPr>
          <w:rFonts w:ascii="Times New Roman" w:hAnsi="Times New Roman"/>
          <w:lang w:val="el-GR"/>
        </w:rPr>
        <w:t>ν</w:t>
      </w:r>
      <w:r w:rsidRPr="00FC2F1F">
        <w:rPr>
          <w:rFonts w:ascii="Times New Roman" w:hAnsi="Times New Roman"/>
          <w:lang w:val="el-GR"/>
        </w:rPr>
        <w:t xml:space="preserve"> ρυθμίζεται επαρκώς με τελμισαρτάνη 40</w:t>
      </w:r>
      <w:r>
        <w:rPr>
          <w:rFonts w:ascii="Times New Roman" w:hAnsi="Times New Roman"/>
          <w:lang w:val="el-GR"/>
        </w:rPr>
        <w:t> mg</w:t>
      </w:r>
      <w:r>
        <w:rPr>
          <w:rFonts w:ascii="Times New Roman" w:hAnsi="Times New Roman"/>
        </w:rPr>
        <w:t>.</w:t>
      </w:r>
    </w:p>
    <w:p w:rsidR="00681191" w:rsidRPr="00FC2F1F" w:rsidRDefault="00681191" w:rsidP="00681191">
      <w:pPr>
        <w:pStyle w:val="ListParagraph"/>
        <w:widowControl w:val="0"/>
        <w:numPr>
          <w:ilvl w:val="0"/>
          <w:numId w:val="4"/>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Το Tolucombi 80</w:t>
      </w:r>
      <w:r>
        <w:rPr>
          <w:rFonts w:ascii="Times New Roman" w:hAnsi="Times New Roman"/>
          <w:lang w:val="el-GR"/>
        </w:rPr>
        <w:t> mg</w:t>
      </w:r>
      <w:r w:rsidRPr="00FC2F1F">
        <w:rPr>
          <w:rFonts w:ascii="Times New Roman" w:hAnsi="Times New Roman"/>
          <w:lang w:val="el-GR"/>
        </w:rPr>
        <w:t>/12,5</w:t>
      </w:r>
      <w:r>
        <w:rPr>
          <w:rFonts w:ascii="Times New Roman" w:hAnsi="Times New Roman"/>
          <w:lang w:val="el-GR"/>
        </w:rPr>
        <w:t> mg</w:t>
      </w:r>
      <w:r w:rsidRPr="00FC2F1F">
        <w:rPr>
          <w:rFonts w:ascii="Times New Roman" w:hAnsi="Times New Roman"/>
          <w:lang w:val="el-GR"/>
        </w:rPr>
        <w:t xml:space="preserve"> μπορεί να χορηγηθεί μια φορά την ημέρα σε ασθενείς των οποίων η αρτηριακή πίεση δε</w:t>
      </w:r>
      <w:r w:rsidR="00FC3483">
        <w:rPr>
          <w:rFonts w:ascii="Times New Roman" w:hAnsi="Times New Roman"/>
          <w:lang w:val="el-GR"/>
        </w:rPr>
        <w:t>ν</w:t>
      </w:r>
      <w:r w:rsidRPr="00FC2F1F">
        <w:rPr>
          <w:rFonts w:ascii="Times New Roman" w:hAnsi="Times New Roman"/>
          <w:lang w:val="el-GR"/>
        </w:rPr>
        <w:t xml:space="preserve"> ρυθμίζεται επαρκώς με τελμισαρτάνη 80</w:t>
      </w:r>
      <w:r>
        <w:rPr>
          <w:rFonts w:ascii="Times New Roman" w:hAnsi="Times New Roman"/>
          <w:lang w:val="el-GR"/>
        </w:rPr>
        <w:t> mg</w:t>
      </w:r>
      <w:r>
        <w:rPr>
          <w:rFonts w:ascii="Times New Roman" w:hAnsi="Times New Roman"/>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B754A1" w:rsidRDefault="00FC3483" w:rsidP="00681191">
      <w:pPr>
        <w:widowControl w:val="0"/>
        <w:tabs>
          <w:tab w:val="clear" w:pos="567"/>
        </w:tabs>
        <w:autoSpaceDE w:val="0"/>
        <w:autoSpaceDN w:val="0"/>
        <w:adjustRightInd w:val="0"/>
        <w:spacing w:line="240" w:lineRule="auto"/>
        <w:rPr>
          <w:i/>
          <w:snapToGrid/>
          <w:szCs w:val="22"/>
          <w:lang w:val="el-GR"/>
        </w:rPr>
      </w:pPr>
      <w:r>
        <w:rPr>
          <w:i/>
          <w:snapToGrid/>
          <w:szCs w:val="22"/>
          <w:lang w:val="el-GR"/>
        </w:rPr>
        <w:t>Ν</w:t>
      </w:r>
      <w:r w:rsidR="00681191" w:rsidRPr="00B754A1">
        <w:rPr>
          <w:i/>
          <w:snapToGrid/>
          <w:szCs w:val="22"/>
          <w:lang w:val="el-GR"/>
        </w:rPr>
        <w:t>εφρική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p>
    <w:p w:rsidR="00681191" w:rsidRPr="00FC2F1F" w:rsidRDefault="00681191" w:rsidP="00681191">
      <w:pPr>
        <w:widowControl w:val="0"/>
        <w:spacing w:line="240" w:lineRule="auto"/>
        <w:rPr>
          <w:snapToGrid/>
          <w:szCs w:val="22"/>
          <w:lang w:val="el-GR"/>
        </w:rPr>
      </w:pPr>
      <w:r w:rsidRPr="00FC2F1F">
        <w:rPr>
          <w:snapToGrid/>
          <w:szCs w:val="22"/>
          <w:lang w:val="el-GR"/>
        </w:rPr>
        <w:t>Συνιστάται περιοδικός έλεγχος της νεφρικής λειτουργίας (βλ. παράγραφο 4.4).</w:t>
      </w:r>
    </w:p>
    <w:p w:rsidR="00681191" w:rsidRPr="00FC2F1F" w:rsidRDefault="00681191" w:rsidP="00681191">
      <w:pPr>
        <w:widowControl w:val="0"/>
        <w:tabs>
          <w:tab w:val="clear" w:pos="567"/>
          <w:tab w:val="left" w:pos="0"/>
        </w:tabs>
        <w:spacing w:line="240" w:lineRule="auto"/>
        <w:rPr>
          <w:snapToGrid/>
          <w:szCs w:val="22"/>
          <w:lang w:val="el-GR"/>
        </w:rPr>
      </w:pPr>
    </w:p>
    <w:p w:rsidR="00681191" w:rsidRPr="00B754A1" w:rsidRDefault="00FC3483" w:rsidP="00681191">
      <w:pPr>
        <w:widowControl w:val="0"/>
        <w:tabs>
          <w:tab w:val="clear" w:pos="567"/>
        </w:tabs>
        <w:autoSpaceDE w:val="0"/>
        <w:autoSpaceDN w:val="0"/>
        <w:adjustRightInd w:val="0"/>
        <w:spacing w:line="240" w:lineRule="auto"/>
        <w:rPr>
          <w:i/>
          <w:snapToGrid/>
          <w:szCs w:val="22"/>
          <w:lang w:val="el-GR"/>
        </w:rPr>
      </w:pPr>
      <w:r>
        <w:rPr>
          <w:i/>
          <w:snapToGrid/>
          <w:szCs w:val="22"/>
          <w:lang w:val="el-GR"/>
        </w:rPr>
        <w:t>Η</w:t>
      </w:r>
      <w:r w:rsidR="00681191" w:rsidRPr="00B754A1">
        <w:rPr>
          <w:i/>
          <w:snapToGrid/>
          <w:szCs w:val="22"/>
          <w:lang w:val="el-GR"/>
        </w:rPr>
        <w:t>πατική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ασθενείς με ήπια έως μέτρια</w:t>
      </w:r>
      <w:r w:rsidR="00FC3483">
        <w:rPr>
          <w:snapToGrid/>
          <w:szCs w:val="22"/>
          <w:lang w:val="el-GR"/>
        </w:rPr>
        <w:t>ς βαρύτητας</w:t>
      </w:r>
      <w:r w:rsidRPr="00FC2F1F">
        <w:rPr>
          <w:snapToGrid/>
          <w:szCs w:val="22"/>
          <w:lang w:val="el-GR"/>
        </w:rPr>
        <w:t xml:space="preserve"> ηπατική δυσλειτουργία η δοσολογία δε</w:t>
      </w:r>
      <w:r w:rsidR="00FC3483">
        <w:rPr>
          <w:snapToGrid/>
          <w:szCs w:val="22"/>
          <w:lang w:val="el-GR"/>
        </w:rPr>
        <w:t>ν</w:t>
      </w:r>
      <w:r w:rsidRPr="00FC2F1F">
        <w:rPr>
          <w:snapToGrid/>
          <w:szCs w:val="22"/>
          <w:lang w:val="el-GR"/>
        </w:rPr>
        <w:t xml:space="preserve"> πρέπει να υπερβαίνει το </w:t>
      </w:r>
      <w:r w:rsidRPr="00FC2F1F">
        <w:rPr>
          <w:szCs w:val="22"/>
          <w:lang w:val="el-GR"/>
        </w:rPr>
        <w:t>Tolucombi</w:t>
      </w:r>
      <w:r w:rsidRPr="00FC2F1F">
        <w:rPr>
          <w:snapToGrid/>
          <w:szCs w:val="22"/>
          <w:lang w:val="el-GR"/>
        </w:rPr>
        <w:t xml:space="preserve"> 40</w:t>
      </w:r>
      <w:r>
        <w:rPr>
          <w:snapToGrid/>
          <w:szCs w:val="22"/>
          <w:lang w:val="el-GR"/>
        </w:rPr>
        <w:t> mg</w:t>
      </w:r>
      <w:r w:rsidRPr="00FC2F1F">
        <w:rPr>
          <w:snapToGrid/>
          <w:szCs w:val="22"/>
          <w:lang w:val="el-GR"/>
        </w:rPr>
        <w:t>/12,5</w:t>
      </w:r>
      <w:r>
        <w:rPr>
          <w:snapToGrid/>
          <w:szCs w:val="22"/>
          <w:lang w:val="el-GR"/>
        </w:rPr>
        <w:t> mg</w:t>
      </w:r>
      <w:r w:rsidRPr="00FC2F1F">
        <w:rPr>
          <w:snapToGrid/>
          <w:szCs w:val="22"/>
          <w:lang w:val="el-GR"/>
        </w:rPr>
        <w:t xml:space="preserve"> μία φορά την ημέρα. Το </w:t>
      </w:r>
      <w:r w:rsidRPr="00FC2F1F">
        <w:rPr>
          <w:szCs w:val="22"/>
          <w:lang w:val="el-GR"/>
        </w:rPr>
        <w:t>Tolucombi</w:t>
      </w:r>
      <w:r w:rsidRPr="00FC2F1F">
        <w:rPr>
          <w:snapToGrid/>
          <w:szCs w:val="22"/>
          <w:lang w:val="el-GR"/>
        </w:rPr>
        <w:t xml:space="preserve"> δεν ενδείκνυται σε ασθενείς με σοβαρή ηπατική δυσλειτουργία. Οι θειαζίδες πρέπει να χρησιμοποιούνται με προσοχή σε ασθενείς με διαταραγμένη ηπατική λειτουργία (βλ.παράγραφο 4.4).</w:t>
      </w:r>
    </w:p>
    <w:p w:rsidR="00681191" w:rsidRPr="00FC2F1F" w:rsidRDefault="00681191" w:rsidP="00681191">
      <w:pPr>
        <w:widowControl w:val="0"/>
        <w:spacing w:line="240" w:lineRule="auto"/>
        <w:rPr>
          <w:snapToGrid/>
          <w:szCs w:val="22"/>
          <w:lang w:val="el-GR"/>
        </w:rPr>
      </w:pPr>
    </w:p>
    <w:p w:rsidR="00681191" w:rsidRPr="00B754A1" w:rsidRDefault="00681191" w:rsidP="00681191">
      <w:pPr>
        <w:widowControl w:val="0"/>
        <w:tabs>
          <w:tab w:val="clear" w:pos="567"/>
        </w:tabs>
        <w:autoSpaceDE w:val="0"/>
        <w:autoSpaceDN w:val="0"/>
        <w:adjustRightInd w:val="0"/>
        <w:spacing w:line="240" w:lineRule="auto"/>
        <w:rPr>
          <w:i/>
          <w:snapToGrid/>
          <w:szCs w:val="22"/>
          <w:lang w:val="el-GR"/>
        </w:rPr>
      </w:pPr>
      <w:r w:rsidRPr="00B754A1">
        <w:rPr>
          <w:i/>
          <w:snapToGrid/>
          <w:szCs w:val="22"/>
          <w:lang w:val="el-GR"/>
        </w:rPr>
        <w:t>Ηλικιωμένοι</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Δεν απαιτείται προσαρμογή της δόσης.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B754A1" w:rsidRDefault="00681191" w:rsidP="00681191">
      <w:pPr>
        <w:widowControl w:val="0"/>
        <w:tabs>
          <w:tab w:val="clear" w:pos="567"/>
        </w:tabs>
        <w:autoSpaceDE w:val="0"/>
        <w:autoSpaceDN w:val="0"/>
        <w:adjustRightInd w:val="0"/>
        <w:spacing w:line="240" w:lineRule="auto"/>
        <w:rPr>
          <w:i/>
          <w:snapToGrid/>
          <w:szCs w:val="22"/>
          <w:lang w:val="el-GR"/>
        </w:rPr>
      </w:pPr>
      <w:r w:rsidRPr="00B754A1">
        <w:rPr>
          <w:i/>
          <w:snapToGrid/>
          <w:szCs w:val="22"/>
          <w:lang w:val="el-GR"/>
        </w:rPr>
        <w:t>Παιδιατρικός πληθυσμός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ασφάλεια και </w:t>
      </w:r>
      <w:r w:rsidR="00FC3483">
        <w:rPr>
          <w:snapToGrid/>
          <w:szCs w:val="22"/>
          <w:lang w:val="el-GR"/>
        </w:rPr>
        <w:t xml:space="preserve">η </w:t>
      </w:r>
      <w:r w:rsidRPr="00FC2F1F">
        <w:rPr>
          <w:snapToGrid/>
          <w:szCs w:val="22"/>
          <w:lang w:val="el-GR"/>
        </w:rPr>
        <w:t xml:space="preserve">αποτελεσματικότητα του </w:t>
      </w:r>
      <w:r w:rsidRPr="00FC2F1F">
        <w:rPr>
          <w:szCs w:val="22"/>
          <w:lang w:val="el-GR"/>
        </w:rPr>
        <w:t>Tolucombi</w:t>
      </w:r>
      <w:r w:rsidRPr="00FC2F1F">
        <w:rPr>
          <w:snapToGrid/>
          <w:szCs w:val="22"/>
          <w:lang w:val="el-GR"/>
        </w:rPr>
        <w:t xml:space="preserve"> σε παιδιά και </w:t>
      </w:r>
      <w:r w:rsidR="00C41C5A">
        <w:rPr>
          <w:snapToGrid/>
          <w:szCs w:val="22"/>
          <w:lang w:val="el-GR"/>
        </w:rPr>
        <w:t>ε</w:t>
      </w:r>
      <w:r w:rsidRPr="00C41C5A">
        <w:rPr>
          <w:snapToGrid/>
          <w:szCs w:val="22"/>
          <w:lang w:val="el-GR"/>
        </w:rPr>
        <w:t>φ</w:t>
      </w:r>
      <w:r w:rsidR="00C41C5A">
        <w:rPr>
          <w:snapToGrid/>
          <w:szCs w:val="22"/>
          <w:lang w:val="el-GR"/>
        </w:rPr>
        <w:t>ή</w:t>
      </w:r>
      <w:r w:rsidRPr="00C41C5A">
        <w:rPr>
          <w:snapToGrid/>
          <w:szCs w:val="22"/>
          <w:lang w:val="el-GR"/>
        </w:rPr>
        <w:t>β</w:t>
      </w:r>
      <w:r w:rsidRPr="00FC2F1F">
        <w:rPr>
          <w:snapToGrid/>
          <w:szCs w:val="22"/>
          <w:lang w:val="el-GR"/>
        </w:rPr>
        <w:t>ους ηλικίας κάτω των 18 ετών δεν έχουν ακόμη τεκμηριωθεί. Δεν υπάρχουν διαθέσιμα δεδομένα.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u w:val="single"/>
          <w:lang w:val="el-GR"/>
        </w:rPr>
      </w:pPr>
      <w:r w:rsidRPr="00FC2F1F">
        <w:rPr>
          <w:noProof/>
          <w:szCs w:val="22"/>
          <w:u w:val="single"/>
          <w:lang w:val="el-GR"/>
        </w:rPr>
        <w:t>Τρόπος χορήγησης</w:t>
      </w:r>
    </w:p>
    <w:p w:rsidR="00681191" w:rsidRPr="00FC2F1F" w:rsidRDefault="00681191" w:rsidP="00681191">
      <w:pPr>
        <w:widowControl w:val="0"/>
        <w:spacing w:line="240" w:lineRule="auto"/>
        <w:rPr>
          <w:noProof/>
          <w:szCs w:val="22"/>
          <w:u w:val="single"/>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Τα δισκία </w:t>
      </w:r>
      <w:r w:rsidRPr="00FC2F1F">
        <w:rPr>
          <w:szCs w:val="22"/>
          <w:lang w:val="el-GR"/>
        </w:rPr>
        <w:t>Tolucombi</w:t>
      </w:r>
      <w:r w:rsidRPr="00FC2F1F">
        <w:rPr>
          <w:snapToGrid/>
          <w:szCs w:val="22"/>
          <w:lang w:val="el-GR"/>
        </w:rPr>
        <w:t xml:space="preserve"> είναι για άπαξ </w:t>
      </w:r>
      <w:r w:rsidR="00FE7DB1">
        <w:rPr>
          <w:snapToGrid/>
          <w:szCs w:val="22"/>
          <w:lang w:val="el-GR"/>
        </w:rPr>
        <w:t xml:space="preserve">ημερήσια </w:t>
      </w:r>
      <w:r w:rsidRPr="00FC2F1F">
        <w:rPr>
          <w:snapToGrid/>
          <w:szCs w:val="22"/>
          <w:lang w:val="el-GR"/>
        </w:rPr>
        <w:t>χορήγηση από του στόματος και πρέπει να λαμβάνονται με υγρό, με ή χωρίς τροφή.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4.3</w:t>
      </w:r>
      <w:r w:rsidRPr="00FC2F1F">
        <w:rPr>
          <w:b/>
          <w:noProof/>
          <w:szCs w:val="22"/>
          <w:lang w:val="el-GR"/>
        </w:rPr>
        <w:tab/>
        <w:t>Αντενδείξεις</w:t>
      </w:r>
    </w:p>
    <w:p w:rsidR="00681191" w:rsidRPr="00FC2F1F" w:rsidRDefault="00681191" w:rsidP="00681191">
      <w:pPr>
        <w:widowControl w:val="0"/>
        <w:spacing w:line="240" w:lineRule="auto"/>
        <w:rPr>
          <w:noProof/>
          <w:szCs w:val="22"/>
          <w:lang w:val="el-GR"/>
        </w:rPr>
      </w:pPr>
    </w:p>
    <w:p w:rsidR="00681191" w:rsidRPr="00FC2F1F" w:rsidRDefault="00681191" w:rsidP="00681191">
      <w:pPr>
        <w:pStyle w:val="ListParagraph"/>
        <w:widowControl w:val="0"/>
        <w:numPr>
          <w:ilvl w:val="0"/>
          <w:numId w:val="13"/>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 xml:space="preserve">Υπερευαισθησία στις δραστικές ουσίες ή σε κάποιο από τα έκδοχα </w:t>
      </w:r>
      <w:r w:rsidR="00664696">
        <w:rPr>
          <w:rFonts w:ascii="Times New Roman" w:hAnsi="Times New Roman"/>
          <w:lang w:val="el-GR"/>
        </w:rPr>
        <w:t>που</w:t>
      </w:r>
      <w:r w:rsidRPr="00FC2F1F">
        <w:rPr>
          <w:rFonts w:ascii="Times New Roman" w:hAnsi="Times New Roman"/>
          <w:lang w:val="el-GR"/>
        </w:rPr>
        <w:t xml:space="preserve"> αναφέρονται στην παράγραφο 6.1.</w:t>
      </w:r>
    </w:p>
    <w:p w:rsidR="00681191" w:rsidRPr="00FC2F1F" w:rsidRDefault="00681191" w:rsidP="00681191">
      <w:pPr>
        <w:pStyle w:val="ListParagraph"/>
        <w:widowControl w:val="0"/>
        <w:numPr>
          <w:ilvl w:val="0"/>
          <w:numId w:val="13"/>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Υπερευαισθησία σε άλλες ουσίες παράγωγα σουλφοναμιδών (</w:t>
      </w:r>
      <w:r w:rsidR="00FE7DB1">
        <w:rPr>
          <w:rFonts w:ascii="Times New Roman" w:hAnsi="Times New Roman"/>
          <w:lang w:val="el-GR"/>
        </w:rPr>
        <w:t>καθώς</w:t>
      </w:r>
      <w:r w:rsidRPr="00FC2F1F">
        <w:rPr>
          <w:rFonts w:ascii="Times New Roman" w:hAnsi="Times New Roman"/>
          <w:lang w:val="el-GR"/>
        </w:rPr>
        <w:t xml:space="preserve"> η υδροχλωροθειαζίδη είναι </w:t>
      </w:r>
      <w:r w:rsidR="00BD350A">
        <w:rPr>
          <w:rFonts w:ascii="Times New Roman" w:hAnsi="Times New Roman"/>
          <w:lang w:val="el-GR"/>
        </w:rPr>
        <w:t xml:space="preserve">ένα </w:t>
      </w:r>
      <w:r w:rsidRPr="00FC2F1F">
        <w:rPr>
          <w:rFonts w:ascii="Times New Roman" w:hAnsi="Times New Roman"/>
          <w:lang w:val="el-GR"/>
        </w:rPr>
        <w:t>φαρμακευτικό προϊόν παράγωγο σουλφοναμίδης).</w:t>
      </w:r>
    </w:p>
    <w:p w:rsidR="00681191" w:rsidRPr="00FC2F1F" w:rsidRDefault="00681191" w:rsidP="00681191">
      <w:pPr>
        <w:pStyle w:val="ListParagraph"/>
        <w:widowControl w:val="0"/>
        <w:numPr>
          <w:ilvl w:val="0"/>
          <w:numId w:val="13"/>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Δεύτερο και τρίτο τρίμηνο της κύησης (βλ. παραγράφους 4.4 και 4.6).</w:t>
      </w:r>
    </w:p>
    <w:p w:rsidR="00681191" w:rsidRPr="00FC2F1F" w:rsidRDefault="00681191" w:rsidP="00681191">
      <w:pPr>
        <w:pStyle w:val="ListParagraph"/>
        <w:widowControl w:val="0"/>
        <w:numPr>
          <w:ilvl w:val="0"/>
          <w:numId w:val="13"/>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Χολόσταση και αποφρακτικές παθήσεις των χοληφόρων.</w:t>
      </w:r>
    </w:p>
    <w:p w:rsidR="00681191" w:rsidRPr="00FC2F1F" w:rsidRDefault="00681191" w:rsidP="00681191">
      <w:pPr>
        <w:pStyle w:val="ListParagraph"/>
        <w:widowControl w:val="0"/>
        <w:numPr>
          <w:ilvl w:val="0"/>
          <w:numId w:val="13"/>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Σοβαρή ηπατική δυσλειτουργία.</w:t>
      </w:r>
    </w:p>
    <w:p w:rsidR="00681191" w:rsidRPr="00FC2F1F" w:rsidRDefault="00681191" w:rsidP="00681191">
      <w:pPr>
        <w:pStyle w:val="ListParagraph"/>
        <w:widowControl w:val="0"/>
        <w:numPr>
          <w:ilvl w:val="0"/>
          <w:numId w:val="13"/>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Σοβαρή νεφρική δυσλειτουργία (κάθαρση κρεατινίνης &lt; 30 ml/min).</w:t>
      </w:r>
    </w:p>
    <w:p w:rsidR="00681191" w:rsidRPr="00FC2F1F" w:rsidRDefault="00023E67" w:rsidP="00681191">
      <w:pPr>
        <w:pStyle w:val="ListParagraph"/>
        <w:widowControl w:val="0"/>
        <w:numPr>
          <w:ilvl w:val="0"/>
          <w:numId w:val="13"/>
        </w:numPr>
        <w:autoSpaceDE w:val="0"/>
        <w:autoSpaceDN w:val="0"/>
        <w:adjustRightInd w:val="0"/>
        <w:spacing w:after="0" w:line="240" w:lineRule="auto"/>
        <w:ind w:left="567" w:hanging="567"/>
        <w:rPr>
          <w:rFonts w:ascii="Times New Roman" w:hAnsi="Times New Roman"/>
          <w:lang w:val="el-GR"/>
        </w:rPr>
      </w:pPr>
      <w:r>
        <w:rPr>
          <w:rFonts w:ascii="Times New Roman" w:hAnsi="Times New Roman"/>
          <w:lang w:val="el-GR"/>
        </w:rPr>
        <w:t>Ανθεκτική στη θεραπεία</w:t>
      </w:r>
      <w:r w:rsidR="00681191" w:rsidRPr="00FC2F1F">
        <w:rPr>
          <w:rFonts w:ascii="Times New Roman" w:hAnsi="Times New Roman"/>
          <w:lang w:val="el-GR"/>
        </w:rPr>
        <w:t xml:space="preserve"> υποκαλιαιμία, υπερασβεστ</w:t>
      </w:r>
      <w:r w:rsidR="00FE7DB1">
        <w:rPr>
          <w:rFonts w:ascii="Times New Roman" w:hAnsi="Times New Roman"/>
          <w:lang w:val="el-GR"/>
        </w:rPr>
        <w:t>ι</w:t>
      </w:r>
      <w:r w:rsidR="00681191" w:rsidRPr="00FC2F1F">
        <w:rPr>
          <w:rFonts w:ascii="Times New Roman" w:hAnsi="Times New Roman"/>
          <w:lang w:val="el-GR"/>
        </w:rPr>
        <w:t>αιμία.</w:t>
      </w:r>
    </w:p>
    <w:p w:rsidR="00681191" w:rsidRPr="00FC2F1F" w:rsidRDefault="00681191" w:rsidP="00681191">
      <w:pPr>
        <w:widowControl w:val="0"/>
        <w:spacing w:line="240" w:lineRule="auto"/>
        <w:rPr>
          <w:noProof/>
          <w:szCs w:val="22"/>
          <w:lang w:val="el-GR"/>
        </w:rPr>
      </w:pPr>
    </w:p>
    <w:p w:rsidR="00681191" w:rsidRPr="00233ACC" w:rsidRDefault="00681191" w:rsidP="00681191">
      <w:pPr>
        <w:widowControl w:val="0"/>
        <w:spacing w:line="240" w:lineRule="auto"/>
        <w:rPr>
          <w:noProof/>
          <w:szCs w:val="22"/>
          <w:lang w:val="el-GR"/>
        </w:rPr>
      </w:pPr>
      <w:r w:rsidRPr="00D76F8A">
        <w:rPr>
          <w:noProof/>
          <w:szCs w:val="22"/>
          <w:lang w:val="el-GR"/>
        </w:rPr>
        <w:t>Η ταυτόχρονη χρήση του Tolucombi με προϊόντα που περιέχουν αλισκιρένη αντενδείκνυται σε ασθενείς με σακχαρώδη διαβήτη ή νεφρική δυσλειτουργία (GFR &lt; 60 ml/m</w:t>
      </w:r>
      <w:r>
        <w:rPr>
          <w:noProof/>
          <w:szCs w:val="22"/>
          <w:lang w:val="el-GR"/>
        </w:rPr>
        <w:t>in/1,73 m</w:t>
      </w:r>
      <w:r w:rsidRPr="002210C0">
        <w:rPr>
          <w:noProof/>
          <w:szCs w:val="22"/>
          <w:vertAlign w:val="superscript"/>
          <w:lang w:val="el-GR"/>
        </w:rPr>
        <w:t>2</w:t>
      </w:r>
      <w:r>
        <w:rPr>
          <w:noProof/>
          <w:szCs w:val="22"/>
          <w:lang w:val="el-GR"/>
        </w:rPr>
        <w:t>) (βλ</w:t>
      </w:r>
      <w:r w:rsidR="008347F3">
        <w:rPr>
          <w:noProof/>
          <w:szCs w:val="22"/>
          <w:lang w:val="el-GR"/>
        </w:rPr>
        <w:t>.</w:t>
      </w:r>
      <w:r>
        <w:rPr>
          <w:noProof/>
          <w:szCs w:val="22"/>
          <w:lang w:val="el-GR"/>
        </w:rPr>
        <w:t xml:space="preserve"> παραγράφους </w:t>
      </w:r>
      <w:r w:rsidRPr="00D76F8A">
        <w:rPr>
          <w:noProof/>
          <w:szCs w:val="22"/>
          <w:lang w:val="el-GR"/>
        </w:rPr>
        <w:t>4.5 και 5.1).</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4.4</w:t>
      </w:r>
      <w:r w:rsidRPr="00FC2F1F">
        <w:rPr>
          <w:b/>
          <w:noProof/>
          <w:szCs w:val="22"/>
          <w:lang w:val="el-GR"/>
        </w:rPr>
        <w:tab/>
        <w:t>Ειδικές προειδοποιήσεις και προφυλάξεις κατά τη χρήση</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Κύηση</w:t>
      </w:r>
    </w:p>
    <w:p w:rsidR="00681191" w:rsidRPr="00FC2F1F" w:rsidRDefault="006B5EB9" w:rsidP="00681191">
      <w:pPr>
        <w:widowControl w:val="0"/>
        <w:tabs>
          <w:tab w:val="clear" w:pos="567"/>
        </w:tabs>
        <w:autoSpaceDE w:val="0"/>
        <w:autoSpaceDN w:val="0"/>
        <w:adjustRightInd w:val="0"/>
        <w:spacing w:line="240" w:lineRule="auto"/>
        <w:rPr>
          <w:snapToGrid/>
          <w:szCs w:val="22"/>
          <w:lang w:val="el-GR"/>
        </w:rPr>
      </w:pPr>
      <w:r>
        <w:rPr>
          <w:snapToGrid/>
          <w:szCs w:val="22"/>
          <w:lang w:val="el-GR"/>
        </w:rPr>
        <w:t xml:space="preserve">Η </w:t>
      </w:r>
      <w:r w:rsidR="00681191" w:rsidRPr="00FC2F1F">
        <w:rPr>
          <w:snapToGrid/>
          <w:szCs w:val="22"/>
          <w:lang w:val="el-GR"/>
        </w:rPr>
        <w:t>θεραπεία με ανταγωνιστές των υποδοχέων της αγγειοτενσίνης ΙΙ δε</w:t>
      </w:r>
      <w:r w:rsidR="001A2596">
        <w:rPr>
          <w:snapToGrid/>
          <w:szCs w:val="22"/>
          <w:lang w:val="el-GR"/>
        </w:rPr>
        <w:t>ν</w:t>
      </w:r>
      <w:r w:rsidR="00681191" w:rsidRPr="00FC2F1F">
        <w:rPr>
          <w:snapToGrid/>
          <w:szCs w:val="22"/>
          <w:lang w:val="el-GR"/>
        </w:rPr>
        <w:t xml:space="preserve"> πρέπει να ξεκινά κατά τη διάρκεια της </w:t>
      </w:r>
      <w:r w:rsidR="001A2596">
        <w:rPr>
          <w:snapToGrid/>
          <w:szCs w:val="22"/>
          <w:lang w:val="el-GR"/>
        </w:rPr>
        <w:t>κύησης</w:t>
      </w:r>
      <w:r w:rsidR="00681191" w:rsidRPr="00FC2F1F">
        <w:rPr>
          <w:snapToGrid/>
          <w:szCs w:val="22"/>
          <w:lang w:val="el-GR"/>
        </w:rPr>
        <w:t xml:space="preserve">. Εκτός και </w:t>
      </w:r>
      <w:r w:rsidR="001A2596">
        <w:rPr>
          <w:snapToGrid/>
          <w:szCs w:val="22"/>
          <w:lang w:val="el-GR"/>
        </w:rPr>
        <w:t>εά</w:t>
      </w:r>
      <w:r w:rsidR="00681191" w:rsidRPr="00FC2F1F">
        <w:rPr>
          <w:snapToGrid/>
          <w:szCs w:val="22"/>
          <w:lang w:val="el-GR"/>
        </w:rPr>
        <w:t xml:space="preserve">ν η συνέχιση της αγωγής με ανταγωνιστές των υποδοχέων της αγγειοτενσίνης ΙΙ θεωρείται απαραίτητη, ασθενείς που προγραμματίζουν εγκυμοσύνη θα πρέπει να </w:t>
      </w:r>
      <w:r w:rsidR="001A2596">
        <w:rPr>
          <w:snapToGrid/>
          <w:szCs w:val="22"/>
          <w:lang w:val="el-GR"/>
        </w:rPr>
        <w:t>μεταβαίνουν</w:t>
      </w:r>
      <w:r w:rsidR="00681191" w:rsidRPr="00FC2F1F">
        <w:rPr>
          <w:snapToGrid/>
          <w:szCs w:val="22"/>
          <w:lang w:val="el-GR"/>
        </w:rPr>
        <w:t xml:space="preserve"> σε εναλλακτικές αντιυπερτασικές αγωγές οι οποίες έχουν αποδεδειγμένο προφίλ ασφαλείας για χρήση κατά τη διάρκεια της κύησης. Όταν διαγνωστεί </w:t>
      </w:r>
      <w:r w:rsidR="001A2596">
        <w:rPr>
          <w:snapToGrid/>
          <w:szCs w:val="22"/>
          <w:lang w:val="el-GR"/>
        </w:rPr>
        <w:t>κύηση</w:t>
      </w:r>
      <w:r w:rsidR="00681191" w:rsidRPr="00FC2F1F">
        <w:rPr>
          <w:snapToGrid/>
          <w:szCs w:val="22"/>
          <w:lang w:val="el-GR"/>
        </w:rPr>
        <w:t>, η αγωγή με ανταγωνιστές των υποδοχέων της αγγειοτενσίνης ΙΙ θα πρέπει να διακόπτεται αμέσως, και</w:t>
      </w:r>
      <w:r w:rsidR="00DB0CDB">
        <w:rPr>
          <w:snapToGrid/>
          <w:szCs w:val="22"/>
          <w:lang w:val="el-GR"/>
        </w:rPr>
        <w:t>,</w:t>
      </w:r>
      <w:r w:rsidR="00681191" w:rsidRPr="00FC2F1F">
        <w:rPr>
          <w:snapToGrid/>
          <w:szCs w:val="22"/>
          <w:lang w:val="el-GR"/>
        </w:rPr>
        <w:t xml:space="preserve"> εάν θεωρείται απαραίτητο</w:t>
      </w:r>
      <w:r w:rsidR="00DB0CDB">
        <w:rPr>
          <w:snapToGrid/>
          <w:szCs w:val="22"/>
          <w:lang w:val="el-GR"/>
        </w:rPr>
        <w:t>,</w:t>
      </w:r>
      <w:r w:rsidR="00681191" w:rsidRPr="00FC2F1F">
        <w:rPr>
          <w:snapToGrid/>
          <w:szCs w:val="22"/>
          <w:lang w:val="el-GR"/>
        </w:rPr>
        <w:t xml:space="preserve"> θα πρέπει να </w:t>
      </w:r>
      <w:r w:rsidR="00DB0CDB">
        <w:rPr>
          <w:snapToGrid/>
          <w:szCs w:val="22"/>
          <w:lang w:val="el-GR"/>
        </w:rPr>
        <w:t>ξεκινά</w:t>
      </w:r>
      <w:r w:rsidR="00681191" w:rsidRPr="00FC2F1F">
        <w:rPr>
          <w:snapToGrid/>
          <w:szCs w:val="22"/>
          <w:lang w:val="el-GR"/>
        </w:rPr>
        <w:t xml:space="preserve"> εναλλακτική αγωγή (βλ. παραγράφους 4.3 και 4.6).</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Ηπατική δυλειτουργία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 xml:space="preserve">Tolucombi </w:t>
      </w:r>
      <w:r w:rsidRPr="00FC2F1F">
        <w:rPr>
          <w:snapToGrid/>
          <w:szCs w:val="22"/>
          <w:lang w:val="el-GR"/>
        </w:rPr>
        <w:t>δε</w:t>
      </w:r>
      <w:r w:rsidR="00DB0CDB">
        <w:rPr>
          <w:snapToGrid/>
          <w:szCs w:val="22"/>
          <w:lang w:val="el-GR"/>
        </w:rPr>
        <w:t>ν</w:t>
      </w:r>
      <w:r w:rsidRPr="00FC2F1F">
        <w:rPr>
          <w:snapToGrid/>
          <w:szCs w:val="22"/>
          <w:lang w:val="el-GR"/>
        </w:rPr>
        <w:t xml:space="preserve"> θα πρέπει να χορηγείται σε ασθενείς με χολόσταση, αποφρακτικές παθήσεις των χοληφόρων ή σοβαρή ηπατική ανεπάρκεια (βλ. παράγραφο 4.3), </w:t>
      </w:r>
      <w:r w:rsidR="00DB0CDB">
        <w:rPr>
          <w:snapToGrid/>
          <w:szCs w:val="22"/>
          <w:lang w:val="el-GR"/>
        </w:rPr>
        <w:t>καθώς</w:t>
      </w:r>
      <w:r w:rsidRPr="00FC2F1F">
        <w:rPr>
          <w:snapToGrid/>
          <w:szCs w:val="22"/>
          <w:lang w:val="el-GR"/>
        </w:rPr>
        <w:t xml:space="preserve"> η τελμισαρτάνη απεκκρίνεται κυρίως από τη χολή. Αυτοί οι ασθενείς αναμένεται να έχουν μειωμένη </w:t>
      </w:r>
      <w:r w:rsidR="00DB0CDB">
        <w:rPr>
          <w:snapToGrid/>
          <w:szCs w:val="22"/>
          <w:lang w:val="el-GR"/>
        </w:rPr>
        <w:t xml:space="preserve">ηπατική </w:t>
      </w:r>
      <w:r w:rsidRPr="00FC2F1F">
        <w:rPr>
          <w:snapToGrid/>
          <w:szCs w:val="22"/>
          <w:lang w:val="el-GR"/>
        </w:rPr>
        <w:t>κάθαρση για την τελμισαρτάνη.</w:t>
      </w:r>
    </w:p>
    <w:p w:rsidR="008347F3" w:rsidRDefault="008347F3"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Επιπροσθέτως, το </w:t>
      </w:r>
      <w:r w:rsidRPr="00FC2F1F">
        <w:rPr>
          <w:szCs w:val="22"/>
          <w:lang w:val="el-GR"/>
        </w:rPr>
        <w:t xml:space="preserve">Tolucombi </w:t>
      </w:r>
      <w:r w:rsidRPr="00FC2F1F">
        <w:rPr>
          <w:snapToGrid/>
          <w:szCs w:val="22"/>
          <w:lang w:val="el-GR"/>
        </w:rPr>
        <w:t xml:space="preserve">θα πρέπει να χορηγείται με προσοχή σε ασθενείς με διαταραγμένη ηπατική λειτουργία ή εξελισσόμενη ηπατική νόσο, καθώς μικρές αλλαγές στο ισοζύγιο υγρών και ηλεκτρολυτών μπορεί να προκαλέσουν ηπατικό κώμα. Δεν υπάρχει κλινική εμπειρία με το </w:t>
      </w:r>
      <w:r w:rsidRPr="00FC2F1F">
        <w:rPr>
          <w:szCs w:val="22"/>
          <w:lang w:val="el-GR"/>
        </w:rPr>
        <w:t xml:space="preserve">Tolucombi </w:t>
      </w:r>
      <w:r w:rsidRPr="00FC2F1F">
        <w:rPr>
          <w:snapToGrid/>
          <w:szCs w:val="22"/>
          <w:lang w:val="el-GR"/>
        </w:rPr>
        <w:t>σε ασθενείς με ηπατική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Νεφραγγειακή υπέρταση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Υπάρχει αυξημένος κίνδυνος σοβαρής υπότασης και νεφρικής ανεπάρκειας σε ασθενείς με αμφοτερόπλευρη στένωση της νεφρικής αρτηρίας ή στένωση της αρτηρίας με μονήρη λειτουργικό νεφρό όταν αυτοί υποβάλλονται σε θεραπεία με φαρμακευτικά προϊόντα που επηρεάζουν το σύστημα ρενίνης-αγγειοτενσίνης-αλδοστερόνης.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Νεφρική δυσλειτουργία και μεταμόσχευση νεφρού</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 xml:space="preserve">Tolucombi </w:t>
      </w:r>
      <w:r w:rsidRPr="00FC2F1F">
        <w:rPr>
          <w:snapToGrid/>
          <w:szCs w:val="22"/>
          <w:lang w:val="el-GR"/>
        </w:rPr>
        <w:t>δε</w:t>
      </w:r>
      <w:r w:rsidR="00123FB1">
        <w:rPr>
          <w:snapToGrid/>
          <w:szCs w:val="22"/>
          <w:lang w:val="el-GR"/>
        </w:rPr>
        <w:t>ν</w:t>
      </w:r>
      <w:r w:rsidRPr="00FC2F1F">
        <w:rPr>
          <w:snapToGrid/>
          <w:szCs w:val="22"/>
          <w:lang w:val="el-GR"/>
        </w:rPr>
        <w:t xml:space="preserve"> πρέπει να χρησιμοποιείται σε ασθενείς με σοβαρή νεφρική δυσλειτουργία (κάθαρση κρεατινίνης &lt;30 ml/min) (βλ. παράγραφο 4.3). Δεν υπάρχει εμπειρία σχετικά με τη χορήγηση του </w:t>
      </w:r>
      <w:r w:rsidRPr="00FC2F1F">
        <w:rPr>
          <w:szCs w:val="22"/>
          <w:lang w:val="el-GR"/>
        </w:rPr>
        <w:t xml:space="preserve">Tolucombi </w:t>
      </w:r>
      <w:r w:rsidRPr="00FC2F1F">
        <w:rPr>
          <w:snapToGrid/>
          <w:szCs w:val="22"/>
          <w:lang w:val="el-GR"/>
        </w:rPr>
        <w:t xml:space="preserve">σε ασθενείς που υποβλήθηκαν πρόσφατα σε μεταμόσχευση νεφρού. Η εμπειρία με το </w:t>
      </w:r>
      <w:r w:rsidRPr="00FC2F1F">
        <w:rPr>
          <w:szCs w:val="22"/>
          <w:lang w:val="el-GR"/>
        </w:rPr>
        <w:t>Tolucombi ε</w:t>
      </w:r>
      <w:r w:rsidRPr="00FC2F1F">
        <w:rPr>
          <w:snapToGrid/>
          <w:szCs w:val="22"/>
          <w:lang w:val="el-GR"/>
        </w:rPr>
        <w:t xml:space="preserve">ίναι περιορισμένη σε ασθενείς με ήπια </w:t>
      </w:r>
      <w:r w:rsidR="00123FB1">
        <w:rPr>
          <w:snapToGrid/>
          <w:szCs w:val="22"/>
          <w:lang w:val="el-GR"/>
        </w:rPr>
        <w:t>έ</w:t>
      </w:r>
      <w:r w:rsidRPr="00FC2F1F">
        <w:rPr>
          <w:snapToGrid/>
          <w:szCs w:val="22"/>
          <w:lang w:val="el-GR"/>
        </w:rPr>
        <w:t>ως μέτρια</w:t>
      </w:r>
      <w:r w:rsidR="00123FB1">
        <w:rPr>
          <w:snapToGrid/>
          <w:szCs w:val="22"/>
          <w:lang w:val="el-GR"/>
        </w:rPr>
        <w:t>ς</w:t>
      </w:r>
      <w:r w:rsidRPr="00FC2F1F">
        <w:rPr>
          <w:snapToGrid/>
          <w:szCs w:val="22"/>
          <w:lang w:val="el-GR"/>
        </w:rPr>
        <w:t xml:space="preserve"> </w:t>
      </w:r>
      <w:r w:rsidR="00123FB1">
        <w:rPr>
          <w:snapToGrid/>
          <w:szCs w:val="22"/>
          <w:lang w:val="el-GR"/>
        </w:rPr>
        <w:t xml:space="preserve">βαρύτητας </w:t>
      </w:r>
      <w:r w:rsidRPr="00FC2F1F">
        <w:rPr>
          <w:snapToGrid/>
          <w:szCs w:val="22"/>
          <w:lang w:val="el-GR"/>
        </w:rPr>
        <w:t>νεφρική δυσλειτουργία</w:t>
      </w:r>
      <w:r w:rsidR="00123FB1">
        <w:rPr>
          <w:snapToGrid/>
          <w:szCs w:val="22"/>
          <w:lang w:val="el-GR"/>
        </w:rPr>
        <w:t>,</w:t>
      </w:r>
      <w:r w:rsidRPr="00FC2F1F">
        <w:rPr>
          <w:snapToGrid/>
          <w:szCs w:val="22"/>
          <w:lang w:val="el-GR"/>
        </w:rPr>
        <w:t xml:space="preserve"> ως εκ τούτου, συ</w:t>
      </w:r>
      <w:r w:rsidR="00123FB1">
        <w:rPr>
          <w:snapToGrid/>
          <w:szCs w:val="22"/>
          <w:lang w:val="el-GR"/>
        </w:rPr>
        <w:t>νιστάται</w:t>
      </w:r>
      <w:r w:rsidRPr="00FC2F1F">
        <w:rPr>
          <w:snapToGrid/>
          <w:szCs w:val="22"/>
          <w:lang w:val="el-GR"/>
        </w:rPr>
        <w:t xml:space="preserve"> περιοδικός έλεγχος των επιπέδων καλίου, κρεατινίνης και ουρικού οξέος</w:t>
      </w:r>
      <w:r w:rsidR="00D46E86" w:rsidRPr="003D2DCD">
        <w:rPr>
          <w:snapToGrid/>
          <w:szCs w:val="22"/>
          <w:lang w:val="el-GR"/>
        </w:rPr>
        <w:t xml:space="preserve"> </w:t>
      </w:r>
      <w:r w:rsidR="00D46E86">
        <w:rPr>
          <w:snapToGrid/>
          <w:szCs w:val="22"/>
          <w:lang w:val="el-GR"/>
        </w:rPr>
        <w:t>στον ορό</w:t>
      </w:r>
      <w:r w:rsidRPr="00FC2F1F">
        <w:rPr>
          <w:snapToGrid/>
          <w:szCs w:val="22"/>
          <w:lang w:val="el-GR"/>
        </w:rPr>
        <w:t xml:space="preserve">. Αζωθαιμία σχετιζόμενη με θειαζιδικά διουρητικά μπορεί να εμφανιστεί σε ασθενείς με </w:t>
      </w:r>
      <w:r w:rsidR="004413F7">
        <w:rPr>
          <w:snapToGrid/>
          <w:szCs w:val="22"/>
          <w:lang w:val="el-GR"/>
        </w:rPr>
        <w:t>επηρεασμένη</w:t>
      </w:r>
      <w:r w:rsidRPr="00FC2F1F">
        <w:rPr>
          <w:snapToGrid/>
          <w:szCs w:val="22"/>
          <w:lang w:val="el-GR"/>
        </w:rPr>
        <w:t xml:space="preserve"> νεφρική 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Ενδαγγειακή υποογκαιμία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Συμπτωματική υπόταση, ιδιαίτερα μετά την πρώτη δόση, μπορεί να εμφανιστεί σε ασθενείς με υποογκαιμία και/ή νατριοπενία που οφείλ</w:t>
      </w:r>
      <w:r w:rsidR="001E4028">
        <w:rPr>
          <w:snapToGrid/>
          <w:szCs w:val="22"/>
          <w:lang w:val="el-GR"/>
        </w:rPr>
        <w:t>ον</w:t>
      </w:r>
      <w:r w:rsidRPr="00FC2F1F">
        <w:rPr>
          <w:snapToGrid/>
          <w:szCs w:val="22"/>
          <w:lang w:val="el-GR"/>
        </w:rPr>
        <w:t xml:space="preserve">ται σε </w:t>
      </w:r>
      <w:r w:rsidR="001E4028">
        <w:rPr>
          <w:snapToGrid/>
          <w:szCs w:val="22"/>
          <w:lang w:val="el-GR"/>
        </w:rPr>
        <w:t>ισχυρή</w:t>
      </w:r>
      <w:r w:rsidRPr="00FC2F1F">
        <w:rPr>
          <w:snapToGrid/>
          <w:szCs w:val="22"/>
          <w:lang w:val="el-GR"/>
        </w:rPr>
        <w:t xml:space="preserve"> διουρητική θεραπεία, διαιτητικό περιορισμό άλατος, διάρροια ή έμετο. Τέτοιες καταστάσεις πρέπει να διορθ</w:t>
      </w:r>
      <w:r w:rsidR="001E4028">
        <w:rPr>
          <w:snapToGrid/>
          <w:szCs w:val="22"/>
          <w:lang w:val="el-GR"/>
        </w:rPr>
        <w:t>ώνονται</w:t>
      </w:r>
      <w:r w:rsidRPr="00FC2F1F">
        <w:rPr>
          <w:snapToGrid/>
          <w:szCs w:val="22"/>
          <w:lang w:val="el-GR"/>
        </w:rPr>
        <w:t xml:space="preserve"> πριν τη χορήγηση του </w:t>
      </w:r>
      <w:r w:rsidRPr="00FC2F1F">
        <w:rPr>
          <w:szCs w:val="22"/>
          <w:lang w:val="el-GR"/>
        </w:rPr>
        <w:t>Tolucombi</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Διπλός αποκλεισμός του συστήματος ρενίνης-αγγειοτενσίνης-αλδοστερόνης</w:t>
      </w:r>
      <w:r>
        <w:rPr>
          <w:snapToGrid/>
          <w:szCs w:val="22"/>
          <w:u w:val="single"/>
          <w:lang w:val="sl-SI"/>
        </w:rPr>
        <w:t xml:space="preserve"> </w:t>
      </w:r>
      <w:r w:rsidRPr="00D76F8A">
        <w:rPr>
          <w:snapToGrid/>
          <w:szCs w:val="22"/>
          <w:u w:val="single"/>
          <w:lang w:val="sl-SI"/>
        </w:rPr>
        <w:t>(RA</w:t>
      </w:r>
      <w:r w:rsidR="00ED0249">
        <w:rPr>
          <w:snapToGrid/>
          <w:szCs w:val="22"/>
          <w:u w:val="single"/>
          <w:lang w:val="sl-SI"/>
        </w:rPr>
        <w:t>A</w:t>
      </w:r>
      <w:r w:rsidRPr="00D76F8A">
        <w:rPr>
          <w:snapToGrid/>
          <w:szCs w:val="22"/>
          <w:u w:val="single"/>
          <w:lang w:val="sl-SI"/>
        </w:rPr>
        <w:t>S)</w:t>
      </w:r>
    </w:p>
    <w:p w:rsidR="00681191" w:rsidRPr="00D76F8A" w:rsidRDefault="00681191" w:rsidP="00681191">
      <w:pPr>
        <w:widowControl w:val="0"/>
        <w:tabs>
          <w:tab w:val="clear" w:pos="567"/>
        </w:tabs>
        <w:autoSpaceDE w:val="0"/>
        <w:autoSpaceDN w:val="0"/>
        <w:adjustRightInd w:val="0"/>
        <w:spacing w:line="240" w:lineRule="auto"/>
        <w:rPr>
          <w:snapToGrid/>
          <w:szCs w:val="22"/>
          <w:lang w:val="el-GR"/>
        </w:rPr>
      </w:pPr>
      <w:r w:rsidRPr="00D76F8A">
        <w:rPr>
          <w:snapToGrid/>
          <w:szCs w:val="22"/>
          <w:lang w:val="el-GR"/>
        </w:rPr>
        <w:t xml:space="preserve">Υπάρχουν </w:t>
      </w:r>
      <w:r w:rsidR="001E4028">
        <w:rPr>
          <w:snapToGrid/>
          <w:szCs w:val="22"/>
          <w:lang w:val="el-GR"/>
        </w:rPr>
        <w:t>εν</w:t>
      </w:r>
      <w:r w:rsidRPr="00D76F8A">
        <w:rPr>
          <w:snapToGrid/>
          <w:szCs w:val="22"/>
          <w:lang w:val="el-GR"/>
        </w:rPr>
        <w:t xml:space="preserve">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 Ως εκ τούτου, </w:t>
      </w:r>
      <w:r w:rsidR="00A155E3">
        <w:rPr>
          <w:snapToGrid/>
          <w:szCs w:val="22"/>
          <w:lang w:val="el-GR"/>
        </w:rPr>
        <w:t xml:space="preserve">δεν συνιστάται </w:t>
      </w:r>
      <w:r w:rsidRPr="00D76F8A">
        <w:rPr>
          <w:snapToGrid/>
          <w:szCs w:val="22"/>
          <w:lang w:val="el-GR"/>
        </w:rPr>
        <w:t>διπλός αποκλεισμός του συστήματος ρενίνης-αγγειοτενσίνης-αλδοστερόνης (RA</w:t>
      </w:r>
      <w:r w:rsidR="00ED0249">
        <w:rPr>
          <w:snapToGrid/>
          <w:szCs w:val="22"/>
          <w:lang w:val="en-US"/>
        </w:rPr>
        <w:t>A</w:t>
      </w:r>
      <w:r w:rsidRPr="00D76F8A">
        <w:rPr>
          <w:snapToGrid/>
          <w:szCs w:val="22"/>
          <w:lang w:val="el-GR"/>
        </w:rPr>
        <w:t>S) μέσω της συνδυασμένης χρήσης αναστολέων ΜΕΑ, αποκλειστών των υποδοχέων αγγειοτενσίνης ΙΙ ή αλισκιρένης (βλ. παραγράφους 4.5 και 5.1).</w:t>
      </w:r>
    </w:p>
    <w:p w:rsidR="00681191" w:rsidRPr="00D76F8A" w:rsidRDefault="00681191" w:rsidP="00681191">
      <w:pPr>
        <w:widowControl w:val="0"/>
        <w:tabs>
          <w:tab w:val="clear" w:pos="567"/>
        </w:tabs>
        <w:autoSpaceDE w:val="0"/>
        <w:autoSpaceDN w:val="0"/>
        <w:adjustRightInd w:val="0"/>
        <w:spacing w:line="240" w:lineRule="auto"/>
        <w:rPr>
          <w:snapToGrid/>
          <w:szCs w:val="22"/>
          <w:lang w:val="el-GR"/>
        </w:rPr>
      </w:pPr>
      <w:r w:rsidRPr="00D76F8A">
        <w:rPr>
          <w:snapToGrid/>
          <w:szCs w:val="22"/>
          <w:lang w:val="el-GR"/>
        </w:rPr>
        <w:t>Εάν η θεραπεία διπλού αποκλεισμού θεωρείται απολύτως απαραίτητη, αυτ</w:t>
      </w:r>
      <w:r w:rsidR="00A155E3">
        <w:rPr>
          <w:snapToGrid/>
          <w:szCs w:val="22"/>
          <w:lang w:val="el-GR"/>
        </w:rPr>
        <w:t>ή</w:t>
      </w:r>
      <w:r w:rsidRPr="00D76F8A">
        <w:rPr>
          <w:snapToGrid/>
          <w:szCs w:val="22"/>
          <w:lang w:val="el-GR"/>
        </w:rPr>
        <w:t xml:space="preserve"> θα πρέπει να λάβει χώρα μόνο </w:t>
      </w:r>
      <w:r w:rsidR="00A155E3">
        <w:rPr>
          <w:snapToGrid/>
          <w:szCs w:val="22"/>
          <w:lang w:val="el-GR"/>
        </w:rPr>
        <w:t>υ</w:t>
      </w:r>
      <w:r w:rsidRPr="00D76F8A">
        <w:rPr>
          <w:snapToGrid/>
          <w:szCs w:val="22"/>
          <w:lang w:val="el-GR"/>
        </w:rPr>
        <w:t>πό την επίβλεψη ειδικού και με συχνή στενή παρακολούθηση της νεφρικής λειτουργίας, των ηλεκτρολυτών και της αρτηριακής πίεσης.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D76F8A">
        <w:rPr>
          <w:snapToGrid/>
          <w:szCs w:val="22"/>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Άλλες καταστάσεις με διέγερση του συστήματος ρενίνης-αγγειοτενσίνης-αλδοστερόνης</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Σε ασθενείς </w:t>
      </w:r>
      <w:r w:rsidR="00A155E3">
        <w:rPr>
          <w:snapToGrid/>
          <w:szCs w:val="22"/>
          <w:lang w:val="el-GR"/>
        </w:rPr>
        <w:t>των οποίων</w:t>
      </w:r>
      <w:r w:rsidRPr="00FC2F1F">
        <w:rPr>
          <w:snapToGrid/>
          <w:szCs w:val="22"/>
          <w:lang w:val="el-GR"/>
        </w:rPr>
        <w:t xml:space="preserve"> ο αγγειακός τόνος και η νεφρική λειτουργία εξαρτώνται κυρίως από τη δραστηριότητα του συστήματος ρενίνης-αγγειοτενσίνης-αλδοστερόνης (</w:t>
      </w:r>
      <w:r w:rsidR="003F1B3D">
        <w:rPr>
          <w:snapToGrid/>
          <w:szCs w:val="22"/>
          <w:lang w:val="el-GR"/>
        </w:rPr>
        <w:t>π.χ.</w:t>
      </w:r>
      <w:r w:rsidRPr="00FC2F1F">
        <w:rPr>
          <w:snapToGrid/>
          <w:szCs w:val="22"/>
          <w:lang w:val="el-GR"/>
        </w:rPr>
        <w:t xml:space="preserve"> ασθενείς με βαριά συμφορητική καρδιακή ανεπάρκεια ή υποκε</w:t>
      </w:r>
      <w:r w:rsidR="003F1B3D">
        <w:rPr>
          <w:snapToGrid/>
          <w:szCs w:val="22"/>
          <w:lang w:val="el-GR"/>
        </w:rPr>
        <w:t>ί</w:t>
      </w:r>
      <w:r w:rsidRPr="00FC2F1F">
        <w:rPr>
          <w:snapToGrid/>
          <w:szCs w:val="22"/>
          <w:lang w:val="el-GR"/>
        </w:rPr>
        <w:t>μεν</w:t>
      </w:r>
      <w:r w:rsidR="003F1B3D">
        <w:rPr>
          <w:snapToGrid/>
          <w:szCs w:val="22"/>
          <w:lang w:val="el-GR"/>
        </w:rPr>
        <w:t>η</w:t>
      </w:r>
      <w:r w:rsidRPr="00FC2F1F">
        <w:rPr>
          <w:snapToGrid/>
          <w:szCs w:val="22"/>
          <w:lang w:val="el-GR"/>
        </w:rPr>
        <w:t xml:space="preserve"> νεφρική νόσο, συμπεριλαμβαν</w:t>
      </w:r>
      <w:r w:rsidR="003F1B3D">
        <w:rPr>
          <w:snapToGrid/>
          <w:szCs w:val="22"/>
          <w:lang w:val="el-GR"/>
        </w:rPr>
        <w:t>ο</w:t>
      </w:r>
      <w:r w:rsidRPr="00FC2F1F">
        <w:rPr>
          <w:snapToGrid/>
          <w:szCs w:val="22"/>
          <w:lang w:val="el-GR"/>
        </w:rPr>
        <w:t>μ</w:t>
      </w:r>
      <w:r w:rsidR="003F1B3D">
        <w:rPr>
          <w:snapToGrid/>
          <w:szCs w:val="22"/>
          <w:lang w:val="el-GR"/>
        </w:rPr>
        <w:t>έ</w:t>
      </w:r>
      <w:r w:rsidRPr="00FC2F1F">
        <w:rPr>
          <w:snapToGrid/>
          <w:szCs w:val="22"/>
          <w:lang w:val="el-GR"/>
        </w:rPr>
        <w:t>νης της στένωσης της νεφρικής αρτηρίας), η θεραπεία με φαρμακευτικά προϊόντα που επηρεάζουν αυτό το σύστημα έχει συσχετισθεί με οξεία υπόταση, υπεραζωθαιμία, ολιγουρία, ή σπάνια με οξεία νεφρική ανεπάρκεια (βλ. παράγραφο 4.8).</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Πρωτοπαθής αλδοστερονισμός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ασθενείς με πρωτοπαθή αλδοστερονισμό γενικά δεν ανταποκρίνονται σε αντιυπερτασικά φαρμακευτικά προϊόντα που δρουν αναστ</w:t>
      </w:r>
      <w:r w:rsidR="00372D7C">
        <w:rPr>
          <w:snapToGrid/>
          <w:szCs w:val="22"/>
          <w:lang w:val="el-GR"/>
        </w:rPr>
        <w:t>α</w:t>
      </w:r>
      <w:r w:rsidRPr="00FC2F1F">
        <w:rPr>
          <w:snapToGrid/>
          <w:szCs w:val="22"/>
          <w:lang w:val="el-GR"/>
        </w:rPr>
        <w:t>λ</w:t>
      </w:r>
      <w:r w:rsidR="00742264">
        <w:rPr>
          <w:snapToGrid/>
          <w:szCs w:val="22"/>
          <w:lang w:val="el-GR"/>
        </w:rPr>
        <w:t>τικά</w:t>
      </w:r>
      <w:r w:rsidRPr="00FC2F1F">
        <w:rPr>
          <w:snapToGrid/>
          <w:szCs w:val="22"/>
          <w:lang w:val="el-GR"/>
        </w:rPr>
        <w:t xml:space="preserve"> </w:t>
      </w:r>
      <w:r w:rsidR="00742264">
        <w:rPr>
          <w:snapToGrid/>
          <w:szCs w:val="22"/>
          <w:lang w:val="el-GR"/>
        </w:rPr>
        <w:t>σ</w:t>
      </w:r>
      <w:r w:rsidRPr="00FC2F1F">
        <w:rPr>
          <w:snapToGrid/>
          <w:szCs w:val="22"/>
          <w:lang w:val="el-GR"/>
        </w:rPr>
        <w:t>το σ</w:t>
      </w:r>
      <w:r w:rsidR="00742264">
        <w:rPr>
          <w:snapToGrid/>
          <w:szCs w:val="22"/>
          <w:lang w:val="el-GR"/>
        </w:rPr>
        <w:t>ύ</w:t>
      </w:r>
      <w:r w:rsidRPr="00FC2F1F">
        <w:rPr>
          <w:snapToGrid/>
          <w:szCs w:val="22"/>
          <w:lang w:val="el-GR"/>
        </w:rPr>
        <w:t>στ</w:t>
      </w:r>
      <w:r w:rsidR="00742264">
        <w:rPr>
          <w:snapToGrid/>
          <w:szCs w:val="22"/>
          <w:lang w:val="el-GR"/>
        </w:rPr>
        <w:t>η</w:t>
      </w:r>
      <w:r w:rsidRPr="00FC2F1F">
        <w:rPr>
          <w:snapToGrid/>
          <w:szCs w:val="22"/>
          <w:lang w:val="el-GR"/>
        </w:rPr>
        <w:t xml:space="preserve">μα ρενίνης-αγγειοτενσίνης. Ως εκ τούτου, η χρήση του </w:t>
      </w:r>
      <w:r w:rsidRPr="00FC2F1F">
        <w:rPr>
          <w:szCs w:val="22"/>
          <w:lang w:val="el-GR"/>
        </w:rPr>
        <w:t>Tolucombi</w:t>
      </w:r>
      <w:r w:rsidRPr="00FC2F1F">
        <w:rPr>
          <w:snapToGrid/>
          <w:szCs w:val="22"/>
          <w:lang w:val="el-GR"/>
        </w:rPr>
        <w:t xml:space="preserve"> δε</w:t>
      </w:r>
      <w:r w:rsidR="004F7001">
        <w:rPr>
          <w:snapToGrid/>
          <w:szCs w:val="22"/>
          <w:lang w:val="el-GR"/>
        </w:rPr>
        <w:t>ν</w:t>
      </w:r>
      <w:r w:rsidRPr="00FC2F1F">
        <w:rPr>
          <w:snapToGrid/>
          <w:szCs w:val="22"/>
          <w:lang w:val="el-GR"/>
        </w:rPr>
        <w:t xml:space="preserve"> συνιστάται.</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4F7001" w:rsidP="00681191">
      <w:pPr>
        <w:widowControl w:val="0"/>
        <w:tabs>
          <w:tab w:val="clear" w:pos="567"/>
        </w:tabs>
        <w:autoSpaceDE w:val="0"/>
        <w:autoSpaceDN w:val="0"/>
        <w:adjustRightInd w:val="0"/>
        <w:spacing w:line="240" w:lineRule="auto"/>
        <w:rPr>
          <w:snapToGrid/>
          <w:szCs w:val="22"/>
          <w:u w:val="single"/>
          <w:lang w:val="el-GR"/>
        </w:rPr>
      </w:pPr>
      <w:r>
        <w:rPr>
          <w:snapToGrid/>
          <w:szCs w:val="22"/>
          <w:u w:val="single"/>
          <w:lang w:val="el-GR"/>
        </w:rPr>
        <w:t>Στένωση α</w:t>
      </w:r>
      <w:r w:rsidR="00681191" w:rsidRPr="00FC2F1F">
        <w:rPr>
          <w:snapToGrid/>
          <w:szCs w:val="22"/>
          <w:u w:val="single"/>
          <w:lang w:val="el-GR"/>
        </w:rPr>
        <w:t>ορτική</w:t>
      </w:r>
      <w:r>
        <w:rPr>
          <w:snapToGrid/>
          <w:szCs w:val="22"/>
          <w:u w:val="single"/>
          <w:lang w:val="el-GR"/>
        </w:rPr>
        <w:t>ς</w:t>
      </w:r>
      <w:r w:rsidR="00681191" w:rsidRPr="00FC2F1F">
        <w:rPr>
          <w:snapToGrid/>
          <w:szCs w:val="22"/>
          <w:u w:val="single"/>
          <w:lang w:val="el-GR"/>
        </w:rPr>
        <w:t xml:space="preserve"> και μιτροειδ</w:t>
      </w:r>
      <w:r>
        <w:rPr>
          <w:snapToGrid/>
          <w:szCs w:val="22"/>
          <w:u w:val="single"/>
          <w:lang w:val="el-GR"/>
        </w:rPr>
        <w:t>ούς</w:t>
      </w:r>
      <w:r w:rsidR="00681191" w:rsidRPr="00FC2F1F">
        <w:rPr>
          <w:snapToGrid/>
          <w:szCs w:val="22"/>
          <w:u w:val="single"/>
          <w:lang w:val="el-GR"/>
        </w:rPr>
        <w:t xml:space="preserve"> βαλβ</w:t>
      </w:r>
      <w:r>
        <w:rPr>
          <w:snapToGrid/>
          <w:szCs w:val="22"/>
          <w:u w:val="single"/>
          <w:lang w:val="el-GR"/>
        </w:rPr>
        <w:t>ίδας</w:t>
      </w:r>
      <w:r w:rsidR="00681191" w:rsidRPr="00FC2F1F">
        <w:rPr>
          <w:snapToGrid/>
          <w:szCs w:val="22"/>
          <w:u w:val="single"/>
          <w:lang w:val="el-GR"/>
        </w:rPr>
        <w:t xml:space="preserve">, </w:t>
      </w:r>
      <w:r w:rsidR="00681191" w:rsidRPr="006D2DFC">
        <w:rPr>
          <w:snapToGrid/>
          <w:szCs w:val="22"/>
          <w:u w:val="single"/>
          <w:lang w:val="el-GR"/>
        </w:rPr>
        <w:t>υπερτροφική α</w:t>
      </w:r>
      <w:r w:rsidR="00681191" w:rsidRPr="00FC2F1F">
        <w:rPr>
          <w:snapToGrid/>
          <w:szCs w:val="22"/>
          <w:u w:val="single"/>
          <w:lang w:val="el-GR"/>
        </w:rPr>
        <w:t>ποφρακτική καρδιομυοπάθεια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Όπως και με άλλους αγγειοδιασταλτικούς παράγοντες, συ</w:t>
      </w:r>
      <w:r w:rsidR="004F7001">
        <w:rPr>
          <w:snapToGrid/>
          <w:szCs w:val="22"/>
          <w:lang w:val="el-GR"/>
        </w:rPr>
        <w:t>νιστάται</w:t>
      </w:r>
      <w:r w:rsidRPr="00FC2F1F">
        <w:rPr>
          <w:snapToGrid/>
          <w:szCs w:val="22"/>
          <w:lang w:val="el-GR"/>
        </w:rPr>
        <w:t xml:space="preserve"> ιδιαίτερη προσοχή σε ασθενείς που πάσχουν από </w:t>
      </w:r>
      <w:r w:rsidR="00A840B2">
        <w:rPr>
          <w:snapToGrid/>
          <w:szCs w:val="22"/>
          <w:lang w:val="el-GR"/>
        </w:rPr>
        <w:t xml:space="preserve">στένωση </w:t>
      </w:r>
      <w:r w:rsidRPr="00FC2F1F">
        <w:rPr>
          <w:snapToGrid/>
          <w:szCs w:val="22"/>
          <w:lang w:val="el-GR"/>
        </w:rPr>
        <w:t>αορτική</w:t>
      </w:r>
      <w:r w:rsidR="00A840B2">
        <w:rPr>
          <w:snapToGrid/>
          <w:szCs w:val="22"/>
          <w:lang w:val="el-GR"/>
        </w:rPr>
        <w:t>ς</w:t>
      </w:r>
      <w:r w:rsidRPr="00FC2F1F">
        <w:rPr>
          <w:snapToGrid/>
          <w:szCs w:val="22"/>
          <w:lang w:val="el-GR"/>
        </w:rPr>
        <w:t xml:space="preserve"> ή μιτροειδ</w:t>
      </w:r>
      <w:r w:rsidR="00A840B2">
        <w:rPr>
          <w:snapToGrid/>
          <w:szCs w:val="22"/>
          <w:lang w:val="el-GR"/>
        </w:rPr>
        <w:t>ούς</w:t>
      </w:r>
      <w:r w:rsidRPr="00FC2F1F">
        <w:rPr>
          <w:snapToGrid/>
          <w:szCs w:val="22"/>
          <w:lang w:val="el-GR"/>
        </w:rPr>
        <w:t xml:space="preserve"> βαλβ</w:t>
      </w:r>
      <w:r w:rsidR="00A840B2">
        <w:rPr>
          <w:snapToGrid/>
          <w:szCs w:val="22"/>
          <w:lang w:val="el-GR"/>
        </w:rPr>
        <w:t>ίδας</w:t>
      </w:r>
      <w:r w:rsidRPr="00FC2F1F">
        <w:rPr>
          <w:snapToGrid/>
          <w:szCs w:val="22"/>
          <w:lang w:val="el-GR"/>
        </w:rPr>
        <w:t>, ή υπερτροφική αποφρακτική καρδιομυοπάθεια.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Μεταβολικές και ενδοκρινικές επιδράσεις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θεραπεία με θειαζ</w:t>
      </w:r>
      <w:r w:rsidR="00A840B2">
        <w:rPr>
          <w:snapToGrid/>
          <w:szCs w:val="22"/>
          <w:lang w:val="el-GR"/>
        </w:rPr>
        <w:t>ί</w:t>
      </w:r>
      <w:r w:rsidRPr="00FC2F1F">
        <w:rPr>
          <w:snapToGrid/>
          <w:szCs w:val="22"/>
          <w:lang w:val="el-GR"/>
        </w:rPr>
        <w:t>δ</w:t>
      </w:r>
      <w:r w:rsidR="00A840B2">
        <w:rPr>
          <w:snapToGrid/>
          <w:szCs w:val="22"/>
          <w:lang w:val="el-GR"/>
        </w:rPr>
        <w:t>ες</w:t>
      </w:r>
      <w:r w:rsidRPr="00FC2F1F">
        <w:rPr>
          <w:snapToGrid/>
          <w:szCs w:val="22"/>
          <w:lang w:val="el-GR"/>
        </w:rPr>
        <w:t xml:space="preserve"> μπορεί να επηρεάσει δυσμενώς την ανοχή </w:t>
      </w:r>
      <w:r w:rsidR="003D6A16">
        <w:rPr>
          <w:snapToGrid/>
          <w:szCs w:val="22"/>
          <w:lang w:val="el-GR"/>
        </w:rPr>
        <w:t xml:space="preserve">στη </w:t>
      </w:r>
      <w:r w:rsidRPr="00FC2F1F">
        <w:rPr>
          <w:snapToGrid/>
          <w:szCs w:val="22"/>
          <w:lang w:val="el-GR"/>
        </w:rPr>
        <w:t xml:space="preserve">γλυκόζη, ενώ μπορεί να εμφανιστεί υπογλυκαιμία σε διαβητικούς ασθενείς υπό θεραπεία με ινσουλίνη ή αντιδιαβητικά φάρμακα και αγωγή με τελμισαρτάνη. Ως εκ τούτου, σε αυτούς τους ασθενείς θα πρέπει να εξετάζεται </w:t>
      </w:r>
      <w:r w:rsidR="00A840B2">
        <w:rPr>
          <w:snapToGrid/>
          <w:szCs w:val="22"/>
          <w:lang w:val="el-GR"/>
        </w:rPr>
        <w:t xml:space="preserve">το ενδεχόμενο </w:t>
      </w:r>
      <w:r w:rsidRPr="00FC2F1F">
        <w:rPr>
          <w:snapToGrid/>
          <w:szCs w:val="22"/>
          <w:lang w:val="el-GR"/>
        </w:rPr>
        <w:t>παρακολούθηση</w:t>
      </w:r>
      <w:r w:rsidR="00A840B2">
        <w:rPr>
          <w:snapToGrid/>
          <w:szCs w:val="22"/>
          <w:lang w:val="el-GR"/>
        </w:rPr>
        <w:t>ς</w:t>
      </w:r>
      <w:r w:rsidRPr="00FC2F1F">
        <w:rPr>
          <w:snapToGrid/>
          <w:szCs w:val="22"/>
          <w:lang w:val="el-GR"/>
        </w:rPr>
        <w:t xml:space="preserve"> της γλυκόζης αίματος. Μπορεί να χρειαστεί ρύθμιση της δόσης της ινσουλίνης ή των αντιδιαβητικών</w:t>
      </w:r>
      <w:r w:rsidR="006D2DFC">
        <w:rPr>
          <w:snapToGrid/>
          <w:szCs w:val="22"/>
          <w:lang w:val="el-GR"/>
        </w:rPr>
        <w:t>,</w:t>
      </w:r>
      <w:r w:rsidRPr="00FC2F1F">
        <w:rPr>
          <w:snapToGrid/>
          <w:szCs w:val="22"/>
          <w:lang w:val="el-GR"/>
        </w:rPr>
        <w:t xml:space="preserve"> όταν ενδείκνυται. </w:t>
      </w:r>
      <w:r w:rsidRPr="00572A40">
        <w:rPr>
          <w:snapToGrid/>
          <w:szCs w:val="22"/>
          <w:lang w:val="el-GR"/>
        </w:rPr>
        <w:t>Λανθά</w:t>
      </w:r>
      <w:r w:rsidRPr="00FC2F1F">
        <w:rPr>
          <w:snapToGrid/>
          <w:szCs w:val="22"/>
          <w:lang w:val="el-GR"/>
        </w:rPr>
        <w:t xml:space="preserve">νων σακχαρώδης διαβήτης μπορεί να </w:t>
      </w:r>
      <w:r w:rsidR="00572A40">
        <w:rPr>
          <w:snapToGrid/>
          <w:szCs w:val="22"/>
          <w:lang w:val="el-GR"/>
        </w:rPr>
        <w:t>εκδηλωθεί</w:t>
      </w:r>
      <w:r w:rsidRPr="00FC2F1F">
        <w:rPr>
          <w:snapToGrid/>
          <w:szCs w:val="22"/>
          <w:lang w:val="el-GR"/>
        </w:rPr>
        <w:t xml:space="preserve"> κατά τη διάρκεια </w:t>
      </w:r>
      <w:r w:rsidR="006D2DFC">
        <w:rPr>
          <w:snapToGrid/>
          <w:szCs w:val="22"/>
          <w:lang w:val="el-GR"/>
        </w:rPr>
        <w:t xml:space="preserve">της </w:t>
      </w:r>
      <w:r w:rsidRPr="00FC2F1F">
        <w:rPr>
          <w:snapToGrid/>
          <w:szCs w:val="22"/>
          <w:lang w:val="el-GR"/>
        </w:rPr>
        <w:t>θεραπείας με θειαζίδες.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D2DFC" w:rsidP="00681191">
      <w:pPr>
        <w:widowControl w:val="0"/>
        <w:tabs>
          <w:tab w:val="clear" w:pos="567"/>
        </w:tabs>
        <w:autoSpaceDE w:val="0"/>
        <w:autoSpaceDN w:val="0"/>
        <w:adjustRightInd w:val="0"/>
        <w:spacing w:line="240" w:lineRule="auto"/>
        <w:rPr>
          <w:snapToGrid/>
          <w:szCs w:val="22"/>
          <w:lang w:val="el-GR"/>
        </w:rPr>
      </w:pPr>
      <w:r>
        <w:rPr>
          <w:snapToGrid/>
          <w:szCs w:val="22"/>
          <w:lang w:val="el-GR"/>
        </w:rPr>
        <w:t>Α</w:t>
      </w:r>
      <w:r w:rsidR="00681191" w:rsidRPr="00FC2F1F">
        <w:rPr>
          <w:snapToGrid/>
          <w:szCs w:val="22"/>
          <w:lang w:val="el-GR"/>
        </w:rPr>
        <w:t>ύξηση των επιπέδων χοληστερόλης και τριγλυκεριδίων έχει συσχετισθεί με τη θεραπεία με θειαζιδικά διουρητικά. Εντούτοις, στη δόση των 12,5</w:t>
      </w:r>
      <w:r w:rsidR="00681191">
        <w:rPr>
          <w:snapToGrid/>
          <w:szCs w:val="22"/>
          <w:lang w:val="el-GR"/>
        </w:rPr>
        <w:t> mg</w:t>
      </w:r>
      <w:r w:rsidR="00681191" w:rsidRPr="00FC2F1F">
        <w:rPr>
          <w:snapToGrid/>
          <w:szCs w:val="22"/>
          <w:lang w:val="el-GR"/>
        </w:rPr>
        <w:t xml:space="preserve"> που περιέχεται στο </w:t>
      </w:r>
      <w:r w:rsidR="00681191" w:rsidRPr="00FC2F1F">
        <w:rPr>
          <w:szCs w:val="22"/>
          <w:lang w:val="el-GR"/>
        </w:rPr>
        <w:t>Tolucombi,</w:t>
      </w:r>
      <w:r w:rsidR="00681191" w:rsidRPr="00FC2F1F">
        <w:rPr>
          <w:snapToGrid/>
          <w:szCs w:val="22"/>
          <w:lang w:val="el-GR"/>
        </w:rPr>
        <w:t xml:space="preserve"> έχουν αναφερθεί ελάχιστες ή καθόλου επιδράσεις.Υπερουριχαιμία ή </w:t>
      </w:r>
      <w:r w:rsidR="00681191" w:rsidRPr="00AA1EEB">
        <w:rPr>
          <w:snapToGrid/>
          <w:szCs w:val="22"/>
          <w:lang w:val="el-GR"/>
        </w:rPr>
        <w:t>συμπτωματική ουρική</w:t>
      </w:r>
      <w:r w:rsidR="00681191" w:rsidRPr="00FC2F1F">
        <w:rPr>
          <w:snapToGrid/>
          <w:szCs w:val="22"/>
          <w:lang w:val="el-GR"/>
        </w:rPr>
        <w:t xml:space="preserve"> αρθρίτιδα μπορεί να προκληθεί σε ορισμένους ασθενείς που λαμβάνουν θεραπεία με θειαζ</w:t>
      </w:r>
      <w:r w:rsidR="00721024">
        <w:rPr>
          <w:snapToGrid/>
          <w:szCs w:val="22"/>
          <w:lang w:val="el-GR"/>
        </w:rPr>
        <w:t>ίδες</w:t>
      </w:r>
      <w:r w:rsidR="00681191"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AA1EEB">
        <w:rPr>
          <w:snapToGrid/>
          <w:szCs w:val="22"/>
          <w:u w:val="single"/>
          <w:lang w:val="el-GR"/>
        </w:rPr>
        <w:t>Ηλεκτρολυτι</w:t>
      </w:r>
      <w:r w:rsidRPr="00FC2F1F">
        <w:rPr>
          <w:snapToGrid/>
          <w:szCs w:val="22"/>
          <w:u w:val="single"/>
          <w:lang w:val="el-GR"/>
        </w:rPr>
        <w:t>κές διαταραχές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Όπως και με οποιοδήποτε ασθενή που λαμβάνει θεραπεία</w:t>
      </w:r>
      <w:r w:rsidR="00EC080B" w:rsidRPr="002210C0">
        <w:rPr>
          <w:snapToGrid/>
          <w:szCs w:val="22"/>
          <w:lang w:val="el-GR"/>
        </w:rPr>
        <w:t xml:space="preserve"> </w:t>
      </w:r>
      <w:r w:rsidR="00EC080B">
        <w:rPr>
          <w:snapToGrid/>
          <w:szCs w:val="22"/>
          <w:lang w:val="el-GR"/>
        </w:rPr>
        <w:t>με διουρητικά</w:t>
      </w:r>
      <w:r w:rsidRPr="00FC2F1F">
        <w:rPr>
          <w:snapToGrid/>
          <w:szCs w:val="22"/>
          <w:lang w:val="el-GR"/>
        </w:rPr>
        <w:t>, θα πρέπει να διενεργείται περιοδικός προσδιορισμός των ηλεκτρολυτών ορού σε κατάλληλα χρονικά διαστήματα.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θειαζίδες, περιλαμβανομένης της υδροχλωροθειαζίδης, μπορούν να προκαλέσουν διαταραχ</w:t>
      </w:r>
      <w:r w:rsidR="00EC080B">
        <w:rPr>
          <w:snapToGrid/>
          <w:szCs w:val="22"/>
          <w:lang w:val="el-GR"/>
        </w:rPr>
        <w:t>ή</w:t>
      </w:r>
      <w:r w:rsidRPr="00FC2F1F">
        <w:rPr>
          <w:snapToGrid/>
          <w:szCs w:val="22"/>
          <w:lang w:val="el-GR"/>
        </w:rPr>
        <w:t xml:space="preserve"> </w:t>
      </w:r>
      <w:r w:rsidR="00742264">
        <w:rPr>
          <w:snapToGrid/>
          <w:szCs w:val="22"/>
          <w:lang w:val="el-GR"/>
        </w:rPr>
        <w:t xml:space="preserve">του ισοζυγίου </w:t>
      </w:r>
      <w:r w:rsidR="00EC080B">
        <w:rPr>
          <w:snapToGrid/>
          <w:szCs w:val="22"/>
          <w:lang w:val="el-GR"/>
        </w:rPr>
        <w:t>υγρών</w:t>
      </w:r>
      <w:r w:rsidRPr="00FC2F1F">
        <w:rPr>
          <w:snapToGrid/>
          <w:szCs w:val="22"/>
          <w:lang w:val="el-GR"/>
        </w:rPr>
        <w:t xml:space="preserve"> ή ηλεκτρολυτών (περιλαμβανομέν</w:t>
      </w:r>
      <w:r w:rsidR="00EC080B">
        <w:rPr>
          <w:snapToGrid/>
          <w:szCs w:val="22"/>
          <w:lang w:val="el-GR"/>
        </w:rPr>
        <w:t>ων</w:t>
      </w:r>
      <w:r w:rsidRPr="00FC2F1F">
        <w:rPr>
          <w:snapToGrid/>
          <w:szCs w:val="22"/>
          <w:lang w:val="el-GR"/>
        </w:rPr>
        <w:t xml:space="preserve"> τ</w:t>
      </w:r>
      <w:r w:rsidR="00EC080B">
        <w:rPr>
          <w:snapToGrid/>
          <w:szCs w:val="22"/>
          <w:lang w:val="el-GR"/>
        </w:rPr>
        <w:t>ων</w:t>
      </w:r>
      <w:r w:rsidRPr="00FC2F1F">
        <w:rPr>
          <w:snapToGrid/>
          <w:szCs w:val="22"/>
          <w:lang w:val="el-GR"/>
        </w:rPr>
        <w:t xml:space="preserve"> υποκαλιαιμίας, υπονατριαιμίας και υποχλωραιμικής αλκάλωσης). Προειδοποιητικά σημεία διαταραχ</w:t>
      </w:r>
      <w:r w:rsidR="00EC080B">
        <w:rPr>
          <w:snapToGrid/>
          <w:szCs w:val="22"/>
          <w:lang w:val="el-GR"/>
        </w:rPr>
        <w:t>ής</w:t>
      </w:r>
      <w:r w:rsidRPr="00FC2F1F">
        <w:rPr>
          <w:snapToGrid/>
          <w:szCs w:val="22"/>
          <w:lang w:val="el-GR"/>
        </w:rPr>
        <w:t xml:space="preserve"> </w:t>
      </w:r>
      <w:r w:rsidR="00830FA4">
        <w:rPr>
          <w:snapToGrid/>
          <w:szCs w:val="22"/>
          <w:lang w:val="el-GR"/>
        </w:rPr>
        <w:t xml:space="preserve">του ισοζυγίου </w:t>
      </w:r>
      <w:r w:rsidR="00EC080B">
        <w:rPr>
          <w:snapToGrid/>
          <w:szCs w:val="22"/>
          <w:lang w:val="el-GR"/>
        </w:rPr>
        <w:t>υγρών</w:t>
      </w:r>
      <w:r w:rsidRPr="00FC2F1F">
        <w:rPr>
          <w:snapToGrid/>
          <w:szCs w:val="22"/>
          <w:lang w:val="el-GR"/>
        </w:rPr>
        <w:t xml:space="preserve"> ή ηλεκτρολυτών είναι ξηροστομία, δίψα, εξασθένηση, λήθαργος, υπνηλία, ευερεθιστότητα, μυαλγίες ή κράμπες, μυϊκή κόπωση, υπόταση, ολιγουρία, ταχυκαρδία, και γαστρεντερικές διαταραχές όπως ναυτία ή έμετος (βλ. παράγραφο 4.8).</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6"/>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Υποκαλιαιμία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 και υποκαλιαιμία μπορεί να αναπτυχθεί με τη χρήση θειαζιδικών διουρητικών, ταυτόχρονη θεραπεία με τελμισαρτάνη μπορεί να μειώσει την επαγόμενη από το διουρητικό υποκαλιαιμία. Ο κίνδυνος υποκαλιαιμίας είναι μεγαλύτερος σε ασθενείς με κίρρωση ήπατος, σε ασθενείς που </w:t>
      </w:r>
      <w:r w:rsidR="00D64BBC">
        <w:rPr>
          <w:snapToGrid/>
          <w:szCs w:val="22"/>
          <w:lang w:val="el-GR"/>
        </w:rPr>
        <w:t>παρουσιάζουν</w:t>
      </w:r>
      <w:r w:rsidRPr="00FC2F1F">
        <w:rPr>
          <w:snapToGrid/>
          <w:szCs w:val="22"/>
          <w:lang w:val="el-GR"/>
        </w:rPr>
        <w:t xml:space="preserve"> έντονη διούρηση, σε ασθενείς με ανεπαρκή από του στόματος πρόσληψη ηλεκτρολυτών και σε ασθενείς που λαμβάνουν ταυτόχρονη θεραπεία με κορτικοστεροειδή ή Αδρενοκορτικοτρόπο ορμόνη (ACTH) (βλ. παράγραφο 4.5).</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6"/>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Υπερκαλιαιμία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Αντιστρόφως, υπερκαλιαιμία μπορεί να εμφανιστεί, λόγω του ανταγωνισμού των υποδοχέων της αγγειοτενσίνης ΙΙ (ΑΤ1) από το συστατικό τελμισαρτάνη του </w:t>
      </w:r>
      <w:r w:rsidRPr="00FC2F1F">
        <w:rPr>
          <w:szCs w:val="22"/>
          <w:lang w:val="el-GR"/>
        </w:rPr>
        <w:t>Tolucombi</w:t>
      </w:r>
      <w:r w:rsidRPr="00FC2F1F">
        <w:rPr>
          <w:snapToGrid/>
          <w:szCs w:val="22"/>
          <w:lang w:val="el-GR"/>
        </w:rPr>
        <w:t xml:space="preserve">. Αν και κλινικά σημαντική υπερκαλιαιμία δεν έχει </w:t>
      </w:r>
      <w:r w:rsidR="005A5260">
        <w:rPr>
          <w:snapToGrid/>
          <w:szCs w:val="22"/>
          <w:lang w:val="el-GR"/>
        </w:rPr>
        <w:t>τεκμηριωθεί</w:t>
      </w:r>
      <w:r w:rsidRPr="00FC2F1F">
        <w:rPr>
          <w:snapToGrid/>
          <w:szCs w:val="22"/>
          <w:lang w:val="el-GR"/>
        </w:rPr>
        <w:t xml:space="preserve"> με το </w:t>
      </w:r>
      <w:r w:rsidRPr="00FC2F1F">
        <w:rPr>
          <w:szCs w:val="22"/>
          <w:lang w:val="el-GR"/>
        </w:rPr>
        <w:t xml:space="preserve">Tolucombi, </w:t>
      </w:r>
      <w:r w:rsidRPr="00FC2F1F">
        <w:rPr>
          <w:snapToGrid/>
          <w:szCs w:val="22"/>
          <w:lang w:val="el-GR"/>
        </w:rPr>
        <w:t xml:space="preserve">παράγοντες κινδύνου για την ανάπτυξη υπερκαλιαιμίας περιλαμβάνουν νεφρική </w:t>
      </w:r>
      <w:r w:rsidR="005A5260">
        <w:rPr>
          <w:snapToGrid/>
          <w:szCs w:val="22"/>
          <w:lang w:val="el-GR"/>
        </w:rPr>
        <w:t>ανεπάρκεια</w:t>
      </w:r>
      <w:r w:rsidRPr="00FC2F1F">
        <w:rPr>
          <w:snapToGrid/>
          <w:szCs w:val="22"/>
          <w:lang w:val="el-GR"/>
        </w:rPr>
        <w:t xml:space="preserve"> και/ή καρδιακή ανεπάρκεια, και σακχαρώδη διαβήτη. Καλιοσυντηρητικά διουρητικά, συμπληρώματα καλίου ή υποκατάστατα άλατος που περιέχουν κάλιο θα πρέπει να συγχορηγούνται με προσοχή με το </w:t>
      </w:r>
      <w:r w:rsidRPr="00FC2F1F">
        <w:rPr>
          <w:szCs w:val="22"/>
          <w:lang w:val="el-GR"/>
        </w:rPr>
        <w:t>Tolucombi</w:t>
      </w:r>
      <w:r w:rsidRPr="00FC2F1F">
        <w:rPr>
          <w:snapToGrid/>
          <w:szCs w:val="22"/>
          <w:lang w:val="el-GR"/>
        </w:rPr>
        <w:t xml:space="preserve"> (βλ. παράγραφο 4.5).</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6"/>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Υπονατριαιμία και υποχλωραιμική αλκάλωση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Δεν υπάρχουν ενδείξεις ότι το </w:t>
      </w:r>
      <w:r w:rsidRPr="00FC2F1F">
        <w:rPr>
          <w:szCs w:val="22"/>
          <w:lang w:val="el-GR"/>
        </w:rPr>
        <w:t>Tolucombi</w:t>
      </w:r>
      <w:r w:rsidRPr="00FC2F1F">
        <w:rPr>
          <w:snapToGrid/>
          <w:szCs w:val="22"/>
          <w:lang w:val="el-GR"/>
        </w:rPr>
        <w:t xml:space="preserve"> θα μείωνε ή θα εμπόδιζε την ανάπτυξη υπονατριαιμίας που οφείλεται σε διουρητικά. Το έλλειμμα χλωρ</w:t>
      </w:r>
      <w:r w:rsidR="006A56FC">
        <w:rPr>
          <w:snapToGrid/>
          <w:szCs w:val="22"/>
          <w:lang w:val="el-GR"/>
        </w:rPr>
        <w:t>ιούχων</w:t>
      </w:r>
      <w:r w:rsidRPr="00FC2F1F">
        <w:rPr>
          <w:snapToGrid/>
          <w:szCs w:val="22"/>
          <w:lang w:val="el-GR"/>
        </w:rPr>
        <w:t xml:space="preserve"> είναι γενικά ήπιο και συνήθως δεν απαιτεί θεραπεία.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6"/>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Υπερασβεστ</w:t>
      </w:r>
      <w:r w:rsidR="006A56FC">
        <w:rPr>
          <w:snapToGrid/>
          <w:szCs w:val="22"/>
          <w:lang w:val="el-GR"/>
        </w:rPr>
        <w:t>ι</w:t>
      </w:r>
      <w:r w:rsidRPr="00FC2F1F">
        <w:rPr>
          <w:snapToGrid/>
          <w:szCs w:val="22"/>
          <w:lang w:val="el-GR"/>
        </w:rPr>
        <w:t>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θειαζίδες μπορεί να μειώ</w:t>
      </w:r>
      <w:r w:rsidR="00B0601F">
        <w:rPr>
          <w:snapToGrid/>
          <w:szCs w:val="22"/>
          <w:lang w:val="el-GR"/>
        </w:rPr>
        <w:t>σ</w:t>
      </w:r>
      <w:r w:rsidRPr="00FC2F1F">
        <w:rPr>
          <w:snapToGrid/>
          <w:szCs w:val="22"/>
          <w:lang w:val="el-GR"/>
        </w:rPr>
        <w:t>ουν τη νεφρική απέκκριση ασβεστίου και να προκαλέσουν ελαφρά και δια</w:t>
      </w:r>
      <w:r w:rsidR="0020033E">
        <w:rPr>
          <w:snapToGrid/>
          <w:szCs w:val="22"/>
          <w:lang w:val="el-GR"/>
        </w:rPr>
        <w:t>λείπουσα</w:t>
      </w:r>
      <w:r w:rsidRPr="00FC2F1F">
        <w:rPr>
          <w:snapToGrid/>
          <w:szCs w:val="22"/>
          <w:lang w:val="el-GR"/>
        </w:rPr>
        <w:t xml:space="preserve"> αύξηση </w:t>
      </w:r>
      <w:r w:rsidR="0020033E">
        <w:rPr>
          <w:snapToGrid/>
          <w:szCs w:val="22"/>
          <w:lang w:val="el-GR"/>
        </w:rPr>
        <w:t xml:space="preserve">του </w:t>
      </w:r>
      <w:r w:rsidRPr="00FC2F1F">
        <w:rPr>
          <w:snapToGrid/>
          <w:szCs w:val="22"/>
          <w:lang w:val="el-GR"/>
        </w:rPr>
        <w:t>ασβεστίου ορού χωρίς την παρουσία γνωστ</w:t>
      </w:r>
      <w:r w:rsidR="00372D7C">
        <w:rPr>
          <w:snapToGrid/>
          <w:szCs w:val="22"/>
          <w:lang w:val="el-GR"/>
        </w:rPr>
        <w:t>ών</w:t>
      </w:r>
      <w:r w:rsidRPr="00FC2F1F">
        <w:rPr>
          <w:snapToGrid/>
          <w:szCs w:val="22"/>
          <w:lang w:val="el-GR"/>
        </w:rPr>
        <w:t xml:space="preserve"> μεταβολικ</w:t>
      </w:r>
      <w:r w:rsidR="00372D7C">
        <w:rPr>
          <w:snapToGrid/>
          <w:szCs w:val="22"/>
          <w:lang w:val="el-GR"/>
        </w:rPr>
        <w:t>ών</w:t>
      </w:r>
      <w:r w:rsidRPr="00FC2F1F">
        <w:rPr>
          <w:snapToGrid/>
          <w:szCs w:val="22"/>
          <w:lang w:val="el-GR"/>
        </w:rPr>
        <w:t xml:space="preserve"> διαταραχ</w:t>
      </w:r>
      <w:r w:rsidR="00372D7C">
        <w:rPr>
          <w:snapToGrid/>
          <w:szCs w:val="22"/>
          <w:lang w:val="el-GR"/>
        </w:rPr>
        <w:t>ών</w:t>
      </w:r>
      <w:r w:rsidRPr="00FC2F1F">
        <w:rPr>
          <w:snapToGrid/>
          <w:szCs w:val="22"/>
          <w:lang w:val="el-GR"/>
        </w:rPr>
        <w:t xml:space="preserve"> του ασβεστίου. Έντονη υπερασβεστ</w:t>
      </w:r>
      <w:r w:rsidR="00792178">
        <w:rPr>
          <w:snapToGrid/>
          <w:szCs w:val="22"/>
          <w:lang w:val="el-GR"/>
        </w:rPr>
        <w:t>ι</w:t>
      </w:r>
      <w:r w:rsidRPr="00FC2F1F">
        <w:rPr>
          <w:snapToGrid/>
          <w:szCs w:val="22"/>
          <w:lang w:val="el-GR"/>
        </w:rPr>
        <w:t>αιμία μπορεί να είναι ένδειξη λανθάνοντος υπερπαραθυρεοειδισμού. Οι θειαζίδες θα πρέπει να διακόπτονται πριν από την εκτέλεση των δοκιμασιών λειτουργίας των παραθυρεοειδών.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bookmarkStart w:id="6" w:name="_Hlk500154841"/>
    </w:p>
    <w:p w:rsidR="00681191" w:rsidRPr="00FC2F1F" w:rsidRDefault="00681191" w:rsidP="00681191">
      <w:pPr>
        <w:widowControl w:val="0"/>
        <w:numPr>
          <w:ilvl w:val="0"/>
          <w:numId w:val="6"/>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Υπομαγνησιαιμία</w:t>
      </w:r>
    </w:p>
    <w:p w:rsidR="00681191" w:rsidRPr="00FC2F1F" w:rsidRDefault="00792178" w:rsidP="00681191">
      <w:pPr>
        <w:widowControl w:val="0"/>
        <w:tabs>
          <w:tab w:val="clear" w:pos="567"/>
        </w:tabs>
        <w:autoSpaceDE w:val="0"/>
        <w:autoSpaceDN w:val="0"/>
        <w:adjustRightInd w:val="0"/>
        <w:spacing w:line="240" w:lineRule="auto"/>
        <w:rPr>
          <w:snapToGrid/>
          <w:szCs w:val="22"/>
          <w:lang w:val="el-GR"/>
        </w:rPr>
      </w:pPr>
      <w:r>
        <w:rPr>
          <w:snapToGrid/>
          <w:szCs w:val="22"/>
          <w:lang w:val="el-GR"/>
        </w:rPr>
        <w:t>Έχει δειχθεί ότι ο</w:t>
      </w:r>
      <w:r w:rsidR="00681191" w:rsidRPr="00FC2F1F">
        <w:rPr>
          <w:snapToGrid/>
          <w:szCs w:val="22"/>
          <w:lang w:val="el-GR"/>
        </w:rPr>
        <w:t xml:space="preserve">ι θειαζίδες αυξάνουν τη νεφρική απέκκριση μαγνησίου, </w:t>
      </w:r>
      <w:r>
        <w:rPr>
          <w:snapToGrid/>
          <w:szCs w:val="22"/>
          <w:lang w:val="el-GR"/>
        </w:rPr>
        <w:t>το οποίο</w:t>
      </w:r>
      <w:r w:rsidR="00681191" w:rsidRPr="00FC2F1F">
        <w:rPr>
          <w:snapToGrid/>
          <w:szCs w:val="22"/>
          <w:lang w:val="el-GR"/>
        </w:rPr>
        <w:t xml:space="preserve"> μπορεί να έχει ως αποτέλεσμα υπομαγνησιαιμία (βλ. παράγραφο 4.5).</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A61F09"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Λακτόζη</w:t>
      </w:r>
      <w:r w:rsidR="001B54AD">
        <w:rPr>
          <w:snapToGrid/>
          <w:szCs w:val="22"/>
          <w:u w:val="single"/>
          <w:lang w:val="el-GR"/>
        </w:rPr>
        <w:t>, σορβιτόλη και νάτριο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Αυτό το φαρμακευτικό προϊόν περιέχει λακτόζη. </w:t>
      </w:r>
      <w:r w:rsidR="001B54AD">
        <w:rPr>
          <w:snapToGrid/>
          <w:szCs w:val="22"/>
          <w:lang w:val="el-GR"/>
        </w:rPr>
        <w:t>Α</w:t>
      </w:r>
      <w:r w:rsidRPr="00FC2F1F">
        <w:rPr>
          <w:snapToGrid/>
          <w:szCs w:val="22"/>
          <w:lang w:val="el-GR"/>
        </w:rPr>
        <w:t xml:space="preserve">σθενείς με σπάνια </w:t>
      </w:r>
      <w:r w:rsidR="00792178">
        <w:rPr>
          <w:snapToGrid/>
          <w:szCs w:val="22"/>
          <w:lang w:val="el-GR"/>
        </w:rPr>
        <w:t xml:space="preserve">κληρονομικά </w:t>
      </w:r>
      <w:r w:rsidRPr="00FC2F1F">
        <w:rPr>
          <w:snapToGrid/>
          <w:szCs w:val="22"/>
          <w:lang w:val="el-GR"/>
        </w:rPr>
        <w:t xml:space="preserve">προβλήματα δυσανεξίας στη γαλακτόζη, </w:t>
      </w:r>
      <w:r w:rsidR="001B54AD">
        <w:rPr>
          <w:snapToGrid/>
          <w:szCs w:val="22"/>
          <w:lang w:val="el-GR"/>
        </w:rPr>
        <w:t xml:space="preserve">πλήρη </w:t>
      </w:r>
      <w:r w:rsidRPr="00FC2F1F">
        <w:rPr>
          <w:snapToGrid/>
          <w:szCs w:val="22"/>
          <w:lang w:val="el-GR"/>
        </w:rPr>
        <w:t xml:space="preserve">ανεπάρκεια λακτάσης ή </w:t>
      </w:r>
      <w:r w:rsidR="001B54AD">
        <w:rPr>
          <w:snapToGrid/>
          <w:szCs w:val="22"/>
          <w:lang w:val="el-GR"/>
        </w:rPr>
        <w:t xml:space="preserve">κακή </w:t>
      </w:r>
      <w:r w:rsidRPr="00FC2F1F">
        <w:rPr>
          <w:snapToGrid/>
          <w:szCs w:val="22"/>
          <w:lang w:val="el-GR"/>
        </w:rPr>
        <w:t>απορρόφηση γλυκόζης – γαλακτόζης δε</w:t>
      </w:r>
      <w:r w:rsidR="0063361C">
        <w:rPr>
          <w:snapToGrid/>
          <w:szCs w:val="22"/>
          <w:lang w:val="el-GR"/>
        </w:rPr>
        <w:t>ν</w:t>
      </w:r>
      <w:r w:rsidRPr="00FC2F1F">
        <w:rPr>
          <w:snapToGrid/>
          <w:szCs w:val="22"/>
          <w:lang w:val="el-GR"/>
        </w:rPr>
        <w:t xml:space="preserve"> πρέπει να λαμβάνουν αυτό το φάρμακο.</w:t>
      </w:r>
    </w:p>
    <w:p w:rsidR="00681191" w:rsidRDefault="00681191" w:rsidP="00681191">
      <w:pPr>
        <w:widowControl w:val="0"/>
        <w:tabs>
          <w:tab w:val="clear" w:pos="567"/>
        </w:tabs>
        <w:autoSpaceDE w:val="0"/>
        <w:autoSpaceDN w:val="0"/>
        <w:adjustRightInd w:val="0"/>
        <w:spacing w:line="240" w:lineRule="auto"/>
        <w:rPr>
          <w:snapToGrid/>
          <w:szCs w:val="22"/>
          <w:lang w:val="el-GR"/>
        </w:rPr>
      </w:pPr>
    </w:p>
    <w:p w:rsidR="00043348" w:rsidRDefault="001B54AD" w:rsidP="00EC1A79">
      <w:pPr>
        <w:widowControl w:val="0"/>
        <w:tabs>
          <w:tab w:val="clear" w:pos="567"/>
        </w:tabs>
        <w:autoSpaceDE w:val="0"/>
        <w:autoSpaceDN w:val="0"/>
        <w:adjustRightInd w:val="0"/>
        <w:spacing w:line="240" w:lineRule="auto"/>
        <w:rPr>
          <w:szCs w:val="22"/>
          <w:lang w:val="el-GR"/>
        </w:rPr>
      </w:pPr>
      <w:r>
        <w:rPr>
          <w:snapToGrid/>
          <w:szCs w:val="22"/>
          <w:lang w:val="el-GR"/>
        </w:rPr>
        <w:t>Το</w:t>
      </w:r>
      <w:r w:rsidRPr="00A61F09">
        <w:rPr>
          <w:snapToGrid/>
          <w:szCs w:val="22"/>
          <w:lang w:val="el-GR"/>
        </w:rPr>
        <w:t xml:space="preserve"> </w:t>
      </w:r>
      <w:r w:rsidRPr="00A61F09">
        <w:rPr>
          <w:szCs w:val="22"/>
          <w:lang w:val="en-US"/>
        </w:rPr>
        <w:t>Tolucombi</w:t>
      </w:r>
      <w:r w:rsidRPr="00A61F09">
        <w:rPr>
          <w:szCs w:val="22"/>
          <w:lang w:val="el-GR"/>
        </w:rPr>
        <w:t xml:space="preserve"> 40 </w:t>
      </w:r>
      <w:r>
        <w:rPr>
          <w:szCs w:val="22"/>
          <w:lang w:val="en-US"/>
        </w:rPr>
        <w:t>mg</w:t>
      </w:r>
      <w:r w:rsidRPr="00A61F09">
        <w:rPr>
          <w:szCs w:val="22"/>
          <w:lang w:val="el-GR"/>
        </w:rPr>
        <w:t xml:space="preserve">/12,5 </w:t>
      </w:r>
      <w:r>
        <w:rPr>
          <w:szCs w:val="22"/>
          <w:lang w:val="en-US"/>
        </w:rPr>
        <w:t>mg</w:t>
      </w:r>
      <w:r w:rsidRPr="00A61F09">
        <w:rPr>
          <w:szCs w:val="22"/>
          <w:lang w:val="el-GR"/>
        </w:rPr>
        <w:t xml:space="preserve"> </w:t>
      </w:r>
      <w:r>
        <w:rPr>
          <w:szCs w:val="22"/>
          <w:lang w:val="el-GR"/>
        </w:rPr>
        <w:t xml:space="preserve">περιέχει </w:t>
      </w:r>
      <w:r w:rsidR="002E5DB8">
        <w:rPr>
          <w:szCs w:val="22"/>
          <w:lang w:val="el-GR"/>
        </w:rPr>
        <w:t xml:space="preserve">147,04 </w:t>
      </w:r>
      <w:r w:rsidR="002E5DB8">
        <w:rPr>
          <w:szCs w:val="22"/>
          <w:lang w:val="en-US"/>
        </w:rPr>
        <w:t>mg</w:t>
      </w:r>
      <w:r w:rsidR="002E5DB8">
        <w:rPr>
          <w:szCs w:val="22"/>
          <w:lang w:val="el-GR"/>
        </w:rPr>
        <w:t xml:space="preserve"> σορβιτόλης σε κάθε δισκίο</w:t>
      </w:r>
      <w:r w:rsidR="00966993">
        <w:rPr>
          <w:szCs w:val="22"/>
          <w:lang w:val="el-GR"/>
        </w:rPr>
        <w:t xml:space="preserve">, το οποίο ισοδυναμεί με 5 </w:t>
      </w:r>
      <w:r w:rsidR="00966993">
        <w:rPr>
          <w:szCs w:val="22"/>
          <w:lang w:val="en-US"/>
        </w:rPr>
        <w:t>mg</w:t>
      </w:r>
      <w:r w:rsidR="00966993" w:rsidRPr="00A61F09">
        <w:rPr>
          <w:szCs w:val="22"/>
          <w:lang w:val="el-GR"/>
        </w:rPr>
        <w:t>/</w:t>
      </w:r>
      <w:r w:rsidR="00966993">
        <w:rPr>
          <w:szCs w:val="22"/>
          <w:lang w:val="en-US"/>
        </w:rPr>
        <w:t>kg</w:t>
      </w:r>
      <w:r w:rsidR="00966993" w:rsidRPr="00A61F09">
        <w:rPr>
          <w:szCs w:val="22"/>
          <w:lang w:val="el-GR"/>
        </w:rPr>
        <w:t>/</w:t>
      </w:r>
      <w:r w:rsidR="00113B42">
        <w:rPr>
          <w:szCs w:val="22"/>
          <w:lang w:val="el-GR"/>
        </w:rPr>
        <w:t xml:space="preserve">ημέρα, εάν το σωματικό </w:t>
      </w:r>
      <w:r w:rsidR="005B4A59">
        <w:rPr>
          <w:szCs w:val="22"/>
          <w:lang w:val="el-GR"/>
        </w:rPr>
        <w:t>βάρος είναι 29,8</w:t>
      </w:r>
      <w:r w:rsidR="005B4A59" w:rsidRPr="00A61F09">
        <w:rPr>
          <w:szCs w:val="22"/>
          <w:lang w:val="el-GR"/>
        </w:rPr>
        <w:t xml:space="preserve"> </w:t>
      </w:r>
      <w:r w:rsidR="005B4A59">
        <w:rPr>
          <w:szCs w:val="22"/>
          <w:lang w:val="en-US"/>
        </w:rPr>
        <w:t>kg</w:t>
      </w:r>
      <w:r w:rsidR="002E5DB8">
        <w:rPr>
          <w:szCs w:val="22"/>
          <w:lang w:val="el-GR"/>
        </w:rPr>
        <w:t>.</w:t>
      </w:r>
    </w:p>
    <w:p w:rsidR="005B4A59" w:rsidRPr="00A61F09" w:rsidRDefault="005B4A59" w:rsidP="005B4A59">
      <w:pPr>
        <w:widowControl w:val="0"/>
        <w:tabs>
          <w:tab w:val="clear" w:pos="567"/>
        </w:tabs>
        <w:autoSpaceDE w:val="0"/>
        <w:autoSpaceDN w:val="0"/>
        <w:adjustRightInd w:val="0"/>
        <w:spacing w:line="240" w:lineRule="auto"/>
        <w:rPr>
          <w:snapToGrid/>
          <w:szCs w:val="22"/>
          <w:lang w:val="el-GR"/>
        </w:rPr>
      </w:pPr>
      <w:r w:rsidRPr="00A61F09">
        <w:rPr>
          <w:snapToGrid/>
          <w:szCs w:val="22"/>
          <w:lang w:val="el-GR"/>
        </w:rPr>
        <w:t>Η αθροιστική επίδραση της ταυτόχρονης χορήγησης προϊόντων που περιέχουν σορβιτόλη (ή φρουκτόζη) και η με την διατροφή λήψη σορβιτόλης (ή φρουκτόζης) πρέπει να λαμβάνονται υπόψη.</w:t>
      </w:r>
    </w:p>
    <w:p w:rsidR="005B4A59" w:rsidRPr="00A61F09" w:rsidRDefault="005B4A59" w:rsidP="005B4A59">
      <w:pPr>
        <w:widowControl w:val="0"/>
        <w:tabs>
          <w:tab w:val="clear" w:pos="567"/>
        </w:tabs>
        <w:autoSpaceDE w:val="0"/>
        <w:autoSpaceDN w:val="0"/>
        <w:adjustRightInd w:val="0"/>
        <w:spacing w:line="240" w:lineRule="auto"/>
        <w:rPr>
          <w:snapToGrid/>
          <w:szCs w:val="22"/>
          <w:lang w:val="el-GR"/>
        </w:rPr>
      </w:pPr>
      <w:r w:rsidRPr="00A61F09">
        <w:rPr>
          <w:snapToGrid/>
          <w:szCs w:val="22"/>
          <w:lang w:val="el-GR"/>
        </w:rPr>
        <w:t>Η ποσότητα της σορβιτόλης στα από στόματος φαρμακευτικά προϊόντα μπορεί να επηρεάσει τη βιοδιαθεσιμότητα άλλων από στόματος φαρμακευτικών προϊόντων που χορηγούνται ταυτόχρονα.</w:t>
      </w:r>
    </w:p>
    <w:p w:rsidR="005B4A59" w:rsidRDefault="005B4A59" w:rsidP="00EC1A79">
      <w:pPr>
        <w:widowControl w:val="0"/>
        <w:tabs>
          <w:tab w:val="clear" w:pos="567"/>
        </w:tabs>
        <w:autoSpaceDE w:val="0"/>
        <w:autoSpaceDN w:val="0"/>
        <w:adjustRightInd w:val="0"/>
        <w:spacing w:line="240" w:lineRule="auto"/>
        <w:rPr>
          <w:snapToGrid/>
          <w:szCs w:val="22"/>
          <w:lang w:val="el-GR"/>
        </w:rPr>
      </w:pPr>
    </w:p>
    <w:p w:rsidR="00EC1A79" w:rsidRPr="00A61F09" w:rsidRDefault="00EC1A79" w:rsidP="00EC1A79">
      <w:pPr>
        <w:widowControl w:val="0"/>
        <w:tabs>
          <w:tab w:val="clear" w:pos="567"/>
        </w:tabs>
        <w:autoSpaceDE w:val="0"/>
        <w:autoSpaceDN w:val="0"/>
        <w:adjustRightInd w:val="0"/>
        <w:spacing w:line="240" w:lineRule="auto"/>
        <w:rPr>
          <w:szCs w:val="22"/>
          <w:lang w:val="el-GR"/>
        </w:rPr>
      </w:pPr>
      <w:r>
        <w:rPr>
          <w:snapToGrid/>
          <w:szCs w:val="22"/>
          <w:lang w:val="el-GR"/>
        </w:rPr>
        <w:t>Το</w:t>
      </w:r>
      <w:r w:rsidRPr="0017281A">
        <w:rPr>
          <w:snapToGrid/>
          <w:szCs w:val="22"/>
          <w:lang w:val="el-GR"/>
        </w:rPr>
        <w:t xml:space="preserve"> </w:t>
      </w:r>
      <w:r w:rsidRPr="0017281A">
        <w:rPr>
          <w:szCs w:val="22"/>
          <w:lang w:val="en-US"/>
        </w:rPr>
        <w:t>Tolucombi</w:t>
      </w:r>
      <w:r w:rsidRPr="0017281A">
        <w:rPr>
          <w:szCs w:val="22"/>
          <w:lang w:val="el-GR"/>
        </w:rPr>
        <w:t xml:space="preserve"> </w:t>
      </w:r>
      <w:r>
        <w:rPr>
          <w:szCs w:val="22"/>
          <w:lang w:val="el-GR"/>
        </w:rPr>
        <w:t>8</w:t>
      </w:r>
      <w:r w:rsidRPr="0017281A">
        <w:rPr>
          <w:szCs w:val="22"/>
          <w:lang w:val="el-GR"/>
        </w:rPr>
        <w:t xml:space="preserve">0 </w:t>
      </w:r>
      <w:r>
        <w:rPr>
          <w:szCs w:val="22"/>
          <w:lang w:val="en-US"/>
        </w:rPr>
        <w:t>mg</w:t>
      </w:r>
      <w:r w:rsidRPr="0017281A">
        <w:rPr>
          <w:szCs w:val="22"/>
          <w:lang w:val="el-GR"/>
        </w:rPr>
        <w:t xml:space="preserve">/12,5 </w:t>
      </w:r>
      <w:r>
        <w:rPr>
          <w:szCs w:val="22"/>
          <w:lang w:val="en-US"/>
        </w:rPr>
        <w:t>mg</w:t>
      </w:r>
      <w:r w:rsidRPr="0017281A">
        <w:rPr>
          <w:szCs w:val="22"/>
          <w:lang w:val="el-GR"/>
        </w:rPr>
        <w:t xml:space="preserve"> </w:t>
      </w:r>
      <w:r>
        <w:rPr>
          <w:szCs w:val="22"/>
          <w:lang w:val="el-GR"/>
        </w:rPr>
        <w:t xml:space="preserve">περιέχει 294,08 </w:t>
      </w:r>
      <w:r>
        <w:rPr>
          <w:szCs w:val="22"/>
          <w:lang w:val="en-US"/>
        </w:rPr>
        <w:t>mg</w:t>
      </w:r>
      <w:r>
        <w:rPr>
          <w:szCs w:val="22"/>
          <w:lang w:val="el-GR"/>
        </w:rPr>
        <w:t xml:space="preserve"> σορβιτόλης σε κάθε δισκίο</w:t>
      </w:r>
      <w:r w:rsidR="005B4A59" w:rsidRPr="00A61F09">
        <w:rPr>
          <w:szCs w:val="22"/>
          <w:lang w:val="el-GR"/>
        </w:rPr>
        <w:t>,</w:t>
      </w:r>
      <w:r w:rsidR="005B4A59" w:rsidRPr="005B4A59">
        <w:rPr>
          <w:szCs w:val="22"/>
          <w:lang w:val="el-GR"/>
        </w:rPr>
        <w:t xml:space="preserve"> </w:t>
      </w:r>
      <w:r w:rsidR="005B4A59">
        <w:rPr>
          <w:szCs w:val="22"/>
          <w:lang w:val="el-GR"/>
        </w:rPr>
        <w:t xml:space="preserve">το οποίο ισοδυναμεί με 5 </w:t>
      </w:r>
      <w:r w:rsidR="005B4A59">
        <w:rPr>
          <w:szCs w:val="22"/>
          <w:lang w:val="en-US"/>
        </w:rPr>
        <w:t>mg</w:t>
      </w:r>
      <w:r w:rsidR="005B4A59" w:rsidRPr="00F41A29">
        <w:rPr>
          <w:szCs w:val="22"/>
          <w:lang w:val="el-GR"/>
        </w:rPr>
        <w:t>/</w:t>
      </w:r>
      <w:r w:rsidR="005B4A59">
        <w:rPr>
          <w:szCs w:val="22"/>
          <w:lang w:val="en-US"/>
        </w:rPr>
        <w:t>kg</w:t>
      </w:r>
      <w:r w:rsidR="005B4A59" w:rsidRPr="00F41A29">
        <w:rPr>
          <w:szCs w:val="22"/>
          <w:lang w:val="el-GR"/>
        </w:rPr>
        <w:t>/</w:t>
      </w:r>
      <w:r w:rsidR="005B4A59">
        <w:rPr>
          <w:szCs w:val="22"/>
          <w:lang w:val="el-GR"/>
        </w:rPr>
        <w:t xml:space="preserve">ημέρα, εάν το σωματικό βάρος είναι </w:t>
      </w:r>
      <w:r w:rsidR="00472C45">
        <w:rPr>
          <w:szCs w:val="22"/>
          <w:lang w:val="el-GR"/>
        </w:rPr>
        <w:t>58</w:t>
      </w:r>
      <w:r w:rsidR="005B4A59">
        <w:rPr>
          <w:szCs w:val="22"/>
          <w:lang w:val="el-GR"/>
        </w:rPr>
        <w:t>,8</w:t>
      </w:r>
      <w:r w:rsidR="005B4A59" w:rsidRPr="00F41A29">
        <w:rPr>
          <w:szCs w:val="22"/>
          <w:lang w:val="el-GR"/>
        </w:rPr>
        <w:t xml:space="preserve"> </w:t>
      </w:r>
      <w:r w:rsidR="005B4A59">
        <w:rPr>
          <w:szCs w:val="22"/>
          <w:lang w:val="en-US"/>
        </w:rPr>
        <w:t>kg</w:t>
      </w:r>
      <w:r w:rsidR="005B4A59">
        <w:rPr>
          <w:szCs w:val="22"/>
          <w:lang w:val="el-GR"/>
        </w:rPr>
        <w:t xml:space="preserve">. </w:t>
      </w:r>
      <w:r w:rsidR="005B4A59" w:rsidRPr="00F41A29">
        <w:rPr>
          <w:snapToGrid/>
          <w:szCs w:val="22"/>
          <w:lang w:val="el-GR"/>
        </w:rPr>
        <w:t>Η αθροιστική επίδραση της ταυτόχρονης χορήγησης προϊόντων που περιέχουν σορβιτόλη (ή φρουκτόζη) και η με την διατροφή λήψη σορβιτόλης (ή φρουκτόζης) πρέπει να λαμβάνονται υπόψη.</w:t>
      </w:r>
      <w:r w:rsidR="00472C45">
        <w:rPr>
          <w:szCs w:val="22"/>
          <w:lang w:val="el-GR"/>
        </w:rPr>
        <w:t xml:space="preserve"> </w:t>
      </w:r>
      <w:r w:rsidR="005B4A59" w:rsidRPr="00F41A29">
        <w:rPr>
          <w:snapToGrid/>
          <w:szCs w:val="22"/>
          <w:lang w:val="el-GR"/>
        </w:rPr>
        <w:t>Η ποσότητα της σορβιτόλης στα από στόματος φαρμακευτικά προϊόντα μπορεί να επηρεάσει τη βιοδιαθεσιμότητα άλλων από στόματος φαρμακευτικών προϊόντων που χορηγούνται ταυτόχρονα.</w:t>
      </w:r>
      <w:r w:rsidR="00472C45">
        <w:rPr>
          <w:snapToGrid/>
          <w:szCs w:val="22"/>
          <w:lang w:val="el-GR"/>
        </w:rPr>
        <w:t xml:space="preserve"> Ασθενείς που ζυγίζουν 58,8 </w:t>
      </w:r>
      <w:r w:rsidR="00472C45">
        <w:rPr>
          <w:snapToGrid/>
          <w:szCs w:val="22"/>
          <w:lang w:val="en-US"/>
        </w:rPr>
        <w:t>kg</w:t>
      </w:r>
      <w:r w:rsidR="00472C45">
        <w:rPr>
          <w:snapToGrid/>
          <w:szCs w:val="22"/>
          <w:lang w:val="el-GR"/>
        </w:rPr>
        <w:t xml:space="preserve"> ή λιγότερο με κληρονομική δυσανεξία στη φρουκτόζη (</w:t>
      </w:r>
      <w:r w:rsidR="00472C45">
        <w:rPr>
          <w:snapToGrid/>
          <w:szCs w:val="22"/>
          <w:lang w:val="en-US"/>
        </w:rPr>
        <w:t>HFI</w:t>
      </w:r>
      <w:r w:rsidR="00472C45" w:rsidRPr="00A61F09">
        <w:rPr>
          <w:snapToGrid/>
          <w:szCs w:val="22"/>
          <w:lang w:val="el-GR"/>
        </w:rPr>
        <w:t xml:space="preserve">) </w:t>
      </w:r>
      <w:r w:rsidR="00472C45">
        <w:rPr>
          <w:snapToGrid/>
          <w:szCs w:val="22"/>
          <w:lang w:val="el-GR"/>
        </w:rPr>
        <w:t>δεν πρέπει να πάρουν αυτό το φαρμακευτικό προϊόν.</w:t>
      </w:r>
    </w:p>
    <w:p w:rsidR="00EC1A79" w:rsidRDefault="00EC1A79" w:rsidP="00EC1A79">
      <w:pPr>
        <w:widowControl w:val="0"/>
        <w:tabs>
          <w:tab w:val="clear" w:pos="567"/>
        </w:tabs>
        <w:autoSpaceDE w:val="0"/>
        <w:autoSpaceDN w:val="0"/>
        <w:adjustRightInd w:val="0"/>
        <w:spacing w:line="240" w:lineRule="auto"/>
        <w:rPr>
          <w:snapToGrid/>
          <w:szCs w:val="22"/>
          <w:lang w:val="el-GR"/>
        </w:rPr>
      </w:pPr>
    </w:p>
    <w:p w:rsidR="00EC1A79" w:rsidRPr="00A61F09" w:rsidRDefault="00EC1A79" w:rsidP="00EC1A79">
      <w:pPr>
        <w:widowControl w:val="0"/>
        <w:tabs>
          <w:tab w:val="clear" w:pos="567"/>
        </w:tabs>
        <w:autoSpaceDE w:val="0"/>
        <w:autoSpaceDN w:val="0"/>
        <w:adjustRightInd w:val="0"/>
        <w:spacing w:line="240" w:lineRule="auto"/>
        <w:rPr>
          <w:snapToGrid/>
          <w:szCs w:val="22"/>
          <w:lang w:val="el-GR"/>
        </w:rPr>
      </w:pPr>
      <w:r w:rsidRPr="00A61F09">
        <w:rPr>
          <w:snapToGrid/>
          <w:szCs w:val="22"/>
          <w:lang w:val="el-GR"/>
        </w:rPr>
        <w:t xml:space="preserve">Το φάρμακο αυτό περιέχει λιγότερο από 1 </w:t>
      </w:r>
      <w:r w:rsidRPr="00A61F09">
        <w:rPr>
          <w:snapToGrid/>
          <w:szCs w:val="22"/>
          <w:lang w:val="en-US"/>
        </w:rPr>
        <w:t>mmol</w:t>
      </w:r>
      <w:r>
        <w:rPr>
          <w:snapToGrid/>
          <w:szCs w:val="22"/>
          <w:lang w:val="el-GR"/>
        </w:rPr>
        <w:t xml:space="preserve"> </w:t>
      </w:r>
      <w:r w:rsidRPr="00A61F09">
        <w:rPr>
          <w:snapToGrid/>
          <w:szCs w:val="22"/>
          <w:lang w:val="el-GR"/>
        </w:rPr>
        <w:t xml:space="preserve">νατρίου (23 </w:t>
      </w:r>
      <w:r w:rsidRPr="00A61F09">
        <w:rPr>
          <w:snapToGrid/>
          <w:szCs w:val="22"/>
          <w:lang w:val="en-US"/>
        </w:rPr>
        <w:t>mg</w:t>
      </w:r>
      <w:r w:rsidRPr="00A61F09">
        <w:rPr>
          <w:snapToGrid/>
          <w:szCs w:val="22"/>
          <w:lang w:val="el-GR"/>
        </w:rPr>
        <w:t xml:space="preserve">) ανά </w:t>
      </w:r>
      <w:r>
        <w:rPr>
          <w:snapToGrid/>
          <w:szCs w:val="22"/>
          <w:lang w:val="el-GR"/>
        </w:rPr>
        <w:t>δισκίο</w:t>
      </w:r>
      <w:r w:rsidRPr="00A61F09">
        <w:rPr>
          <w:snapToGrid/>
          <w:szCs w:val="22"/>
          <w:lang w:val="el-GR"/>
        </w:rPr>
        <w:t>, είναι αυτό που ονομάζουμε «ελεύθερο</w:t>
      </w:r>
      <w:r w:rsidR="00601465">
        <w:rPr>
          <w:snapToGrid/>
          <w:szCs w:val="22"/>
          <w:lang w:val="el-GR"/>
        </w:rPr>
        <w:t xml:space="preserve"> </w:t>
      </w:r>
      <w:r w:rsidRPr="00A61F09">
        <w:rPr>
          <w:snapToGrid/>
          <w:szCs w:val="22"/>
          <w:lang w:val="el-GR"/>
        </w:rPr>
        <w:t>νατρίου».</w:t>
      </w:r>
    </w:p>
    <w:p w:rsidR="001B54AD" w:rsidRPr="00EC1A79" w:rsidRDefault="001B54AD"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Εθν</w:t>
      </w:r>
      <w:r w:rsidR="00DA6A6A">
        <w:rPr>
          <w:snapToGrid/>
          <w:szCs w:val="22"/>
          <w:u w:val="single"/>
          <w:lang w:val="el-GR"/>
        </w:rPr>
        <w:t>οτ</w:t>
      </w:r>
      <w:r w:rsidRPr="00FC2F1F">
        <w:rPr>
          <w:snapToGrid/>
          <w:szCs w:val="22"/>
          <w:u w:val="single"/>
          <w:lang w:val="el-GR"/>
        </w:rPr>
        <w:t>ικές διαφορές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Όπως και με όλους τους άλλους ανταγωνιστές των υποδοχέων της αγγειοτενσίνης ΙΙ</w:t>
      </w:r>
      <w:r w:rsidR="00B74790" w:rsidRPr="00A61F09">
        <w:rPr>
          <w:snapToGrid/>
          <w:szCs w:val="22"/>
          <w:lang w:val="el-GR"/>
        </w:rPr>
        <w:t>,</w:t>
      </w:r>
      <w:r w:rsidRPr="00FC2F1F">
        <w:rPr>
          <w:snapToGrid/>
          <w:szCs w:val="22"/>
          <w:lang w:val="el-GR"/>
        </w:rPr>
        <w:t xml:space="preserve"> η τελμισαρτάνη φαίνεται να είναι λιγότερο αποτελεσματική στη </w:t>
      </w:r>
      <w:r w:rsidR="0063361C">
        <w:rPr>
          <w:snapToGrid/>
          <w:szCs w:val="22"/>
          <w:lang w:val="el-GR"/>
        </w:rPr>
        <w:t>μείωση</w:t>
      </w:r>
      <w:r w:rsidRPr="00FC2F1F">
        <w:rPr>
          <w:snapToGrid/>
          <w:szCs w:val="22"/>
          <w:lang w:val="el-GR"/>
        </w:rPr>
        <w:t xml:space="preserve"> της αρτηριακής πίεσης σε </w:t>
      </w:r>
      <w:r w:rsidR="00416C8E">
        <w:rPr>
          <w:snapToGrid/>
          <w:szCs w:val="22"/>
          <w:lang w:val="el-GR"/>
        </w:rPr>
        <w:t xml:space="preserve">έγχρωμους </w:t>
      </w:r>
      <w:r w:rsidR="00DA6A6A">
        <w:rPr>
          <w:snapToGrid/>
          <w:szCs w:val="22"/>
          <w:lang w:val="el-GR"/>
        </w:rPr>
        <w:t>ασθενείς</w:t>
      </w:r>
      <w:r w:rsidRPr="00FC2F1F">
        <w:rPr>
          <w:snapToGrid/>
          <w:szCs w:val="22"/>
          <w:lang w:val="el-GR"/>
        </w:rPr>
        <w:t xml:space="preserve"> </w:t>
      </w:r>
      <w:r w:rsidRPr="00416C8E">
        <w:rPr>
          <w:snapToGrid/>
          <w:szCs w:val="22"/>
          <w:lang w:val="el-GR"/>
        </w:rPr>
        <w:t xml:space="preserve">από ότι σε μη </w:t>
      </w:r>
      <w:r w:rsidR="00416C8E" w:rsidRPr="002210C0">
        <w:rPr>
          <w:snapToGrid/>
          <w:szCs w:val="22"/>
          <w:lang w:val="el-GR"/>
        </w:rPr>
        <w:t>έγχρωμους</w:t>
      </w:r>
      <w:r w:rsidRPr="00416C8E">
        <w:rPr>
          <w:snapToGrid/>
          <w:szCs w:val="22"/>
          <w:lang w:val="el-GR"/>
        </w:rPr>
        <w:t>,</w:t>
      </w:r>
      <w:r w:rsidRPr="00FC2F1F">
        <w:rPr>
          <w:snapToGrid/>
          <w:szCs w:val="22"/>
          <w:lang w:val="el-GR"/>
        </w:rPr>
        <w:t xml:space="preserve"> πιθανώς λόγω </w:t>
      </w:r>
      <w:r w:rsidR="00A66D6E">
        <w:rPr>
          <w:snapToGrid/>
          <w:szCs w:val="22"/>
          <w:lang w:val="el-GR"/>
        </w:rPr>
        <w:t>του υψηλότερου επιπολασμού</w:t>
      </w:r>
      <w:r w:rsidRPr="00FC2F1F">
        <w:rPr>
          <w:snapToGrid/>
          <w:szCs w:val="22"/>
          <w:lang w:val="el-GR"/>
        </w:rPr>
        <w:t xml:space="preserve"> των χαμηλ</w:t>
      </w:r>
      <w:r w:rsidR="00416C8E">
        <w:rPr>
          <w:snapToGrid/>
          <w:szCs w:val="22"/>
          <w:lang w:val="el-GR"/>
        </w:rPr>
        <w:t>ών</w:t>
      </w:r>
      <w:r w:rsidRPr="00FC2F1F">
        <w:rPr>
          <w:snapToGrid/>
          <w:szCs w:val="22"/>
          <w:lang w:val="el-GR"/>
        </w:rPr>
        <w:t xml:space="preserve"> </w:t>
      </w:r>
      <w:r w:rsidR="00416C8E">
        <w:rPr>
          <w:snapToGrid/>
          <w:szCs w:val="22"/>
          <w:lang w:val="el-GR"/>
        </w:rPr>
        <w:t xml:space="preserve">επιπέδων </w:t>
      </w:r>
      <w:r w:rsidRPr="00FC2F1F">
        <w:rPr>
          <w:snapToGrid/>
          <w:szCs w:val="22"/>
          <w:lang w:val="el-GR"/>
        </w:rPr>
        <w:t xml:space="preserve">ρενίνης στον </w:t>
      </w:r>
      <w:r w:rsidR="004C7CD5">
        <w:rPr>
          <w:snapToGrid/>
          <w:szCs w:val="22"/>
          <w:lang w:val="el-GR"/>
        </w:rPr>
        <w:t xml:space="preserve">έγχρωμο </w:t>
      </w:r>
      <w:r w:rsidRPr="00FC2F1F">
        <w:rPr>
          <w:snapToGrid/>
          <w:szCs w:val="22"/>
          <w:lang w:val="el-GR"/>
        </w:rPr>
        <w:t>υπερτασικό πληθυσμό.</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Άλλα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Όπως και με οποιοδήποτε άλλο αντιυπερτασικό παράγοντα, η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w:t>
      </w:r>
      <w:r w:rsidR="003A15DA">
        <w:rPr>
          <w:snapToGrid/>
          <w:szCs w:val="22"/>
          <w:lang w:val="el-GR"/>
        </w:rPr>
        <w:t xml:space="preserve">αγγειακό </w:t>
      </w:r>
      <w:r w:rsidRPr="00FC2F1F">
        <w:rPr>
          <w:snapToGrid/>
          <w:szCs w:val="22"/>
          <w:lang w:val="el-GR"/>
        </w:rPr>
        <w:t>εγκεφαλικό επεισόδιο.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Γενικά</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Αντιδράσεις υπερευαισθησίας στην υδροχλωροθειαζίδη μπορεί να εμφανιστούν σε ασθενείς με ή χωρίς ιστορικό αλλεργίας ή βρογχικού άσθματος, αλλά είναι πιθανότερες σε ασθενείς με τέτοιο ιστορικό. </w:t>
      </w:r>
      <w:r w:rsidR="000E584A">
        <w:rPr>
          <w:snapToGrid/>
          <w:szCs w:val="22"/>
          <w:lang w:val="el-GR"/>
        </w:rPr>
        <w:t>Παρόξυνση</w:t>
      </w:r>
      <w:r w:rsidRPr="00FC2F1F">
        <w:rPr>
          <w:snapToGrid/>
          <w:szCs w:val="22"/>
          <w:lang w:val="el-GR"/>
        </w:rPr>
        <w:t xml:space="preserve"> ή ενεργοποίηση συστηματικού ερυθηματώδους λύκου έχει αναφερθεί με τη χρήση θειαζιδικών διουρητικών, συμπεριλαμβανομένης της υδροχλωροθειαζίδης.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Περιπτώσεις αντιδράσεων φωτοευαισθησίας έχουν αναφερθεί με τα θειαζιδικά διουρητικά (βλ.</w:t>
      </w:r>
      <w:r w:rsidR="000E584A">
        <w:rPr>
          <w:snapToGrid/>
          <w:szCs w:val="22"/>
          <w:lang w:val="el-GR"/>
        </w:rPr>
        <w:t xml:space="preserve"> </w:t>
      </w:r>
      <w:r w:rsidRPr="00FC2F1F">
        <w:rPr>
          <w:snapToGrid/>
          <w:szCs w:val="22"/>
          <w:lang w:val="el-GR"/>
        </w:rPr>
        <w:t>παράγραφο 4.8). Εάν μια αντίδραση φωτοευαισθησίας παρουσιαστεί κατά τη διάρκεια της θεραπείας, συνιστάται διακοπή της θεραπείας. Εάν η επαναχορήγηση του διουρητικού κριθεί απαραίτητη, συνιστάται προστασία των εκτεθειμένων</w:t>
      </w:r>
      <w:r w:rsidR="000E584A">
        <w:rPr>
          <w:snapToGrid/>
          <w:szCs w:val="22"/>
          <w:lang w:val="el-GR"/>
        </w:rPr>
        <w:t xml:space="preserve"> </w:t>
      </w:r>
      <w:r w:rsidRPr="00FC2F1F">
        <w:rPr>
          <w:snapToGrid/>
          <w:szCs w:val="22"/>
          <w:lang w:val="el-GR"/>
        </w:rPr>
        <w:t xml:space="preserve">περιοχών </w:t>
      </w:r>
      <w:r w:rsidR="000E584A">
        <w:rPr>
          <w:snapToGrid/>
          <w:szCs w:val="22"/>
          <w:lang w:val="el-GR"/>
        </w:rPr>
        <w:t xml:space="preserve">στο ηλιακό φως </w:t>
      </w:r>
      <w:r w:rsidRPr="00FC2F1F">
        <w:rPr>
          <w:snapToGrid/>
          <w:szCs w:val="22"/>
          <w:lang w:val="el-GR"/>
        </w:rPr>
        <w:t>ή σ</w:t>
      </w:r>
      <w:r w:rsidR="000E584A">
        <w:rPr>
          <w:snapToGrid/>
          <w:szCs w:val="22"/>
          <w:lang w:val="el-GR"/>
        </w:rPr>
        <w:t>ε</w:t>
      </w:r>
      <w:r w:rsidRPr="00FC2F1F">
        <w:rPr>
          <w:snapToGrid/>
          <w:szCs w:val="22"/>
          <w:lang w:val="el-GR"/>
        </w:rPr>
        <w:t xml:space="preserve"> τεχνητ</w:t>
      </w:r>
      <w:r w:rsidR="000E584A">
        <w:rPr>
          <w:snapToGrid/>
          <w:szCs w:val="22"/>
          <w:lang w:val="el-GR"/>
        </w:rPr>
        <w:t>ή</w:t>
      </w:r>
      <w:r w:rsidRPr="00FC2F1F">
        <w:rPr>
          <w:snapToGrid/>
          <w:szCs w:val="22"/>
          <w:lang w:val="el-GR"/>
        </w:rPr>
        <w:t xml:space="preserve"> ακτ</w:t>
      </w:r>
      <w:r w:rsidR="000E584A">
        <w:rPr>
          <w:snapToGrid/>
          <w:szCs w:val="22"/>
          <w:lang w:val="el-GR"/>
        </w:rPr>
        <w:t>ινοβολία</w:t>
      </w:r>
      <w:r w:rsidRPr="00FC2F1F">
        <w:rPr>
          <w:snapToGrid/>
          <w:szCs w:val="22"/>
          <w:lang w:val="el-GR"/>
        </w:rPr>
        <w:t xml:space="preserve"> UVA.</w:t>
      </w:r>
    </w:p>
    <w:p w:rsidR="00681191" w:rsidRPr="00FC2F1F" w:rsidRDefault="00681191" w:rsidP="00681191">
      <w:pPr>
        <w:widowControl w:val="0"/>
        <w:spacing w:line="240" w:lineRule="auto"/>
        <w:rPr>
          <w:noProof/>
          <w:szCs w:val="22"/>
          <w:lang w:val="el-GR"/>
        </w:rPr>
      </w:pPr>
    </w:p>
    <w:p w:rsidR="00681191" w:rsidRPr="00FC2F1F" w:rsidRDefault="00154FA4" w:rsidP="00681191">
      <w:pPr>
        <w:widowControl w:val="0"/>
        <w:spacing w:line="240" w:lineRule="auto"/>
        <w:rPr>
          <w:szCs w:val="22"/>
          <w:u w:val="single"/>
          <w:lang w:val="el-GR"/>
        </w:rPr>
      </w:pPr>
      <w:r>
        <w:rPr>
          <w:u w:val="single"/>
          <w:shd w:val="clear" w:color="auto" w:fill="FFFFFF"/>
          <w:lang w:val="el-GR"/>
        </w:rPr>
        <w:t>Αποκόλληση του Χοριοειδούς,</w:t>
      </w:r>
      <w:r w:rsidRPr="00FC2F1F">
        <w:rPr>
          <w:szCs w:val="22"/>
          <w:u w:val="single"/>
          <w:lang w:val="el-GR"/>
        </w:rPr>
        <w:t xml:space="preserve"> </w:t>
      </w:r>
      <w:r w:rsidR="00681191" w:rsidRPr="00FC2F1F">
        <w:rPr>
          <w:szCs w:val="22"/>
          <w:u w:val="single"/>
          <w:lang w:val="el-GR"/>
        </w:rPr>
        <w:t xml:space="preserve">Οξεία </w:t>
      </w:r>
      <w:r w:rsidR="005B334C">
        <w:rPr>
          <w:szCs w:val="22"/>
          <w:u w:val="single"/>
          <w:lang w:val="el-GR"/>
        </w:rPr>
        <w:t>Μ</w:t>
      </w:r>
      <w:r w:rsidR="00681191" w:rsidRPr="00FC2F1F">
        <w:rPr>
          <w:szCs w:val="22"/>
          <w:u w:val="single"/>
          <w:lang w:val="el-GR"/>
        </w:rPr>
        <w:t>υωπία και Γλαύκωμα Κλειστής Γωνίας</w:t>
      </w:r>
    </w:p>
    <w:p w:rsidR="00681191" w:rsidRPr="00FC2F1F" w:rsidRDefault="00681191" w:rsidP="00681191">
      <w:pPr>
        <w:widowControl w:val="0"/>
        <w:spacing w:line="240" w:lineRule="auto"/>
        <w:rPr>
          <w:szCs w:val="22"/>
          <w:lang w:val="el-GR"/>
        </w:rPr>
      </w:pPr>
      <w:r w:rsidRPr="00FC2F1F">
        <w:rPr>
          <w:szCs w:val="22"/>
          <w:lang w:val="el-GR"/>
        </w:rPr>
        <w:t xml:space="preserve">Η υδροχλωροθειαζίδη, </w:t>
      </w:r>
      <w:r w:rsidR="00AF6F90">
        <w:rPr>
          <w:szCs w:val="22"/>
          <w:lang w:val="el-GR"/>
        </w:rPr>
        <w:t>μια</w:t>
      </w:r>
      <w:r w:rsidRPr="00FC2F1F">
        <w:rPr>
          <w:szCs w:val="22"/>
          <w:lang w:val="el-GR"/>
        </w:rPr>
        <w:t xml:space="preserve"> σουλφοναμίδ</w:t>
      </w:r>
      <w:r w:rsidR="00A33332">
        <w:rPr>
          <w:szCs w:val="22"/>
          <w:lang w:val="el-GR"/>
        </w:rPr>
        <w:t>η</w:t>
      </w:r>
      <w:r w:rsidRPr="00FC2F1F">
        <w:rPr>
          <w:szCs w:val="22"/>
          <w:lang w:val="el-GR"/>
        </w:rPr>
        <w:t>, μπορεί να προκαλέσει μια ιδιοσυγκρασιακ</w:t>
      </w:r>
      <w:r w:rsidR="00154FA4">
        <w:rPr>
          <w:szCs w:val="22"/>
          <w:lang w:val="el-GR"/>
        </w:rPr>
        <w:t>ού</w:t>
      </w:r>
      <w:r w:rsidRPr="00FC2F1F">
        <w:rPr>
          <w:szCs w:val="22"/>
          <w:lang w:val="el-GR"/>
        </w:rPr>
        <w:t xml:space="preserve"> </w:t>
      </w:r>
      <w:r w:rsidR="00154FA4">
        <w:rPr>
          <w:szCs w:val="22"/>
          <w:lang w:val="el-GR"/>
        </w:rPr>
        <w:t xml:space="preserve">τύπου </w:t>
      </w:r>
      <w:r w:rsidRPr="00FC2F1F">
        <w:rPr>
          <w:szCs w:val="22"/>
          <w:lang w:val="el-GR"/>
        </w:rPr>
        <w:t xml:space="preserve">αντίδραση, </w:t>
      </w:r>
      <w:r w:rsidR="00154FA4">
        <w:rPr>
          <w:szCs w:val="22"/>
          <w:lang w:val="el-GR"/>
        </w:rPr>
        <w:t xml:space="preserve">η οποία οδηγεί σε </w:t>
      </w:r>
      <w:r w:rsidR="00154FA4">
        <w:rPr>
          <w:shd w:val="clear" w:color="auto" w:fill="FFFFFF"/>
          <w:lang w:val="el-GR"/>
        </w:rPr>
        <w:t>αποκόλληση του χοριοειδούς με βλάβη του οπτικού πεδίου,</w:t>
      </w:r>
      <w:r w:rsidRPr="00FC2F1F">
        <w:rPr>
          <w:szCs w:val="22"/>
          <w:lang w:val="el-GR"/>
        </w:rPr>
        <w:t xml:space="preserve"> οξεία παροδική μυωπία και οξύ γλαύκωμα κλειστής γωνίας. Τα συμπτώματα περιλαμβάνουν οξεία έναρξη μείωσης της οπτικής οξύτητας </w:t>
      </w:r>
      <w:r w:rsidR="005B334C">
        <w:rPr>
          <w:szCs w:val="22"/>
          <w:lang w:val="el-GR"/>
        </w:rPr>
        <w:t xml:space="preserve">ή </w:t>
      </w:r>
      <w:r w:rsidR="00646D1A">
        <w:rPr>
          <w:szCs w:val="22"/>
          <w:lang w:val="el-GR"/>
        </w:rPr>
        <w:t xml:space="preserve">οφθαλμικό πόνο </w:t>
      </w:r>
      <w:r w:rsidRPr="00FC2F1F">
        <w:rPr>
          <w:szCs w:val="22"/>
          <w:lang w:val="el-GR"/>
        </w:rPr>
        <w:t xml:space="preserve">και συνήθως παρουσιάζονται εντός ωρών </w:t>
      </w:r>
      <w:r w:rsidR="00A33332">
        <w:rPr>
          <w:szCs w:val="22"/>
          <w:lang w:val="el-GR"/>
        </w:rPr>
        <w:t>έως</w:t>
      </w:r>
      <w:r w:rsidRPr="00FC2F1F">
        <w:rPr>
          <w:szCs w:val="22"/>
          <w:lang w:val="el-GR"/>
        </w:rPr>
        <w:t xml:space="preserve"> εβδομάδων από την έναρξη </w:t>
      </w:r>
      <w:r w:rsidR="00646D1A">
        <w:rPr>
          <w:szCs w:val="22"/>
          <w:lang w:val="el-GR"/>
        </w:rPr>
        <w:t xml:space="preserve">χορήγησης </w:t>
      </w:r>
      <w:r w:rsidRPr="00FC2F1F">
        <w:rPr>
          <w:szCs w:val="22"/>
          <w:lang w:val="el-GR"/>
        </w:rPr>
        <w:t xml:space="preserve">του </w:t>
      </w:r>
      <w:r w:rsidR="00AB0DF5">
        <w:rPr>
          <w:szCs w:val="22"/>
          <w:lang w:val="el-GR"/>
        </w:rPr>
        <w:t>φαρμακευτικού προϊόντος</w:t>
      </w:r>
      <w:r w:rsidRPr="00FC2F1F">
        <w:rPr>
          <w:szCs w:val="22"/>
          <w:lang w:val="el-GR"/>
        </w:rPr>
        <w:t xml:space="preserve">. Το </w:t>
      </w:r>
      <w:r w:rsidR="00A33332">
        <w:rPr>
          <w:szCs w:val="22"/>
          <w:lang w:val="el-GR"/>
        </w:rPr>
        <w:t xml:space="preserve">οξύ </w:t>
      </w:r>
      <w:r w:rsidRPr="00FC2F1F">
        <w:rPr>
          <w:szCs w:val="22"/>
          <w:lang w:val="el-GR"/>
        </w:rPr>
        <w:t xml:space="preserve">γλαύκωμα κλειστής γωνίας </w:t>
      </w:r>
      <w:r w:rsidRPr="00A33332">
        <w:rPr>
          <w:szCs w:val="22"/>
          <w:lang w:val="el-GR"/>
        </w:rPr>
        <w:t xml:space="preserve">το οποίο δεν </w:t>
      </w:r>
      <w:r w:rsidR="00A33332">
        <w:rPr>
          <w:szCs w:val="22"/>
          <w:lang w:val="el-GR"/>
        </w:rPr>
        <w:t>έχει αντιμετωπιστεί με</w:t>
      </w:r>
      <w:r w:rsidRPr="00A33332">
        <w:rPr>
          <w:szCs w:val="22"/>
          <w:lang w:val="el-GR"/>
        </w:rPr>
        <w:t xml:space="preserve"> θεραπε</w:t>
      </w:r>
      <w:r w:rsidR="00A33332">
        <w:rPr>
          <w:szCs w:val="22"/>
          <w:lang w:val="el-GR"/>
        </w:rPr>
        <w:t>υτική αγωγή</w:t>
      </w:r>
      <w:r w:rsidRPr="00FC2F1F">
        <w:rPr>
          <w:szCs w:val="22"/>
          <w:lang w:val="el-GR"/>
        </w:rPr>
        <w:t xml:space="preserve"> μπορεί να οδηγήσει σε μόνιμη απώλεια όρασης. Η </w:t>
      </w:r>
      <w:r w:rsidR="00A33332">
        <w:rPr>
          <w:szCs w:val="22"/>
          <w:lang w:val="el-GR"/>
        </w:rPr>
        <w:t>κύρια</w:t>
      </w:r>
      <w:r w:rsidRPr="00FC2F1F">
        <w:rPr>
          <w:szCs w:val="22"/>
          <w:lang w:val="el-GR"/>
        </w:rPr>
        <w:t xml:space="preserve"> αντιμετώπιση είναι η διακοπή της υδροχλωροθειαζίδης το ταχύτερο δυνατό. Μπορεί να </w:t>
      </w:r>
      <w:r w:rsidR="00383A08">
        <w:rPr>
          <w:szCs w:val="22"/>
          <w:lang w:val="el-GR"/>
        </w:rPr>
        <w:t xml:space="preserve">χρειαστεί </w:t>
      </w:r>
      <w:r w:rsidR="007050A1">
        <w:rPr>
          <w:szCs w:val="22"/>
          <w:lang w:val="el-GR"/>
        </w:rPr>
        <w:t xml:space="preserve">να </w:t>
      </w:r>
      <w:r w:rsidRPr="00FC2F1F">
        <w:rPr>
          <w:szCs w:val="22"/>
          <w:lang w:val="el-GR"/>
        </w:rPr>
        <w:t xml:space="preserve">εξετασθεί </w:t>
      </w:r>
      <w:r w:rsidR="007050A1">
        <w:rPr>
          <w:szCs w:val="22"/>
          <w:lang w:val="el-GR"/>
        </w:rPr>
        <w:t xml:space="preserve">το ενδεχόμενο </w:t>
      </w:r>
      <w:r w:rsidRPr="00FC2F1F">
        <w:rPr>
          <w:szCs w:val="22"/>
          <w:lang w:val="el-GR"/>
        </w:rPr>
        <w:t>άμεση</w:t>
      </w:r>
      <w:r w:rsidR="007050A1">
        <w:rPr>
          <w:szCs w:val="22"/>
          <w:lang w:val="el-GR"/>
        </w:rPr>
        <w:t>ς</w:t>
      </w:r>
      <w:r w:rsidRPr="00FC2F1F">
        <w:rPr>
          <w:szCs w:val="22"/>
          <w:lang w:val="el-GR"/>
        </w:rPr>
        <w:t xml:space="preserve"> ιατρική</w:t>
      </w:r>
      <w:r w:rsidR="007050A1">
        <w:rPr>
          <w:szCs w:val="22"/>
          <w:lang w:val="el-GR"/>
        </w:rPr>
        <w:t>ς</w:t>
      </w:r>
      <w:r w:rsidRPr="00FC2F1F">
        <w:rPr>
          <w:szCs w:val="22"/>
          <w:lang w:val="el-GR"/>
        </w:rPr>
        <w:t xml:space="preserve"> ή χειρουργική</w:t>
      </w:r>
      <w:r w:rsidR="007050A1">
        <w:rPr>
          <w:szCs w:val="22"/>
          <w:lang w:val="el-GR"/>
        </w:rPr>
        <w:t>ς</w:t>
      </w:r>
      <w:r w:rsidRPr="00FC2F1F">
        <w:rPr>
          <w:szCs w:val="22"/>
          <w:lang w:val="el-GR"/>
        </w:rPr>
        <w:t xml:space="preserve"> αγωγή</w:t>
      </w:r>
      <w:r w:rsidR="008102B0">
        <w:rPr>
          <w:szCs w:val="22"/>
          <w:lang w:val="el-GR"/>
        </w:rPr>
        <w:t>ς</w:t>
      </w:r>
      <w:r w:rsidRPr="00FC2F1F">
        <w:rPr>
          <w:szCs w:val="22"/>
          <w:lang w:val="el-GR"/>
        </w:rPr>
        <w:t xml:space="preserve"> εάν η ενδοφθ</w:t>
      </w:r>
      <w:r w:rsidR="007050A1">
        <w:rPr>
          <w:szCs w:val="22"/>
          <w:lang w:val="el-GR"/>
        </w:rPr>
        <w:t>ά</w:t>
      </w:r>
      <w:r w:rsidRPr="00FC2F1F">
        <w:rPr>
          <w:szCs w:val="22"/>
          <w:lang w:val="el-GR"/>
        </w:rPr>
        <w:t>λμι</w:t>
      </w:r>
      <w:r w:rsidR="007050A1">
        <w:rPr>
          <w:szCs w:val="22"/>
          <w:lang w:val="el-GR"/>
        </w:rPr>
        <w:t>α</w:t>
      </w:r>
      <w:r w:rsidRPr="00FC2F1F">
        <w:rPr>
          <w:szCs w:val="22"/>
          <w:lang w:val="el-GR"/>
        </w:rPr>
        <w:t xml:space="preserve"> πίεση παραμένει μη ελεγχόμενη. Οι παράγοντες κινδύνου για την ανάπτυξη </w:t>
      </w:r>
      <w:r w:rsidR="007050A1">
        <w:rPr>
          <w:szCs w:val="22"/>
          <w:lang w:val="el-GR"/>
        </w:rPr>
        <w:t xml:space="preserve">οξέος </w:t>
      </w:r>
      <w:r w:rsidRPr="00FC2F1F">
        <w:rPr>
          <w:szCs w:val="22"/>
          <w:lang w:val="el-GR"/>
        </w:rPr>
        <w:t>γλαυκώματος κλειστής γωνίας μπορεί να περιλαμβάνουν ιστορικό αλλεργίας στις σουλφοναμίδες ή στην πενικιλλίνη.</w:t>
      </w:r>
    </w:p>
    <w:p w:rsidR="00601465" w:rsidRDefault="00601465" w:rsidP="00601465">
      <w:pPr>
        <w:widowControl w:val="0"/>
        <w:tabs>
          <w:tab w:val="clear" w:pos="567"/>
        </w:tabs>
        <w:spacing w:line="240" w:lineRule="auto"/>
        <w:rPr>
          <w:snapToGrid/>
          <w:szCs w:val="22"/>
          <w:u w:val="single"/>
          <w:lang w:val="sl-SI" w:eastAsia="sl-SI"/>
        </w:rPr>
      </w:pPr>
    </w:p>
    <w:p w:rsidR="00601465" w:rsidRPr="00601465" w:rsidRDefault="00601465" w:rsidP="00601465">
      <w:pPr>
        <w:widowControl w:val="0"/>
        <w:tabs>
          <w:tab w:val="clear" w:pos="567"/>
        </w:tabs>
        <w:spacing w:line="240" w:lineRule="auto"/>
        <w:rPr>
          <w:snapToGrid/>
          <w:szCs w:val="22"/>
          <w:u w:val="single"/>
          <w:lang w:val="sl-SI" w:eastAsia="sl-SI"/>
        </w:rPr>
      </w:pPr>
      <w:r w:rsidRPr="00601465">
        <w:rPr>
          <w:snapToGrid/>
          <w:szCs w:val="22"/>
          <w:u w:val="single"/>
          <w:lang w:val="sl-SI" w:eastAsia="sl-SI"/>
        </w:rPr>
        <w:t>Μη μελανωματικός καρκίνος του δέρματος</w:t>
      </w:r>
    </w:p>
    <w:p w:rsidR="00601465" w:rsidRPr="00601465" w:rsidRDefault="00601465" w:rsidP="00601465">
      <w:pPr>
        <w:widowControl w:val="0"/>
        <w:tabs>
          <w:tab w:val="clear" w:pos="567"/>
        </w:tabs>
        <w:spacing w:line="240" w:lineRule="auto"/>
        <w:rPr>
          <w:snapToGrid/>
          <w:szCs w:val="22"/>
          <w:lang w:val="sl-SI" w:eastAsia="sl-SI"/>
        </w:rPr>
      </w:pPr>
      <w:r w:rsidRPr="00601465">
        <w:rPr>
          <w:snapToGrid/>
          <w:szCs w:val="22"/>
          <w:lang w:val="sl-SI" w:eastAsia="sl-SI"/>
        </w:rPr>
        <w:t>Σε δύο επιδημιολογικές μελέτες οι οποίες διενεργήθηκαν βάσει του Δανικού Εθνικού Μητρώου για τον Καρκίνο παρατηρήθηκε αυξημένος κίνδυνος εμφάνισης μη μελανωματικού καρκίνου του δέρματος (NMSC) [βασικοκυτταρικό καρκίνωμα (BCC) και καρκίνωμα του πλακώδους επιθηλίου (SCC)] σε περίπτωση έκθεσης σε αυξανόμενη αθροιστική δόση υδροχλωροθειαζίδης.</w:t>
      </w:r>
    </w:p>
    <w:p w:rsidR="00601465" w:rsidRPr="00601465" w:rsidRDefault="00601465" w:rsidP="00601465">
      <w:pPr>
        <w:widowControl w:val="0"/>
        <w:tabs>
          <w:tab w:val="clear" w:pos="567"/>
        </w:tabs>
        <w:spacing w:line="240" w:lineRule="auto"/>
        <w:rPr>
          <w:snapToGrid/>
          <w:szCs w:val="22"/>
          <w:lang w:val="sl-SI" w:eastAsia="sl-SI"/>
        </w:rPr>
      </w:pPr>
      <w:r w:rsidRPr="00601465">
        <w:rPr>
          <w:snapToGrid/>
          <w:szCs w:val="22"/>
          <w:lang w:val="sl-SI" w:eastAsia="sl-SI"/>
        </w:rPr>
        <w:t>Η φωτοευαισθητοποιός δράση της υδροχλωροθειαζίδης θα μπορούσε να δρα ως πιθανός μηχανισμός για την εμφάνιση μη μελανωματικού καρκίνου του δέρματος.</w:t>
      </w:r>
    </w:p>
    <w:p w:rsidR="00601465" w:rsidRPr="00601465" w:rsidRDefault="00601465" w:rsidP="00601465">
      <w:pPr>
        <w:widowControl w:val="0"/>
        <w:tabs>
          <w:tab w:val="clear" w:pos="567"/>
        </w:tabs>
        <w:spacing w:line="240" w:lineRule="auto"/>
        <w:rPr>
          <w:snapToGrid/>
          <w:szCs w:val="22"/>
          <w:lang w:val="sl-SI" w:eastAsia="sl-SI"/>
        </w:rPr>
      </w:pPr>
    </w:p>
    <w:p w:rsidR="00601465" w:rsidRPr="00601465" w:rsidRDefault="00601465" w:rsidP="00601465">
      <w:pPr>
        <w:widowControl w:val="0"/>
        <w:tabs>
          <w:tab w:val="clear" w:pos="567"/>
        </w:tabs>
        <w:spacing w:line="240" w:lineRule="auto"/>
        <w:rPr>
          <w:snapToGrid/>
          <w:szCs w:val="22"/>
          <w:lang w:val="sl-SI" w:eastAsia="sl-SI"/>
        </w:rPr>
      </w:pPr>
      <w:r w:rsidRPr="00601465">
        <w:rPr>
          <w:snapToGrid/>
          <w:szCs w:val="22"/>
          <w:lang w:val="sl-SI" w:eastAsia="sl-SI"/>
        </w:rPr>
        <w:t xml:space="preserve">Οι ασθενείς που λαμβάνουν υδροχλωροθειαζίδη πρέπει να ενημερώνονται για τον κίνδυνο μη μελανωματικού καρκίνου του δέρματος και να λαμβάνουν συστάσεις ώστε να ελέγχουν </w:t>
      </w:r>
      <w:r w:rsidRPr="00601465">
        <w:rPr>
          <w:snapToGrid/>
          <w:szCs w:val="22"/>
          <w:lang w:val="el-GR" w:eastAsia="sl-SI"/>
        </w:rPr>
        <w:t xml:space="preserve">σε τακτική βάση </w:t>
      </w:r>
      <w:r w:rsidRPr="00601465">
        <w:rPr>
          <w:snapToGrid/>
          <w:szCs w:val="22"/>
          <w:lang w:val="sl-SI" w:eastAsia="sl-SI"/>
        </w:rPr>
        <w:t xml:space="preserve">το δέρμα τους για τυχόν νέες βλάβες και να αναφέρουν άμεσα οποιεσδήποτε ύποπτες δερματικές βλάβες. Στους ασθενείς πρέπει να συνιστάται η λήψη πιθανών προληπτικών μέτρων όπως περιορισμένη έκθεση στην ηλιακή και στην υπεριώδη ακτινοβολία και, σε περίπτωση έκθεσης, η χρήση κατάλληλης προστασίας για την ελαχιστοποίηση του κινδύνου εμφάνισης καρκίνου του δέρματος. Οι ύποπτες δερματικές βλάβες πρέπει να υποβάλλονται άμεσα σε εξέταση, συμπεριλαμβανομένης </w:t>
      </w:r>
      <w:r w:rsidRPr="00601465">
        <w:rPr>
          <w:snapToGrid/>
          <w:szCs w:val="22"/>
          <w:lang w:val="el-GR" w:eastAsia="sl-SI"/>
        </w:rPr>
        <w:t>ενδεχομένως</w:t>
      </w:r>
      <w:r w:rsidRPr="00601465">
        <w:rPr>
          <w:snapToGrid/>
          <w:szCs w:val="22"/>
          <w:lang w:val="sl-SI" w:eastAsia="sl-SI"/>
        </w:rPr>
        <w:t xml:space="preserve"> της ιστολογικής εξέτασης βιοψίας. Σε ασθενείς που έχουν εμφανίσει μη μελανωματικό καρκίνο του δέρματος στο παρελθόν θα πρέπει ενδεχομένως να επανεξεταστεί η χρήση της υδροχλωροθειαζίδης (βλ. επίσης παράγραφο 4.8).</w:t>
      </w:r>
    </w:p>
    <w:p w:rsidR="00681191" w:rsidRPr="00A61F09" w:rsidRDefault="00681191" w:rsidP="00681191">
      <w:pPr>
        <w:widowControl w:val="0"/>
        <w:spacing w:line="240" w:lineRule="auto"/>
        <w:rPr>
          <w:noProof/>
          <w:szCs w:val="22"/>
          <w:lang w:val="sl-SI"/>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4.5</w:t>
      </w:r>
      <w:r w:rsidRPr="00FC2F1F">
        <w:rPr>
          <w:b/>
          <w:noProof/>
          <w:szCs w:val="22"/>
          <w:lang w:val="el-GR"/>
        </w:rPr>
        <w:tab/>
        <w:t>Αλληλεπιδράσεις με άλλα φαρμακευτικά προϊόντα και άλλες μορφές αλληλεπίδρασης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Λίθιο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Κατά τη συγχορήγηση λιθίου με αναστολείς του μετατρεπτικού ενζύμου της αγγειοτενσίνης έχουν αναφερθεί αναστρέψιμες αυξήσεις στις συγκεντρώσεις λιθίου στον ορό και τοξικότητα. Σπάνιες περιπτώσεις έχουν επίσης αναφερθεί με ανταγωνιστές των υποδοχέων της αγγειοτενσίνης ΙΙ (περιλαμβανομένου και του </w:t>
      </w:r>
      <w:r w:rsidRPr="00FC2F1F">
        <w:rPr>
          <w:szCs w:val="22"/>
          <w:lang w:val="el-GR"/>
        </w:rPr>
        <w:t>Tolucombi</w:t>
      </w:r>
      <w:r w:rsidRPr="00FC2F1F">
        <w:rPr>
          <w:snapToGrid/>
          <w:szCs w:val="22"/>
          <w:lang w:val="el-GR"/>
        </w:rPr>
        <w:t xml:space="preserve">). Η συγχορήγηση λιθίου και </w:t>
      </w:r>
      <w:r w:rsidRPr="00FC2F1F">
        <w:rPr>
          <w:szCs w:val="22"/>
          <w:lang w:val="el-GR"/>
        </w:rPr>
        <w:t>Tolucombi</w:t>
      </w:r>
      <w:r w:rsidRPr="00FC2F1F">
        <w:rPr>
          <w:snapToGrid/>
          <w:szCs w:val="22"/>
          <w:lang w:val="el-GR"/>
        </w:rPr>
        <w:t xml:space="preserve"> δε</w:t>
      </w:r>
      <w:r w:rsidR="007050A1">
        <w:rPr>
          <w:snapToGrid/>
          <w:szCs w:val="22"/>
          <w:lang w:val="el-GR"/>
        </w:rPr>
        <w:t>ν</w:t>
      </w:r>
      <w:r w:rsidRPr="00FC2F1F">
        <w:rPr>
          <w:snapToGrid/>
          <w:szCs w:val="22"/>
          <w:lang w:val="el-GR"/>
        </w:rPr>
        <w:t xml:space="preserve"> συνιστάται (βλ. παράγραφο 4.4). Εάν αυτός ο συνδυασμός αποδειχθεί απαραίτητος, συ</w:t>
      </w:r>
      <w:r w:rsidR="007050A1">
        <w:rPr>
          <w:snapToGrid/>
          <w:szCs w:val="22"/>
          <w:lang w:val="el-GR"/>
        </w:rPr>
        <w:t>νιστά</w:t>
      </w:r>
      <w:r w:rsidRPr="00FC2F1F">
        <w:rPr>
          <w:snapToGrid/>
          <w:szCs w:val="22"/>
          <w:lang w:val="el-GR"/>
        </w:rPr>
        <w:t>ται προσεκτική παρακολούθηση των επιπέδων λιθίου στο</w:t>
      </w:r>
      <w:r w:rsidR="00E55DA3">
        <w:rPr>
          <w:snapToGrid/>
          <w:szCs w:val="22"/>
          <w:lang w:val="el-GR"/>
        </w:rPr>
        <w:t>ν</w:t>
      </w:r>
      <w:r w:rsidRPr="00FC2F1F">
        <w:rPr>
          <w:snapToGrid/>
          <w:szCs w:val="22"/>
          <w:lang w:val="el-GR"/>
        </w:rPr>
        <w:t xml:space="preserve"> </w:t>
      </w:r>
      <w:r w:rsidR="00E55DA3">
        <w:rPr>
          <w:snapToGrid/>
          <w:szCs w:val="22"/>
          <w:lang w:val="el-GR"/>
        </w:rPr>
        <w:t>ορό</w:t>
      </w:r>
      <w:r w:rsidRPr="00FC2F1F">
        <w:rPr>
          <w:snapToGrid/>
          <w:szCs w:val="22"/>
          <w:lang w:val="el-GR"/>
        </w:rPr>
        <w:t xml:space="preserve"> κατά τη διάρκεια της ταυτόχρονης χρήσης.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Φαρμακευτικά προϊόντα που σχετίζονται με απ</w:t>
      </w:r>
      <w:r w:rsidR="00CE5B4C">
        <w:rPr>
          <w:snapToGrid/>
          <w:szCs w:val="22"/>
          <w:u w:val="single"/>
          <w:lang w:val="el-GR"/>
        </w:rPr>
        <w:t>ώλεια</w:t>
      </w:r>
      <w:r w:rsidRPr="00FC2F1F">
        <w:rPr>
          <w:snapToGrid/>
          <w:szCs w:val="22"/>
          <w:u w:val="single"/>
          <w:lang w:val="el-GR"/>
        </w:rPr>
        <w:t xml:space="preserve"> καλίου και υποκαλιαιμία</w:t>
      </w:r>
      <w:r w:rsidRPr="00FC2F1F">
        <w:rPr>
          <w:snapToGrid/>
          <w:szCs w:val="22"/>
          <w:lang w:val="el-GR"/>
        </w:rPr>
        <w:t xml:space="preserve"> (π.χ. άλλα καλιουρητικά διουρητικά, καθαρτικά, κορτικοστεροειδή, ACTH, αμφοτερικίνη, καρβενοξολόνη, νατριούχος πενικιλλίνη G, σαλικυλικό οξύ και παράγωγα).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Εάν οι ουσίες αυτές συνταγογραφηθούν με το συνδυασμό υδροχλωροθειαζίδης-τελμισαρτάνης</w:t>
      </w:r>
      <w:r w:rsidR="008102B0">
        <w:rPr>
          <w:snapToGrid/>
          <w:szCs w:val="22"/>
          <w:lang w:val="el-GR"/>
        </w:rPr>
        <w:t>,</w:t>
      </w:r>
      <w:r w:rsidRPr="00FC2F1F">
        <w:rPr>
          <w:snapToGrid/>
          <w:szCs w:val="22"/>
          <w:lang w:val="el-GR"/>
        </w:rPr>
        <w:t xml:space="preserve"> συ</w:t>
      </w:r>
      <w:r w:rsidR="004301CE">
        <w:rPr>
          <w:snapToGrid/>
          <w:szCs w:val="22"/>
          <w:lang w:val="el-GR"/>
        </w:rPr>
        <w:t>νιστά</w:t>
      </w:r>
      <w:r w:rsidRPr="00FC2F1F">
        <w:rPr>
          <w:snapToGrid/>
          <w:szCs w:val="22"/>
          <w:lang w:val="el-GR"/>
        </w:rPr>
        <w:t>ται παρακολούθηση των επιπέδων καλίου στο πλάσμα. Αυτά τα φαρμακευτικά προϊόντα μπορεί να ενισχύσουν τη δράση της υδροχλωροθειαζίδης στα επίπεδα καλίου του ορού (βλ. παράγραφο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Φαρμακευτικά προϊόντα που μπορεί να αυξήσουν τα επίπεδα καλίου ή να προκαλέσουν υπερκαλιαιμία</w:t>
      </w:r>
      <w:r w:rsidRPr="00FC2F1F">
        <w:rPr>
          <w:snapToGrid/>
          <w:szCs w:val="22"/>
          <w:lang w:val="el-GR"/>
        </w:rPr>
        <w:t xml:space="preserve"> (π.χ. αναστολείς ΜΕΑ, καλιοσυντηρητικά διουρητικά, συμπληρώματα καλίου, υποκατάστατα άλατος που περιέχουν κάλιο, κυκλοσπορίνη ή άλλα φαρμακευτικά προϊόντα όπως η νατριούχος ηπαρίνη)</w:t>
      </w:r>
      <w:r w:rsidR="004301CE">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Εάν </w:t>
      </w:r>
      <w:r w:rsidR="004301CE">
        <w:rPr>
          <w:snapToGrid/>
          <w:szCs w:val="22"/>
          <w:lang w:val="el-GR"/>
        </w:rPr>
        <w:t xml:space="preserve">αυτά τα φαρμακευτικά προϊόντα </w:t>
      </w:r>
      <w:r w:rsidRPr="00FC2F1F">
        <w:rPr>
          <w:snapToGrid/>
          <w:szCs w:val="22"/>
          <w:lang w:val="el-GR"/>
        </w:rPr>
        <w:t>συνταγογραφηθούν με το συνδυασμό υδροχλωροθειαζίδης-τελμισαρτάνης, συ</w:t>
      </w:r>
      <w:r w:rsidR="004301CE">
        <w:rPr>
          <w:snapToGrid/>
          <w:szCs w:val="22"/>
          <w:lang w:val="el-GR"/>
        </w:rPr>
        <w:t>νιστά</w:t>
      </w:r>
      <w:r w:rsidRPr="00FC2F1F">
        <w:rPr>
          <w:snapToGrid/>
          <w:szCs w:val="22"/>
          <w:lang w:val="el-GR"/>
        </w:rPr>
        <w:t xml:space="preserve">ται παρακολούθηση των επιπέδων καλίου στο πλάσμα. Βάσει της εμπειρίας από τη χρήση άλλων φαρμακευτικών προϊόντων που επιβραδύνουν το σύστημα ρενίνης – αγγειοτενσίνης, </w:t>
      </w:r>
      <w:r w:rsidR="004301CE">
        <w:rPr>
          <w:snapToGrid/>
          <w:szCs w:val="22"/>
          <w:lang w:val="el-GR"/>
        </w:rPr>
        <w:t xml:space="preserve">η </w:t>
      </w:r>
      <w:r w:rsidRPr="00FC2F1F">
        <w:rPr>
          <w:snapToGrid/>
          <w:szCs w:val="22"/>
          <w:lang w:val="el-GR"/>
        </w:rPr>
        <w:t>συγχορήγηση των παραπάνω φαρμακευτικών προϊόντων μπορεί να οδηγήσει σε αύξηση στα επίπεδα καλίου του ορού και</w:t>
      </w:r>
      <w:r w:rsidR="004301CE">
        <w:rPr>
          <w:snapToGrid/>
          <w:szCs w:val="22"/>
          <w:lang w:val="el-GR"/>
        </w:rPr>
        <w:t>, συνεπώς,</w:t>
      </w:r>
      <w:r w:rsidRPr="00FC2F1F">
        <w:rPr>
          <w:snapToGrid/>
          <w:szCs w:val="22"/>
          <w:lang w:val="el-GR"/>
        </w:rPr>
        <w:t xml:space="preserve"> δε</w:t>
      </w:r>
      <w:r w:rsidR="004301CE">
        <w:rPr>
          <w:snapToGrid/>
          <w:szCs w:val="22"/>
          <w:lang w:val="el-GR"/>
        </w:rPr>
        <w:t>ν</w:t>
      </w:r>
      <w:r w:rsidRPr="00FC2F1F">
        <w:rPr>
          <w:snapToGrid/>
          <w:szCs w:val="22"/>
          <w:lang w:val="el-GR"/>
        </w:rPr>
        <w:t xml:space="preserve"> συνιστ</w:t>
      </w:r>
      <w:r w:rsidR="004301CE">
        <w:rPr>
          <w:snapToGrid/>
          <w:szCs w:val="22"/>
          <w:lang w:val="el-GR"/>
        </w:rPr>
        <w:t>ά</w:t>
      </w:r>
      <w:r w:rsidRPr="00FC2F1F">
        <w:rPr>
          <w:snapToGrid/>
          <w:szCs w:val="22"/>
          <w:lang w:val="el-GR"/>
        </w:rPr>
        <w:t>ται (βλ.</w:t>
      </w:r>
      <w:r w:rsidR="004301CE">
        <w:rPr>
          <w:snapToGrid/>
          <w:szCs w:val="22"/>
          <w:lang w:val="el-GR"/>
        </w:rPr>
        <w:t xml:space="preserve"> </w:t>
      </w:r>
      <w:r w:rsidRPr="00FC2F1F">
        <w:rPr>
          <w:snapToGrid/>
          <w:szCs w:val="22"/>
          <w:lang w:val="el-GR"/>
        </w:rPr>
        <w:t>παράγραφο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Φαρμακευτικά προϊόντα που επηρεάζονται από τις διαταραχές καλίου του ορού</w:t>
      </w:r>
    </w:p>
    <w:p w:rsidR="00681191" w:rsidRPr="00FC2F1F" w:rsidRDefault="00F40081" w:rsidP="00681191">
      <w:pPr>
        <w:widowControl w:val="0"/>
        <w:tabs>
          <w:tab w:val="clear" w:pos="567"/>
        </w:tabs>
        <w:autoSpaceDE w:val="0"/>
        <w:autoSpaceDN w:val="0"/>
        <w:adjustRightInd w:val="0"/>
        <w:spacing w:line="240" w:lineRule="auto"/>
        <w:rPr>
          <w:snapToGrid/>
          <w:szCs w:val="22"/>
          <w:lang w:val="el-GR"/>
        </w:rPr>
      </w:pPr>
      <w:r>
        <w:rPr>
          <w:snapToGrid/>
          <w:szCs w:val="22"/>
          <w:lang w:val="el-GR"/>
        </w:rPr>
        <w:t>Συνιστώνται</w:t>
      </w:r>
      <w:r w:rsidR="00681191" w:rsidRPr="00FC2F1F">
        <w:rPr>
          <w:snapToGrid/>
          <w:szCs w:val="22"/>
          <w:lang w:val="el-GR"/>
        </w:rPr>
        <w:t xml:space="preserve"> περιοδικός έλεγχος του καλίου ορού και ΗΚΓ όταν το </w:t>
      </w:r>
      <w:r w:rsidR="00681191" w:rsidRPr="00FC2F1F">
        <w:rPr>
          <w:szCs w:val="22"/>
          <w:lang w:val="el-GR"/>
        </w:rPr>
        <w:t xml:space="preserve">Tolucombi </w:t>
      </w:r>
      <w:r w:rsidR="00681191" w:rsidRPr="00FC2F1F">
        <w:rPr>
          <w:snapToGrid/>
          <w:szCs w:val="22"/>
          <w:lang w:val="el-GR"/>
        </w:rPr>
        <w:t xml:space="preserve">χορηγείται με φαρμακευτικά προϊόντα που επηρεάζονται από τις διαταραχές καλίου του ορού (π.χ. καρδιακές γλυκοσίδες, αντιαρρυθμικά) και </w:t>
      </w:r>
      <w:r w:rsidR="00484BD3">
        <w:rPr>
          <w:snapToGrid/>
          <w:szCs w:val="22"/>
          <w:lang w:val="el-GR"/>
        </w:rPr>
        <w:t xml:space="preserve">με </w:t>
      </w:r>
      <w:r w:rsidR="00681191" w:rsidRPr="00FC2F1F">
        <w:rPr>
          <w:snapToGrid/>
          <w:szCs w:val="22"/>
          <w:lang w:val="el-GR"/>
        </w:rPr>
        <w:t xml:space="preserve">τα ακόλουθα φαρμακευτικά προϊόντα που </w:t>
      </w:r>
      <w:r w:rsidR="00484BD3" w:rsidRPr="000151B8">
        <w:rPr>
          <w:color w:val="000000"/>
          <w:szCs w:val="22"/>
          <w:lang w:val="el-GR"/>
        </w:rPr>
        <w:t xml:space="preserve">επάγουν </w:t>
      </w:r>
      <w:r w:rsidR="00681191" w:rsidRPr="00FC2F1F">
        <w:rPr>
          <w:snapToGrid/>
          <w:szCs w:val="22"/>
          <w:lang w:val="el-GR"/>
        </w:rPr>
        <w:t xml:space="preserve">πολύμορφη κοιλιακή ταχυκαρδία (τα οποία περιλαμβάνουν ορισμένα αντιαρρυθμικά), </w:t>
      </w:r>
      <w:r w:rsidR="00151E42">
        <w:rPr>
          <w:snapToGrid/>
          <w:szCs w:val="22"/>
          <w:lang w:val="el-GR"/>
        </w:rPr>
        <w:t xml:space="preserve">όντας </w:t>
      </w:r>
      <w:r w:rsidR="00681191" w:rsidRPr="00FC2F1F">
        <w:rPr>
          <w:snapToGrid/>
          <w:szCs w:val="22"/>
          <w:lang w:val="el-GR"/>
        </w:rPr>
        <w:t>η υποκαλιαιμία ένας προδιαθεσικός παράγοντας για πολύμορφη κοιλιακή ταχυκαρδία.</w:t>
      </w:r>
    </w:p>
    <w:p w:rsidR="00681191" w:rsidRPr="00FC2F1F" w:rsidRDefault="00681191" w:rsidP="00681191">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κατηγορία</w:t>
      </w:r>
      <w:r w:rsidR="00E724ED">
        <w:rPr>
          <w:snapToGrid/>
          <w:szCs w:val="22"/>
          <w:lang w:val="el-GR"/>
        </w:rPr>
        <w:t>ς</w:t>
      </w:r>
      <w:r w:rsidRPr="00FC2F1F">
        <w:rPr>
          <w:snapToGrid/>
          <w:szCs w:val="22"/>
          <w:lang w:val="el-GR"/>
        </w:rPr>
        <w:t xml:space="preserve"> Ια αντιαρρυθμικ</w:t>
      </w:r>
      <w:r w:rsidR="00E724ED">
        <w:rPr>
          <w:snapToGrid/>
          <w:szCs w:val="22"/>
          <w:lang w:val="el-GR"/>
        </w:rPr>
        <w:t>ά</w:t>
      </w:r>
      <w:r w:rsidRPr="00FC2F1F">
        <w:rPr>
          <w:snapToGrid/>
          <w:szCs w:val="22"/>
          <w:lang w:val="el-GR"/>
        </w:rPr>
        <w:t xml:space="preserve"> (π.χ. κινιδίνη, </w:t>
      </w:r>
      <w:r w:rsidRPr="00FC2F1F">
        <w:rPr>
          <w:bCs/>
          <w:snapToGrid/>
          <w:szCs w:val="22"/>
          <w:lang w:val="el-GR"/>
        </w:rPr>
        <w:t>υδροκινιδίνη</w:t>
      </w:r>
      <w:r w:rsidRPr="00FC2F1F">
        <w:rPr>
          <w:snapToGrid/>
          <w:szCs w:val="22"/>
          <w:lang w:val="el-GR"/>
        </w:rPr>
        <w:t>, δισοπυραμίδη)</w:t>
      </w:r>
    </w:p>
    <w:p w:rsidR="00681191" w:rsidRPr="00FC2F1F" w:rsidRDefault="00681191" w:rsidP="00681191">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κατηγορία</w:t>
      </w:r>
      <w:r w:rsidR="00E724ED">
        <w:rPr>
          <w:snapToGrid/>
          <w:szCs w:val="22"/>
          <w:lang w:val="el-GR"/>
        </w:rPr>
        <w:t>ς</w:t>
      </w:r>
      <w:r w:rsidRPr="00FC2F1F">
        <w:rPr>
          <w:snapToGrid/>
          <w:szCs w:val="22"/>
          <w:lang w:val="el-GR"/>
        </w:rPr>
        <w:t xml:space="preserve"> ΙΙΙ αντιαρρυθμικ</w:t>
      </w:r>
      <w:r w:rsidR="00E724ED">
        <w:rPr>
          <w:snapToGrid/>
          <w:szCs w:val="22"/>
          <w:lang w:val="el-GR"/>
        </w:rPr>
        <w:t>ά</w:t>
      </w:r>
      <w:r w:rsidRPr="00FC2F1F">
        <w:rPr>
          <w:snapToGrid/>
          <w:szCs w:val="22"/>
          <w:lang w:val="el-GR"/>
        </w:rPr>
        <w:t xml:space="preserve"> (π.χ. αμι</w:t>
      </w:r>
      <w:r w:rsidR="0074577B">
        <w:rPr>
          <w:snapToGrid/>
          <w:szCs w:val="22"/>
          <w:lang w:val="el-GR"/>
        </w:rPr>
        <w:t>ω</w:t>
      </w:r>
      <w:r w:rsidRPr="00FC2F1F">
        <w:rPr>
          <w:snapToGrid/>
          <w:szCs w:val="22"/>
          <w:lang w:val="el-GR"/>
        </w:rPr>
        <w:t xml:space="preserve">δαρόνη, </w:t>
      </w:r>
      <w:r w:rsidRPr="00FC2F1F">
        <w:rPr>
          <w:bCs/>
          <w:snapToGrid/>
          <w:szCs w:val="22"/>
          <w:lang w:val="el-GR"/>
        </w:rPr>
        <w:t>σοταλόλη</w:t>
      </w:r>
      <w:r w:rsidRPr="00FC2F1F">
        <w:rPr>
          <w:snapToGrid/>
          <w:szCs w:val="22"/>
          <w:lang w:val="el-GR"/>
        </w:rPr>
        <w:t>, δοφετιλίδη, ιμπουτιλίδη)</w:t>
      </w:r>
    </w:p>
    <w:p w:rsidR="00681191" w:rsidRPr="00FC2F1F" w:rsidRDefault="00681191" w:rsidP="00681191">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μερικά αντιψυχωσικά (π.χ. θειοριδαζίνη, χλωροπρομαζίνη,</w:t>
      </w:r>
      <w:r w:rsidRPr="00FC2F1F">
        <w:rPr>
          <w:szCs w:val="22"/>
          <w:lang w:val="el-GR"/>
        </w:rPr>
        <w:t xml:space="preserve"> </w:t>
      </w:r>
      <w:r w:rsidRPr="00FC2F1F">
        <w:rPr>
          <w:snapToGrid/>
          <w:szCs w:val="22"/>
          <w:lang w:val="el-GR"/>
        </w:rPr>
        <w:t>λεβομεπρομαζίνη, τριφλουοπεραζίνη, κυαμεμαζίνη, σουλπιρίδη, σουλτοπρίδη, αμισουλπρίδη, τιαπρίδη, πιμοζίδη, αλοπεριδόλη, δροπεριδόλη)</w:t>
      </w:r>
    </w:p>
    <w:p w:rsidR="00681191" w:rsidRPr="00FC2F1F" w:rsidRDefault="00681191" w:rsidP="00681191">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άλλα (π.χ. βεπριδίλη, σιζαπρίδη, διφεμανίλη, ερυθρομυκίνη IV, αλοφαντρίνη, μιζολαστίνη, πενταμιδίνη, σπαρφλοξασίνη, τερφεναδίνη, βινκαμίνη IV)</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Καρδιακές γλυκοσίδες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Υποκαλιαιμία επαγόμενη από θειαζίδες ή υπομαγνησιαιμία ευνοούν τη ανάπτυξη αρρυθμιών που προκαλούνται από τις καρδιακές γλυκοσίδες (βλ. παράγραφο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Διγοξίνη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Όταν η τελμισαρτάνη συγχορηγήθηκε με διγοξίνη, παρατηρήθηκαν διάμεσες αυξήσεις στη μέγιστη συγκέντρωση</w:t>
      </w:r>
      <w:r w:rsidR="008251A5">
        <w:rPr>
          <w:snapToGrid/>
          <w:szCs w:val="22"/>
          <w:lang w:val="el-GR"/>
        </w:rPr>
        <w:t xml:space="preserve"> (49%)</w:t>
      </w:r>
      <w:r w:rsidRPr="00FC2F1F">
        <w:rPr>
          <w:snapToGrid/>
          <w:szCs w:val="22"/>
          <w:lang w:val="el-GR"/>
        </w:rPr>
        <w:t xml:space="preserve"> της διγοξίνης </w:t>
      </w:r>
      <w:r w:rsidR="008251A5">
        <w:rPr>
          <w:snapToGrid/>
          <w:szCs w:val="22"/>
          <w:lang w:val="el-GR"/>
        </w:rPr>
        <w:t>στο πλάσμα</w:t>
      </w:r>
      <w:r w:rsidRPr="00FC2F1F">
        <w:rPr>
          <w:snapToGrid/>
          <w:szCs w:val="22"/>
          <w:lang w:val="el-GR"/>
        </w:rPr>
        <w:t xml:space="preserve"> και στην κατώτερη συγκέντρωση (20%). Κατά την έναρξη, </w:t>
      </w:r>
      <w:r w:rsidR="008251A5">
        <w:rPr>
          <w:snapToGrid/>
          <w:szCs w:val="22"/>
          <w:lang w:val="el-GR"/>
        </w:rPr>
        <w:t xml:space="preserve">την </w:t>
      </w:r>
      <w:r w:rsidRPr="00FC2F1F">
        <w:rPr>
          <w:snapToGrid/>
          <w:szCs w:val="22"/>
          <w:lang w:val="el-GR"/>
        </w:rPr>
        <w:t xml:space="preserve">προσαρμογή και </w:t>
      </w:r>
      <w:r w:rsidR="008251A5">
        <w:rPr>
          <w:snapToGrid/>
          <w:szCs w:val="22"/>
          <w:lang w:val="el-GR"/>
        </w:rPr>
        <w:t xml:space="preserve">τη </w:t>
      </w:r>
      <w:r w:rsidRPr="00FC2F1F">
        <w:rPr>
          <w:snapToGrid/>
          <w:szCs w:val="22"/>
          <w:lang w:val="el-GR"/>
        </w:rPr>
        <w:t>διακοπή της τελμισαρτάνης, συ</w:t>
      </w:r>
      <w:r w:rsidR="008251A5">
        <w:rPr>
          <w:snapToGrid/>
          <w:szCs w:val="22"/>
          <w:lang w:val="el-GR"/>
        </w:rPr>
        <w:t>νιστά</w:t>
      </w:r>
      <w:r w:rsidRPr="00FC2F1F">
        <w:rPr>
          <w:snapToGrid/>
          <w:szCs w:val="22"/>
          <w:lang w:val="el-GR"/>
        </w:rPr>
        <w:t>ται παρακολούθηση των επιπέδων διγοξίνης προκειμένου να διατηρηθούν τα επίπεδα εντός του θεραπευτικού εύρους.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Άλλοι αντιυπερτασικοί παράγοντες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τελμισαρτάνη μπορεί να αυξήσει την υποτασική δράση άλλων αντιυπερτασικών παραγόντων.</w:t>
      </w:r>
    </w:p>
    <w:p w:rsidR="00681191" w:rsidRDefault="00681191" w:rsidP="00681191">
      <w:pPr>
        <w:widowControl w:val="0"/>
        <w:tabs>
          <w:tab w:val="clear" w:pos="567"/>
        </w:tabs>
        <w:autoSpaceDE w:val="0"/>
        <w:autoSpaceDN w:val="0"/>
        <w:adjustRightInd w:val="0"/>
        <w:spacing w:line="240" w:lineRule="auto"/>
        <w:rPr>
          <w:snapToGrid/>
          <w:szCs w:val="22"/>
          <w:lang w:val="sl-SI"/>
        </w:rPr>
      </w:pPr>
    </w:p>
    <w:p w:rsidR="00681191" w:rsidRDefault="00681191" w:rsidP="00681191">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 xml:space="preserve">Τα δεδομένα από κλινικές </w:t>
      </w:r>
      <w:r w:rsidR="003344AF">
        <w:rPr>
          <w:snapToGrid/>
          <w:szCs w:val="22"/>
          <w:lang w:val="el-GR"/>
        </w:rPr>
        <w:t>δοκιμές</w:t>
      </w:r>
      <w:r w:rsidRPr="00D76F8A">
        <w:rPr>
          <w:snapToGrid/>
          <w:szCs w:val="22"/>
          <w:lang w:val="sl-SI"/>
        </w:rPr>
        <w:t xml:space="preserve"> έχουν δείξει ότι ο διπλός αποκλεισμός του συστήματος ρενίνης-αγγειοτενσίνης-αλδοστερόνης (RAAS) μέσω της συνδυασμένης χρήσης αναστολέων ΜΕΑ, αποκλειστών των υποδοχεών αγγειοτενσίνης ΙΙ ή αλισκιρένης συσχετίζεται με υψηλότερη συχνότητα </w:t>
      </w:r>
      <w:r w:rsidR="003344AF">
        <w:rPr>
          <w:snapToGrid/>
          <w:szCs w:val="22"/>
          <w:lang w:val="el-GR"/>
        </w:rPr>
        <w:t xml:space="preserve">εμφάνισης </w:t>
      </w:r>
      <w:r w:rsidRPr="00D76F8A">
        <w:rPr>
          <w:snapToGrid/>
          <w:szCs w:val="22"/>
          <w:lang w:val="sl-SI"/>
        </w:rPr>
        <w:t>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(RAAS) (βλ. παραγράφους 4.3, 4.4 και 5.1).</w:t>
      </w:r>
    </w:p>
    <w:p w:rsidR="00681191" w:rsidRPr="00311F0B" w:rsidRDefault="00681191" w:rsidP="00681191">
      <w:pPr>
        <w:widowControl w:val="0"/>
        <w:tabs>
          <w:tab w:val="clear" w:pos="56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Αντιδιαβητικά φαρμακευτικά προϊόντα (από του στόματος </w:t>
      </w:r>
      <w:r w:rsidR="003344AF">
        <w:rPr>
          <w:snapToGrid/>
          <w:szCs w:val="22"/>
          <w:u w:val="single"/>
          <w:lang w:val="el-GR"/>
        </w:rPr>
        <w:t xml:space="preserve">παράγοντες </w:t>
      </w:r>
      <w:r w:rsidRPr="00FC2F1F">
        <w:rPr>
          <w:snapToGrid/>
          <w:szCs w:val="22"/>
          <w:u w:val="single"/>
          <w:lang w:val="el-GR"/>
        </w:rPr>
        <w:t>και ινσουλίνη)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Μπορεί να απαιτηθεί προσαρμογή της δόσης των αντιδιαβητικών φαρμακευτικών προϊόντων (βλ. παράγραφο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Μετφορμίνη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μετφορμίνη θα πρέπει να χρησιμοποιείται με προσοχή: υπάρχει κίνδυνος γαλακτικής οξέωσης από πιθανή λειτουργική νεφρική ανεπάρκεια σχετιζόμενη με την υδροχλωροθειαζίδη.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Χολεστυραμίνη και ρητίνες </w:t>
      </w:r>
      <w:r w:rsidR="00A375DE">
        <w:rPr>
          <w:snapToGrid/>
          <w:szCs w:val="22"/>
          <w:u w:val="single"/>
          <w:lang w:val="el-GR"/>
        </w:rPr>
        <w:t>κ</w:t>
      </w:r>
      <w:r w:rsidRPr="00FC2F1F">
        <w:rPr>
          <w:snapToGrid/>
          <w:szCs w:val="22"/>
          <w:u w:val="single"/>
          <w:lang w:val="el-GR"/>
        </w:rPr>
        <w:t>ολεστιπόλης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απορρόφηση της υδροχλωροθειαζίδης μειώνεται παρουσία ρητινών ανταλλαγής ανιόντων.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2F47A5"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Μη στεροειδή αντιφλεγμονώδη φαρμακευτικά προϊόντα</w:t>
      </w:r>
      <w:r w:rsidR="002F47A5" w:rsidRPr="00B754A1">
        <w:rPr>
          <w:snapToGrid/>
          <w:szCs w:val="22"/>
          <w:u w:val="single"/>
          <w:lang w:val="el-GR"/>
        </w:rPr>
        <w:t xml:space="preserve"> (</w:t>
      </w:r>
      <w:r w:rsidR="002F47A5">
        <w:rPr>
          <w:snapToGrid/>
          <w:szCs w:val="22"/>
          <w:u w:val="single"/>
          <w:lang w:val="el-GR"/>
        </w:rPr>
        <w:t>ΜΣΑΦ)</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Τα ΜΣΑΦ (δηλ. ακετυλοσαλικυλικό οξύ σε δοσολογικά σχήματα ως αντιφλεγμονώδες, αναστολείς της COX-2 και μη εκλεκτικά ΜΣΑΦ) μπορεί να ελαττώσουν τις διουρητικές, νατριουρητικές και αντιυπερτασικές δράσεις των θειαζιδικών διουρητικών και τις αντιυπερτασικές δράσεις των ανταγωνιστών των υποδοχέων της αγγειοτενσίνης ΙΙ.</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Σε κάποιους ασθενείς με επιβαρυμένη νεφρική λειτουργία (π.χ. αφυδατωμένοι ασθενείς ή ηλικιωμένοι ασθενείς με επιβαρυμένη νεφρική λειτουργία) η συγχορήγηση ανταγωνιστών των υποδοχέων της αγγειοτενσίνης ΙΙ και παραγόντων που αναστέλλουν την κυκλοξυγενάση μπορεί να έχει ως αποτέλεσμα περαιτέρω επιδείνωση της νεφρικής λειτουργίας, περιλαμβανομένης και πιθανής οξείας νεφρικής ανεπάρκειας, η οποία είναι συνήθως αναστρέψιμη. Οπότε ο συνδυασμός θα πρέπει να χορηγείται με προσοχή, κυρίως στους ηλικιωμένους. Οι ασθενείς θα πρέπει να </w:t>
      </w:r>
      <w:r w:rsidR="00527F76">
        <w:rPr>
          <w:snapToGrid/>
          <w:szCs w:val="22"/>
          <w:lang w:val="el-GR"/>
        </w:rPr>
        <w:t>ενυδατώνονται επαρκώς</w:t>
      </w:r>
      <w:r w:rsidRPr="00FC2F1F">
        <w:rPr>
          <w:snapToGrid/>
          <w:szCs w:val="22"/>
          <w:lang w:val="el-GR"/>
        </w:rPr>
        <w:t xml:space="preserve"> και </w:t>
      </w:r>
      <w:r w:rsidR="00527F76">
        <w:rPr>
          <w:snapToGrid/>
          <w:szCs w:val="22"/>
          <w:lang w:val="el-GR"/>
        </w:rPr>
        <w:t>να δίνεται προσοχή στην</w:t>
      </w:r>
      <w:r w:rsidRPr="00FC2F1F">
        <w:rPr>
          <w:snapToGrid/>
          <w:szCs w:val="22"/>
          <w:lang w:val="el-GR"/>
        </w:rPr>
        <w:t xml:space="preserve"> παρακολούθηση της νεφρικής λειτουργίας μετά την έναρξη της συγχορηγούμενης αγωγής και στη συνέχεια κατά περιόδους.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μια μελέτη η συγχορήγηση τελμισαρτάνης και ραμιπρίλης οδήγησε σε μια αύξηση έως 2,5 φορές στην AUC</w:t>
      </w:r>
      <w:r w:rsidRPr="00FC2F1F">
        <w:rPr>
          <w:snapToGrid/>
          <w:szCs w:val="22"/>
          <w:vertAlign w:val="subscript"/>
          <w:lang w:val="el-GR"/>
        </w:rPr>
        <w:t>0-24</w:t>
      </w:r>
      <w:r w:rsidRPr="00A61F09">
        <w:rPr>
          <w:snapToGrid/>
          <w:szCs w:val="22"/>
          <w:lang w:val="el-GR"/>
        </w:rPr>
        <w:t xml:space="preserve"> </w:t>
      </w:r>
      <w:r w:rsidRPr="00FC2F1F">
        <w:rPr>
          <w:snapToGrid/>
          <w:szCs w:val="22"/>
          <w:lang w:val="el-GR"/>
        </w:rPr>
        <w:t>και C</w:t>
      </w:r>
      <w:r w:rsidRPr="00FC2F1F">
        <w:rPr>
          <w:snapToGrid/>
          <w:szCs w:val="22"/>
          <w:vertAlign w:val="subscript"/>
          <w:lang w:val="el-GR"/>
        </w:rPr>
        <w:t>max</w:t>
      </w:r>
      <w:r w:rsidRPr="00FC2F1F">
        <w:rPr>
          <w:snapToGrid/>
          <w:szCs w:val="22"/>
          <w:lang w:val="el-GR"/>
        </w:rPr>
        <w:t xml:space="preserve"> της ραμιπρίλης και της ραμιπριλάτης. Η κλινική σημασία αυτής της παρατήρησης δεν είναι γνωστή.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Αγγειοσυσπαστικές αμίνες (π.χ. νοραδρεναλίνη)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επίδραση των αγγειοσυσπαστικών αμινών μπορεί να ελαττωθεί.</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Μη αποπολωτικά χαλαρωτικά των σκελετικών μυών (π.χ. τουβοκουραρίνη)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επίδραση των μη αποπολωτικών χαλαρωτικών των σκελετικών μυών μπορεί να ενισχυθεί από την υδροχλωροθειαζίδη.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B754A1"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Φαρμακευτικά προϊόντα που χρησιμοποιούνται για τη θεραπεία της ουρικής </w:t>
      </w:r>
      <w:r w:rsidRPr="009C3DFF">
        <w:rPr>
          <w:snapToGrid/>
          <w:szCs w:val="22"/>
          <w:u w:val="single"/>
          <w:lang w:val="el-GR"/>
        </w:rPr>
        <w:t>αρθρίτιδας</w:t>
      </w:r>
      <w:r w:rsidRPr="00B754A1">
        <w:rPr>
          <w:snapToGrid/>
          <w:szCs w:val="22"/>
          <w:u w:val="single"/>
          <w:lang w:val="el-GR"/>
        </w:rPr>
        <w:t xml:space="preserve"> (π.χ. προβενεσίδη, σουλφ</w:t>
      </w:r>
      <w:r w:rsidR="00CB4FAC">
        <w:rPr>
          <w:snapToGrid/>
          <w:szCs w:val="22"/>
          <w:u w:val="single"/>
          <w:lang w:val="el-GR"/>
        </w:rPr>
        <w:t>ιν</w:t>
      </w:r>
      <w:r w:rsidRPr="00B754A1">
        <w:rPr>
          <w:snapToGrid/>
          <w:szCs w:val="22"/>
          <w:u w:val="single"/>
          <w:lang w:val="el-GR"/>
        </w:rPr>
        <w:t>πυραζόνη και αλλοπουρινόλη)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προσαρμογή της δοσολογίας των ουρικοζουρικών </w:t>
      </w:r>
      <w:r w:rsidR="009C3DFF">
        <w:rPr>
          <w:snapToGrid/>
          <w:szCs w:val="22"/>
          <w:lang w:val="el-GR"/>
        </w:rPr>
        <w:t>φαρμακευτικών προϊόντων</w:t>
      </w:r>
      <w:r w:rsidRPr="00FC2F1F">
        <w:rPr>
          <w:snapToGrid/>
          <w:szCs w:val="22"/>
          <w:lang w:val="el-GR"/>
        </w:rPr>
        <w:t xml:space="preserve"> μπορεί να είναι απαραίτητη καθώς η υδροχλωροθειαζίδη μπορεί να αυξήσει τα επίπεδα του ουρικού οξέος στον ορό. Μπορεί να απαιτηθεί αύξηση της δοσολογίας της προβενεσίδης ή της σουλφ</w:t>
      </w:r>
      <w:r w:rsidR="00390C9F">
        <w:rPr>
          <w:snapToGrid/>
          <w:szCs w:val="22"/>
          <w:lang w:val="el-GR"/>
        </w:rPr>
        <w:t>ιν</w:t>
      </w:r>
      <w:r w:rsidRPr="00FC2F1F">
        <w:rPr>
          <w:snapToGrid/>
          <w:szCs w:val="22"/>
          <w:lang w:val="el-GR"/>
        </w:rPr>
        <w:t xml:space="preserve">πυραζόνης. Η συγχορήγηση θειαζιδικού διουρητικού μπορεί να αυξήσει τη συχνότητα </w:t>
      </w:r>
      <w:r w:rsidR="00390C9F">
        <w:rPr>
          <w:snapToGrid/>
          <w:szCs w:val="22"/>
          <w:lang w:val="el-GR"/>
        </w:rPr>
        <w:t xml:space="preserve">εμφάνισης </w:t>
      </w:r>
      <w:r w:rsidRPr="00FC2F1F">
        <w:rPr>
          <w:snapToGrid/>
          <w:szCs w:val="22"/>
          <w:lang w:val="el-GR"/>
        </w:rPr>
        <w:t>αντιδράσεων υπερευαισθησίας στην αλλοπουρινόλη.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Άλατα ασβεστίου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Τα θειαζιδικά διουρητικά μπορεί να αυξήσουν τα επίπεδα ασβεστίου ορού λόγω </w:t>
      </w:r>
      <w:r w:rsidR="00390C9F">
        <w:rPr>
          <w:snapToGrid/>
          <w:szCs w:val="22"/>
          <w:lang w:val="el-GR"/>
        </w:rPr>
        <w:t>μει</w:t>
      </w:r>
      <w:r w:rsidRPr="00FC2F1F">
        <w:rPr>
          <w:snapToGrid/>
          <w:szCs w:val="22"/>
          <w:lang w:val="el-GR"/>
        </w:rPr>
        <w:t>ωμένης απέκκρισης. Εάν πρέπει να χορηγηθούν συμπληρώματα ασβεστίου</w:t>
      </w:r>
      <w:r w:rsidR="009C3DFF" w:rsidRPr="009C3DFF">
        <w:rPr>
          <w:snapToGrid/>
          <w:lang w:val="el-GR"/>
        </w:rPr>
        <w:t xml:space="preserve"> </w:t>
      </w:r>
      <w:r w:rsidR="009C3DFF" w:rsidRPr="009C3DFF">
        <w:rPr>
          <w:snapToGrid/>
          <w:szCs w:val="22"/>
          <w:lang w:val="el-GR"/>
        </w:rPr>
        <w:t>ή ασβέστιο-προστατευτικά φαρμακευτικά προϊόντα (π.χ. θεραπεία με βιταμίνη</w:t>
      </w:r>
      <w:r w:rsidR="009C3DFF">
        <w:rPr>
          <w:snapToGrid/>
          <w:szCs w:val="22"/>
          <w:lang w:val="el-GR"/>
        </w:rPr>
        <w:t xml:space="preserve"> </w:t>
      </w:r>
      <w:r w:rsidR="009C3DFF" w:rsidRPr="009C3DFF">
        <w:rPr>
          <w:snapToGrid/>
          <w:szCs w:val="22"/>
          <w:lang w:val="el-GR"/>
        </w:rPr>
        <w:t>D)</w:t>
      </w:r>
      <w:r w:rsidRPr="00FC2F1F">
        <w:rPr>
          <w:snapToGrid/>
          <w:szCs w:val="22"/>
          <w:lang w:val="el-GR"/>
        </w:rPr>
        <w:t>, τα επίπεδα ασβεστίου ορού θα πρέπει να παρακολουθούνται και η δοσολογία ασβεστίου να προσαρμόζεται ανάλογα.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Βήτα-αποκλειστές και διαζοξίδη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υπεργλυκαιμική επίδραση των β-αποκλειστών και της διαζοξίδης μπορεί να ενισχυθεί από τις θειαζίδες.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Αντιχολινεργικοί παράγοντες</w:t>
      </w:r>
      <w:r w:rsidRPr="00FC2F1F">
        <w:rPr>
          <w:snapToGrid/>
          <w:szCs w:val="22"/>
          <w:lang w:val="el-GR"/>
        </w:rPr>
        <w:t xml:space="preserve"> (π.χ. ατροπίνη, βιπεριδ</w:t>
      </w:r>
      <w:r w:rsidR="004513E0">
        <w:rPr>
          <w:snapToGrid/>
          <w:szCs w:val="22"/>
          <w:lang w:val="el-GR"/>
        </w:rPr>
        <w:t>έ</w:t>
      </w:r>
      <w:r w:rsidRPr="00FC2F1F">
        <w:rPr>
          <w:snapToGrid/>
          <w:szCs w:val="22"/>
          <w:lang w:val="el-GR"/>
        </w:rPr>
        <w:t>νη) μπορεί να αυξήσουν τη βιοδιαθεσιμότητα των θειαζιδικού τύπου διουρητικών μέσω ελάττωσης της γαστρεντερικής κινητικότητας και της ταχύτητας κένωσης του στομάχου.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Αμανταδίνη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Οι θειαζίδες μπορεί να αυξήσουν τον κίνδυνο ανάπτυξης ανεπιθύμητων </w:t>
      </w:r>
      <w:r w:rsidR="00E76C21">
        <w:rPr>
          <w:snapToGrid/>
          <w:szCs w:val="22"/>
          <w:lang w:val="el-GR"/>
        </w:rPr>
        <w:t>αντιδράσεων</w:t>
      </w:r>
      <w:r w:rsidRPr="00FC2F1F">
        <w:rPr>
          <w:snapToGrid/>
          <w:szCs w:val="22"/>
          <w:lang w:val="el-GR"/>
        </w:rPr>
        <w:t xml:space="preserve"> της αμανταδίνης.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Κυτταροτοξικ</w:t>
      </w:r>
      <w:r w:rsidR="006C2377">
        <w:rPr>
          <w:snapToGrid/>
          <w:szCs w:val="22"/>
          <w:u w:val="single"/>
          <w:lang w:val="el-GR"/>
        </w:rPr>
        <w:t>οί</w:t>
      </w:r>
      <w:r w:rsidRPr="00FC2F1F">
        <w:rPr>
          <w:snapToGrid/>
          <w:szCs w:val="22"/>
          <w:u w:val="single"/>
          <w:lang w:val="el-GR"/>
        </w:rPr>
        <w:t xml:space="preserve"> </w:t>
      </w:r>
      <w:r w:rsidR="006C2377">
        <w:rPr>
          <w:snapToGrid/>
          <w:szCs w:val="22"/>
          <w:u w:val="single"/>
          <w:lang w:val="el-GR"/>
        </w:rPr>
        <w:t>παράγοντες</w:t>
      </w:r>
      <w:r w:rsidRPr="00FC2F1F">
        <w:rPr>
          <w:snapToGrid/>
          <w:szCs w:val="22"/>
          <w:u w:val="single"/>
          <w:lang w:val="el-GR"/>
        </w:rPr>
        <w:t xml:space="preserve"> (π.χ. κυκλοφωσφαμίδη, μεθοτρεξάτη)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θειαζίδες μπορεί να μειώσουν τη νεφρική απέκκριση κυτταροτοξικών φαρμακευτικών προϊόντων και να ενισχύσουν τις μυελοκατασταλτικές επιδράσεις τους.</w:t>
      </w:r>
    </w:p>
    <w:p w:rsidR="008B38A2" w:rsidRDefault="008B38A2"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Με βάση τα φαρμακολογικά τους χαρακτηριστικά θα πρέπει να αναμένεται ότι τα παρακάτω φαρμακευτικά προϊόντα μπορεί να ενισχύσουν τις υποτασικές δράσεις όλων των αντιυπερτασικών, συμπεριλαμβανομέν</w:t>
      </w:r>
      <w:r w:rsidR="00B55605">
        <w:rPr>
          <w:snapToGrid/>
          <w:szCs w:val="22"/>
          <w:lang w:val="el-GR"/>
        </w:rPr>
        <w:t>ης</w:t>
      </w:r>
      <w:r w:rsidRPr="00FC2F1F">
        <w:rPr>
          <w:snapToGrid/>
          <w:szCs w:val="22"/>
          <w:lang w:val="el-GR"/>
        </w:rPr>
        <w:t xml:space="preserve"> της τελμισαρτάνης: Βακλοφένη, αμιφοστίνη.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Επίσης, η ορθοστατική υπόταση μπορεί να επιδεινωθεί από τη χρήση </w:t>
      </w:r>
      <w:r w:rsidR="006C2377">
        <w:rPr>
          <w:snapToGrid/>
          <w:szCs w:val="22"/>
          <w:lang w:val="el-GR"/>
        </w:rPr>
        <w:t>οινοπνευματωδών</w:t>
      </w:r>
      <w:r w:rsidRPr="00FC2F1F">
        <w:rPr>
          <w:snapToGrid/>
          <w:szCs w:val="22"/>
          <w:lang w:val="el-GR"/>
        </w:rPr>
        <w:t>, βαρβιτουρικών, ναρκωτικών</w:t>
      </w:r>
      <w:r w:rsidR="006C2377">
        <w:rPr>
          <w:snapToGrid/>
          <w:szCs w:val="22"/>
          <w:lang w:val="el-GR"/>
        </w:rPr>
        <w:t xml:space="preserve"> ουσιών</w:t>
      </w:r>
      <w:r w:rsidRPr="00FC2F1F">
        <w:rPr>
          <w:snapToGrid/>
          <w:szCs w:val="22"/>
          <w:lang w:val="el-GR"/>
        </w:rPr>
        <w:t xml:space="preserve"> ή αντικαταθλιπτικών.</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4.6</w:t>
      </w:r>
      <w:r w:rsidRPr="00FC2F1F">
        <w:rPr>
          <w:b/>
          <w:noProof/>
          <w:szCs w:val="22"/>
          <w:lang w:val="el-GR"/>
        </w:rPr>
        <w:tab/>
        <w:t>Γονιμότητα, κύηση και γαλουχία</w:t>
      </w:r>
    </w:p>
    <w:p w:rsidR="00681191" w:rsidRPr="00FC2F1F" w:rsidRDefault="00681191" w:rsidP="00681191">
      <w:pPr>
        <w:widowControl w:val="0"/>
        <w:spacing w:line="240" w:lineRule="auto"/>
        <w:rPr>
          <w:noProof/>
          <w:szCs w:val="22"/>
          <w:lang w:val="el-GR"/>
        </w:rPr>
      </w:pPr>
    </w:p>
    <w:p w:rsidR="00681191" w:rsidRPr="00FC2F1F" w:rsidRDefault="00E76C21" w:rsidP="00681191">
      <w:pPr>
        <w:widowControl w:val="0"/>
        <w:spacing w:line="240" w:lineRule="auto"/>
        <w:rPr>
          <w:noProof/>
          <w:szCs w:val="22"/>
          <w:lang w:val="el-GR"/>
        </w:rPr>
      </w:pPr>
      <w:r>
        <w:rPr>
          <w:szCs w:val="22"/>
          <w:u w:val="single"/>
          <w:lang w:val="el-GR"/>
        </w:rPr>
        <w:t>Κύηση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snapToGrid/>
          <w:szCs w:val="22"/>
          <w:lang w:val="el-GR"/>
        </w:rPr>
      </w:pPr>
      <w:r w:rsidRPr="00FC2F1F">
        <w:rPr>
          <w:snapToGrid/>
          <w:szCs w:val="22"/>
          <w:lang w:val="el-GR"/>
        </w:rPr>
        <w:t>Η χρήση των ανταγωνιστών των υποδοχέων της αγγειοτενσίνης ΙΙ δε</w:t>
      </w:r>
      <w:r w:rsidR="004A27C0">
        <w:rPr>
          <w:snapToGrid/>
          <w:szCs w:val="22"/>
          <w:lang w:val="el-GR"/>
        </w:rPr>
        <w:t>ν</w:t>
      </w:r>
      <w:r w:rsidRPr="00FC2F1F">
        <w:rPr>
          <w:snapToGrid/>
          <w:szCs w:val="22"/>
          <w:lang w:val="el-GR"/>
        </w:rPr>
        <w:t xml:space="preserve"> συνιστάται κατά τη διάρκεια του πρώτου τριμήνου της κύησης (βλ. παράγραφο 4.4). Η χρήση των ανταγωνιστών των υποδοχέων της αγγειοτενσίνης ΙΙ αντενδείκνυται κατά τη διάρκεια του δεύτερου και τρίτου τριμήνου της κύησης (βλ. παραγράφους 4.3 και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Δεν υπάρχουν επαρκή </w:t>
      </w:r>
      <w:r w:rsidR="00796F4A">
        <w:rPr>
          <w:snapToGrid/>
          <w:szCs w:val="22"/>
          <w:lang w:val="el-GR"/>
        </w:rPr>
        <w:t>δεδομένα</w:t>
      </w:r>
      <w:r w:rsidRPr="00FC2F1F">
        <w:rPr>
          <w:snapToGrid/>
          <w:szCs w:val="22"/>
          <w:lang w:val="el-GR"/>
        </w:rPr>
        <w:t xml:space="preserve"> από τη χρήση του </w:t>
      </w:r>
      <w:r w:rsidRPr="00FC2F1F">
        <w:rPr>
          <w:szCs w:val="22"/>
          <w:lang w:val="el-GR"/>
        </w:rPr>
        <w:t>Tolucombi</w:t>
      </w:r>
      <w:r w:rsidRPr="00FC2F1F">
        <w:rPr>
          <w:snapToGrid/>
          <w:szCs w:val="22"/>
          <w:lang w:val="el-GR"/>
        </w:rPr>
        <w:t xml:space="preserve"> σε έγκυες γυναίκες. Μελέτες σε ζώα κατέδειξαν τοξικότητα στην αναπαραγωγική ικανότητα (βλ. παράγραφο 5.3).</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Επιδημιολογικά στοιχεία αναφορικά με τον κίνδυνο τερατογένεσης μετά από έκθεση σε αναστολείς του ΜΕΑ κατά τη διάρκεια του πρώτου τριμήνου της κύησης δεν έδωσαν σαφή συμπεράσματα, παρ’ όλα αυτά </w:t>
      </w:r>
      <w:r w:rsidR="007E477B" w:rsidRPr="007E477B">
        <w:rPr>
          <w:snapToGrid/>
          <w:szCs w:val="22"/>
          <w:lang w:val="el-GR"/>
        </w:rPr>
        <w:t xml:space="preserve">δεν μπορεί να αποκλεισθεί </w:t>
      </w:r>
      <w:r w:rsidRPr="00FC2F1F">
        <w:rPr>
          <w:snapToGrid/>
          <w:szCs w:val="22"/>
          <w:lang w:val="el-GR"/>
        </w:rPr>
        <w:t xml:space="preserve">μικρή αύξηση του κινδύνου. </w:t>
      </w:r>
      <w:r w:rsidR="007E477B">
        <w:rPr>
          <w:snapToGrid/>
          <w:szCs w:val="22"/>
          <w:lang w:val="el-GR"/>
        </w:rPr>
        <w:t>Ενώ</w:t>
      </w:r>
      <w:r w:rsidRPr="00FC2F1F">
        <w:rPr>
          <w:snapToGrid/>
          <w:szCs w:val="22"/>
          <w:lang w:val="el-GR"/>
        </w:rPr>
        <w:t xml:space="preserve"> δεν υπάρχουν ελεγχόμενα επιδημιολογικά δεδομένα όσον αφορά στον κίνδυνο με ανταγωνιστές των υποδοχέων της αγγειοτενσίνης ΙΙ, </w:t>
      </w:r>
      <w:r w:rsidR="007E477B" w:rsidRPr="007E477B">
        <w:rPr>
          <w:snapToGrid/>
          <w:szCs w:val="22"/>
          <w:lang w:val="el-GR"/>
        </w:rPr>
        <w:t xml:space="preserve">μπορεί να υπάρχει </w:t>
      </w:r>
      <w:r w:rsidRPr="00FC2F1F">
        <w:rPr>
          <w:snapToGrid/>
          <w:szCs w:val="22"/>
          <w:lang w:val="el-GR"/>
        </w:rPr>
        <w:t xml:space="preserve">παρόμοιος κίνδυνος για αυτή τη θεραπευτική κατηγορία φαρμάκων. Εκτός και αν η συνέχιση της αγωγής με ανταγωνιστές των υποδοχέων της αγγειοτενσίνης ΙΙ θεωρείται απαραίτητη, ασθενείς που προγραμματίζουν εγκυμοσύνη θα πρέπει να </w:t>
      </w:r>
      <w:r w:rsidR="007E477B">
        <w:rPr>
          <w:snapToGrid/>
          <w:szCs w:val="22"/>
          <w:lang w:val="el-GR"/>
        </w:rPr>
        <w:t>μεταβαίνουν</w:t>
      </w:r>
      <w:r w:rsidRPr="00FC2F1F">
        <w:rPr>
          <w:snapToGrid/>
          <w:szCs w:val="22"/>
          <w:lang w:val="el-GR"/>
        </w:rPr>
        <w:t xml:space="preserve"> σε εναλλακτικές αντιυπερτασικές αγωγές οι οποίες έχουν </w:t>
      </w:r>
      <w:r w:rsidR="007E477B">
        <w:rPr>
          <w:snapToGrid/>
          <w:szCs w:val="22"/>
          <w:lang w:val="el-GR"/>
        </w:rPr>
        <w:t>αποδεδειγ</w:t>
      </w:r>
      <w:r w:rsidRPr="00FC2F1F">
        <w:rPr>
          <w:snapToGrid/>
          <w:szCs w:val="22"/>
          <w:lang w:val="el-GR"/>
        </w:rPr>
        <w:t xml:space="preserve">μένο προφίλ ασφαλείας για χρήση κατά τη διάρκεια της κύησης. Όταν διαγνωστεί </w:t>
      </w:r>
      <w:r w:rsidR="00916764">
        <w:rPr>
          <w:snapToGrid/>
          <w:szCs w:val="22"/>
          <w:lang w:val="el-GR"/>
        </w:rPr>
        <w:t>κύηση</w:t>
      </w:r>
      <w:r w:rsidRPr="00FC2F1F">
        <w:rPr>
          <w:snapToGrid/>
          <w:szCs w:val="22"/>
          <w:lang w:val="el-GR"/>
        </w:rPr>
        <w:t>, η αγωγή με ανταγωνιστές των υποδοχέων της αγγειοτενσίνης ΙΙ θα πρέπει να διακόπτεται αμέσως, και</w:t>
      </w:r>
      <w:r w:rsidR="007E477B">
        <w:rPr>
          <w:snapToGrid/>
          <w:szCs w:val="22"/>
          <w:lang w:val="el-GR"/>
        </w:rPr>
        <w:t>,</w:t>
      </w:r>
      <w:r w:rsidRPr="00FC2F1F">
        <w:rPr>
          <w:snapToGrid/>
          <w:szCs w:val="22"/>
          <w:lang w:val="el-GR"/>
        </w:rPr>
        <w:t xml:space="preserve"> εάν θεωρείται απαραίτητο</w:t>
      </w:r>
      <w:r w:rsidR="007E477B">
        <w:rPr>
          <w:snapToGrid/>
          <w:szCs w:val="22"/>
          <w:lang w:val="el-GR"/>
        </w:rPr>
        <w:t>,</w:t>
      </w:r>
      <w:r w:rsidRPr="00FC2F1F">
        <w:rPr>
          <w:snapToGrid/>
          <w:szCs w:val="22"/>
          <w:lang w:val="el-GR"/>
        </w:rPr>
        <w:t xml:space="preserve"> πρέπει να </w:t>
      </w:r>
      <w:r w:rsidR="007E477B">
        <w:rPr>
          <w:snapToGrid/>
          <w:szCs w:val="22"/>
          <w:lang w:val="el-GR"/>
        </w:rPr>
        <w:t>ξεκινά</w:t>
      </w:r>
      <w:r w:rsidRPr="00FC2F1F">
        <w:rPr>
          <w:snapToGrid/>
          <w:szCs w:val="22"/>
          <w:lang w:val="el-GR"/>
        </w:rPr>
        <w:t xml:space="preserve"> εναλλακτική αγωγή.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Έκθεση σε αγωγή με ανταγωνιστές των υποδοχέων της αγγειοτενσίνης ΙΙ κατά τη διάρκεια του δεύτερου και τρίτου τριμήνου της κύησης είναι γνωστό ότι προκαλεί εμβρυοτοξικότητα </w:t>
      </w:r>
      <w:r w:rsidR="00D630CD">
        <w:rPr>
          <w:snapToGrid/>
          <w:szCs w:val="22"/>
          <w:lang w:val="el-GR"/>
        </w:rPr>
        <w:t xml:space="preserve">στον άνθρωπο </w:t>
      </w:r>
      <w:r w:rsidRPr="00FC2F1F">
        <w:rPr>
          <w:snapToGrid/>
          <w:szCs w:val="22"/>
          <w:lang w:val="el-GR"/>
        </w:rPr>
        <w:t>(μειωμένη νεφρική λειτουργία, ολιγο</w:t>
      </w:r>
      <w:r w:rsidR="00D630CD">
        <w:rPr>
          <w:snapToGrid/>
          <w:szCs w:val="22"/>
          <w:lang w:val="el-GR"/>
        </w:rPr>
        <w:t>ϋ</w:t>
      </w:r>
      <w:r w:rsidRPr="00FC2F1F">
        <w:rPr>
          <w:snapToGrid/>
          <w:szCs w:val="22"/>
          <w:lang w:val="el-GR"/>
        </w:rPr>
        <w:t xml:space="preserve">δράμνιο, επιβράδυνση οστέωσης του κρανίου) και </w:t>
      </w:r>
      <w:r w:rsidR="00304566">
        <w:rPr>
          <w:snapToGrid/>
          <w:szCs w:val="22"/>
          <w:lang w:val="el-GR"/>
        </w:rPr>
        <w:t xml:space="preserve">νεογνική </w:t>
      </w:r>
      <w:r w:rsidRPr="00FC2F1F">
        <w:rPr>
          <w:snapToGrid/>
          <w:szCs w:val="22"/>
          <w:lang w:val="el-GR"/>
        </w:rPr>
        <w:t xml:space="preserve">τοξικότητα (νεφρική ανεπάρκεια, υπόταση, υπερκαλιαιμία) (Βλ. παράγραφο 5.3). Εάν η έκθεση σε ανταγωνιστές των υποδοχέων της αγγειοτενσίνης ΙΙ έχει γίνει </w:t>
      </w:r>
      <w:r w:rsidR="00D630CD">
        <w:rPr>
          <w:snapToGrid/>
          <w:szCs w:val="22"/>
          <w:lang w:val="el-GR"/>
        </w:rPr>
        <w:t xml:space="preserve">από </w:t>
      </w:r>
      <w:r w:rsidRPr="00FC2F1F">
        <w:rPr>
          <w:snapToGrid/>
          <w:szCs w:val="22"/>
          <w:lang w:val="el-GR"/>
        </w:rPr>
        <w:t xml:space="preserve">το δεύτερο τρίμηνο της κύησης, συνιστάται </w:t>
      </w:r>
      <w:r w:rsidR="00D630CD" w:rsidRPr="000151B8">
        <w:rPr>
          <w:szCs w:val="22"/>
          <w:lang w:val="el-GR"/>
        </w:rPr>
        <w:t>υπερηχογραφικός</w:t>
      </w:r>
      <w:r w:rsidR="00D630CD" w:rsidRPr="00FC2F1F">
        <w:rPr>
          <w:snapToGrid/>
          <w:szCs w:val="22"/>
          <w:lang w:val="el-GR"/>
        </w:rPr>
        <w:t xml:space="preserve"> </w:t>
      </w:r>
      <w:r w:rsidRPr="00FC2F1F">
        <w:rPr>
          <w:snapToGrid/>
          <w:szCs w:val="22"/>
          <w:lang w:val="el-GR"/>
        </w:rPr>
        <w:t>έλεγχος τη</w:t>
      </w:r>
      <w:r w:rsidR="00D630CD">
        <w:rPr>
          <w:snapToGrid/>
          <w:szCs w:val="22"/>
          <w:lang w:val="el-GR"/>
        </w:rPr>
        <w:t>ς</w:t>
      </w:r>
      <w:r w:rsidRPr="00FC2F1F">
        <w:rPr>
          <w:snapToGrid/>
          <w:szCs w:val="22"/>
          <w:lang w:val="el-GR"/>
        </w:rPr>
        <w:t xml:space="preserve"> νεφρική</w:t>
      </w:r>
      <w:r w:rsidR="00D630CD">
        <w:rPr>
          <w:snapToGrid/>
          <w:szCs w:val="22"/>
          <w:lang w:val="el-GR"/>
        </w:rPr>
        <w:t>ς</w:t>
      </w:r>
      <w:r w:rsidRPr="00FC2F1F">
        <w:rPr>
          <w:snapToGrid/>
          <w:szCs w:val="22"/>
          <w:lang w:val="el-GR"/>
        </w:rPr>
        <w:t xml:space="preserve"> λειτουργία</w:t>
      </w:r>
      <w:r w:rsidR="00D630CD">
        <w:rPr>
          <w:snapToGrid/>
          <w:szCs w:val="22"/>
          <w:lang w:val="el-GR"/>
        </w:rPr>
        <w:t>ς</w:t>
      </w:r>
      <w:r w:rsidRPr="00FC2F1F">
        <w:rPr>
          <w:snapToGrid/>
          <w:szCs w:val="22"/>
          <w:lang w:val="el-GR"/>
        </w:rPr>
        <w:t xml:space="preserve"> και το</w:t>
      </w:r>
      <w:r w:rsidR="00D630CD">
        <w:rPr>
          <w:snapToGrid/>
          <w:szCs w:val="22"/>
          <w:lang w:val="el-GR"/>
        </w:rPr>
        <w:t>υ</w:t>
      </w:r>
      <w:r w:rsidRPr="00FC2F1F">
        <w:rPr>
          <w:snapToGrid/>
          <w:szCs w:val="22"/>
          <w:lang w:val="el-GR"/>
        </w:rPr>
        <w:t xml:space="preserve"> κρανίο</w:t>
      </w:r>
      <w:r w:rsidR="00D630CD">
        <w:rPr>
          <w:snapToGrid/>
          <w:szCs w:val="22"/>
          <w:lang w:val="el-GR"/>
        </w:rPr>
        <w:t>υ</w:t>
      </w:r>
      <w:r w:rsidRPr="00FC2F1F">
        <w:rPr>
          <w:snapToGrid/>
          <w:szCs w:val="22"/>
          <w:lang w:val="el-GR"/>
        </w:rPr>
        <w:t>.</w:t>
      </w:r>
    </w:p>
    <w:p w:rsidR="00681191" w:rsidRPr="00FC2F1F" w:rsidRDefault="002454AB" w:rsidP="00681191">
      <w:pPr>
        <w:widowControl w:val="0"/>
        <w:tabs>
          <w:tab w:val="clear" w:pos="567"/>
        </w:tabs>
        <w:autoSpaceDE w:val="0"/>
        <w:autoSpaceDN w:val="0"/>
        <w:adjustRightInd w:val="0"/>
        <w:spacing w:line="240" w:lineRule="auto"/>
        <w:rPr>
          <w:snapToGrid/>
          <w:szCs w:val="22"/>
          <w:lang w:val="el-GR"/>
        </w:rPr>
      </w:pPr>
      <w:r>
        <w:rPr>
          <w:snapToGrid/>
          <w:szCs w:val="22"/>
          <w:lang w:val="el-GR"/>
        </w:rPr>
        <w:t>Βρέφη</w:t>
      </w:r>
      <w:r w:rsidR="00681191" w:rsidRPr="00FC2F1F">
        <w:rPr>
          <w:snapToGrid/>
          <w:szCs w:val="22"/>
          <w:lang w:val="el-GR"/>
        </w:rPr>
        <w:t xml:space="preserve"> των οποίων οι μητέρες έχουν λάβει ανταγωνιστές των υποδοχέων της αγγειοτενσίνης ΙΙ πρέπει να παρακολουθούνται στενά για υπόταση (βλ. παραγράφους 4.3 και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Υπάρχει περιορισμένη εμπειρία με την υδροχλωροθειαζίδη κατά την κύηση, ειδικά κατά το πρώτο τρίμηνο. Οι μελέτες σε ζώα είναι ανεπαρκείς. Η υδροχλωροθειαζίδη διαπερνά τον πλακούντα. Με βάση το φαρμακολογικό μηχανισμό δράσης της υδροχλωροθειαζίδης</w:t>
      </w:r>
      <w:r w:rsidR="005C266B">
        <w:rPr>
          <w:snapToGrid/>
          <w:szCs w:val="22"/>
          <w:lang w:val="el-GR"/>
        </w:rPr>
        <w:t>,</w:t>
      </w:r>
      <w:r w:rsidRPr="00FC2F1F">
        <w:rPr>
          <w:snapToGrid/>
          <w:szCs w:val="22"/>
          <w:lang w:val="el-GR"/>
        </w:rPr>
        <w:t xml:space="preserve"> η χρήση της κατά το δεύτερο και τρίτο τρίμηνο μπορεί να επηρεάσει την εμβρυο-πλακουντική αιμάτωση και μπορεί να προκαλέσει επιδράσεις στο έμβρυο και το νεογνό όπως ίκτερο, διαταραχή της ηλεκτρολυτικής ισορροπίας και θρομβοπενία.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δε</w:t>
      </w:r>
      <w:r w:rsidR="002454AB">
        <w:rPr>
          <w:snapToGrid/>
          <w:szCs w:val="22"/>
          <w:lang w:val="el-GR"/>
        </w:rPr>
        <w:t>ν</w:t>
      </w:r>
      <w:r w:rsidRPr="00FC2F1F">
        <w:rPr>
          <w:snapToGrid/>
          <w:szCs w:val="22"/>
          <w:lang w:val="el-GR"/>
        </w:rPr>
        <w:t xml:space="preserve"> θα πρέπει να χρησιμοποιείται σε οίδημα κατά την κύηση, υπέρταση κυήσεως ή προεκλαμψία εξαιτίας του κινδύνου μειωμένου όγκου του πλάσματος και πλακουντική</w:t>
      </w:r>
      <w:r w:rsidR="00CF6F7E">
        <w:rPr>
          <w:snapToGrid/>
          <w:szCs w:val="22"/>
          <w:lang w:val="el-GR"/>
        </w:rPr>
        <w:t>ς</w:t>
      </w:r>
      <w:r w:rsidRPr="00FC2F1F">
        <w:rPr>
          <w:snapToGrid/>
          <w:szCs w:val="22"/>
          <w:lang w:val="el-GR"/>
        </w:rPr>
        <w:t xml:space="preserve"> υποαιμάτωση</w:t>
      </w:r>
      <w:r w:rsidR="00CF6F7E">
        <w:rPr>
          <w:snapToGrid/>
          <w:szCs w:val="22"/>
          <w:lang w:val="el-GR"/>
        </w:rPr>
        <w:t>ς</w:t>
      </w:r>
      <w:r w:rsidRPr="00FC2F1F">
        <w:rPr>
          <w:snapToGrid/>
          <w:szCs w:val="22"/>
          <w:lang w:val="el-GR"/>
        </w:rPr>
        <w:t>, χωρίς ωφέλιμη επίδραση στην πορεία της νόσου.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δε</w:t>
      </w:r>
      <w:r w:rsidR="001078FC">
        <w:rPr>
          <w:snapToGrid/>
          <w:szCs w:val="22"/>
          <w:lang w:val="el-GR"/>
        </w:rPr>
        <w:t>ν</w:t>
      </w:r>
      <w:r w:rsidRPr="00FC2F1F">
        <w:rPr>
          <w:snapToGrid/>
          <w:szCs w:val="22"/>
          <w:lang w:val="el-GR"/>
        </w:rPr>
        <w:t xml:space="preserve"> θα πρέπει να χρησιμοποιείται για ιδιοπαθή υπέρταση σε έγκυες γυναίκες εκτός σπάνιων περιπτώσεων όπου δεν μπορεί να χρησιμοποιηθεί άλλη αγωγή.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Θηλασμός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Καθώς δεν υπάρχουν διαθέσιμα </w:t>
      </w:r>
      <w:r w:rsidR="00FE43B4">
        <w:rPr>
          <w:snapToGrid/>
          <w:szCs w:val="22"/>
          <w:lang w:val="el-GR"/>
        </w:rPr>
        <w:t>δεδομένα</w:t>
      </w:r>
      <w:r w:rsidRPr="00FC2F1F">
        <w:rPr>
          <w:snapToGrid/>
          <w:szCs w:val="22"/>
          <w:lang w:val="el-GR"/>
        </w:rPr>
        <w:t xml:space="preserve"> σχετικά με τη χρήση του </w:t>
      </w:r>
      <w:r w:rsidRPr="00FC2F1F">
        <w:rPr>
          <w:szCs w:val="22"/>
          <w:lang w:val="el-GR"/>
        </w:rPr>
        <w:t>Tolucombi</w:t>
      </w:r>
      <w:r w:rsidRPr="00FC2F1F">
        <w:rPr>
          <w:snapToGrid/>
          <w:szCs w:val="22"/>
          <w:lang w:val="el-GR"/>
        </w:rPr>
        <w:t xml:space="preserve"> κατά τη διάρκεια του θηλασμού, το </w:t>
      </w:r>
      <w:r w:rsidRPr="00FC2F1F">
        <w:rPr>
          <w:szCs w:val="22"/>
          <w:lang w:val="el-GR"/>
        </w:rPr>
        <w:t>Tolucombi</w:t>
      </w:r>
      <w:r w:rsidRPr="00FC2F1F">
        <w:rPr>
          <w:snapToGrid/>
          <w:szCs w:val="22"/>
          <w:lang w:val="el-GR"/>
        </w:rPr>
        <w:t xml:space="preserve"> δε</w:t>
      </w:r>
      <w:r w:rsidR="00FE43B4">
        <w:rPr>
          <w:snapToGrid/>
          <w:szCs w:val="22"/>
          <w:lang w:val="el-GR"/>
        </w:rPr>
        <w:t>ν</w:t>
      </w:r>
      <w:r w:rsidRPr="00FC2F1F">
        <w:rPr>
          <w:snapToGrid/>
          <w:szCs w:val="22"/>
          <w:lang w:val="el-GR"/>
        </w:rPr>
        <w:t xml:space="preserve"> συνιστάται και </w:t>
      </w:r>
      <w:r w:rsidR="00F83D40" w:rsidRPr="00FC2F1F">
        <w:rPr>
          <w:snapToGrid/>
          <w:szCs w:val="22"/>
          <w:lang w:val="el-GR"/>
        </w:rPr>
        <w:t xml:space="preserve">είναι προτιμητέες </w:t>
      </w:r>
      <w:r w:rsidRPr="00FC2F1F">
        <w:rPr>
          <w:snapToGrid/>
          <w:szCs w:val="22"/>
          <w:lang w:val="el-GR"/>
        </w:rPr>
        <w:t>εναλλακτικές θεραπείες με καλύτερα αποδεδειγμένα προφίλ ασφαλείας κατά τη διάρκεια του θηλασμού, ιδιαίτερα κατά το θηλασμό νεογνών ή πρόωρ</w:t>
      </w:r>
      <w:r w:rsidR="00FE43B4">
        <w:rPr>
          <w:snapToGrid/>
          <w:szCs w:val="22"/>
          <w:lang w:val="el-GR"/>
        </w:rPr>
        <w:t>ων</w:t>
      </w:r>
      <w:r w:rsidRPr="00FC2F1F">
        <w:rPr>
          <w:snapToGrid/>
          <w:szCs w:val="22"/>
          <w:lang w:val="el-GR"/>
        </w:rPr>
        <w:t xml:space="preserve"> βρεφών.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υδροχλωροθειαζίδη </w:t>
      </w:r>
      <w:r w:rsidR="00F83D40">
        <w:rPr>
          <w:snapToGrid/>
          <w:szCs w:val="22"/>
          <w:lang w:val="el-GR"/>
        </w:rPr>
        <w:t>απ</w:t>
      </w:r>
      <w:r w:rsidRPr="00FC2F1F">
        <w:rPr>
          <w:snapToGrid/>
          <w:szCs w:val="22"/>
          <w:lang w:val="el-GR"/>
        </w:rPr>
        <w:t xml:space="preserve">εκκρίνεται στο ανθρώπινο γάλα σε μικρές ποσότητες. Οι θειαζίδες σε μεγάλες δόσεις που προκαλούν έντονη διούρηση μπορεί να αναστείλλουν την παραγωγή γάλακτος. Η χρήση του </w:t>
      </w:r>
      <w:r w:rsidRPr="00FC2F1F">
        <w:rPr>
          <w:szCs w:val="22"/>
          <w:lang w:val="el-GR"/>
        </w:rPr>
        <w:t>Tolucombi</w:t>
      </w:r>
      <w:r w:rsidRPr="00FC2F1F">
        <w:rPr>
          <w:snapToGrid/>
          <w:szCs w:val="22"/>
          <w:lang w:val="el-GR"/>
        </w:rPr>
        <w:t xml:space="preserve"> κατά το θηλασμό δε</w:t>
      </w:r>
      <w:r w:rsidR="00F83D40">
        <w:rPr>
          <w:snapToGrid/>
          <w:szCs w:val="22"/>
          <w:lang w:val="el-GR"/>
        </w:rPr>
        <w:t>ν</w:t>
      </w:r>
      <w:r w:rsidRPr="00FC2F1F">
        <w:rPr>
          <w:snapToGrid/>
          <w:szCs w:val="22"/>
          <w:lang w:val="el-GR"/>
        </w:rPr>
        <w:t xml:space="preserve"> συνιστάται. Εάν το </w:t>
      </w:r>
      <w:r w:rsidRPr="00FC2F1F">
        <w:rPr>
          <w:szCs w:val="22"/>
          <w:lang w:val="el-GR"/>
        </w:rPr>
        <w:t>Tolucombi</w:t>
      </w:r>
      <w:r w:rsidRPr="00FC2F1F">
        <w:rPr>
          <w:snapToGrid/>
          <w:szCs w:val="22"/>
          <w:lang w:val="el-GR"/>
        </w:rPr>
        <w:t xml:space="preserve"> χρησιμοποιείται κατά το θηλασμό, οι δόσεις πρέπει να διατηρούνται όσο πιο χαμηλές γίνεται.</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Γονιμότητα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προκλινικές μελέτες, δεν παρατηρήθηκαν επιδράσεις της τελμισαρτάνης και της υδροχλωροθειαζίδης στην ανδρική και γυναικεία γονιμότητα.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4.7</w:t>
      </w:r>
      <w:r w:rsidRPr="00FC2F1F">
        <w:rPr>
          <w:b/>
          <w:noProof/>
          <w:szCs w:val="22"/>
          <w:lang w:val="el-GR"/>
        </w:rPr>
        <w:tab/>
        <w:t>Επιδράσεις στην ικανότητα οδήγησης και χειρισμού μηχαν</w:t>
      </w:r>
      <w:r w:rsidR="00E76C21">
        <w:rPr>
          <w:b/>
          <w:noProof/>
          <w:szCs w:val="22"/>
          <w:lang w:val="el-GR"/>
        </w:rPr>
        <w:t>ημάτων</w:t>
      </w:r>
    </w:p>
    <w:p w:rsidR="00681191" w:rsidRPr="00FC2F1F" w:rsidRDefault="00681191" w:rsidP="00681191">
      <w:pPr>
        <w:widowControl w:val="0"/>
        <w:spacing w:line="240" w:lineRule="auto"/>
        <w:rPr>
          <w:noProof/>
          <w:szCs w:val="22"/>
          <w:lang w:val="el-GR"/>
        </w:rPr>
      </w:pPr>
    </w:p>
    <w:p w:rsidR="00681191" w:rsidRDefault="001078FC" w:rsidP="00681191">
      <w:pPr>
        <w:widowControl w:val="0"/>
        <w:spacing w:line="240" w:lineRule="auto"/>
        <w:rPr>
          <w:noProof/>
          <w:szCs w:val="22"/>
          <w:lang w:val="el-GR"/>
        </w:rPr>
      </w:pPr>
      <w:r>
        <w:rPr>
          <w:snapToGrid/>
          <w:szCs w:val="22"/>
          <w:lang w:val="el-GR"/>
        </w:rPr>
        <w:t xml:space="preserve">Το </w:t>
      </w:r>
      <w:r>
        <w:rPr>
          <w:snapToGrid/>
          <w:szCs w:val="22"/>
          <w:lang w:val="en-US"/>
        </w:rPr>
        <w:t>Tolucombi</w:t>
      </w:r>
      <w:r w:rsidRPr="002210C0">
        <w:rPr>
          <w:snapToGrid/>
          <w:szCs w:val="22"/>
          <w:lang w:val="el-GR"/>
        </w:rPr>
        <w:t xml:space="preserve"> </w:t>
      </w:r>
      <w:r w:rsidRPr="001078FC">
        <w:rPr>
          <w:snapToGrid/>
          <w:szCs w:val="22"/>
          <w:lang w:val="el-GR"/>
        </w:rPr>
        <w:t xml:space="preserve">μπορεί να </w:t>
      </w:r>
      <w:r w:rsidR="00937847">
        <w:rPr>
          <w:snapToGrid/>
          <w:szCs w:val="22"/>
          <w:lang w:val="el-GR"/>
        </w:rPr>
        <w:t>έχει επίδραση</w:t>
      </w:r>
      <w:r>
        <w:rPr>
          <w:snapToGrid/>
          <w:szCs w:val="22"/>
          <w:lang w:val="el-GR"/>
        </w:rPr>
        <w:t xml:space="preserve"> </w:t>
      </w:r>
      <w:r w:rsidR="007E5D51">
        <w:rPr>
          <w:snapToGrid/>
          <w:szCs w:val="22"/>
          <w:lang w:val="el-GR"/>
        </w:rPr>
        <w:t>σ</w:t>
      </w:r>
      <w:r w:rsidRPr="001078FC">
        <w:rPr>
          <w:snapToGrid/>
          <w:szCs w:val="22"/>
          <w:lang w:val="el-GR"/>
        </w:rPr>
        <w:t xml:space="preserve">την ικανότητα οδήγησης και χειρισμού μηχανημάτων. Μπορεί να εμφανιστούν περιστασιακά ζάλη ή </w:t>
      </w:r>
      <w:r>
        <w:rPr>
          <w:snapToGrid/>
          <w:szCs w:val="22"/>
          <w:lang w:val="el-GR"/>
        </w:rPr>
        <w:t>υπνηλία</w:t>
      </w:r>
      <w:r w:rsidRPr="001078FC">
        <w:rPr>
          <w:snapToGrid/>
          <w:szCs w:val="22"/>
          <w:lang w:val="el-GR"/>
        </w:rPr>
        <w:t xml:space="preserve"> </w:t>
      </w:r>
      <w:r w:rsidR="00FE43B4">
        <w:rPr>
          <w:snapToGrid/>
          <w:szCs w:val="22"/>
          <w:lang w:val="el-GR"/>
        </w:rPr>
        <w:t xml:space="preserve">κατά τη λήψη του </w:t>
      </w:r>
      <w:r w:rsidR="00FE43B4">
        <w:rPr>
          <w:snapToGrid/>
          <w:szCs w:val="22"/>
          <w:lang w:val="en-US"/>
        </w:rPr>
        <w:t>Tolucombi</w:t>
      </w:r>
      <w:r w:rsidR="00FE43B4" w:rsidRPr="002210C0">
        <w:rPr>
          <w:snapToGrid/>
          <w:szCs w:val="22"/>
          <w:lang w:val="el-GR"/>
        </w:rPr>
        <w:t>.</w:t>
      </w:r>
    </w:p>
    <w:p w:rsidR="003E7666" w:rsidRPr="00FC2F1F" w:rsidRDefault="003E7666" w:rsidP="00681191">
      <w:pPr>
        <w:widowControl w:val="0"/>
        <w:spacing w:line="240" w:lineRule="auto"/>
        <w:rPr>
          <w:noProof/>
          <w:szCs w:val="22"/>
          <w:lang w:val="el-GR"/>
        </w:rPr>
      </w:pPr>
    </w:p>
    <w:bookmarkEnd w:id="6"/>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4.8</w:t>
      </w:r>
      <w:r w:rsidRPr="00FC2F1F">
        <w:rPr>
          <w:b/>
          <w:noProof/>
          <w:szCs w:val="22"/>
          <w:lang w:val="el-GR"/>
        </w:rPr>
        <w:tab/>
        <w:t>Ανεπιθύμητες ενέργειες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iCs/>
          <w:snapToGrid/>
          <w:szCs w:val="22"/>
          <w:u w:val="single"/>
          <w:lang w:val="el-GR"/>
        </w:rPr>
      </w:pPr>
      <w:r w:rsidRPr="00FC2F1F">
        <w:rPr>
          <w:iCs/>
          <w:snapToGrid/>
          <w:szCs w:val="22"/>
          <w:u w:val="single"/>
          <w:lang w:val="el-GR"/>
        </w:rPr>
        <w:t>Περίληψη του προφίλ ασφαλείας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πιο συχνά αναφερθείσα ανεπιθύμητη ενέργεια είναι η ζάλη. Σπάνια μπορεί να συμβεί σοβαρό αγγειοοίδημα (≥1/10.000 έως &lt;1/1.000).</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συνολική συχνότητα εμφάνισης ανεπιθύμητων ενεργειών που αναφέρθηκε με το </w:t>
      </w:r>
      <w:r w:rsidRPr="00FC2F1F">
        <w:rPr>
          <w:szCs w:val="22"/>
          <w:lang w:val="el-GR"/>
        </w:rPr>
        <w:t>Tolucombi</w:t>
      </w:r>
      <w:r w:rsidRPr="00FC2F1F">
        <w:rPr>
          <w:snapToGrid/>
          <w:szCs w:val="22"/>
          <w:lang w:val="el-GR"/>
        </w:rPr>
        <w:t xml:space="preserve"> ήταν συγκρίσιμη με αυτή που αναφέρθηκε για τη μονοθεραπεία τελμισαρτάνης σε τυχαιοποιημένες ελεγχόμενες δοκιμές που περιέλαβαν 1</w:t>
      </w:r>
      <w:r w:rsidR="00201FC7">
        <w:rPr>
          <w:snapToGrid/>
          <w:szCs w:val="22"/>
          <w:lang w:val="el-GR"/>
        </w:rPr>
        <w:t>.</w:t>
      </w:r>
      <w:r w:rsidRPr="00FC2F1F">
        <w:rPr>
          <w:snapToGrid/>
          <w:szCs w:val="22"/>
          <w:lang w:val="el-GR"/>
        </w:rPr>
        <w:t xml:space="preserve">471 ασθενείς </w:t>
      </w:r>
      <w:r w:rsidR="0088614B">
        <w:rPr>
          <w:snapToGrid/>
          <w:szCs w:val="22"/>
          <w:lang w:val="el-GR"/>
        </w:rPr>
        <w:t>οι οποίοι</w:t>
      </w:r>
      <w:r w:rsidRPr="00FC2F1F">
        <w:rPr>
          <w:snapToGrid/>
          <w:szCs w:val="22"/>
          <w:lang w:val="el-GR"/>
        </w:rPr>
        <w:t xml:space="preserve"> τυχαιοποιήθηκ</w:t>
      </w:r>
      <w:r w:rsidR="00720EDB">
        <w:rPr>
          <w:snapToGrid/>
          <w:szCs w:val="22"/>
          <w:lang w:val="el-GR"/>
        </w:rPr>
        <w:t>αν</w:t>
      </w:r>
      <w:r w:rsidRPr="00FC2F1F">
        <w:rPr>
          <w:snapToGrid/>
          <w:szCs w:val="22"/>
          <w:lang w:val="el-GR"/>
        </w:rPr>
        <w:t xml:space="preserve"> να λαμβάνουν τελμισαρτάνη μαζί με υδροχλωροθειαζίδη (835) ή μονοθεραπεία τελμισαρτάνης (636). Συσχέτιση δόσης και ανεπιθύμητων ενεργειών δεν αποδείχθηκε και οι ανεπιθύμητες ενέργειες δεν παρουσίασαν συσχέτιση με το φύλο, την ηλικία ή τη φυλή των ασθενών.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253A49" w:rsidP="00681191">
      <w:pPr>
        <w:widowControl w:val="0"/>
        <w:tabs>
          <w:tab w:val="clear" w:pos="567"/>
        </w:tabs>
        <w:autoSpaceDE w:val="0"/>
        <w:autoSpaceDN w:val="0"/>
        <w:adjustRightInd w:val="0"/>
        <w:spacing w:line="240" w:lineRule="auto"/>
        <w:rPr>
          <w:iCs/>
          <w:snapToGrid/>
          <w:szCs w:val="22"/>
          <w:u w:val="single"/>
          <w:lang w:val="el-GR"/>
        </w:rPr>
      </w:pPr>
      <w:r>
        <w:rPr>
          <w:iCs/>
          <w:snapToGrid/>
          <w:szCs w:val="22"/>
          <w:u w:val="single"/>
          <w:lang w:val="el-GR"/>
        </w:rPr>
        <w:t>Κατάλογος</w:t>
      </w:r>
      <w:r w:rsidR="00681191" w:rsidRPr="00FC2F1F">
        <w:rPr>
          <w:iCs/>
          <w:snapToGrid/>
          <w:szCs w:val="22"/>
          <w:u w:val="single"/>
          <w:lang w:val="el-GR"/>
        </w:rPr>
        <w:t xml:space="preserve"> των ανεπιθύμητων ενεργειών σε μορφή πίνακα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ανεπιθύμητες ενέργειες που αναφέρθηκαν σε όλες τις κλινικές δοκιμές και παρουσιάζονται πιο συχνά (p </w:t>
      </w:r>
      <w:r w:rsidRPr="00FC2F1F">
        <w:rPr>
          <w:szCs w:val="22"/>
          <w:lang w:val="el-GR"/>
        </w:rPr>
        <w:t>≤</w:t>
      </w:r>
      <w:r w:rsidRPr="00FC2F1F">
        <w:rPr>
          <w:snapToGrid/>
          <w:szCs w:val="22"/>
          <w:lang w:val="el-GR"/>
        </w:rPr>
        <w:t xml:space="preserve">0,05) με τελμισαρτάνη μαζί με υδροχλωροθειαζίδη παρά με το εικονικό φάρμακο αναγράφονται παρακάτω ανάλογα με το οργανικό σύστημα. Οι ανεπιθύμητες ενέργειες που είναι γνωστό ότι εμφανίζονται με κάθε δραστικό συστατικό όταν χορηγείται ως μονοθεραπεία αλλά οι οποίες δεν έχουν αναφερθεί σε κλινικές δοκιμές μπορεί να εμφανιστούν κατά τη θεραπεία με </w:t>
      </w:r>
      <w:r w:rsidRPr="00FC2F1F">
        <w:rPr>
          <w:szCs w:val="22"/>
          <w:lang w:val="el-GR"/>
        </w:rPr>
        <w:t>Tolucombi</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ανεπιθύμητες ενέργειες έχουν ταξινομηθεί σε κατηγορίες συχνότητας χρησιμοποιώντας την ακόλουθη συνθήκη: πολύ συχνές (</w:t>
      </w:r>
      <w:r w:rsidRPr="00FC2F1F">
        <w:rPr>
          <w:szCs w:val="22"/>
          <w:lang w:val="el-GR"/>
        </w:rPr>
        <w:t>≥</w:t>
      </w:r>
      <w:r w:rsidRPr="00FC2F1F">
        <w:rPr>
          <w:snapToGrid/>
          <w:szCs w:val="22"/>
          <w:lang w:val="el-GR"/>
        </w:rPr>
        <w:t>1/10), συχνές (</w:t>
      </w:r>
      <w:r w:rsidRPr="00FC2F1F">
        <w:rPr>
          <w:szCs w:val="22"/>
          <w:lang w:val="el-GR"/>
        </w:rPr>
        <w:t>≥</w:t>
      </w:r>
      <w:r w:rsidRPr="00FC2F1F">
        <w:rPr>
          <w:snapToGrid/>
          <w:szCs w:val="22"/>
          <w:lang w:val="el-GR"/>
        </w:rPr>
        <w:t>1/100 έως &lt;1/10), όχι συχνές (</w:t>
      </w:r>
      <w:r w:rsidRPr="00FC2F1F">
        <w:rPr>
          <w:szCs w:val="22"/>
          <w:lang w:val="el-GR"/>
        </w:rPr>
        <w:t>≥</w:t>
      </w:r>
      <w:r w:rsidRPr="00FC2F1F">
        <w:rPr>
          <w:snapToGrid/>
          <w:szCs w:val="22"/>
          <w:lang w:val="el-GR"/>
        </w:rPr>
        <w:t>1/1.000 έως &lt;1/100), σπάνιες (</w:t>
      </w:r>
      <w:r w:rsidRPr="00FC2F1F">
        <w:rPr>
          <w:szCs w:val="22"/>
          <w:lang w:val="el-GR"/>
        </w:rPr>
        <w:t>≥</w:t>
      </w:r>
      <w:r w:rsidRPr="00FC2F1F">
        <w:rPr>
          <w:snapToGrid/>
          <w:szCs w:val="22"/>
          <w:lang w:val="el-GR"/>
        </w:rPr>
        <w:t>1/10.000 έως &lt;1/1.000), πολύ σπάνιες (&lt;1/10.000), μη γνωστές (δεν μπορούν να εκτιμηθούν με βάση τα διαθέσιμα δεδομένα).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Εντός κάθε κατηγορίας συχνότητας εμφάνισης, οι ανεπιθύμητες ενέργειες παρατίθενται κατά σειρά </w:t>
      </w:r>
      <w:r w:rsidR="009E6AE9">
        <w:rPr>
          <w:snapToGrid/>
          <w:szCs w:val="22"/>
          <w:lang w:val="el-GR"/>
        </w:rPr>
        <w:t xml:space="preserve">φθίνουσας </w:t>
      </w:r>
      <w:r w:rsidRPr="00FC2F1F">
        <w:rPr>
          <w:snapToGrid/>
          <w:szCs w:val="22"/>
          <w:lang w:val="el-GR"/>
        </w:rPr>
        <w:t>σοβαρότητας.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Λοιμώξεις και παρασιτώσεις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Βρογχίτιδα, φαρυγγίτιδα, παραρρινοκολπίτιδα</w:t>
      </w:r>
    </w:p>
    <w:p w:rsidR="00681191" w:rsidRPr="00203E6C" w:rsidRDefault="00681191" w:rsidP="00681191">
      <w:pPr>
        <w:widowControl w:val="0"/>
        <w:tabs>
          <w:tab w:val="clear" w:pos="567"/>
          <w:tab w:val="left" w:pos="2127"/>
          <w:tab w:val="left" w:pos="297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ανοσοποιητικού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Παρόξυνση ή ενεργοποίηση συστηματικού ερυθηματώδους λύκου</w:t>
      </w:r>
      <w:r w:rsidRPr="00FC2F1F">
        <w:rPr>
          <w:snapToGrid/>
          <w:szCs w:val="22"/>
          <w:vertAlign w:val="superscript"/>
          <w:lang w:val="el-GR"/>
        </w:rPr>
        <w:t>1</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μεταβολισμού και της θρέψης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Υποκαλιαιμία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Υπερουριχαιμία, υπονατριαιμία</w:t>
      </w:r>
    </w:p>
    <w:p w:rsidR="00681191" w:rsidRPr="00203E6C" w:rsidRDefault="00681191" w:rsidP="00681191">
      <w:pPr>
        <w:widowControl w:val="0"/>
        <w:tabs>
          <w:tab w:val="clear" w:pos="567"/>
          <w:tab w:val="left" w:pos="2127"/>
          <w:tab w:val="left" w:pos="297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Ψυχιατρικές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Άγχος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Κατάθλιψη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νευρικού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Συχνές: </w:t>
      </w:r>
      <w:r w:rsidRPr="00FC2F1F">
        <w:rPr>
          <w:snapToGrid/>
          <w:szCs w:val="22"/>
          <w:lang w:val="el-GR"/>
        </w:rPr>
        <w:tab/>
        <w:t>Ζάλη</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Συγκοπή, παραισθησία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Αϋπνία, διαταραχές ύπνου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Οφθαλμικές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Οπτική διαταραχή, θάμβος οράσεως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ωτός και του λαβυρίνθου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Ίλιγγος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Καρδιακές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Ταχυκαρδία, αρρυθμίες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Αγγειακές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Υπόταση, ορθοστατική υπόταση</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αναπνευστικού συστήματος, του θώρακα και του μεσοθωρ</w:t>
      </w:r>
      <w:r w:rsidR="002A37AC">
        <w:rPr>
          <w:snapToGrid/>
          <w:szCs w:val="22"/>
          <w:lang w:val="el-GR"/>
        </w:rPr>
        <w:t>ά</w:t>
      </w:r>
      <w:r w:rsidRPr="00FC2F1F">
        <w:rPr>
          <w:snapToGrid/>
          <w:szCs w:val="22"/>
          <w:lang w:val="el-GR"/>
        </w:rPr>
        <w:t>κ</w:t>
      </w:r>
      <w:r w:rsidR="002A37AC">
        <w:rPr>
          <w:snapToGrid/>
          <w:szCs w:val="22"/>
          <w:lang w:val="el-GR"/>
        </w:rPr>
        <w:t>ι</w:t>
      </w:r>
      <w:r w:rsidRPr="00FC2F1F">
        <w:rPr>
          <w:snapToGrid/>
          <w:szCs w:val="22"/>
          <w:lang w:val="el-GR"/>
        </w:rPr>
        <w:t>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Δύσπνοια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6" w:hanging="1275"/>
        <w:rPr>
          <w:snapToGrid/>
          <w:szCs w:val="22"/>
          <w:lang w:val="el-GR"/>
        </w:rPr>
      </w:pPr>
      <w:r w:rsidRPr="00FC2F1F">
        <w:rPr>
          <w:snapToGrid/>
          <w:szCs w:val="22"/>
          <w:lang w:val="el-GR"/>
        </w:rPr>
        <w:t xml:space="preserve">Σπάνιες: </w:t>
      </w:r>
      <w:r w:rsidRPr="00FC2F1F">
        <w:rPr>
          <w:snapToGrid/>
          <w:szCs w:val="22"/>
          <w:lang w:val="el-GR"/>
        </w:rPr>
        <w:tab/>
        <w:t>Αναπνευστική δυσχέρεια (περιλαμβανομένων πνευμονίτιδας και πνευμονικού οιδήματος)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γαστρεντερικού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Διάρροια, ξηροστομία, μετεωρισμός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Κοιλιακός πόνος, δυσκοιλιότητα, δυσπεψία, έμετος, γαστρίτιδα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ήπατος και των χοληφόρων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r>
      <w:r w:rsidR="009E6AE9">
        <w:rPr>
          <w:snapToGrid/>
          <w:szCs w:val="22"/>
          <w:lang w:val="el-GR"/>
        </w:rPr>
        <w:t>Μη φυσι</w:t>
      </w:r>
      <w:r w:rsidRPr="00FC2F1F">
        <w:rPr>
          <w:snapToGrid/>
          <w:szCs w:val="22"/>
          <w:lang w:val="el-GR"/>
        </w:rPr>
        <w:t>ολογική ηπατική λειτουργία/ηπατική διαταραχή</w:t>
      </w:r>
      <w:r w:rsidRPr="00FC2F1F">
        <w:rPr>
          <w:snapToGrid/>
          <w:szCs w:val="22"/>
          <w:vertAlign w:val="superscript"/>
          <w:lang w:val="el-GR"/>
        </w:rPr>
        <w:t>2</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δέρματος και του υποδόριου ιστού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6" w:hanging="1275"/>
        <w:rPr>
          <w:snapToGrid/>
          <w:szCs w:val="22"/>
          <w:lang w:val="el-GR"/>
        </w:rPr>
      </w:pPr>
      <w:r w:rsidRPr="00FC2F1F">
        <w:rPr>
          <w:snapToGrid/>
          <w:szCs w:val="22"/>
          <w:lang w:val="el-GR"/>
        </w:rPr>
        <w:t xml:space="preserve">Σπάνιες: </w:t>
      </w:r>
      <w:r w:rsidRPr="00FC2F1F">
        <w:rPr>
          <w:snapToGrid/>
          <w:szCs w:val="22"/>
          <w:lang w:val="el-GR"/>
        </w:rPr>
        <w:tab/>
        <w:t>Αγγειοοίδημα (ακόμη και με θανατηφόρα έκβαση), ερύθημα, κνησμός, εξάνθημα, υπεριδρωσία, κνίδωση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μυοσκελετικού συστήματος, του συνδετικού ιστού και των οστών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Οσφυαλγία, μυϊκοί σπασμοί, μυαλγία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Αρθραλγία, μυϊκές κράμπες, πόνος σε άκρο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αναπαραγωγικού συστήματος και του μαστού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Στυτική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Γενικές διαταραχές και καταστάσεις της οδού χορήγησης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Θωρακικός πόνος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Γριππώδης συνδρομή, πόνος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Παρακλινικές εξετάσεις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Αυξημένο ουρικό οξύ αίματος</w:t>
      </w:r>
    </w:p>
    <w:p w:rsidR="00681191" w:rsidRPr="00FC2F1F" w:rsidRDefault="00681191" w:rsidP="002210C0">
      <w:pPr>
        <w:widowControl w:val="0"/>
        <w:tabs>
          <w:tab w:val="clear" w:pos="567"/>
          <w:tab w:val="left" w:pos="2127"/>
          <w:tab w:val="left" w:pos="2977"/>
        </w:tabs>
        <w:autoSpaceDE w:val="0"/>
        <w:autoSpaceDN w:val="0"/>
        <w:adjustRightInd w:val="0"/>
        <w:spacing w:line="240" w:lineRule="auto"/>
        <w:ind w:left="2126" w:hanging="1275"/>
        <w:rPr>
          <w:snapToGrid/>
          <w:szCs w:val="22"/>
          <w:lang w:val="el-GR"/>
        </w:rPr>
      </w:pPr>
      <w:r w:rsidRPr="00FC2F1F">
        <w:rPr>
          <w:snapToGrid/>
          <w:szCs w:val="22"/>
          <w:lang w:val="el-GR"/>
        </w:rPr>
        <w:t xml:space="preserve">Σπάνιες: </w:t>
      </w:r>
      <w:r w:rsidRPr="00FC2F1F">
        <w:rPr>
          <w:snapToGrid/>
          <w:szCs w:val="22"/>
          <w:lang w:val="el-GR"/>
        </w:rPr>
        <w:tab/>
        <w:t>Αυξημένη κρεατινίνη αίματος, αυξημένη κρεατινοφωσφοκινάση αίματος, αύξηση ηπατικού ενζύμου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1: Με βάση την εμπειρία </w:t>
      </w:r>
      <w:r w:rsidR="003D7795">
        <w:rPr>
          <w:snapToGrid/>
          <w:szCs w:val="22"/>
          <w:lang w:val="el-GR"/>
        </w:rPr>
        <w:t xml:space="preserve">από </w:t>
      </w:r>
      <w:r w:rsidR="00EC3F7A">
        <w:rPr>
          <w:snapToGrid/>
          <w:szCs w:val="22"/>
          <w:lang w:val="el-GR"/>
        </w:rPr>
        <w:t xml:space="preserve">τη </w:t>
      </w:r>
      <w:r w:rsidRPr="00FC2F1F">
        <w:rPr>
          <w:snapToGrid/>
          <w:szCs w:val="22"/>
          <w:lang w:val="el-GR"/>
        </w:rPr>
        <w:t>μετά την κυκλοφορία</w:t>
      </w:r>
      <w:r w:rsidR="00EC3F7A">
        <w:rPr>
          <w:snapToGrid/>
          <w:szCs w:val="22"/>
          <w:lang w:val="el-GR"/>
        </w:rPr>
        <w:t xml:space="preserve"> του προϊόντος</w:t>
      </w: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r w:rsidRPr="00FC2F1F">
        <w:rPr>
          <w:snapToGrid/>
          <w:szCs w:val="22"/>
          <w:lang w:val="el-GR"/>
        </w:rPr>
        <w:t>2: Για περαιτέρω περιγραφή, δείτε την υπο-παράγραφο “</w:t>
      </w:r>
      <w:r w:rsidRPr="00FC2F1F">
        <w:rPr>
          <w:i/>
          <w:iCs/>
          <w:snapToGrid/>
          <w:szCs w:val="22"/>
          <w:lang w:val="el-GR"/>
        </w:rPr>
        <w:t>Περιγραφή επιλεγμένων ανεπιθύμητων ενεργειών”.</w:t>
      </w: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r w:rsidRPr="00FC2F1F">
        <w:rPr>
          <w:i/>
          <w:iCs/>
          <w:snapToGrid/>
          <w:szCs w:val="22"/>
          <w:lang w:val="el-GR"/>
        </w:rPr>
        <w:t>Eπιπρόσθετες πληροφορίες για τα μεμονωμένα συστατικά</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Ανεπιθύμητες ενέργειες που έχουν αναφερθεί προηγουμένως για κάποιο από τα μεμονωμένα συστατικά μπορεί να αποτελούν πιθανές ανεπιθύμητες ενέργειες για το </w:t>
      </w:r>
      <w:r w:rsidRPr="00FC2F1F">
        <w:rPr>
          <w:szCs w:val="22"/>
          <w:lang w:val="el-GR"/>
        </w:rPr>
        <w:t>Tolucombi</w:t>
      </w:r>
      <w:r w:rsidRPr="00FC2F1F">
        <w:rPr>
          <w:snapToGrid/>
          <w:szCs w:val="22"/>
          <w:lang w:val="el-GR"/>
        </w:rPr>
        <w:t>, ακόμη και εάν δεν παρατηρήθηκαν στις κλινικές δοκιμές με αυτό το προϊόν.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Τελμισαρτάνη: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Aνεπιθύμητες ενέργειες εμφανίσθηκαν με παρόμοια συχνότητα σε ασθενείς που έλαβαν εικονικό φάρμακο και τελμισαρτάνη.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συνολική συχνότητα εμφάνισης ανεπιθύμητων ενεργειών που αναφέρθηκ</w:t>
      </w:r>
      <w:r w:rsidR="00A85802">
        <w:rPr>
          <w:snapToGrid/>
          <w:szCs w:val="22"/>
          <w:lang w:val="el-GR"/>
        </w:rPr>
        <w:t>αν</w:t>
      </w:r>
      <w:r w:rsidRPr="00FC2F1F">
        <w:rPr>
          <w:snapToGrid/>
          <w:szCs w:val="22"/>
          <w:lang w:val="el-GR"/>
        </w:rPr>
        <w:t xml:space="preserve"> με την τελμισαρτάνη (41,4</w:t>
      </w:r>
      <w:r w:rsidR="00EC3F7A">
        <w:rPr>
          <w:snapToGrid/>
          <w:szCs w:val="22"/>
          <w:lang w:val="el-GR"/>
        </w:rPr>
        <w:t> </w:t>
      </w:r>
      <w:r w:rsidRPr="00FC2F1F">
        <w:rPr>
          <w:snapToGrid/>
          <w:szCs w:val="22"/>
          <w:lang w:val="el-GR"/>
        </w:rPr>
        <w:t>%) ήταν συνήθως συγκρίσιμη με το εικονικό φάρμακο (43,9</w:t>
      </w:r>
      <w:r w:rsidR="00EC3F7A">
        <w:rPr>
          <w:snapToGrid/>
          <w:szCs w:val="22"/>
          <w:lang w:val="el-GR"/>
        </w:rPr>
        <w:t> </w:t>
      </w:r>
      <w:r w:rsidRPr="00FC2F1F">
        <w:rPr>
          <w:snapToGrid/>
          <w:szCs w:val="22"/>
          <w:lang w:val="el-GR"/>
        </w:rPr>
        <w:t xml:space="preserve">%) σε δοκιμές ελεγχόμενες με εικονικό φάρμακο. Οι ακόλουθες ανεπιθύμητες ενέργειες που </w:t>
      </w:r>
      <w:r w:rsidR="00497F99">
        <w:rPr>
          <w:snapToGrid/>
          <w:szCs w:val="22"/>
          <w:lang w:val="el-GR"/>
        </w:rPr>
        <w:t>παρατίθενται</w:t>
      </w:r>
      <w:r w:rsidRPr="00FC2F1F">
        <w:rPr>
          <w:snapToGrid/>
          <w:szCs w:val="22"/>
          <w:lang w:val="el-GR"/>
        </w:rPr>
        <w:t xml:space="preserve"> παρακάτω έχουν </w:t>
      </w:r>
      <w:r w:rsidR="00497F99">
        <w:rPr>
          <w:snapToGrid/>
          <w:szCs w:val="22"/>
          <w:lang w:val="el-GR"/>
        </w:rPr>
        <w:t>συγκεντρωθεί</w:t>
      </w:r>
      <w:r w:rsidRPr="00FC2F1F">
        <w:rPr>
          <w:snapToGrid/>
          <w:szCs w:val="22"/>
          <w:lang w:val="el-GR"/>
        </w:rPr>
        <w:t xml:space="preserve"> από όλες τις κλινικές δοκιμές σε ασθενείς που έλαβαν αγωγή με τελμισαρτάνη για υπέρταση ή σε ασθενείς </w:t>
      </w:r>
      <w:r w:rsidR="00497F99">
        <w:rPr>
          <w:snapToGrid/>
          <w:szCs w:val="22"/>
          <w:lang w:val="el-GR"/>
        </w:rPr>
        <w:t xml:space="preserve">ηλικίας </w:t>
      </w:r>
      <w:r w:rsidRPr="00FC2F1F">
        <w:rPr>
          <w:snapToGrid/>
          <w:szCs w:val="22"/>
          <w:lang w:val="el-GR"/>
        </w:rPr>
        <w:t>50 ετών ή μεγαλύτερους σε υψηλό κίνδυνο καρδιαγγειακών επεισοδίων.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Λοιμώξεις και παρασιτώσεις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 xml:space="preserve">Όχι συχνές: </w:t>
      </w:r>
      <w:r w:rsidRPr="00FC2F1F">
        <w:rPr>
          <w:snapToGrid/>
          <w:szCs w:val="22"/>
          <w:lang w:val="el-GR"/>
        </w:rPr>
        <w:tab/>
        <w:t>Λοίμωξη του ανώτερου αναπνευστικού συστήματος, ουρολοίμωξη</w:t>
      </w:r>
      <w:r>
        <w:rPr>
          <w:snapToGrid/>
          <w:szCs w:val="22"/>
          <w:lang w:val="sl-SI"/>
        </w:rPr>
        <w:t xml:space="preserve"> </w:t>
      </w:r>
      <w:r w:rsidRPr="00FC2F1F">
        <w:rPr>
          <w:snapToGrid/>
          <w:szCs w:val="22"/>
          <w:lang w:val="el-GR"/>
        </w:rPr>
        <w:t>συμπεριλαμβανομένης της κυστίτιδας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Σήψη συμπεριλαμβανομένης θανατηφόρας έκβασης</w:t>
      </w:r>
      <w:r w:rsidRPr="00FC2F1F">
        <w:rPr>
          <w:snapToGrid/>
          <w:szCs w:val="22"/>
          <w:vertAlign w:val="superscript"/>
          <w:lang w:val="el-GR"/>
        </w:rPr>
        <w:t>3</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αιμοποιητικού και του λεμφικού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Αναιμία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Ηωσινοφιλία, θρομβοπενία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ανοσοποιητικού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Υπερευαισθησία, αναφυλακτικές αντιδράσεις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μεταβολισμού και της θρέψης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Υπερκαλιαιμία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Υπογλυκαιμία (σε διαβητικούς ασθενείς)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Καρδιακές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Βραδυκαρδία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Διαταραχές </w:t>
      </w:r>
      <w:r w:rsidR="00F76CC7">
        <w:rPr>
          <w:snapToGrid/>
          <w:szCs w:val="22"/>
          <w:lang w:val="el-GR"/>
        </w:rPr>
        <w:t xml:space="preserve">του </w:t>
      </w:r>
      <w:r w:rsidRPr="00FC2F1F">
        <w:rPr>
          <w:snapToGrid/>
          <w:szCs w:val="22"/>
          <w:lang w:val="el-GR"/>
        </w:rPr>
        <w:t>νευρικού συστήματος</w:t>
      </w:r>
    </w:p>
    <w:p w:rsidR="00681191" w:rsidRPr="00FC2F1F" w:rsidRDefault="00681191" w:rsidP="00681191">
      <w:pPr>
        <w:widowControl w:val="0"/>
        <w:tabs>
          <w:tab w:val="clear" w:pos="567"/>
          <w:tab w:val="left" w:pos="2127"/>
        </w:tabs>
        <w:autoSpaceDE w:val="0"/>
        <w:autoSpaceDN w:val="0"/>
        <w:adjustRightInd w:val="0"/>
        <w:spacing w:line="240" w:lineRule="auto"/>
        <w:ind w:left="851"/>
        <w:rPr>
          <w:snapToGrid/>
          <w:szCs w:val="22"/>
          <w:lang w:val="el-GR"/>
        </w:rPr>
      </w:pPr>
      <w:r w:rsidRPr="00FC2F1F">
        <w:rPr>
          <w:snapToGrid/>
          <w:szCs w:val="22"/>
          <w:lang w:val="el-GR"/>
        </w:rPr>
        <w:t>Σπάνιες:</w:t>
      </w:r>
      <w:r w:rsidRPr="00FC2F1F">
        <w:rPr>
          <w:snapToGrid/>
          <w:szCs w:val="22"/>
          <w:lang w:val="el-GR"/>
        </w:rPr>
        <w:tab/>
        <w:t>Υπνηλία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2A37AC" w:rsidRPr="002A37AC" w:rsidRDefault="002A37AC" w:rsidP="002A37AC">
      <w:pPr>
        <w:widowControl w:val="0"/>
        <w:tabs>
          <w:tab w:val="clear" w:pos="567"/>
        </w:tabs>
        <w:autoSpaceDE w:val="0"/>
        <w:autoSpaceDN w:val="0"/>
        <w:adjustRightInd w:val="0"/>
        <w:spacing w:line="240" w:lineRule="auto"/>
        <w:rPr>
          <w:snapToGrid/>
          <w:szCs w:val="22"/>
          <w:lang w:val="el-GR"/>
        </w:rPr>
      </w:pPr>
      <w:r w:rsidRPr="002A37AC">
        <w:rPr>
          <w:snapToGrid/>
          <w:szCs w:val="22"/>
          <w:lang w:val="el-GR"/>
        </w:rPr>
        <w:t>Διαταραχές του αναπνευστικού συστήμα</w:t>
      </w:r>
      <w:r>
        <w:rPr>
          <w:snapToGrid/>
          <w:szCs w:val="22"/>
          <w:lang w:val="el-GR"/>
        </w:rPr>
        <w:t>τος, του θώρακα και του μεσοθωράκι</w:t>
      </w:r>
      <w:r w:rsidRPr="002A37AC">
        <w:rPr>
          <w:snapToGrid/>
          <w:szCs w:val="22"/>
          <w:lang w:val="el-GR"/>
        </w:rPr>
        <w:t>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Bήχας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Πολύ σπάνιες: Διάμεση πνευμονοπάθεια</w:t>
      </w:r>
      <w:r w:rsidRPr="00FC2F1F">
        <w:rPr>
          <w:snapToGrid/>
          <w:szCs w:val="22"/>
          <w:vertAlign w:val="superscript"/>
          <w:lang w:val="el-GR"/>
        </w:rPr>
        <w:t>3</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γαστρεντερικού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Δυσφορία στομάχου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δέρματος και του υποδόριου ιστού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Έκζεμα, φαρμακευτικό εξάνθημα, τοξικό εξάνθημα δέρματος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Διαταραχές του μυοσκελετικού συστήματος, του συνδετικού ιστού και </w:t>
      </w:r>
      <w:r w:rsidR="00971C26">
        <w:rPr>
          <w:snapToGrid/>
          <w:szCs w:val="22"/>
          <w:lang w:val="el-GR"/>
        </w:rPr>
        <w:t xml:space="preserve">των </w:t>
      </w:r>
      <w:r w:rsidRPr="00FC2F1F">
        <w:rPr>
          <w:snapToGrid/>
          <w:szCs w:val="22"/>
          <w:lang w:val="el-GR"/>
        </w:rPr>
        <w:t>οστ</w:t>
      </w:r>
      <w:r w:rsidR="00971C26">
        <w:rPr>
          <w:snapToGrid/>
          <w:szCs w:val="22"/>
          <w:lang w:val="el-GR"/>
        </w:rPr>
        <w:t>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Πάθηση των αρθρώσεων, άλγος τ</w:t>
      </w:r>
      <w:r w:rsidR="00FC653D">
        <w:rPr>
          <w:snapToGrid/>
          <w:szCs w:val="22"/>
          <w:lang w:val="el-GR"/>
        </w:rPr>
        <w:t>έ</w:t>
      </w:r>
      <w:r w:rsidRPr="00FC2F1F">
        <w:rPr>
          <w:snapToGrid/>
          <w:szCs w:val="22"/>
          <w:lang w:val="el-GR"/>
        </w:rPr>
        <w:t>ν</w:t>
      </w:r>
      <w:r w:rsidR="00FC653D">
        <w:rPr>
          <w:snapToGrid/>
          <w:szCs w:val="22"/>
          <w:lang w:val="el-GR"/>
        </w:rPr>
        <w:t>ο</w:t>
      </w:r>
      <w:r w:rsidRPr="00FC2F1F">
        <w:rPr>
          <w:snapToGrid/>
          <w:szCs w:val="22"/>
          <w:lang w:val="el-GR"/>
        </w:rPr>
        <w:t>ντ</w:t>
      </w:r>
      <w:r w:rsidR="00FC653D">
        <w:rPr>
          <w:snapToGrid/>
          <w:szCs w:val="22"/>
          <w:lang w:val="el-GR"/>
        </w:rPr>
        <w:t>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των νεφρών και των ουροφόρων οδών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Νεφρική δυσλειτουργία (περιλαμβανομένης οξείας νεφρικής ανεπάρκειας)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Γενικές διαταραχές και καταστάσεις της οδού χορήγησης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Εξασθένιση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Παρακλινικές εξετάσεις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Μειωμένη αιμοσφαιρίνη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r w:rsidRPr="00FC2F1F">
        <w:rPr>
          <w:snapToGrid/>
          <w:szCs w:val="22"/>
          <w:lang w:val="el-GR"/>
        </w:rPr>
        <w:t>3: Για περαιτέρω περιγραφή, δείτε την υπο-παράγραφο “</w:t>
      </w:r>
      <w:r w:rsidRPr="00FC2F1F">
        <w:rPr>
          <w:i/>
          <w:iCs/>
          <w:snapToGrid/>
          <w:szCs w:val="22"/>
          <w:lang w:val="el-GR"/>
        </w:rPr>
        <w:t>Περιγραφή επιλεγμένων ανεπιθύμητων ενεργειών”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Υδροχλωροθειαζίδη: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υδροχλωροθειαζίδη μπορεί να προκαλέσει ή να επιτείνει </w:t>
      </w:r>
      <w:r w:rsidR="00FC653D">
        <w:rPr>
          <w:snapToGrid/>
          <w:szCs w:val="22"/>
          <w:lang w:val="el-GR"/>
        </w:rPr>
        <w:t xml:space="preserve">την </w:t>
      </w:r>
      <w:r w:rsidRPr="00FC2F1F">
        <w:rPr>
          <w:snapToGrid/>
          <w:szCs w:val="22"/>
          <w:lang w:val="el-GR"/>
        </w:rPr>
        <w:t>υποογκαιμία, που μπορεί να οδηγήσει σε απορ</w:t>
      </w:r>
      <w:r w:rsidR="00FC653D">
        <w:rPr>
          <w:snapToGrid/>
          <w:szCs w:val="22"/>
          <w:lang w:val="el-GR"/>
        </w:rPr>
        <w:t>ρ</w:t>
      </w:r>
      <w:r w:rsidRPr="00FC2F1F">
        <w:rPr>
          <w:snapToGrid/>
          <w:szCs w:val="22"/>
          <w:lang w:val="el-GR"/>
        </w:rPr>
        <w:t>ύθμιση ηλεκτρολυτών (βλ. παράγραφο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Ανεπιθύμητες ενέργειες με μη γνωστή συχνότητα που έχουν αναφερθεί με τη χρήση υδροχλωροθειαζίδης ως μονοθεραπεία περιλαμβάνουν: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Λοιμώξεις και παρασιτώσεις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Μη γνωστές: Σιελαδενίτιδα</w:t>
      </w:r>
    </w:p>
    <w:p w:rsidR="00681191" w:rsidRDefault="00681191" w:rsidP="00681191">
      <w:pPr>
        <w:widowControl w:val="0"/>
        <w:tabs>
          <w:tab w:val="clear" w:pos="567"/>
        </w:tabs>
        <w:autoSpaceDE w:val="0"/>
        <w:autoSpaceDN w:val="0"/>
        <w:adjustRightInd w:val="0"/>
        <w:spacing w:line="240" w:lineRule="auto"/>
        <w:rPr>
          <w:snapToGrid/>
          <w:szCs w:val="22"/>
          <w:lang w:val="el-GR"/>
        </w:rPr>
      </w:pPr>
    </w:p>
    <w:p w:rsidR="007704EE" w:rsidRPr="00A61F09" w:rsidRDefault="007704EE" w:rsidP="00681191">
      <w:pPr>
        <w:widowControl w:val="0"/>
        <w:tabs>
          <w:tab w:val="clear" w:pos="567"/>
        </w:tabs>
        <w:autoSpaceDE w:val="0"/>
        <w:autoSpaceDN w:val="0"/>
        <w:adjustRightInd w:val="0"/>
        <w:spacing w:line="240" w:lineRule="auto"/>
        <w:rPr>
          <w:snapToGrid/>
          <w:szCs w:val="22"/>
          <w:lang w:val="el-GR"/>
        </w:rPr>
      </w:pPr>
      <w:bookmarkStart w:id="7" w:name="_Hlk528677697"/>
      <w:r w:rsidRPr="00A61F09">
        <w:rPr>
          <w:snapToGrid/>
          <w:szCs w:val="22"/>
          <w:lang w:val="el-GR"/>
        </w:rPr>
        <w:t>Νεοπλάσματα καλοήθη, κακοήθη και μη καθορισμένα (περιλαμβάνονται κύστεις και πολύποδες)</w:t>
      </w:r>
    </w:p>
    <w:p w:rsidR="007704EE" w:rsidRPr="007704EE" w:rsidRDefault="007704EE" w:rsidP="00A61F09">
      <w:pPr>
        <w:widowControl w:val="0"/>
        <w:tabs>
          <w:tab w:val="clear" w:pos="567"/>
        </w:tabs>
        <w:autoSpaceDE w:val="0"/>
        <w:autoSpaceDN w:val="0"/>
        <w:adjustRightInd w:val="0"/>
        <w:spacing w:line="240" w:lineRule="auto"/>
        <w:ind w:left="2160" w:hanging="1350"/>
        <w:rPr>
          <w:snapToGrid/>
          <w:szCs w:val="22"/>
          <w:lang w:val="el-GR"/>
        </w:rPr>
      </w:pPr>
      <w:r>
        <w:rPr>
          <w:snapToGrid/>
          <w:szCs w:val="22"/>
          <w:lang w:val="el-GR"/>
        </w:rPr>
        <w:t>Μη γνωστές:</w:t>
      </w:r>
      <w:r>
        <w:rPr>
          <w:snapToGrid/>
          <w:szCs w:val="22"/>
          <w:lang w:val="el-GR"/>
        </w:rPr>
        <w:tab/>
      </w:r>
      <w:r w:rsidRPr="00A61F09">
        <w:rPr>
          <w:snapToGrid/>
          <w:szCs w:val="22"/>
          <w:lang w:val="el-GR"/>
        </w:rPr>
        <w:t>Μη μελανωματικός καρκίνος του δέρματος (βασικοκυτταρικό καρκίνωμα και καρκίνωμα του πλακώδους επιθηλίου)</w:t>
      </w:r>
    </w:p>
    <w:bookmarkEnd w:id="7"/>
    <w:p w:rsidR="000D0350" w:rsidRDefault="000D0350"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αιμοποιητικού και του λεμφικού συστήματος</w:t>
      </w:r>
    </w:p>
    <w:p w:rsidR="00C968D1" w:rsidRDefault="00C968D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Pr>
          <w:snapToGrid/>
          <w:szCs w:val="22"/>
          <w:lang w:val="el-GR"/>
        </w:rPr>
        <w:t>Σπάνιες:</w:t>
      </w:r>
      <w:r>
        <w:rPr>
          <w:snapToGrid/>
          <w:szCs w:val="22"/>
          <w:lang w:val="el-GR"/>
        </w:rPr>
        <w:tab/>
        <w:t>Θρομβοπενία (ορισμένες φορές με πορφύρα)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Μη γνωστές:</w:t>
      </w:r>
      <w:r w:rsidR="00C968D1">
        <w:rPr>
          <w:snapToGrid/>
          <w:szCs w:val="22"/>
          <w:lang w:val="el-GR"/>
        </w:rPr>
        <w:tab/>
      </w:r>
      <w:r w:rsidRPr="00FC2F1F">
        <w:rPr>
          <w:snapToGrid/>
          <w:szCs w:val="22"/>
          <w:lang w:val="el-GR"/>
        </w:rPr>
        <w:t>Απλαστική αναιμία, αιμολυτική αναιμία, ανεπάρκεια του μυελού των οστών,</w:t>
      </w:r>
      <w:r>
        <w:rPr>
          <w:snapToGrid/>
          <w:szCs w:val="22"/>
          <w:lang w:val="sl-SI"/>
        </w:rPr>
        <w:t xml:space="preserve"> </w:t>
      </w:r>
      <w:r w:rsidRPr="00FC2F1F">
        <w:rPr>
          <w:snapToGrid/>
          <w:szCs w:val="22"/>
          <w:lang w:val="el-GR"/>
        </w:rPr>
        <w:t>λευκοπενία, ουδετεροπενία, ακοκκιοκυτταραιμία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ανοσοποιητικού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Αναφυλακτικές αντιδράσεις, υπερευαισθησία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2A37AC" w:rsidP="00681191">
      <w:pPr>
        <w:widowControl w:val="0"/>
        <w:tabs>
          <w:tab w:val="clear" w:pos="567"/>
        </w:tabs>
        <w:autoSpaceDE w:val="0"/>
        <w:autoSpaceDN w:val="0"/>
        <w:adjustRightInd w:val="0"/>
        <w:spacing w:line="240" w:lineRule="auto"/>
        <w:rPr>
          <w:snapToGrid/>
          <w:szCs w:val="22"/>
          <w:lang w:val="el-GR"/>
        </w:rPr>
      </w:pPr>
      <w:r>
        <w:rPr>
          <w:snapToGrid/>
          <w:szCs w:val="22"/>
          <w:lang w:val="el-GR"/>
        </w:rPr>
        <w:t>Διαταραχές του ενδοκρινικού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Ανεπαρκής ρύθμιση σακχαρώδους διαβήτη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μεταβολισμού και της θρέψης</w:t>
      </w:r>
    </w:p>
    <w:p w:rsidR="002A37AC" w:rsidRDefault="002A37AC"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bookmarkStart w:id="8" w:name="_Hlk497749743"/>
      <w:r>
        <w:rPr>
          <w:snapToGrid/>
          <w:szCs w:val="22"/>
          <w:lang w:val="el-GR"/>
        </w:rPr>
        <w:t>Συχνές:</w:t>
      </w:r>
      <w:r>
        <w:rPr>
          <w:snapToGrid/>
          <w:szCs w:val="22"/>
          <w:lang w:val="el-GR"/>
        </w:rPr>
        <w:tab/>
        <w:t>Υπομαγνησιαιμία</w:t>
      </w:r>
    </w:p>
    <w:p w:rsidR="002A37AC" w:rsidRDefault="002A37AC"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Pr>
          <w:snapToGrid/>
          <w:szCs w:val="22"/>
          <w:lang w:val="el-GR"/>
        </w:rPr>
        <w:t>Σπάνιες:</w:t>
      </w:r>
      <w:r>
        <w:rPr>
          <w:snapToGrid/>
          <w:szCs w:val="22"/>
          <w:lang w:val="el-GR"/>
        </w:rPr>
        <w:tab/>
        <w:t>Υπερασβεστιαιμία</w:t>
      </w:r>
    </w:p>
    <w:p w:rsidR="002A37AC" w:rsidRDefault="002A37AC"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Pr>
          <w:snapToGrid/>
          <w:szCs w:val="22"/>
          <w:lang w:val="el-GR"/>
        </w:rPr>
        <w:t>Πολύ</w:t>
      </w:r>
    </w:p>
    <w:p w:rsidR="002A37AC" w:rsidRDefault="002A37AC"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Pr>
          <w:snapToGrid/>
          <w:szCs w:val="22"/>
          <w:lang w:val="el-GR"/>
        </w:rPr>
        <w:t>σπάνιες:</w:t>
      </w:r>
      <w:r>
        <w:rPr>
          <w:snapToGrid/>
          <w:szCs w:val="22"/>
          <w:lang w:val="el-GR"/>
        </w:rPr>
        <w:tab/>
        <w:t>Υποχλωραιμική αλκάλωση</w:t>
      </w:r>
    </w:p>
    <w:bookmarkEnd w:id="8"/>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 xml:space="preserve">Μη γνωστές: </w:t>
      </w:r>
      <w:r w:rsidRPr="00FC2F1F">
        <w:rPr>
          <w:snapToGrid/>
          <w:szCs w:val="22"/>
          <w:lang w:val="el-GR"/>
        </w:rPr>
        <w:tab/>
        <w:t>Ανορεξία, όρεξη μειωμένη, ηλεκτρολυτικές διαταραχές, υπερχοληστερολαιμία,</w:t>
      </w:r>
      <w:r>
        <w:rPr>
          <w:snapToGrid/>
          <w:szCs w:val="22"/>
          <w:lang w:val="sl-SI"/>
        </w:rPr>
        <w:t xml:space="preserve"> </w:t>
      </w:r>
      <w:r w:rsidRPr="00FC2F1F">
        <w:rPr>
          <w:snapToGrid/>
          <w:szCs w:val="22"/>
          <w:lang w:val="el-GR"/>
        </w:rPr>
        <w:t>υπεργλυκαιμία, υποογκαιμία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Ψυχιατρικές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Ανησυχία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νευρικού συστήματος</w:t>
      </w:r>
    </w:p>
    <w:p w:rsidR="004135A9" w:rsidRDefault="004135A9"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Pr>
          <w:snapToGrid/>
          <w:szCs w:val="22"/>
          <w:lang w:val="el-GR"/>
        </w:rPr>
        <w:t>Σπάνιες:</w:t>
      </w:r>
      <w:r>
        <w:rPr>
          <w:snapToGrid/>
          <w:szCs w:val="22"/>
          <w:lang w:val="el-GR"/>
        </w:rPr>
        <w:tab/>
        <w:t>Κεφαλαλγία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Αίσθημα ζάλης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Οφθαλμικές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 xml:space="preserve">Ξανθοψία, </w:t>
      </w:r>
      <w:r w:rsidR="00E038B9">
        <w:rPr>
          <w:szCs w:val="22"/>
          <w:shd w:val="clear" w:color="auto" w:fill="FFFFFF"/>
          <w:lang w:val="el-GR"/>
        </w:rPr>
        <w:t>αποκόλληση του χοριοειδούς,</w:t>
      </w:r>
      <w:r w:rsidR="00E038B9" w:rsidRPr="00FC2F1F">
        <w:rPr>
          <w:snapToGrid/>
          <w:szCs w:val="22"/>
          <w:lang w:val="el-GR"/>
        </w:rPr>
        <w:t xml:space="preserve"> </w:t>
      </w:r>
      <w:r w:rsidRPr="00FC2F1F">
        <w:rPr>
          <w:snapToGrid/>
          <w:szCs w:val="22"/>
          <w:lang w:val="el-GR"/>
        </w:rPr>
        <w:t>οξεία μυωπία, οξύ γλαύκωμα κλειστής γωνίας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Αγγειακές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Nεκρωτική αγγειίτιδα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γαστρεντερικού</w:t>
      </w:r>
    </w:p>
    <w:p w:rsidR="000A29BF" w:rsidRDefault="000A29BF"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Pr>
          <w:snapToGrid/>
          <w:szCs w:val="22"/>
          <w:lang w:val="el-GR"/>
        </w:rPr>
        <w:t>Συχνές:</w:t>
      </w:r>
      <w:r>
        <w:rPr>
          <w:snapToGrid/>
          <w:szCs w:val="22"/>
          <w:lang w:val="el-GR"/>
        </w:rPr>
        <w:tab/>
        <w:t>Ναυτία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Πα</w:t>
      </w:r>
      <w:r w:rsidR="004135A9">
        <w:rPr>
          <w:snapToGrid/>
          <w:szCs w:val="22"/>
          <w:lang w:val="el-GR"/>
        </w:rPr>
        <w:t>γ</w:t>
      </w:r>
      <w:r w:rsidRPr="00FC2F1F">
        <w:rPr>
          <w:snapToGrid/>
          <w:szCs w:val="22"/>
          <w:lang w:val="el-GR"/>
        </w:rPr>
        <w:t>κρεατίτιδα, δυσφορία στομάχου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ήπατος και των χοληφόρων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Ίκτερος ηπατοκυτταρικός, ίκτερος χολοστατικός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δέρματος και του υποδόριου ιστού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 xml:space="preserve">Μη γνωστές: </w:t>
      </w:r>
      <w:r w:rsidRPr="00FC2F1F">
        <w:rPr>
          <w:snapToGrid/>
          <w:szCs w:val="22"/>
          <w:lang w:val="el-GR"/>
        </w:rPr>
        <w:tab/>
        <w:t>Σύνδρομο προσομοιάζον με λύκο, αντιδράσεις φωτοευαισθησίας, δερματική</w:t>
      </w:r>
      <w:r>
        <w:rPr>
          <w:snapToGrid/>
          <w:szCs w:val="22"/>
          <w:lang w:val="sl-SI"/>
        </w:rPr>
        <w:t xml:space="preserve"> </w:t>
      </w:r>
      <w:r w:rsidRPr="00FC2F1F">
        <w:rPr>
          <w:snapToGrid/>
          <w:szCs w:val="22"/>
          <w:lang w:val="el-GR"/>
        </w:rPr>
        <w:t>αγγειίτιδα, τοξική επιδερμική νεκρόλυση</w:t>
      </w:r>
      <w:r w:rsidR="004135A9">
        <w:rPr>
          <w:snapToGrid/>
          <w:szCs w:val="22"/>
          <w:lang w:val="el-GR"/>
        </w:rPr>
        <w:t>, πολύμορφο ερύθημα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μυοσκελετικού συστήματος, του συνδετικού ιστού και των οστών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Αδυναμία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των νεφρών και των ουροφόρων οδών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Διάμεση νεφρίτιδα, νεφρική δυσλειτουργία, γλυκοζουρία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Γενικές διαταραχές και καταστάσεις της οδού χορήγησης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Πυρεξία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Παρακλινικές εξετάσεις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Αυξημένα τριγλυκερίδια</w:t>
      </w: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iCs/>
          <w:snapToGrid/>
          <w:szCs w:val="22"/>
          <w:u w:val="single"/>
          <w:lang w:val="el-GR"/>
        </w:rPr>
      </w:pPr>
      <w:r w:rsidRPr="00FC2F1F">
        <w:rPr>
          <w:iCs/>
          <w:snapToGrid/>
          <w:szCs w:val="22"/>
          <w:u w:val="single"/>
          <w:lang w:val="el-GR"/>
        </w:rPr>
        <w:t>Περιγραφή επιλεγμένων ανεπιθύμητων ενεργειών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bookmarkStart w:id="9" w:name="_Hlk500155637"/>
      <w:r w:rsidRPr="00FC2F1F">
        <w:rPr>
          <w:snapToGrid/>
          <w:szCs w:val="22"/>
          <w:u w:val="single"/>
          <w:lang w:val="el-GR"/>
        </w:rPr>
        <w:t>Μη φυσιολογική ηπατική λειτουργία</w:t>
      </w:r>
      <w:r w:rsidR="00BE3F5B">
        <w:rPr>
          <w:snapToGrid/>
          <w:szCs w:val="22"/>
          <w:u w:val="single"/>
          <w:lang w:val="el-GR"/>
        </w:rPr>
        <w:t xml:space="preserve"> </w:t>
      </w:r>
      <w:r w:rsidRPr="00FC2F1F">
        <w:rPr>
          <w:snapToGrid/>
          <w:szCs w:val="22"/>
          <w:u w:val="single"/>
          <w:lang w:val="el-GR"/>
        </w:rPr>
        <w:t>/ διαταραχή του ήπατος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περισσότερες περιπτώσεις μη φυσιολογικής ηπατικής λειτουργίας</w:t>
      </w:r>
      <w:r w:rsidR="00BE3F5B">
        <w:rPr>
          <w:snapToGrid/>
          <w:szCs w:val="22"/>
          <w:lang w:val="el-GR"/>
        </w:rPr>
        <w:t xml:space="preserve"> </w:t>
      </w:r>
      <w:r w:rsidRPr="00FC2F1F">
        <w:rPr>
          <w:snapToGrid/>
          <w:szCs w:val="22"/>
          <w:lang w:val="el-GR"/>
        </w:rPr>
        <w:t>/</w:t>
      </w:r>
      <w:r w:rsidR="00BE3F5B">
        <w:rPr>
          <w:snapToGrid/>
          <w:szCs w:val="22"/>
          <w:lang w:val="el-GR"/>
        </w:rPr>
        <w:t xml:space="preserve"> </w:t>
      </w:r>
      <w:r w:rsidRPr="00FC2F1F">
        <w:rPr>
          <w:snapToGrid/>
          <w:szCs w:val="22"/>
          <w:lang w:val="el-GR"/>
        </w:rPr>
        <w:t xml:space="preserve">διαταραχής του ήπατος </w:t>
      </w:r>
      <w:r w:rsidR="00BE3F5B">
        <w:rPr>
          <w:snapToGrid/>
          <w:szCs w:val="22"/>
          <w:lang w:val="el-GR"/>
        </w:rPr>
        <w:t>βάσει της</w:t>
      </w:r>
      <w:r w:rsidRPr="00FC2F1F">
        <w:rPr>
          <w:snapToGrid/>
          <w:szCs w:val="22"/>
          <w:lang w:val="el-GR"/>
        </w:rPr>
        <w:t xml:space="preserve"> εμπειρία</w:t>
      </w:r>
      <w:r w:rsidR="00BE3F5B">
        <w:rPr>
          <w:snapToGrid/>
          <w:szCs w:val="22"/>
          <w:lang w:val="el-GR"/>
        </w:rPr>
        <w:t>ς</w:t>
      </w:r>
      <w:r w:rsidRPr="00FC2F1F">
        <w:rPr>
          <w:snapToGrid/>
          <w:szCs w:val="22"/>
          <w:lang w:val="el-GR"/>
        </w:rPr>
        <w:t xml:space="preserve"> </w:t>
      </w:r>
      <w:r w:rsidR="00BE3F5B">
        <w:rPr>
          <w:snapToGrid/>
          <w:szCs w:val="22"/>
          <w:lang w:val="el-GR"/>
        </w:rPr>
        <w:t xml:space="preserve">από τη </w:t>
      </w:r>
      <w:r w:rsidRPr="00FC2F1F">
        <w:rPr>
          <w:snapToGrid/>
          <w:szCs w:val="22"/>
          <w:lang w:val="el-GR"/>
        </w:rPr>
        <w:t xml:space="preserve">μετά την κυκλοφορία με τελμισαρτάνη συνέβησαν σε </w:t>
      </w:r>
      <w:r w:rsidR="00BE3F5B">
        <w:rPr>
          <w:snapToGrid/>
          <w:szCs w:val="22"/>
          <w:lang w:val="el-GR"/>
        </w:rPr>
        <w:t>Ιάπωνες</w:t>
      </w:r>
      <w:r w:rsidRPr="00FC2F1F">
        <w:rPr>
          <w:snapToGrid/>
          <w:szCs w:val="22"/>
          <w:lang w:val="el-GR"/>
        </w:rPr>
        <w:t xml:space="preserve"> ασθενείς. Οι </w:t>
      </w:r>
      <w:r w:rsidR="00BE3F5B">
        <w:rPr>
          <w:snapToGrid/>
          <w:szCs w:val="22"/>
          <w:lang w:val="el-GR"/>
        </w:rPr>
        <w:t>Ιάπωνες</w:t>
      </w:r>
      <w:r w:rsidRPr="00FC2F1F">
        <w:rPr>
          <w:snapToGrid/>
          <w:szCs w:val="22"/>
          <w:lang w:val="el-GR"/>
        </w:rPr>
        <w:t xml:space="preserve"> ασθενείς είναι πιο πιθανό να παρουσιάσουν αυτές τις ανεπιθύμητες ενέργειες.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Σήψη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Στη δ</w:t>
      </w:r>
      <w:r w:rsidR="00BE3F5B">
        <w:rPr>
          <w:snapToGrid/>
          <w:szCs w:val="22"/>
          <w:lang w:val="el-GR"/>
        </w:rPr>
        <w:t>οκιμή</w:t>
      </w:r>
      <w:r w:rsidRPr="00FC2F1F">
        <w:rPr>
          <w:snapToGrid/>
          <w:szCs w:val="22"/>
          <w:lang w:val="el-GR"/>
        </w:rPr>
        <w:t xml:space="preserve"> PRoFESS, παρατηρήθηκε αυξημένη επίπτωση σήψης με τελμισαρτάνη σε σύγκριση με εικονικό φάρμακο. Το συμβάν μπορεί να είναι τυχαίο εύρημα ή να σχετίζεται με μηχανισμό προς το παρόν άγνωστο (βλ. παράγραφο 5.1).</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Διάμεση </w:t>
      </w:r>
      <w:r w:rsidR="00175B0F">
        <w:rPr>
          <w:snapToGrid/>
          <w:szCs w:val="22"/>
          <w:u w:val="single"/>
          <w:lang w:val="el-GR"/>
        </w:rPr>
        <w:t>π</w:t>
      </w:r>
      <w:r w:rsidRPr="00FC2F1F">
        <w:rPr>
          <w:snapToGrid/>
          <w:szCs w:val="22"/>
          <w:u w:val="single"/>
          <w:lang w:val="el-GR"/>
        </w:rPr>
        <w:t>νευμονοπάθεια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Έχουν αναφερθεί περιστατικά διάμεσης πνευ</w:t>
      </w:r>
      <w:r w:rsidR="00175B0F">
        <w:rPr>
          <w:snapToGrid/>
          <w:szCs w:val="22"/>
          <w:lang w:val="el-GR"/>
        </w:rPr>
        <w:t>μ</w:t>
      </w:r>
      <w:r w:rsidRPr="00FC2F1F">
        <w:rPr>
          <w:snapToGrid/>
          <w:szCs w:val="22"/>
          <w:lang w:val="el-GR"/>
        </w:rPr>
        <w:t xml:space="preserve">ονοπάθειας κατά την εμπειρία </w:t>
      </w:r>
      <w:r w:rsidR="00175B0F">
        <w:rPr>
          <w:snapToGrid/>
          <w:szCs w:val="22"/>
          <w:lang w:val="el-GR"/>
        </w:rPr>
        <w:t xml:space="preserve">από τη </w:t>
      </w:r>
      <w:r w:rsidRPr="00FC2F1F">
        <w:rPr>
          <w:snapToGrid/>
          <w:szCs w:val="22"/>
          <w:lang w:val="el-GR"/>
        </w:rPr>
        <w:t>μετά τη</w:t>
      </w:r>
      <w:r w:rsidR="00175B0F">
        <w:rPr>
          <w:snapToGrid/>
          <w:szCs w:val="22"/>
          <w:lang w:val="el-GR"/>
        </w:rPr>
        <w:t>ν κυκλοφορία</w:t>
      </w:r>
      <w:r w:rsidRPr="00FC2F1F">
        <w:rPr>
          <w:snapToGrid/>
          <w:szCs w:val="22"/>
          <w:lang w:val="el-GR"/>
        </w:rPr>
        <w:t xml:space="preserve"> σε χρονική συσχέτιση με </w:t>
      </w:r>
      <w:r w:rsidR="00175B0F">
        <w:rPr>
          <w:snapToGrid/>
          <w:szCs w:val="22"/>
          <w:lang w:val="el-GR"/>
        </w:rPr>
        <w:t xml:space="preserve">τη </w:t>
      </w:r>
      <w:r w:rsidRPr="00FC2F1F">
        <w:rPr>
          <w:snapToGrid/>
          <w:szCs w:val="22"/>
          <w:lang w:val="el-GR"/>
        </w:rPr>
        <w:t>λήψη τελμισαρτάνης. Ωστόσο, δεν έχει τεκμηριωθεί αιτιολογική συσχέτιση.</w:t>
      </w:r>
    </w:p>
    <w:p w:rsidR="00681191" w:rsidRDefault="00681191" w:rsidP="00681191">
      <w:pPr>
        <w:widowControl w:val="0"/>
        <w:tabs>
          <w:tab w:val="clear" w:pos="567"/>
        </w:tabs>
        <w:autoSpaceDE w:val="0"/>
        <w:autoSpaceDN w:val="0"/>
        <w:adjustRightInd w:val="0"/>
        <w:spacing w:line="240" w:lineRule="auto"/>
        <w:rPr>
          <w:snapToGrid/>
          <w:szCs w:val="22"/>
          <w:lang w:val="el-GR"/>
        </w:rPr>
      </w:pPr>
    </w:p>
    <w:p w:rsidR="00311B75" w:rsidRPr="00A61F09" w:rsidRDefault="00311B75" w:rsidP="00311B75">
      <w:pPr>
        <w:widowControl w:val="0"/>
        <w:tabs>
          <w:tab w:val="clear" w:pos="567"/>
        </w:tabs>
        <w:spacing w:line="240" w:lineRule="auto"/>
        <w:rPr>
          <w:snapToGrid/>
          <w:szCs w:val="22"/>
          <w:u w:val="single"/>
          <w:lang w:val="sl-SI" w:eastAsia="sl-SI"/>
        </w:rPr>
      </w:pPr>
      <w:r w:rsidRPr="00A61F09">
        <w:rPr>
          <w:snapToGrid/>
          <w:szCs w:val="22"/>
          <w:u w:val="single"/>
          <w:lang w:val="sl-SI" w:eastAsia="sl-SI"/>
        </w:rPr>
        <w:t>Μη μελανωματικός καρκίνος του δέρματος</w:t>
      </w:r>
    </w:p>
    <w:p w:rsidR="00311B75" w:rsidRPr="00311B75" w:rsidRDefault="00311B75" w:rsidP="00311B75">
      <w:pPr>
        <w:widowControl w:val="0"/>
        <w:tabs>
          <w:tab w:val="clear" w:pos="567"/>
        </w:tabs>
        <w:spacing w:line="240" w:lineRule="auto"/>
        <w:rPr>
          <w:rFonts w:eastAsia="Arial Unicode MS"/>
          <w:iCs/>
          <w:snapToGrid/>
          <w:szCs w:val="22"/>
          <w:vertAlign w:val="superscript"/>
          <w:lang w:val="el-GR" w:eastAsia="de-DE"/>
        </w:rPr>
      </w:pPr>
      <w:r w:rsidRPr="00311B75">
        <w:rPr>
          <w:snapToGrid/>
          <w:szCs w:val="22"/>
          <w:lang w:val="sl-SI" w:eastAsia="sl-SI"/>
        </w:rPr>
        <w:t>Βάσει των διαθέσιμων δεδομένων από επιδημιολογικές μελέτες έχει παρατηρηθεί συσχέτιση μεταξύ υδροχλωροθειαζίδης και μη μελανωματικού καρκίνου του δέρματος εξαρτώμενη από αθροιστική δόση υδροχλωροθειαζίδης (βλ. επίσης παραγράφους 4.4 και 5.1).</w:t>
      </w:r>
    </w:p>
    <w:p w:rsidR="00311B75" w:rsidRPr="00FC2F1F" w:rsidRDefault="00311B75"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autoSpaceDE w:val="0"/>
        <w:autoSpaceDN w:val="0"/>
        <w:adjustRightInd w:val="0"/>
        <w:jc w:val="both"/>
        <w:rPr>
          <w:szCs w:val="22"/>
          <w:u w:val="single"/>
          <w:lang w:val="el-GR"/>
        </w:rPr>
      </w:pPr>
      <w:r w:rsidRPr="00FC2F1F">
        <w:rPr>
          <w:noProof/>
          <w:szCs w:val="22"/>
          <w:u w:val="single"/>
          <w:lang w:val="el-GR"/>
        </w:rPr>
        <w:t>Αναφορά πιθανολογούμενων ανεπιθύμητων ενεργειών</w:t>
      </w:r>
    </w:p>
    <w:p w:rsidR="00681191" w:rsidRPr="00FC2F1F" w:rsidRDefault="00681191" w:rsidP="00681191">
      <w:pPr>
        <w:widowControl w:val="0"/>
        <w:tabs>
          <w:tab w:val="clear" w:pos="567"/>
        </w:tabs>
        <w:autoSpaceDE w:val="0"/>
        <w:autoSpaceDN w:val="0"/>
        <w:adjustRightInd w:val="0"/>
        <w:spacing w:line="240" w:lineRule="auto"/>
        <w:rPr>
          <w:szCs w:val="22"/>
          <w:lang w:val="el-GR"/>
        </w:rPr>
      </w:pPr>
      <w:r w:rsidRPr="00FC2F1F">
        <w:rPr>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FC2F1F">
        <w:rPr>
          <w:noProof/>
          <w:szCs w:val="22"/>
          <w:lang w:val="el-GR"/>
        </w:rPr>
        <w:t>.</w:t>
      </w:r>
      <w:r w:rsidRPr="00FC2F1F">
        <w:rPr>
          <w:szCs w:val="22"/>
          <w:lang w:val="el-GR"/>
        </w:rPr>
        <w:t xml:space="preserve"> Επιτρέπει τη συνεχή παρακολούθηση της σχέσης οφέλους-κινδύνου του φαρμακευτικού προϊόντος</w:t>
      </w:r>
      <w:r w:rsidRPr="00FC2F1F">
        <w:rPr>
          <w:noProof/>
          <w:szCs w:val="22"/>
          <w:lang w:val="el-GR"/>
        </w:rPr>
        <w:t>.</w:t>
      </w:r>
      <w:r w:rsidRPr="00FC2F1F">
        <w:rPr>
          <w:szCs w:val="22"/>
          <w:lang w:val="el-GR"/>
        </w:rPr>
        <w:t xml:space="preserve"> Ζητείται από τους επαγγελματίες </w:t>
      </w:r>
      <w:r w:rsidR="00DA124E">
        <w:rPr>
          <w:szCs w:val="22"/>
          <w:lang w:val="el-GR"/>
        </w:rPr>
        <w:t xml:space="preserve">υγείας </w:t>
      </w:r>
      <w:r w:rsidRPr="00FC2F1F">
        <w:rPr>
          <w:szCs w:val="22"/>
          <w:lang w:val="el-GR"/>
        </w:rPr>
        <w:t xml:space="preserve">να αναφέρουν οποιεσδήποτε πιθανολογούμενες ανεπιθύμητες ενέργειες </w:t>
      </w:r>
      <w:r w:rsidRPr="00FC2F1F">
        <w:rPr>
          <w:szCs w:val="22"/>
          <w:highlight w:val="lightGray"/>
          <w:lang w:val="el-GR"/>
        </w:rPr>
        <w:t xml:space="preserve">μέσω του εθνικού συστήματος αναφοράς που αναγράφεται στο </w:t>
      </w:r>
      <w:hyperlink r:id="rId11" w:history="1">
        <w:r w:rsidRPr="00FC2F1F">
          <w:rPr>
            <w:rStyle w:val="Hyperlink"/>
            <w:highlight w:val="lightGray"/>
            <w:lang w:val="el-GR"/>
          </w:rPr>
          <w:t>Παράρτημα V</w:t>
        </w:r>
      </w:hyperlink>
      <w:r w:rsidRPr="00FC2F1F">
        <w:rPr>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4.9</w:t>
      </w:r>
      <w:r w:rsidRPr="00FC2F1F">
        <w:rPr>
          <w:b/>
          <w:noProof/>
          <w:szCs w:val="22"/>
          <w:lang w:val="el-GR"/>
        </w:rPr>
        <w:tab/>
        <w:t>Υπερδοσολογία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napToGrid/>
          <w:szCs w:val="22"/>
          <w:lang w:val="el-GR"/>
        </w:rPr>
      </w:pPr>
      <w:r w:rsidRPr="00FC2F1F">
        <w:rPr>
          <w:snapToGrid/>
          <w:szCs w:val="22"/>
          <w:lang w:val="el-GR"/>
        </w:rPr>
        <w:t xml:space="preserve">Υπάρχει περιορισμένος αριθμός διαθέσιμων </w:t>
      </w:r>
      <w:r w:rsidR="00175B0F">
        <w:rPr>
          <w:snapToGrid/>
          <w:szCs w:val="22"/>
          <w:lang w:val="el-GR"/>
        </w:rPr>
        <w:t xml:space="preserve">πληροφοριών </w:t>
      </w:r>
      <w:r w:rsidRPr="00FC2F1F">
        <w:rPr>
          <w:snapToGrid/>
          <w:szCs w:val="22"/>
          <w:lang w:val="el-GR"/>
        </w:rPr>
        <w:t xml:space="preserve">για την τελμισαρτάνη σχετικά με την υπερδοσολογία σε ανθρώπους. Δεν έχει τεκμηριωθεί ο βαθμός </w:t>
      </w:r>
      <w:r w:rsidR="002427B3">
        <w:rPr>
          <w:snapToGrid/>
          <w:szCs w:val="22"/>
          <w:lang w:val="el-GR"/>
        </w:rPr>
        <w:t>σ</w:t>
      </w:r>
      <w:r w:rsidRPr="00FC2F1F">
        <w:rPr>
          <w:snapToGrid/>
          <w:szCs w:val="22"/>
          <w:lang w:val="el-GR"/>
        </w:rPr>
        <w:t>τον οποίο η υδροχλωροθειαζίδη απομακρύνεται με</w:t>
      </w:r>
      <w:r>
        <w:rPr>
          <w:snapToGrid/>
          <w:szCs w:val="22"/>
          <w:lang w:val="sl-SI"/>
        </w:rPr>
        <w:t xml:space="preserve"> </w:t>
      </w:r>
      <w:r w:rsidRPr="00FC2F1F">
        <w:rPr>
          <w:snapToGrid/>
          <w:szCs w:val="22"/>
          <w:lang w:val="el-GR"/>
        </w:rPr>
        <w:t>αιμοκάθαρση.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Συμπτώματα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Οι πιο σημαντικές εκδηλώσεις υπερδοσολογίας με τελμισαρτάνη </w:t>
      </w:r>
      <w:r w:rsidR="002427B3">
        <w:rPr>
          <w:snapToGrid/>
          <w:szCs w:val="22"/>
          <w:lang w:val="el-GR"/>
        </w:rPr>
        <w:t>ήταν</w:t>
      </w:r>
      <w:r w:rsidRPr="00FC2F1F">
        <w:rPr>
          <w:snapToGrid/>
          <w:szCs w:val="22"/>
          <w:lang w:val="el-GR"/>
        </w:rPr>
        <w:t xml:space="preserve"> υπόταση και ταχυκαρδία</w:t>
      </w:r>
      <w:r w:rsidR="002427B3">
        <w:rPr>
          <w:snapToGrid/>
          <w:szCs w:val="22"/>
          <w:lang w:val="el-GR"/>
        </w:rPr>
        <w:t xml:space="preserve">. Έχουν επίσης αναφερθεί </w:t>
      </w:r>
      <w:r w:rsidRPr="00FC2F1F">
        <w:rPr>
          <w:snapToGrid/>
          <w:szCs w:val="22"/>
          <w:lang w:val="el-GR"/>
        </w:rPr>
        <w:t xml:space="preserve">βραδυκαρδία, ζάλη, έμετος, αύξηση της κρεατινίνης ορού, και οξεία νεφρική ανεπάρκεια. Υπερδοσολογία με υδροχλωροθειαζίδη σχετίζεται με ένδεια ηλεκτρολυτών (υποκαλιαιμία, υποχλωραιμία) και υποογκαιμία ως αποτέλεσμα υπερβολικής διούρησης. Τα πιο συνήθη σημεία και συμπτώματα υπερδοσολογίας είναι ναυτία και υπνηλία. Η υποκαλιαιμία μπορεί να προκαλέσει μυϊκούς σπασμούς και/ή να επιτείνει </w:t>
      </w:r>
      <w:r w:rsidR="00772933">
        <w:rPr>
          <w:snapToGrid/>
          <w:szCs w:val="22"/>
          <w:lang w:val="el-GR"/>
        </w:rPr>
        <w:t xml:space="preserve">την </w:t>
      </w:r>
      <w:r w:rsidRPr="00FC2F1F">
        <w:rPr>
          <w:snapToGrid/>
          <w:szCs w:val="22"/>
          <w:lang w:val="el-GR"/>
        </w:rPr>
        <w:t>αρρυθμία που σχετίζεται με την ταυτόχρονη χρήση καρδιακών γλυκοσιδών ή συγκεκριμένων αντιαρρυθμικών φαρμακευτικών προϊόντων.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2427B3" w:rsidP="00681191">
      <w:pPr>
        <w:widowControl w:val="0"/>
        <w:tabs>
          <w:tab w:val="clear" w:pos="567"/>
        </w:tabs>
        <w:autoSpaceDE w:val="0"/>
        <w:autoSpaceDN w:val="0"/>
        <w:adjustRightInd w:val="0"/>
        <w:spacing w:line="240" w:lineRule="auto"/>
        <w:rPr>
          <w:snapToGrid/>
          <w:szCs w:val="22"/>
          <w:u w:val="single"/>
          <w:lang w:val="el-GR"/>
        </w:rPr>
      </w:pPr>
      <w:r>
        <w:rPr>
          <w:snapToGrid/>
          <w:szCs w:val="22"/>
          <w:u w:val="single"/>
          <w:lang w:val="el-GR"/>
        </w:rPr>
        <w:t>Αντιμετώπιση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τελμισαρτάνη δεν απομακρύνεται με αιμοκάθαρση. Ο ασθενής θα πρέπει να παρακολουθείται στενά, και η αγωγή θα πρέπει να είναι συμπτωματική και υποστηρικτική. Η αντιμετώπιση εξαρτάται από το χρονικό διάστημα που μεσολάβησε από τη λήψη και από τη βαρύτητα των συμπτωμάτων. Προτεινόμενα μέτρα περιλαμβάνουν πρόκληση εμ</w:t>
      </w:r>
      <w:r w:rsidR="00772933">
        <w:rPr>
          <w:snapToGrid/>
          <w:szCs w:val="22"/>
          <w:lang w:val="el-GR"/>
        </w:rPr>
        <w:t>έ</w:t>
      </w:r>
      <w:r w:rsidRPr="00FC2F1F">
        <w:rPr>
          <w:snapToGrid/>
          <w:szCs w:val="22"/>
          <w:lang w:val="el-GR"/>
        </w:rPr>
        <w:t>το</w:t>
      </w:r>
      <w:r w:rsidR="00772933">
        <w:rPr>
          <w:snapToGrid/>
          <w:szCs w:val="22"/>
          <w:lang w:val="el-GR"/>
        </w:rPr>
        <w:t>υ</w:t>
      </w:r>
      <w:r w:rsidRPr="00FC2F1F">
        <w:rPr>
          <w:snapToGrid/>
          <w:szCs w:val="22"/>
          <w:lang w:val="el-GR"/>
        </w:rPr>
        <w:t xml:space="preserve"> και/ή πλύση στομάχου. Ο ενεργός άνθρακας μπορεί να είναι χρήσιμος στη</w:t>
      </w:r>
      <w:r w:rsidR="00120FF6">
        <w:rPr>
          <w:snapToGrid/>
          <w:szCs w:val="22"/>
          <w:lang w:val="el-GR"/>
        </w:rPr>
        <w:t>ν αντιμετώπιση</w:t>
      </w:r>
      <w:r w:rsidRPr="00FC2F1F">
        <w:rPr>
          <w:snapToGrid/>
          <w:szCs w:val="22"/>
          <w:lang w:val="el-GR"/>
        </w:rPr>
        <w:t xml:space="preserve"> </w:t>
      </w:r>
      <w:r w:rsidR="003269AF">
        <w:rPr>
          <w:snapToGrid/>
          <w:szCs w:val="22"/>
          <w:lang w:val="el-GR"/>
        </w:rPr>
        <w:t xml:space="preserve">της </w:t>
      </w:r>
      <w:r w:rsidRPr="00FC2F1F">
        <w:rPr>
          <w:snapToGrid/>
          <w:szCs w:val="22"/>
          <w:lang w:val="el-GR"/>
        </w:rPr>
        <w:t>υπερδοσολογία</w:t>
      </w:r>
      <w:r w:rsidR="003269AF">
        <w:rPr>
          <w:snapToGrid/>
          <w:szCs w:val="22"/>
          <w:lang w:val="el-GR"/>
        </w:rPr>
        <w:t>ς</w:t>
      </w:r>
      <w:r w:rsidRPr="00FC2F1F">
        <w:rPr>
          <w:snapToGrid/>
          <w:szCs w:val="22"/>
          <w:lang w:val="el-GR"/>
        </w:rPr>
        <w:t>. Οι ηλεκτρολύτες και η κρεατινίνη ορού θα πρέπει να παρακολουθούνται συχνά. Εάν εμφανιστεί υπόταση, ο ασθενής θα πρέπει να τοποθετηθεί σε ύπτια θέση και να χορηγηθούν ταχέως υποκατάστατα υγρών και ηλεκτρολυτών.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ΦΑΡΜΑΚΟΛΟΓΙΚΕΣ ΙΔΙΟΤΗΤΕΣ</w:t>
      </w:r>
    </w:p>
    <w:p w:rsidR="00681191" w:rsidRPr="00FC2F1F" w:rsidRDefault="00681191" w:rsidP="00681191">
      <w:pPr>
        <w:widowControl w:val="0"/>
        <w:tabs>
          <w:tab w:val="clear" w:pos="567"/>
        </w:tabs>
        <w:spacing w:line="240" w:lineRule="auto"/>
        <w:ind w:left="567" w:hanging="567"/>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5.1</w:t>
      </w:r>
      <w:r w:rsidRPr="00FC2F1F">
        <w:rPr>
          <w:b/>
          <w:noProof/>
          <w:szCs w:val="22"/>
          <w:lang w:val="el-GR"/>
        </w:rPr>
        <w:tab/>
        <w:t>Φαρμακοδυναμικές ιδιότητες</w:t>
      </w:r>
    </w:p>
    <w:p w:rsidR="00681191" w:rsidRPr="00FC2F1F" w:rsidRDefault="00681191" w:rsidP="00681191">
      <w:pPr>
        <w:widowControl w:val="0"/>
        <w:tabs>
          <w:tab w:val="clear" w:pos="567"/>
        </w:tabs>
        <w:spacing w:line="240" w:lineRule="auto"/>
        <w:ind w:left="567" w:hanging="567"/>
        <w:rPr>
          <w:b/>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Φαρμακοθεραπευτική κατηγορία: </w:t>
      </w:r>
      <w:r w:rsidR="00A508A2">
        <w:rPr>
          <w:snapToGrid/>
          <w:szCs w:val="22"/>
          <w:lang w:val="el-GR"/>
        </w:rPr>
        <w:t>Παράγοντες δρώντες στο σύστημα ρενίνης-αγγειοτενσίνης, α</w:t>
      </w:r>
      <w:r w:rsidRPr="00FC2F1F">
        <w:rPr>
          <w:snapToGrid/>
          <w:szCs w:val="22"/>
          <w:lang w:val="el-GR"/>
        </w:rPr>
        <w:t xml:space="preserve">νταγωνιστές της </w:t>
      </w:r>
      <w:r w:rsidR="00A508A2">
        <w:rPr>
          <w:snapToGrid/>
          <w:szCs w:val="22"/>
          <w:lang w:val="el-GR"/>
        </w:rPr>
        <w:t>α</w:t>
      </w:r>
      <w:r w:rsidRPr="00FC2F1F">
        <w:rPr>
          <w:snapToGrid/>
          <w:szCs w:val="22"/>
          <w:lang w:val="el-GR"/>
        </w:rPr>
        <w:t>γγειοτενσίνης ΙΙ και διουρητικά, κωδικός ATC: C09DA07</w:t>
      </w:r>
      <w:r w:rsidR="00DA124E">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Tolucombi</w:t>
      </w:r>
      <w:r w:rsidRPr="00FC2F1F">
        <w:rPr>
          <w:snapToGrid/>
          <w:szCs w:val="22"/>
          <w:lang w:val="el-GR"/>
        </w:rPr>
        <w:t xml:space="preserve"> είναι συνδυασμός ενός ανταγωνιστή των υποδοχέων</w:t>
      </w:r>
      <w:r w:rsidR="00C17B6E">
        <w:rPr>
          <w:snapToGrid/>
          <w:szCs w:val="22"/>
          <w:lang w:val="el-GR"/>
        </w:rPr>
        <w:t xml:space="preserve"> της</w:t>
      </w:r>
      <w:r w:rsidRPr="00FC2F1F">
        <w:rPr>
          <w:snapToGrid/>
          <w:szCs w:val="22"/>
          <w:lang w:val="el-GR"/>
        </w:rPr>
        <w:t xml:space="preserve"> αγγειοτενσίνης ΙΙ, της τελμισαρτάνης</w:t>
      </w:r>
      <w:r w:rsidR="00C17B6E">
        <w:rPr>
          <w:snapToGrid/>
          <w:szCs w:val="22"/>
          <w:lang w:val="el-GR"/>
        </w:rPr>
        <w:t>,</w:t>
      </w:r>
      <w:r w:rsidRPr="00FC2F1F">
        <w:rPr>
          <w:snapToGrid/>
          <w:szCs w:val="22"/>
          <w:lang w:val="el-GR"/>
        </w:rPr>
        <w:t xml:space="preserve"> και ενός θειαζιδικού διουρητικού, της υδροχλωροθειαζίδης. Ο συνδυασμός αυτών των </w:t>
      </w:r>
      <w:r w:rsidR="00C17B6E">
        <w:rPr>
          <w:snapToGrid/>
          <w:szCs w:val="22"/>
          <w:lang w:val="el-GR"/>
        </w:rPr>
        <w:t>συστατικών</w:t>
      </w:r>
      <w:r w:rsidRPr="00FC2F1F">
        <w:rPr>
          <w:snapToGrid/>
          <w:szCs w:val="22"/>
          <w:lang w:val="el-GR"/>
        </w:rPr>
        <w:t xml:space="preserve"> έχει </w:t>
      </w:r>
      <w:r w:rsidR="00C17B6E">
        <w:rPr>
          <w:snapToGrid/>
          <w:szCs w:val="22"/>
          <w:lang w:val="el-GR"/>
        </w:rPr>
        <w:t xml:space="preserve">μια </w:t>
      </w:r>
      <w:r w:rsidRPr="00FC2F1F">
        <w:rPr>
          <w:snapToGrid/>
          <w:szCs w:val="22"/>
          <w:lang w:val="el-GR"/>
        </w:rPr>
        <w:t>αθροιστικ</w:t>
      </w:r>
      <w:r w:rsidR="00C17B6E">
        <w:rPr>
          <w:snapToGrid/>
          <w:szCs w:val="22"/>
          <w:lang w:val="el-GR"/>
        </w:rPr>
        <w:t>ή</w:t>
      </w:r>
      <w:r w:rsidRPr="00FC2F1F">
        <w:rPr>
          <w:snapToGrid/>
          <w:szCs w:val="22"/>
          <w:lang w:val="el-GR"/>
        </w:rPr>
        <w:t xml:space="preserve"> αντιυπερτασικ</w:t>
      </w:r>
      <w:r w:rsidR="00C17B6E">
        <w:rPr>
          <w:snapToGrid/>
          <w:szCs w:val="22"/>
          <w:lang w:val="el-GR"/>
        </w:rPr>
        <w:t>ή</w:t>
      </w:r>
      <w:r w:rsidRPr="00FC2F1F">
        <w:rPr>
          <w:snapToGrid/>
          <w:szCs w:val="22"/>
          <w:lang w:val="el-GR"/>
        </w:rPr>
        <w:t xml:space="preserve"> </w:t>
      </w:r>
      <w:r w:rsidR="00C17B6E">
        <w:rPr>
          <w:snapToGrid/>
          <w:szCs w:val="22"/>
          <w:lang w:val="el-GR"/>
        </w:rPr>
        <w:t>δράση</w:t>
      </w:r>
      <w:r w:rsidRPr="00FC2F1F">
        <w:rPr>
          <w:snapToGrid/>
          <w:szCs w:val="22"/>
          <w:lang w:val="el-GR"/>
        </w:rPr>
        <w:t xml:space="preserve">, </w:t>
      </w:r>
      <w:r w:rsidR="00C17B6E">
        <w:rPr>
          <w:snapToGrid/>
          <w:szCs w:val="22"/>
          <w:lang w:val="el-GR"/>
        </w:rPr>
        <w:t>που μειώνει</w:t>
      </w:r>
      <w:r w:rsidRPr="00FC2F1F">
        <w:rPr>
          <w:snapToGrid/>
          <w:szCs w:val="22"/>
          <w:lang w:val="el-GR"/>
        </w:rPr>
        <w:t xml:space="preserve"> την αρτηριακή πίεση σε μεγαλύτερο βαθμό από ότι το κάθε συστατικό χωριστά. Το </w:t>
      </w:r>
      <w:r w:rsidRPr="00FC2F1F">
        <w:rPr>
          <w:szCs w:val="22"/>
          <w:lang w:val="el-GR"/>
        </w:rPr>
        <w:t>Tolucombi</w:t>
      </w:r>
      <w:r w:rsidRPr="00FC2F1F">
        <w:rPr>
          <w:snapToGrid/>
          <w:szCs w:val="22"/>
          <w:lang w:val="el-GR"/>
        </w:rPr>
        <w:t xml:space="preserve"> χορηγούμενο μία φορά την ημέρα προκαλεί αποτελεσματική και ομαλή </w:t>
      </w:r>
      <w:r w:rsidR="00267E46">
        <w:rPr>
          <w:snapToGrid/>
          <w:szCs w:val="22"/>
          <w:lang w:val="el-GR"/>
        </w:rPr>
        <w:t>μείωση</w:t>
      </w:r>
      <w:r w:rsidRPr="00FC2F1F">
        <w:rPr>
          <w:snapToGrid/>
          <w:szCs w:val="22"/>
          <w:lang w:val="el-GR"/>
        </w:rPr>
        <w:t xml:space="preserve"> της αρτηριακής πίεσης σε όλο το θεραπευτικό εύρος</w:t>
      </w:r>
      <w:r w:rsidR="00267E46">
        <w:rPr>
          <w:snapToGrid/>
          <w:szCs w:val="22"/>
          <w:lang w:val="el-GR"/>
        </w:rPr>
        <w:t xml:space="preserve"> δόσης</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F1788E" w:rsidRPr="002210C0" w:rsidRDefault="00F1788E" w:rsidP="00681191">
      <w:pPr>
        <w:widowControl w:val="0"/>
        <w:tabs>
          <w:tab w:val="clear" w:pos="567"/>
        </w:tabs>
        <w:autoSpaceDE w:val="0"/>
        <w:autoSpaceDN w:val="0"/>
        <w:adjustRightInd w:val="0"/>
        <w:spacing w:line="240" w:lineRule="auto"/>
        <w:rPr>
          <w:snapToGrid/>
          <w:szCs w:val="22"/>
          <w:u w:val="single"/>
          <w:lang w:val="el-GR"/>
        </w:rPr>
      </w:pPr>
      <w:r w:rsidRPr="002210C0">
        <w:rPr>
          <w:snapToGrid/>
          <w:szCs w:val="22"/>
          <w:u w:val="single"/>
          <w:lang w:val="el-GR"/>
        </w:rPr>
        <w:t>Μηχανισμό</w:t>
      </w:r>
      <w:r>
        <w:rPr>
          <w:snapToGrid/>
          <w:szCs w:val="22"/>
          <w:u w:val="single"/>
          <w:lang w:val="el-GR"/>
        </w:rPr>
        <w:t>ς</w:t>
      </w:r>
      <w:r w:rsidRPr="002210C0">
        <w:rPr>
          <w:snapToGrid/>
          <w:szCs w:val="22"/>
          <w:u w:val="single"/>
          <w:lang w:val="el-GR"/>
        </w:rPr>
        <w:t xml:space="preserve"> δράσης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τελμισαρτάνη είναι </w:t>
      </w:r>
      <w:r w:rsidR="00267E46">
        <w:rPr>
          <w:snapToGrid/>
          <w:szCs w:val="22"/>
          <w:lang w:val="el-GR"/>
        </w:rPr>
        <w:t xml:space="preserve">ένας </w:t>
      </w:r>
      <w:r w:rsidRPr="00FC2F1F">
        <w:rPr>
          <w:snapToGrid/>
          <w:szCs w:val="22"/>
          <w:lang w:val="el-GR"/>
        </w:rPr>
        <w:t>αποτελεσματικός και ειδικός ανταγωνιστής των υποδοχέων υποτύπου 1 (τύπου AT</w:t>
      </w:r>
      <w:r w:rsidRPr="00FC2F1F">
        <w:rPr>
          <w:snapToGrid/>
          <w:szCs w:val="22"/>
          <w:vertAlign w:val="subscript"/>
          <w:lang w:val="el-GR"/>
        </w:rPr>
        <w:t>1</w:t>
      </w:r>
      <w:r w:rsidRPr="00FC2F1F">
        <w:rPr>
          <w:snapToGrid/>
          <w:szCs w:val="22"/>
          <w:lang w:val="el-GR"/>
        </w:rPr>
        <w:t>) της αγγειοτενσίνης ΙΙ για από του στόματος λήψη. Η τελμισαρτάνη εκτοπίζει την αγγειοτενσίνη ΙΙ με πολύ ισχυρή χημική συγγένεια από τη θέση σ</w:t>
      </w:r>
      <w:r w:rsidR="00267E46">
        <w:rPr>
          <w:snapToGrid/>
          <w:szCs w:val="22"/>
          <w:lang w:val="el-GR"/>
        </w:rPr>
        <w:t>ύ</w:t>
      </w:r>
      <w:r w:rsidRPr="00FC2F1F">
        <w:rPr>
          <w:snapToGrid/>
          <w:szCs w:val="22"/>
          <w:lang w:val="el-GR"/>
        </w:rPr>
        <w:t>νδ</w:t>
      </w:r>
      <w:r w:rsidR="00267E46">
        <w:rPr>
          <w:snapToGrid/>
          <w:szCs w:val="22"/>
          <w:lang w:val="el-GR"/>
        </w:rPr>
        <w:t>ε</w:t>
      </w:r>
      <w:r w:rsidRPr="00FC2F1F">
        <w:rPr>
          <w:snapToGrid/>
          <w:szCs w:val="22"/>
          <w:lang w:val="el-GR"/>
        </w:rPr>
        <w:t>σ</w:t>
      </w:r>
      <w:r w:rsidR="00E01B69">
        <w:rPr>
          <w:snapToGrid/>
          <w:szCs w:val="22"/>
          <w:lang w:val="el-GR"/>
        </w:rPr>
        <w:t>ή</w:t>
      </w:r>
      <w:r w:rsidRPr="00FC2F1F">
        <w:rPr>
          <w:snapToGrid/>
          <w:szCs w:val="22"/>
          <w:lang w:val="el-GR"/>
        </w:rPr>
        <w:t>ς της στον υπότυπο AT</w:t>
      </w:r>
      <w:r w:rsidRPr="00FC2F1F">
        <w:rPr>
          <w:snapToGrid/>
          <w:szCs w:val="22"/>
          <w:vertAlign w:val="subscript"/>
          <w:lang w:val="el-GR"/>
        </w:rPr>
        <w:t>1</w:t>
      </w:r>
      <w:r w:rsidRPr="00FC2F1F">
        <w:rPr>
          <w:snapToGrid/>
          <w:szCs w:val="22"/>
          <w:lang w:val="el-GR"/>
        </w:rPr>
        <w:t xml:space="preserve"> του υποδοχέα, ο οποίος είναι υπεύθυνος για τις γνωστές δράσεις της αγγειοτενσίνης ΙΙ. Η τελμισαρτάνη δεν επιδεικνύει καμία δραστηριότητα μερικού αγωνιστή στον υποδοχέα AT</w:t>
      </w:r>
      <w:r w:rsidRPr="00FC2F1F">
        <w:rPr>
          <w:snapToGrid/>
          <w:szCs w:val="22"/>
          <w:vertAlign w:val="subscript"/>
          <w:lang w:val="el-GR"/>
        </w:rPr>
        <w:t>1</w:t>
      </w:r>
      <w:r w:rsidRPr="00FC2F1F">
        <w:rPr>
          <w:snapToGrid/>
          <w:szCs w:val="22"/>
          <w:lang w:val="el-GR"/>
        </w:rPr>
        <w:t>. Η τελμισαρτάνη συνδέεται εκλεκτικά με τον AT</w:t>
      </w:r>
      <w:r w:rsidRPr="00FC2F1F">
        <w:rPr>
          <w:snapToGrid/>
          <w:szCs w:val="22"/>
          <w:vertAlign w:val="subscript"/>
          <w:lang w:val="el-GR"/>
        </w:rPr>
        <w:t>1</w:t>
      </w:r>
      <w:r w:rsidRPr="00FC2F1F">
        <w:rPr>
          <w:snapToGrid/>
          <w:szCs w:val="22"/>
          <w:lang w:val="el-GR"/>
        </w:rPr>
        <w:t xml:space="preserve"> υποδοχέα. Η σύνδεση αυτή διαρκεί για μεγάλο χρονικό διάστημα. Η τελμισαρτάνη δεν έχει χημική συγγένεια με άλλους υποδοχείς, περιλαμβ</w:t>
      </w:r>
      <w:r w:rsidR="00372C33">
        <w:rPr>
          <w:snapToGrid/>
          <w:szCs w:val="22"/>
          <w:lang w:val="el-GR"/>
        </w:rPr>
        <w:t>ανομένων</w:t>
      </w:r>
      <w:r w:rsidRPr="00FC2F1F">
        <w:rPr>
          <w:snapToGrid/>
          <w:szCs w:val="22"/>
          <w:lang w:val="el-GR"/>
        </w:rPr>
        <w:t xml:space="preserve"> τ</w:t>
      </w:r>
      <w:r w:rsidR="00372C33">
        <w:rPr>
          <w:snapToGrid/>
          <w:szCs w:val="22"/>
          <w:lang w:val="el-GR"/>
        </w:rPr>
        <w:t>ων</w:t>
      </w:r>
      <w:r w:rsidRPr="00FC2F1F">
        <w:rPr>
          <w:snapToGrid/>
          <w:szCs w:val="22"/>
          <w:lang w:val="el-GR"/>
        </w:rPr>
        <w:t xml:space="preserve"> AT</w:t>
      </w:r>
      <w:r w:rsidRPr="00FC2F1F">
        <w:rPr>
          <w:snapToGrid/>
          <w:szCs w:val="22"/>
          <w:vertAlign w:val="subscript"/>
          <w:lang w:val="el-GR"/>
        </w:rPr>
        <w:t>2</w:t>
      </w:r>
      <w:r w:rsidRPr="00FC2F1F">
        <w:rPr>
          <w:snapToGrid/>
          <w:szCs w:val="22"/>
          <w:lang w:val="el-GR"/>
        </w:rPr>
        <w:t xml:space="preserve"> και άλλ</w:t>
      </w:r>
      <w:r w:rsidR="003B3AE4">
        <w:rPr>
          <w:snapToGrid/>
          <w:szCs w:val="22"/>
          <w:lang w:val="el-GR"/>
        </w:rPr>
        <w:t>ων</w:t>
      </w:r>
      <w:r w:rsidRPr="00FC2F1F">
        <w:rPr>
          <w:snapToGrid/>
          <w:szCs w:val="22"/>
          <w:lang w:val="el-GR"/>
        </w:rPr>
        <w:t xml:space="preserve"> λιγότερο χαρακτηρισμέν</w:t>
      </w:r>
      <w:r w:rsidR="003B3AE4">
        <w:rPr>
          <w:snapToGrid/>
          <w:szCs w:val="22"/>
          <w:lang w:val="el-GR"/>
        </w:rPr>
        <w:t>ων</w:t>
      </w:r>
      <w:r w:rsidRPr="00FC2F1F">
        <w:rPr>
          <w:snapToGrid/>
          <w:szCs w:val="22"/>
          <w:lang w:val="el-GR"/>
        </w:rPr>
        <w:t xml:space="preserve"> ΑΤ υποδοχ</w:t>
      </w:r>
      <w:r w:rsidR="003B3AE4">
        <w:rPr>
          <w:snapToGrid/>
          <w:szCs w:val="22"/>
          <w:lang w:val="el-GR"/>
        </w:rPr>
        <w:t>έων</w:t>
      </w:r>
      <w:r w:rsidRPr="00FC2F1F">
        <w:rPr>
          <w:snapToGrid/>
          <w:szCs w:val="22"/>
          <w:lang w:val="el-GR"/>
        </w:rPr>
        <w:t>. Ο λειτουργικός ρόλος αυτών των υποδοχέων δεν είναι γνωστός</w:t>
      </w:r>
      <w:r w:rsidR="003B3AE4">
        <w:rPr>
          <w:snapToGrid/>
          <w:szCs w:val="22"/>
          <w:lang w:val="el-GR"/>
        </w:rPr>
        <w:t>,</w:t>
      </w:r>
      <w:r w:rsidRPr="00FC2F1F">
        <w:rPr>
          <w:snapToGrid/>
          <w:szCs w:val="22"/>
          <w:lang w:val="el-GR"/>
        </w:rPr>
        <w:t xml:space="preserve"> αλλά ούτε και το αποτέλεσμα πιθανής υπερδιέγερσής τους από την αγγειοτενσίνη ΙΙ, τα επίπεδα της οποίας αυξάνονται από την τελμισαρτάνη. Τα επίπεδα αλδοστερόνης </w:t>
      </w:r>
      <w:r w:rsidR="003B3AE4">
        <w:rPr>
          <w:snapToGrid/>
          <w:szCs w:val="22"/>
          <w:lang w:val="el-GR"/>
        </w:rPr>
        <w:t>σ</w:t>
      </w:r>
      <w:r w:rsidRPr="00FC2F1F">
        <w:rPr>
          <w:snapToGrid/>
          <w:szCs w:val="22"/>
          <w:lang w:val="el-GR"/>
        </w:rPr>
        <w:t>το πλάσμα μειώνονται από τη</w:t>
      </w:r>
      <w:r w:rsidR="003B3AE4">
        <w:rPr>
          <w:snapToGrid/>
          <w:szCs w:val="22"/>
          <w:lang w:val="el-GR"/>
        </w:rPr>
        <w:t>ν</w:t>
      </w:r>
      <w:r w:rsidRPr="00FC2F1F">
        <w:rPr>
          <w:snapToGrid/>
          <w:szCs w:val="22"/>
          <w:lang w:val="el-GR"/>
        </w:rPr>
        <w:t xml:space="preserve"> τελμισαρτάνη. Η τελμισαρτάνη δεν αναστέλλει την ανθρώπινη ρενίνη πλάσματος και δεν αποκλείει τους διαύλους ιόντων. Η τελμισαρτάνη δεν αναστέλλει το μετατρεπτικό ένζυμο της αγγειοτενσίνης (κινινάση ΙΙ), το ένζυμο που διασπά επίσης τη βραδυκινίνη. Ως εκ τούτου, δεν αναμέν</w:t>
      </w:r>
      <w:r w:rsidR="006D7719">
        <w:rPr>
          <w:snapToGrid/>
          <w:szCs w:val="22"/>
          <w:lang w:val="el-GR"/>
        </w:rPr>
        <w:t>εται</w:t>
      </w:r>
      <w:r w:rsidRPr="00FC2F1F">
        <w:rPr>
          <w:snapToGrid/>
          <w:szCs w:val="22"/>
          <w:lang w:val="el-GR"/>
        </w:rPr>
        <w:t xml:space="preserve"> </w:t>
      </w:r>
      <w:r w:rsidR="006D7719">
        <w:rPr>
          <w:snapToGrid/>
          <w:szCs w:val="22"/>
          <w:lang w:val="el-GR"/>
        </w:rPr>
        <w:t xml:space="preserve">ενίσχυση των </w:t>
      </w:r>
      <w:r w:rsidR="00AC7DBB">
        <w:rPr>
          <w:snapToGrid/>
          <w:szCs w:val="22"/>
          <w:lang w:val="el-GR"/>
        </w:rPr>
        <w:t xml:space="preserve">διαμεσολαβούμενων από τη βραδυκινίνη </w:t>
      </w:r>
      <w:r w:rsidRPr="00FC2F1F">
        <w:rPr>
          <w:snapToGrid/>
          <w:szCs w:val="22"/>
          <w:lang w:val="el-GR"/>
        </w:rPr>
        <w:t>ανεπιθύμητ</w:t>
      </w:r>
      <w:r w:rsidR="006D7719">
        <w:rPr>
          <w:snapToGrid/>
          <w:szCs w:val="22"/>
          <w:lang w:val="el-GR"/>
        </w:rPr>
        <w:t>ων</w:t>
      </w:r>
      <w:r w:rsidRPr="00FC2F1F">
        <w:rPr>
          <w:snapToGrid/>
          <w:szCs w:val="22"/>
          <w:lang w:val="el-GR"/>
        </w:rPr>
        <w:t xml:space="preserve"> εν</w:t>
      </w:r>
      <w:r w:rsidR="006D7719">
        <w:rPr>
          <w:snapToGrid/>
          <w:szCs w:val="22"/>
          <w:lang w:val="el-GR"/>
        </w:rPr>
        <w:t>ε</w:t>
      </w:r>
      <w:r w:rsidRPr="00FC2F1F">
        <w:rPr>
          <w:snapToGrid/>
          <w:szCs w:val="22"/>
          <w:lang w:val="el-GR"/>
        </w:rPr>
        <w:t>ργει</w:t>
      </w:r>
      <w:r w:rsidR="006D7719">
        <w:rPr>
          <w:snapToGrid/>
          <w:szCs w:val="22"/>
          <w:lang w:val="el-GR"/>
        </w:rPr>
        <w:t>ών</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δόση 80</w:t>
      </w:r>
      <w:r>
        <w:rPr>
          <w:snapToGrid/>
          <w:szCs w:val="22"/>
          <w:lang w:val="el-GR"/>
        </w:rPr>
        <w:t> mg</w:t>
      </w:r>
      <w:r w:rsidRPr="00FC2F1F">
        <w:rPr>
          <w:snapToGrid/>
          <w:szCs w:val="22"/>
          <w:lang w:val="el-GR"/>
        </w:rPr>
        <w:t xml:space="preserve"> τελμισαρτάνης χορηγούμενη σε υγιείς εθελοντές αναστέλλει σχεδόν εξ’ ολοκλήρου την αύξηση της </w:t>
      </w:r>
      <w:r w:rsidR="00AC7DBB">
        <w:rPr>
          <w:snapToGrid/>
          <w:szCs w:val="22"/>
          <w:lang w:val="el-GR"/>
        </w:rPr>
        <w:t xml:space="preserve">αρτηριακής </w:t>
      </w:r>
      <w:r w:rsidRPr="00FC2F1F">
        <w:rPr>
          <w:snapToGrid/>
          <w:szCs w:val="22"/>
          <w:lang w:val="el-GR"/>
        </w:rPr>
        <w:t>πίεσης που προκαλείται από την αγγειοτενσίνη ΙΙ. Αυτή η ανασταλτική δράση διατηρείται για 24 ώρες και είναι ανιχνεύσιμη μέχρι 48 ώρες.</w:t>
      </w:r>
    </w:p>
    <w:p w:rsidR="003269AF" w:rsidRDefault="003269AF" w:rsidP="003269AF">
      <w:pPr>
        <w:widowControl w:val="0"/>
        <w:tabs>
          <w:tab w:val="clear" w:pos="567"/>
        </w:tabs>
        <w:autoSpaceDE w:val="0"/>
        <w:autoSpaceDN w:val="0"/>
        <w:adjustRightInd w:val="0"/>
        <w:spacing w:line="240" w:lineRule="auto"/>
        <w:rPr>
          <w:snapToGrid/>
          <w:szCs w:val="22"/>
          <w:lang w:val="el-GR"/>
        </w:rPr>
      </w:pPr>
    </w:p>
    <w:p w:rsidR="003269AF" w:rsidRPr="003269AF" w:rsidRDefault="003269AF" w:rsidP="003269AF">
      <w:pPr>
        <w:widowControl w:val="0"/>
        <w:tabs>
          <w:tab w:val="clear" w:pos="567"/>
        </w:tabs>
        <w:autoSpaceDE w:val="0"/>
        <w:autoSpaceDN w:val="0"/>
        <w:adjustRightInd w:val="0"/>
        <w:spacing w:line="240" w:lineRule="auto"/>
        <w:rPr>
          <w:snapToGrid/>
          <w:szCs w:val="22"/>
          <w:lang w:val="el-GR"/>
        </w:rPr>
      </w:pPr>
      <w:r w:rsidRPr="003269AF">
        <w:rPr>
          <w:snapToGrid/>
          <w:szCs w:val="22"/>
          <w:lang w:val="el-GR"/>
        </w:rPr>
        <w:t>Η υδροχλωροθειαζίδη είναι ένα θειαζιδικό διουρητικό. Ο μηχανισμός της αντιυπερτασικής δράσης των θειαζιδικών διουρητικών δεν είναι πλήρως γνωστός. Οι θειαζίδες επηρεάζουν τους μηχανισμούς επαναρρόφησης ηλεκτρολυτών στα νεφρικά σωληνάρια, αυξάνοντας άμεσα την απέκκριση νατρίου και χλωρίου σε περίπου ισοδύναμ</w:t>
      </w:r>
      <w:r w:rsidR="00E337D8">
        <w:rPr>
          <w:snapToGrid/>
          <w:szCs w:val="22"/>
          <w:lang w:val="el-GR"/>
        </w:rPr>
        <w:t>ες</w:t>
      </w:r>
      <w:r w:rsidRPr="003269AF">
        <w:rPr>
          <w:snapToGrid/>
          <w:szCs w:val="22"/>
          <w:lang w:val="el-GR"/>
        </w:rPr>
        <w:t xml:space="preserve"> ποσ</w:t>
      </w:r>
      <w:r w:rsidR="00E337D8">
        <w:rPr>
          <w:snapToGrid/>
          <w:szCs w:val="22"/>
          <w:lang w:val="el-GR"/>
        </w:rPr>
        <w:t>ότητες</w:t>
      </w:r>
      <w:r w:rsidRPr="003269AF">
        <w:rPr>
          <w:snapToGrid/>
          <w:szCs w:val="22"/>
          <w:lang w:val="el-GR"/>
        </w:rPr>
        <w:t xml:space="preserve">. Η διουρητική δράση της υδροχλωροθειαζίδης </w:t>
      </w:r>
      <w:r w:rsidR="005E2B02">
        <w:rPr>
          <w:snapToGrid/>
          <w:szCs w:val="22"/>
          <w:lang w:val="el-GR"/>
        </w:rPr>
        <w:t>συνίσταται σ</w:t>
      </w:r>
      <w:r w:rsidRPr="003269AF">
        <w:rPr>
          <w:snapToGrid/>
          <w:szCs w:val="22"/>
          <w:lang w:val="el-GR"/>
        </w:rPr>
        <w:t xml:space="preserve">τη μείωση του όγκου του πλάσματος, </w:t>
      </w:r>
      <w:r w:rsidR="005E2B02">
        <w:rPr>
          <w:snapToGrid/>
          <w:szCs w:val="22"/>
          <w:lang w:val="el-GR"/>
        </w:rPr>
        <w:t>σ</w:t>
      </w:r>
      <w:r w:rsidRPr="003269AF">
        <w:rPr>
          <w:snapToGrid/>
          <w:szCs w:val="22"/>
          <w:lang w:val="el-GR"/>
        </w:rPr>
        <w:t>την αύξηση της δραστ</w:t>
      </w:r>
      <w:r w:rsidR="005E2B02">
        <w:rPr>
          <w:snapToGrid/>
          <w:szCs w:val="22"/>
          <w:lang w:val="el-GR"/>
        </w:rPr>
        <w:t>ικ</w:t>
      </w:r>
      <w:r w:rsidRPr="003269AF">
        <w:rPr>
          <w:snapToGrid/>
          <w:szCs w:val="22"/>
          <w:lang w:val="el-GR"/>
        </w:rPr>
        <w:t xml:space="preserve">ότητας ρενίνης πλάσματος, </w:t>
      </w:r>
      <w:r w:rsidR="005E2B02">
        <w:rPr>
          <w:snapToGrid/>
          <w:szCs w:val="22"/>
          <w:lang w:val="el-GR"/>
        </w:rPr>
        <w:t xml:space="preserve">στην </w:t>
      </w:r>
      <w:r w:rsidRPr="003269AF">
        <w:rPr>
          <w:snapToGrid/>
          <w:szCs w:val="22"/>
          <w:lang w:val="el-GR"/>
        </w:rPr>
        <w:t xml:space="preserve">αύξηση της έκκρισης αλδοστερόνης, με </w:t>
      </w:r>
      <w:r w:rsidR="005E2B02">
        <w:rPr>
          <w:snapToGrid/>
          <w:szCs w:val="22"/>
          <w:lang w:val="el-GR"/>
        </w:rPr>
        <w:t xml:space="preserve">επακόλουθες </w:t>
      </w:r>
      <w:r w:rsidRPr="003269AF">
        <w:rPr>
          <w:snapToGrid/>
          <w:szCs w:val="22"/>
          <w:lang w:val="el-GR"/>
        </w:rPr>
        <w:t>α</w:t>
      </w:r>
      <w:r w:rsidR="005E2B02">
        <w:rPr>
          <w:snapToGrid/>
          <w:szCs w:val="22"/>
          <w:lang w:val="el-GR"/>
        </w:rPr>
        <w:t>υξήσεις</w:t>
      </w:r>
      <w:r w:rsidRPr="003269AF">
        <w:rPr>
          <w:snapToGrid/>
          <w:szCs w:val="22"/>
          <w:lang w:val="el-GR"/>
        </w:rPr>
        <w:t xml:space="preserve"> της δια των ούρων απ</w:t>
      </w:r>
      <w:r w:rsidR="00F950AA">
        <w:rPr>
          <w:snapToGrid/>
          <w:szCs w:val="22"/>
          <w:lang w:val="el-GR"/>
        </w:rPr>
        <w:t>ώλειας</w:t>
      </w:r>
      <w:r w:rsidRPr="003269AF">
        <w:rPr>
          <w:snapToGrid/>
          <w:szCs w:val="22"/>
          <w:lang w:val="el-GR"/>
        </w:rPr>
        <w:t xml:space="preserve"> καλίου και διττανθρακικών, και με</w:t>
      </w:r>
      <w:r w:rsidR="005E2B02">
        <w:rPr>
          <w:snapToGrid/>
          <w:szCs w:val="22"/>
          <w:lang w:val="el-GR"/>
        </w:rPr>
        <w:t xml:space="preserve">ιώσεις </w:t>
      </w:r>
      <w:r w:rsidRPr="003269AF">
        <w:rPr>
          <w:snapToGrid/>
          <w:szCs w:val="22"/>
          <w:lang w:val="el-GR"/>
        </w:rPr>
        <w:t>του καλίου ορού. Πιθανώς μέσω του αποκλεισμού του συστήματος ρενίνης – αγγειοτενσίνης –</w:t>
      </w:r>
      <w:r w:rsidR="005E2B02">
        <w:rPr>
          <w:snapToGrid/>
          <w:szCs w:val="22"/>
          <w:lang w:val="el-GR"/>
        </w:rPr>
        <w:t xml:space="preserve"> α</w:t>
      </w:r>
      <w:r w:rsidRPr="003269AF">
        <w:rPr>
          <w:snapToGrid/>
          <w:szCs w:val="22"/>
          <w:lang w:val="el-GR"/>
        </w:rPr>
        <w:t>λδοστερόνης, η συγχορήγηση τελμισαρτάνης τείνει να αν</w:t>
      </w:r>
      <w:r w:rsidR="00F950AA">
        <w:rPr>
          <w:snapToGrid/>
          <w:szCs w:val="22"/>
          <w:lang w:val="el-GR"/>
        </w:rPr>
        <w:t>α</w:t>
      </w:r>
      <w:r w:rsidRPr="003269AF">
        <w:rPr>
          <w:snapToGrid/>
          <w:szCs w:val="22"/>
          <w:lang w:val="el-GR"/>
        </w:rPr>
        <w:t>στρέψει την απώλεια καλίου που σχετίζεται με αυτά τα διουρητικά. Με τ</w:t>
      </w:r>
      <w:r w:rsidR="00F950AA">
        <w:rPr>
          <w:snapToGrid/>
          <w:szCs w:val="22"/>
          <w:lang w:val="el-GR"/>
        </w:rPr>
        <w:t>ην</w:t>
      </w:r>
      <w:r w:rsidRPr="003269AF">
        <w:rPr>
          <w:snapToGrid/>
          <w:szCs w:val="22"/>
          <w:lang w:val="el-GR"/>
        </w:rPr>
        <w:t xml:space="preserve"> υδροχλωροθειαζίδ</w:t>
      </w:r>
      <w:r w:rsidR="00F950AA">
        <w:rPr>
          <w:snapToGrid/>
          <w:szCs w:val="22"/>
          <w:lang w:val="el-GR"/>
        </w:rPr>
        <w:t>η</w:t>
      </w:r>
      <w:r w:rsidRPr="003269AF">
        <w:rPr>
          <w:snapToGrid/>
          <w:szCs w:val="22"/>
          <w:lang w:val="el-GR"/>
        </w:rPr>
        <w:t xml:space="preserve">, η έναρξη της διούρησης </w:t>
      </w:r>
      <w:r w:rsidR="00F950AA">
        <w:rPr>
          <w:snapToGrid/>
          <w:szCs w:val="22"/>
          <w:lang w:val="el-GR"/>
        </w:rPr>
        <w:t>λαμβάνει χώρα</w:t>
      </w:r>
      <w:r w:rsidRPr="003269AF">
        <w:rPr>
          <w:snapToGrid/>
          <w:szCs w:val="22"/>
          <w:lang w:val="el-GR"/>
        </w:rPr>
        <w:t xml:space="preserve"> σε 2 ώρες, και το μέγιστο αποτέλεσμα εμφανίζεται περίπου στις 4 ώρες, ενώ η δράση</w:t>
      </w:r>
      <w:r w:rsidR="00F950AA">
        <w:rPr>
          <w:snapToGrid/>
          <w:szCs w:val="22"/>
          <w:lang w:val="el-GR"/>
        </w:rPr>
        <w:t xml:space="preserve"> διατηρείται για</w:t>
      </w:r>
      <w:r w:rsidRPr="003269AF">
        <w:rPr>
          <w:snapToGrid/>
          <w:szCs w:val="22"/>
          <w:lang w:val="el-GR"/>
        </w:rPr>
        <w:t xml:space="preserve"> περίπου 6-12 ώρες.</w:t>
      </w:r>
    </w:p>
    <w:p w:rsidR="00EE3612" w:rsidRDefault="00EE3612" w:rsidP="00681191">
      <w:pPr>
        <w:widowControl w:val="0"/>
        <w:tabs>
          <w:tab w:val="clear" w:pos="567"/>
        </w:tabs>
        <w:autoSpaceDE w:val="0"/>
        <w:autoSpaceDN w:val="0"/>
        <w:adjustRightInd w:val="0"/>
        <w:spacing w:line="240" w:lineRule="auto"/>
        <w:rPr>
          <w:snapToGrid/>
          <w:szCs w:val="22"/>
          <w:lang w:val="el-GR"/>
        </w:rPr>
      </w:pPr>
    </w:p>
    <w:p w:rsidR="00F1788E" w:rsidRPr="002210C0" w:rsidRDefault="00F1788E" w:rsidP="00681191">
      <w:pPr>
        <w:widowControl w:val="0"/>
        <w:tabs>
          <w:tab w:val="clear" w:pos="567"/>
        </w:tabs>
        <w:autoSpaceDE w:val="0"/>
        <w:autoSpaceDN w:val="0"/>
        <w:adjustRightInd w:val="0"/>
        <w:spacing w:line="240" w:lineRule="auto"/>
        <w:rPr>
          <w:snapToGrid/>
          <w:szCs w:val="22"/>
          <w:u w:val="single"/>
          <w:lang w:val="el-GR"/>
        </w:rPr>
      </w:pPr>
      <w:r w:rsidRPr="002210C0">
        <w:rPr>
          <w:snapToGrid/>
          <w:szCs w:val="22"/>
          <w:u w:val="single"/>
          <w:lang w:val="el-GR"/>
        </w:rPr>
        <w:t>Κλινική αποτελεσματικότητα και ασφάλεια</w:t>
      </w:r>
    </w:p>
    <w:p w:rsidR="00F1788E" w:rsidRDefault="00F1788E" w:rsidP="00681191">
      <w:pPr>
        <w:widowControl w:val="0"/>
        <w:tabs>
          <w:tab w:val="clear" w:pos="567"/>
        </w:tabs>
        <w:autoSpaceDE w:val="0"/>
        <w:autoSpaceDN w:val="0"/>
        <w:adjustRightInd w:val="0"/>
        <w:spacing w:line="240" w:lineRule="auto"/>
        <w:rPr>
          <w:snapToGrid/>
          <w:szCs w:val="22"/>
          <w:lang w:val="el-GR"/>
        </w:rPr>
      </w:pPr>
    </w:p>
    <w:p w:rsidR="00F1788E" w:rsidRPr="002210C0" w:rsidRDefault="00F1788E" w:rsidP="00681191">
      <w:pPr>
        <w:widowControl w:val="0"/>
        <w:tabs>
          <w:tab w:val="clear" w:pos="567"/>
        </w:tabs>
        <w:autoSpaceDE w:val="0"/>
        <w:autoSpaceDN w:val="0"/>
        <w:adjustRightInd w:val="0"/>
        <w:spacing w:line="240" w:lineRule="auto"/>
        <w:rPr>
          <w:snapToGrid/>
          <w:szCs w:val="22"/>
          <w:u w:val="single"/>
          <w:lang w:val="el-GR"/>
        </w:rPr>
      </w:pPr>
      <w:r w:rsidRPr="002210C0">
        <w:rPr>
          <w:snapToGrid/>
          <w:szCs w:val="22"/>
          <w:u w:val="single"/>
          <w:lang w:val="el-GR"/>
        </w:rPr>
        <w:t>Θεραπεία της ιδιοπαθούς υπέρτασης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Μετά τη χορήγηση της πρώτης δόσης της τελμισαρτάνης, η αντιυπερτασική δραστηριότητα αρχίζει σταδιακά εντός 3 ωρών. Η μέγιστη μείωση της αρτηριακής πίεσης </w:t>
      </w:r>
      <w:r w:rsidR="000D3B13">
        <w:rPr>
          <w:snapToGrid/>
          <w:szCs w:val="22"/>
          <w:lang w:val="el-GR"/>
        </w:rPr>
        <w:t>επιτυγχάνεται</w:t>
      </w:r>
      <w:r w:rsidRPr="00FC2F1F">
        <w:rPr>
          <w:snapToGrid/>
          <w:szCs w:val="22"/>
          <w:lang w:val="el-GR"/>
        </w:rPr>
        <w:t xml:space="preserve"> γενικά 4 - 8 εβδομάδες μετά την έναρξη της </w:t>
      </w:r>
      <w:r w:rsidR="005B443C">
        <w:rPr>
          <w:snapToGrid/>
          <w:szCs w:val="22"/>
          <w:lang w:val="el-GR"/>
        </w:rPr>
        <w:t>αγωγής</w:t>
      </w:r>
      <w:r w:rsidRPr="00FC2F1F">
        <w:rPr>
          <w:snapToGrid/>
          <w:szCs w:val="22"/>
          <w:lang w:val="el-GR"/>
        </w:rPr>
        <w:t xml:space="preserve"> και διατηρείται κατά τη διάρκεια μακροχρόνιας θεραπείας. Το αντιυπερτασικό αποτέλεσμα διατηρείται </w:t>
      </w:r>
      <w:r w:rsidR="005B443C">
        <w:rPr>
          <w:snapToGrid/>
          <w:szCs w:val="22"/>
          <w:lang w:val="el-GR"/>
        </w:rPr>
        <w:t>σταθερά</w:t>
      </w:r>
      <w:r w:rsidRPr="00FC2F1F">
        <w:rPr>
          <w:snapToGrid/>
          <w:szCs w:val="22"/>
          <w:lang w:val="el-GR"/>
        </w:rPr>
        <w:t xml:space="preserve"> για 24 ώρες μετά τη λήψη και περιλαμβάνει τις τελευταίες 4 ώρες πριν την επόμενη χορήγηση όπως </w:t>
      </w:r>
      <w:r w:rsidR="005B443C">
        <w:rPr>
          <w:snapToGrid/>
          <w:szCs w:val="22"/>
          <w:lang w:val="el-GR"/>
        </w:rPr>
        <w:t>δεικνύεται</w:t>
      </w:r>
      <w:r w:rsidRPr="00FC2F1F">
        <w:rPr>
          <w:snapToGrid/>
          <w:szCs w:val="22"/>
          <w:lang w:val="el-GR"/>
        </w:rPr>
        <w:t xml:space="preserve"> από μετρήσεις της αρτηριακής πίεσης περιπατητικών ασθενών. Αυτό επιβεβαι</w:t>
      </w:r>
      <w:r w:rsidR="00F0611C">
        <w:rPr>
          <w:snapToGrid/>
          <w:szCs w:val="22"/>
          <w:lang w:val="el-GR"/>
        </w:rPr>
        <w:t>ώνεται</w:t>
      </w:r>
      <w:r w:rsidRPr="00FC2F1F">
        <w:rPr>
          <w:snapToGrid/>
          <w:szCs w:val="22"/>
          <w:lang w:val="el-GR"/>
        </w:rPr>
        <w:t xml:space="preserve"> από μετρήσεις που έγιναν στο χρονικό σημείο μέγιστης επίδρασης και ακριβώς πριν από τη χορήγηση της επόμενης δόσης (στις ελεγχόμενες με εικονικό φάρμακο κλινικές μελέτες ο λόγος βάσεως προς κορυφή ήταν </w:t>
      </w:r>
      <w:r w:rsidR="00406C87">
        <w:rPr>
          <w:snapToGrid/>
          <w:szCs w:val="22"/>
          <w:lang w:val="el-GR"/>
        </w:rPr>
        <w:t>σταθερά</w:t>
      </w:r>
      <w:r w:rsidRPr="00FC2F1F">
        <w:rPr>
          <w:snapToGrid/>
          <w:szCs w:val="22"/>
          <w:lang w:val="el-GR"/>
        </w:rPr>
        <w:t xml:space="preserve"> άνω του 80</w:t>
      </w:r>
      <w:r w:rsidR="00EE3612">
        <w:rPr>
          <w:snapToGrid/>
          <w:szCs w:val="22"/>
          <w:lang w:val="el-GR"/>
        </w:rPr>
        <w:t> </w:t>
      </w:r>
      <w:r w:rsidRPr="00FC2F1F">
        <w:rPr>
          <w:snapToGrid/>
          <w:szCs w:val="22"/>
          <w:lang w:val="el-GR"/>
        </w:rPr>
        <w:t>% μετά από χορήγηση δόσεων 40 και 80</w:t>
      </w:r>
      <w:r>
        <w:rPr>
          <w:snapToGrid/>
          <w:szCs w:val="22"/>
          <w:lang w:val="el-GR"/>
        </w:rPr>
        <w:t> mg</w:t>
      </w:r>
      <w:r w:rsidRPr="00FC2F1F">
        <w:rPr>
          <w:snapToGrid/>
          <w:szCs w:val="22"/>
          <w:lang w:val="el-GR"/>
        </w:rPr>
        <w:t xml:space="preserve"> τελμισαρτάνης).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Σε ασθενείς με υπέρταση η τελμισαρτάνη ελαττώνει τόσο τη συστολική όσο και τη διαστολική αρτηριακή πίεση χωρίς να επηρεάζει τη συχνότητα παλμών. Η αντιυπερτασική αποτελεσματικότητα της τελμισαρτάνης είναι συγκρίσιμη με </w:t>
      </w:r>
      <w:r w:rsidR="00406C87">
        <w:rPr>
          <w:snapToGrid/>
          <w:szCs w:val="22"/>
          <w:lang w:val="el-GR"/>
        </w:rPr>
        <w:t>εκείνη των</w:t>
      </w:r>
      <w:r w:rsidRPr="00FC2F1F">
        <w:rPr>
          <w:snapToGrid/>
          <w:szCs w:val="22"/>
          <w:lang w:val="el-GR"/>
        </w:rPr>
        <w:t xml:space="preserve"> αντιπροσωπευτικών ουσιών από άλλες κατηγορίες αντιυπερτασικών φαρμακευτικών προϊόντων (αυτό αποδείχθηκε σε κλινικές δοκιμές που συνέκριναν την τελμισαρτάνη με αμλοδιπίνη, ατενολόλη, εναλαπρίλη, υδροχλωροθειαζίδη, και λισινοπρίλη).</w:t>
      </w:r>
    </w:p>
    <w:bookmarkEnd w:id="9"/>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bookmarkStart w:id="10" w:name="_Hlk500156499"/>
      <w:r w:rsidRPr="00FC2F1F">
        <w:rPr>
          <w:snapToGrid/>
          <w:szCs w:val="22"/>
          <w:lang w:val="el-GR"/>
        </w:rPr>
        <w:t>Σε απότομη διακοπή της θεραπείας με τελμισαρτάνη, η αρτηριακή πίεση επ</w:t>
      </w:r>
      <w:r w:rsidR="00A84FF6">
        <w:rPr>
          <w:snapToGrid/>
          <w:szCs w:val="22"/>
          <w:lang w:val="el-GR"/>
        </w:rPr>
        <w:t>ανέρχεται</w:t>
      </w:r>
      <w:r w:rsidRPr="00FC2F1F">
        <w:rPr>
          <w:snapToGrid/>
          <w:szCs w:val="22"/>
          <w:lang w:val="el-GR"/>
        </w:rPr>
        <w:t xml:space="preserve"> σταδιακά στις προ - θεραπείας τιμές σε χρονικό διάστημα μερικών ημερών χωρίς ενδείξεις αντιδραστικής υπέρτασης.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κλινικές δοκιμές απευθείας σύγκρισης των δύο αντιυπερτασικών θεραπε</w:t>
      </w:r>
      <w:r w:rsidR="00A84FF6">
        <w:rPr>
          <w:snapToGrid/>
          <w:szCs w:val="22"/>
          <w:lang w:val="el-GR"/>
        </w:rPr>
        <w:t>ιώ</w:t>
      </w:r>
      <w:r w:rsidRPr="00FC2F1F">
        <w:rPr>
          <w:snapToGrid/>
          <w:szCs w:val="22"/>
          <w:lang w:val="el-GR"/>
        </w:rPr>
        <w:t>ν η συχνότητα εμφάνισης ξηρού βήχα ήταν σημαντικά χαμηλότερη στους ασθενείς που χορηγήθηκε τελμισαρτάνη σε σύγκριση με αυτούς που χορηγήθηκαν αναστολείς</w:t>
      </w:r>
      <w:r w:rsidR="00974435">
        <w:rPr>
          <w:snapToGrid/>
          <w:szCs w:val="22"/>
          <w:lang w:val="el-GR"/>
        </w:rPr>
        <w:t xml:space="preserve"> του μετατρεπτικού ενζύμου της αγγειοτενσίνης</w:t>
      </w:r>
      <w:r w:rsidRPr="00FC2F1F">
        <w:rPr>
          <w:snapToGrid/>
          <w:szCs w:val="22"/>
          <w:lang w:val="el-GR"/>
        </w:rPr>
        <w:t>.</w:t>
      </w:r>
    </w:p>
    <w:p w:rsidR="00681191" w:rsidRDefault="00681191" w:rsidP="00681191">
      <w:pPr>
        <w:widowControl w:val="0"/>
        <w:tabs>
          <w:tab w:val="clear" w:pos="567"/>
        </w:tabs>
        <w:autoSpaceDE w:val="0"/>
        <w:autoSpaceDN w:val="0"/>
        <w:adjustRightInd w:val="0"/>
        <w:spacing w:line="240" w:lineRule="auto"/>
        <w:rPr>
          <w:snapToGrid/>
          <w:szCs w:val="22"/>
          <w:lang w:val="sl-SI"/>
        </w:rPr>
      </w:pPr>
    </w:p>
    <w:p w:rsidR="00681191" w:rsidRPr="00B754A1" w:rsidRDefault="00681191" w:rsidP="00681191">
      <w:pPr>
        <w:spacing w:line="240" w:lineRule="auto"/>
        <w:rPr>
          <w:szCs w:val="22"/>
          <w:u w:val="single"/>
          <w:lang w:val="el-GR"/>
        </w:rPr>
      </w:pPr>
      <w:r w:rsidRPr="00B754A1">
        <w:rPr>
          <w:szCs w:val="22"/>
          <w:u w:val="single"/>
          <w:lang w:val="el-GR"/>
        </w:rPr>
        <w:t>Καρδιαγγειακή πρόληψη</w:t>
      </w:r>
    </w:p>
    <w:p w:rsidR="00681191" w:rsidRPr="0095206D" w:rsidRDefault="00681191" w:rsidP="00681191">
      <w:pPr>
        <w:spacing w:line="240" w:lineRule="auto"/>
        <w:rPr>
          <w:szCs w:val="22"/>
          <w:lang w:val="el-GR"/>
        </w:rPr>
      </w:pPr>
      <w:r w:rsidRPr="0095206D">
        <w:rPr>
          <w:szCs w:val="22"/>
          <w:lang w:val="el-GR"/>
        </w:rPr>
        <w:t xml:space="preserve">Η </w:t>
      </w:r>
      <w:r w:rsidRPr="00DE6252">
        <w:rPr>
          <w:szCs w:val="22"/>
          <w:lang w:val="sl-SI"/>
        </w:rPr>
        <w:t>ONTARGET</w:t>
      </w:r>
      <w:r w:rsidRPr="0095206D">
        <w:rPr>
          <w:szCs w:val="22"/>
          <w:lang w:val="el-GR"/>
        </w:rPr>
        <w:t xml:space="preserve"> (</w:t>
      </w:r>
      <w:r w:rsidRPr="00DE6252">
        <w:rPr>
          <w:bCs/>
          <w:szCs w:val="22"/>
          <w:lang w:val="sl-SI"/>
        </w:rPr>
        <w:t>ON</w:t>
      </w:r>
      <w:r w:rsidRPr="00DE6252">
        <w:rPr>
          <w:szCs w:val="22"/>
          <w:lang w:val="sl-SI"/>
        </w:rPr>
        <w:t>going</w:t>
      </w:r>
      <w:r w:rsidRPr="0095206D">
        <w:rPr>
          <w:szCs w:val="22"/>
          <w:lang w:val="el-GR"/>
        </w:rPr>
        <w:t xml:space="preserve"> </w:t>
      </w:r>
      <w:r w:rsidRPr="00DE6252">
        <w:rPr>
          <w:bCs/>
          <w:szCs w:val="22"/>
          <w:lang w:val="sl-SI"/>
        </w:rPr>
        <w:t>T</w:t>
      </w:r>
      <w:r w:rsidRPr="00DE6252">
        <w:rPr>
          <w:szCs w:val="22"/>
          <w:lang w:val="sl-SI"/>
        </w:rPr>
        <w:t>elmisartan</w:t>
      </w:r>
      <w:r w:rsidRPr="0095206D">
        <w:rPr>
          <w:szCs w:val="22"/>
          <w:lang w:val="el-GR"/>
        </w:rPr>
        <w:t xml:space="preserve"> </w:t>
      </w:r>
      <w:r w:rsidRPr="00DE6252">
        <w:rPr>
          <w:bCs/>
          <w:szCs w:val="22"/>
          <w:lang w:val="sl-SI"/>
        </w:rPr>
        <w:t>A</w:t>
      </w:r>
      <w:r w:rsidRPr="00DE6252">
        <w:rPr>
          <w:szCs w:val="22"/>
          <w:lang w:val="sl-SI"/>
        </w:rPr>
        <w:t>lone</w:t>
      </w:r>
      <w:r w:rsidRPr="0095206D">
        <w:rPr>
          <w:szCs w:val="22"/>
          <w:lang w:val="el-GR"/>
        </w:rPr>
        <w:t xml:space="preserve"> </w:t>
      </w:r>
      <w:r w:rsidRPr="00DE6252">
        <w:rPr>
          <w:szCs w:val="22"/>
          <w:lang w:val="sl-SI"/>
        </w:rPr>
        <w:t>and</w:t>
      </w:r>
      <w:r w:rsidRPr="0095206D">
        <w:rPr>
          <w:szCs w:val="22"/>
          <w:lang w:val="el-GR"/>
        </w:rPr>
        <w:t xml:space="preserve"> </w:t>
      </w:r>
      <w:r w:rsidRPr="00DE6252">
        <w:rPr>
          <w:szCs w:val="22"/>
          <w:lang w:val="sl-SI"/>
        </w:rPr>
        <w:t>in</w:t>
      </w:r>
      <w:r w:rsidRPr="0095206D">
        <w:rPr>
          <w:szCs w:val="22"/>
          <w:lang w:val="el-GR"/>
        </w:rPr>
        <w:t xml:space="preserve"> </w:t>
      </w:r>
      <w:r w:rsidRPr="00DE6252">
        <w:rPr>
          <w:szCs w:val="22"/>
          <w:lang w:val="sl-SI"/>
        </w:rPr>
        <w:t>Combination</w:t>
      </w:r>
      <w:r w:rsidRPr="0095206D">
        <w:rPr>
          <w:szCs w:val="22"/>
          <w:lang w:val="el-GR"/>
        </w:rPr>
        <w:t xml:space="preserve"> </w:t>
      </w:r>
      <w:r w:rsidRPr="00DE6252">
        <w:rPr>
          <w:szCs w:val="22"/>
          <w:lang w:val="sl-SI"/>
        </w:rPr>
        <w:t>with</w:t>
      </w:r>
      <w:r w:rsidRPr="0095206D">
        <w:rPr>
          <w:szCs w:val="22"/>
          <w:lang w:val="el-GR"/>
        </w:rPr>
        <w:t xml:space="preserve"> </w:t>
      </w:r>
      <w:r w:rsidRPr="00DE6252">
        <w:rPr>
          <w:bCs/>
          <w:szCs w:val="22"/>
          <w:lang w:val="sl-SI"/>
        </w:rPr>
        <w:t>R</w:t>
      </w:r>
      <w:r w:rsidRPr="00DE6252">
        <w:rPr>
          <w:szCs w:val="22"/>
          <w:lang w:val="sl-SI"/>
        </w:rPr>
        <w:t>amipril</w:t>
      </w:r>
      <w:r w:rsidRPr="0095206D">
        <w:rPr>
          <w:szCs w:val="22"/>
          <w:lang w:val="el-GR"/>
        </w:rPr>
        <w:t xml:space="preserve"> </w:t>
      </w:r>
      <w:r w:rsidRPr="00DE6252">
        <w:rPr>
          <w:bCs/>
          <w:szCs w:val="22"/>
          <w:lang w:val="sl-SI"/>
        </w:rPr>
        <w:t>G</w:t>
      </w:r>
      <w:r w:rsidRPr="00DE6252">
        <w:rPr>
          <w:szCs w:val="22"/>
          <w:lang w:val="sl-SI"/>
        </w:rPr>
        <w:t>lobal</w:t>
      </w:r>
      <w:r w:rsidRPr="0095206D">
        <w:rPr>
          <w:szCs w:val="22"/>
          <w:lang w:val="el-GR"/>
        </w:rPr>
        <w:t xml:space="preserve"> </w:t>
      </w:r>
      <w:r w:rsidRPr="00DE6252">
        <w:rPr>
          <w:bCs/>
          <w:szCs w:val="22"/>
          <w:lang w:val="sl-SI"/>
        </w:rPr>
        <w:t>E</w:t>
      </w:r>
      <w:r w:rsidRPr="00DE6252">
        <w:rPr>
          <w:szCs w:val="22"/>
          <w:lang w:val="sl-SI"/>
        </w:rPr>
        <w:t>ndpoint</w:t>
      </w:r>
      <w:r w:rsidRPr="0095206D">
        <w:rPr>
          <w:szCs w:val="22"/>
          <w:lang w:val="el-GR"/>
        </w:rPr>
        <w:t xml:space="preserve"> </w:t>
      </w:r>
      <w:r w:rsidRPr="00DE6252">
        <w:rPr>
          <w:bCs/>
          <w:szCs w:val="22"/>
          <w:lang w:val="sl-SI"/>
        </w:rPr>
        <w:t>T</w:t>
      </w:r>
      <w:r w:rsidRPr="00DE6252">
        <w:rPr>
          <w:szCs w:val="22"/>
          <w:lang w:val="sl-SI"/>
        </w:rPr>
        <w:t>rial</w:t>
      </w:r>
      <w:r w:rsidRPr="0095206D">
        <w:rPr>
          <w:szCs w:val="22"/>
          <w:lang w:val="el-GR"/>
        </w:rPr>
        <w:t xml:space="preserve">) συνέκρινε τις επιδράσεις της τελμισαρτάνης, της ραμιπρίλης και του συνδυασμού τελμισαρτάνης και ραμιπρίλης στις καρδιαγγειακές εκβάσεις σε 25.620 ασθενείς ηλικίας 55 ετών ή μεγαλύτερους με ιστορικό στεφανιαίας νόσου, αγγειακού εγκεφαλικού επεισοδίου, παροδικού ισχαιμικού επεισοδίου, περιφερικής αρτηριακής νόσου ή σακχαρώδους διαβήτη τύπου 2 συνοδευόμενο από </w:t>
      </w:r>
      <w:r w:rsidR="00974435">
        <w:rPr>
          <w:szCs w:val="22"/>
          <w:lang w:val="el-GR"/>
        </w:rPr>
        <w:t>έν</w:t>
      </w:r>
      <w:r w:rsidRPr="0095206D">
        <w:rPr>
          <w:szCs w:val="22"/>
          <w:lang w:val="el-GR"/>
        </w:rPr>
        <w:t xml:space="preserve">δειξη βλάβης </w:t>
      </w:r>
      <w:r w:rsidR="00974435">
        <w:rPr>
          <w:szCs w:val="22"/>
          <w:lang w:val="el-GR"/>
        </w:rPr>
        <w:t xml:space="preserve">τελικού </w:t>
      </w:r>
      <w:r w:rsidRPr="0095206D">
        <w:rPr>
          <w:szCs w:val="22"/>
          <w:lang w:val="el-GR"/>
        </w:rPr>
        <w:t>οργάνου (π.χ. αμφιβληστροειδοπάθεια, υπερτροφία αριστερής κοιλίας, μακρο - ή μικρολευκωματινουρία), που αποτελεί ένα πληθυσμό με κίνδυνο καρδιαγγειακών συμβάντων.</w:t>
      </w:r>
    </w:p>
    <w:p w:rsidR="00681191" w:rsidRPr="0095206D" w:rsidRDefault="00681191" w:rsidP="00681191">
      <w:pPr>
        <w:spacing w:line="240" w:lineRule="auto"/>
        <w:rPr>
          <w:szCs w:val="22"/>
          <w:lang w:val="el-GR"/>
        </w:rPr>
      </w:pPr>
    </w:p>
    <w:p w:rsidR="00681191" w:rsidRPr="0095206D" w:rsidRDefault="00681191" w:rsidP="00681191">
      <w:pPr>
        <w:spacing w:line="240" w:lineRule="auto"/>
        <w:rPr>
          <w:szCs w:val="22"/>
          <w:lang w:val="el-GR"/>
        </w:rPr>
      </w:pPr>
      <w:r w:rsidRPr="0095206D">
        <w:rPr>
          <w:szCs w:val="22"/>
          <w:lang w:val="el-GR"/>
        </w:rPr>
        <w:t xml:space="preserve">Οι ασθενείς τυχαιοποιήθηκαν σε μία από τις ακόλουθες τρεις ομάδες θεραπείας: τελμισαρτάνης 80 </w:t>
      </w:r>
      <w:r w:rsidRPr="0095206D">
        <w:rPr>
          <w:szCs w:val="22"/>
        </w:rPr>
        <w:t>mg</w:t>
      </w:r>
      <w:r w:rsidRPr="0095206D">
        <w:rPr>
          <w:szCs w:val="22"/>
          <w:lang w:val="el-GR"/>
        </w:rPr>
        <w:t xml:space="preserve"> (</w:t>
      </w:r>
      <w:r w:rsidRPr="0095206D">
        <w:rPr>
          <w:szCs w:val="22"/>
        </w:rPr>
        <w:t>n</w:t>
      </w:r>
      <w:r w:rsidR="005D3E47">
        <w:rPr>
          <w:szCs w:val="22"/>
          <w:lang w:val="el-GR"/>
        </w:rPr>
        <w:t xml:space="preserve"> </w:t>
      </w:r>
      <w:r w:rsidRPr="0095206D">
        <w:rPr>
          <w:szCs w:val="22"/>
          <w:lang w:val="el-GR"/>
        </w:rPr>
        <w:t>=</w:t>
      </w:r>
      <w:r w:rsidR="005D3E47">
        <w:rPr>
          <w:szCs w:val="22"/>
          <w:lang w:val="el-GR"/>
        </w:rPr>
        <w:t xml:space="preserve"> </w:t>
      </w:r>
      <w:r w:rsidRPr="0095206D">
        <w:rPr>
          <w:szCs w:val="22"/>
          <w:lang w:val="el-GR"/>
        </w:rPr>
        <w:t>8</w:t>
      </w:r>
      <w:r w:rsidR="003615C0">
        <w:rPr>
          <w:szCs w:val="22"/>
          <w:lang w:val="el-GR"/>
        </w:rPr>
        <w:t>.</w:t>
      </w:r>
      <w:r w:rsidRPr="0095206D">
        <w:rPr>
          <w:szCs w:val="22"/>
          <w:lang w:val="el-GR"/>
        </w:rPr>
        <w:t xml:space="preserve">542), ραμιπρίλης 10 </w:t>
      </w:r>
      <w:r w:rsidRPr="0095206D">
        <w:rPr>
          <w:szCs w:val="22"/>
        </w:rPr>
        <w:t>mg</w:t>
      </w:r>
      <w:r w:rsidRPr="0095206D">
        <w:rPr>
          <w:szCs w:val="22"/>
          <w:lang w:val="el-GR"/>
        </w:rPr>
        <w:t xml:space="preserve"> (</w:t>
      </w:r>
      <w:r w:rsidRPr="0095206D">
        <w:rPr>
          <w:szCs w:val="22"/>
        </w:rPr>
        <w:t>n</w:t>
      </w:r>
      <w:r w:rsidR="005D3E47">
        <w:rPr>
          <w:szCs w:val="22"/>
          <w:lang w:val="el-GR"/>
        </w:rPr>
        <w:t xml:space="preserve"> </w:t>
      </w:r>
      <w:r w:rsidRPr="0095206D">
        <w:rPr>
          <w:szCs w:val="22"/>
          <w:lang w:val="el-GR"/>
        </w:rPr>
        <w:t>=</w:t>
      </w:r>
      <w:r w:rsidR="005D3E47">
        <w:rPr>
          <w:szCs w:val="22"/>
          <w:lang w:val="el-GR"/>
        </w:rPr>
        <w:t xml:space="preserve"> </w:t>
      </w:r>
      <w:r w:rsidRPr="0095206D">
        <w:rPr>
          <w:szCs w:val="22"/>
          <w:lang w:val="el-GR"/>
        </w:rPr>
        <w:t>8</w:t>
      </w:r>
      <w:r w:rsidR="003615C0">
        <w:rPr>
          <w:szCs w:val="22"/>
          <w:lang w:val="el-GR"/>
        </w:rPr>
        <w:t>.</w:t>
      </w:r>
      <w:r w:rsidRPr="0095206D">
        <w:rPr>
          <w:szCs w:val="22"/>
          <w:lang w:val="el-GR"/>
        </w:rPr>
        <w:t xml:space="preserve">576), ή του συνδυασμού τελμισαρτάνης 80 </w:t>
      </w:r>
      <w:r w:rsidRPr="0095206D">
        <w:rPr>
          <w:szCs w:val="22"/>
        </w:rPr>
        <w:t>mg</w:t>
      </w:r>
      <w:r w:rsidRPr="0095206D">
        <w:rPr>
          <w:szCs w:val="22"/>
          <w:lang w:val="el-GR"/>
        </w:rPr>
        <w:t xml:space="preserve"> με ραμιπρίλη 10 </w:t>
      </w:r>
      <w:r w:rsidRPr="0095206D">
        <w:rPr>
          <w:szCs w:val="22"/>
        </w:rPr>
        <w:t>mg</w:t>
      </w:r>
      <w:r w:rsidRPr="0095206D">
        <w:rPr>
          <w:szCs w:val="22"/>
          <w:lang w:val="el-GR"/>
        </w:rPr>
        <w:t xml:space="preserve"> (</w:t>
      </w:r>
      <w:r w:rsidRPr="0095206D">
        <w:rPr>
          <w:szCs w:val="22"/>
        </w:rPr>
        <w:t>n</w:t>
      </w:r>
      <w:r w:rsidR="005D3E47">
        <w:rPr>
          <w:szCs w:val="22"/>
          <w:lang w:val="el-GR"/>
        </w:rPr>
        <w:t xml:space="preserve"> </w:t>
      </w:r>
      <w:r w:rsidRPr="0095206D">
        <w:rPr>
          <w:szCs w:val="22"/>
          <w:lang w:val="el-GR"/>
        </w:rPr>
        <w:t>=</w:t>
      </w:r>
      <w:r w:rsidR="005D3E47">
        <w:rPr>
          <w:szCs w:val="22"/>
          <w:lang w:val="el-GR"/>
        </w:rPr>
        <w:t xml:space="preserve"> </w:t>
      </w:r>
      <w:r w:rsidRPr="0095206D">
        <w:rPr>
          <w:szCs w:val="22"/>
          <w:lang w:val="el-GR"/>
        </w:rPr>
        <w:t>8</w:t>
      </w:r>
      <w:r w:rsidR="003615C0">
        <w:rPr>
          <w:szCs w:val="22"/>
          <w:lang w:val="el-GR"/>
        </w:rPr>
        <w:t>.</w:t>
      </w:r>
      <w:r w:rsidRPr="0095206D">
        <w:rPr>
          <w:szCs w:val="22"/>
          <w:lang w:val="el-GR"/>
        </w:rPr>
        <w:t xml:space="preserve">502), και παρακολουθήθηκαν </w:t>
      </w:r>
      <w:r w:rsidR="003615C0">
        <w:rPr>
          <w:szCs w:val="22"/>
          <w:lang w:val="el-GR"/>
        </w:rPr>
        <w:t>για</w:t>
      </w:r>
      <w:r w:rsidRPr="0095206D">
        <w:rPr>
          <w:szCs w:val="22"/>
          <w:lang w:val="el-GR"/>
        </w:rPr>
        <w:t xml:space="preserve"> μια μέση διάρκεια παρατήρησης 4,5 χρόνων.</w:t>
      </w:r>
    </w:p>
    <w:p w:rsidR="00681191" w:rsidRPr="0095206D" w:rsidRDefault="00681191" w:rsidP="00681191">
      <w:pPr>
        <w:spacing w:line="240" w:lineRule="auto"/>
        <w:rPr>
          <w:szCs w:val="22"/>
          <w:lang w:val="el-GR"/>
        </w:rPr>
      </w:pPr>
    </w:p>
    <w:p w:rsidR="00681191" w:rsidRPr="0095206D" w:rsidRDefault="00681191" w:rsidP="00681191">
      <w:pPr>
        <w:spacing w:line="240" w:lineRule="auto"/>
        <w:rPr>
          <w:szCs w:val="22"/>
          <w:lang w:val="el-GR"/>
        </w:rPr>
      </w:pPr>
      <w:r w:rsidRPr="0095206D">
        <w:rPr>
          <w:szCs w:val="22"/>
          <w:lang w:val="el-GR"/>
        </w:rPr>
        <w:t>Η τελμισαρτάνη έδειξε παρόμοια επίδραση με τη ραμιπρίλη στη μείωση του πρωτ</w:t>
      </w:r>
      <w:r w:rsidR="00302EDA">
        <w:rPr>
          <w:szCs w:val="22"/>
          <w:lang w:val="el-GR"/>
        </w:rPr>
        <w:t>εύοντος</w:t>
      </w:r>
      <w:r w:rsidRPr="0095206D">
        <w:rPr>
          <w:szCs w:val="22"/>
          <w:lang w:val="el-GR"/>
        </w:rPr>
        <w:t xml:space="preserve"> σύνθετου τελικού σημείου του καρδιαγγειακού θανάτου, </w:t>
      </w:r>
      <w:r w:rsidR="007774EE">
        <w:rPr>
          <w:szCs w:val="22"/>
          <w:lang w:val="el-GR"/>
        </w:rPr>
        <w:t xml:space="preserve">του </w:t>
      </w:r>
      <w:r w:rsidRPr="0095206D">
        <w:rPr>
          <w:szCs w:val="22"/>
          <w:lang w:val="el-GR"/>
        </w:rPr>
        <w:t xml:space="preserve">μη θανατηφόρου εμφράγματος του μυοκαρδίου, </w:t>
      </w:r>
      <w:r w:rsidR="007774EE">
        <w:rPr>
          <w:szCs w:val="22"/>
          <w:lang w:val="el-GR"/>
        </w:rPr>
        <w:t xml:space="preserve">του </w:t>
      </w:r>
      <w:r w:rsidRPr="0095206D">
        <w:rPr>
          <w:szCs w:val="22"/>
          <w:lang w:val="el-GR"/>
        </w:rPr>
        <w:t xml:space="preserve">μη θανατηφόρου αγγειακού εγκεφαλικού επεισοδίου ή της νοσηλείας για συμφορητική καρδιακή ανεπάρκεια. Η επίπτωση του </w:t>
      </w:r>
      <w:r w:rsidR="001D284C">
        <w:rPr>
          <w:szCs w:val="22"/>
          <w:lang w:val="el-GR"/>
        </w:rPr>
        <w:t>πρωτ</w:t>
      </w:r>
      <w:r w:rsidR="00302EDA">
        <w:rPr>
          <w:szCs w:val="22"/>
          <w:lang w:val="el-GR"/>
        </w:rPr>
        <w:t>εύοντος</w:t>
      </w:r>
      <w:r w:rsidRPr="0095206D">
        <w:rPr>
          <w:szCs w:val="22"/>
          <w:lang w:val="el-GR"/>
        </w:rPr>
        <w:t xml:space="preserve"> τελικού σημείου ήταν παρόμοια στις ομάδες τελμισαρτάνης (16,7 %) και ραμιπρίλης (16,5 %). Η αναλογία κινδύνου για την τελμισαρτάνη έναντι της ραμιπρίλης ήταν 1,01 (97</w:t>
      </w:r>
      <w:r>
        <w:rPr>
          <w:szCs w:val="22"/>
          <w:lang w:val="sl-SI"/>
        </w:rPr>
        <w:t>,</w:t>
      </w:r>
      <w:r w:rsidRPr="0095206D">
        <w:rPr>
          <w:szCs w:val="22"/>
          <w:lang w:val="el-GR"/>
        </w:rPr>
        <w:t xml:space="preserve">5 % </w:t>
      </w:r>
      <w:r w:rsidRPr="0095206D">
        <w:rPr>
          <w:szCs w:val="22"/>
        </w:rPr>
        <w:t>CI</w:t>
      </w:r>
      <w:r w:rsidRPr="0095206D">
        <w:rPr>
          <w:szCs w:val="22"/>
          <w:lang w:val="el-GR"/>
        </w:rPr>
        <w:t xml:space="preserve"> 0,93 - 1,10, </w:t>
      </w:r>
      <w:r w:rsidRPr="0095206D">
        <w:rPr>
          <w:szCs w:val="22"/>
        </w:rPr>
        <w:t>p</w:t>
      </w:r>
      <w:r w:rsidRPr="0095206D">
        <w:rPr>
          <w:szCs w:val="22"/>
          <w:lang w:val="el-GR"/>
        </w:rPr>
        <w:t xml:space="preserve"> (μη κατωτερότητας)</w:t>
      </w:r>
      <w:r w:rsidR="005D3E47">
        <w:rPr>
          <w:szCs w:val="22"/>
          <w:lang w:val="el-GR"/>
        </w:rPr>
        <w:t xml:space="preserve"> </w:t>
      </w:r>
      <w:r w:rsidRPr="0095206D">
        <w:rPr>
          <w:szCs w:val="22"/>
          <w:lang w:val="el-GR"/>
        </w:rPr>
        <w:t>=</w:t>
      </w:r>
      <w:r w:rsidR="005D3E47">
        <w:rPr>
          <w:szCs w:val="22"/>
          <w:lang w:val="el-GR"/>
        </w:rPr>
        <w:t xml:space="preserve"> </w:t>
      </w:r>
      <w:r w:rsidRPr="0095206D">
        <w:rPr>
          <w:szCs w:val="22"/>
          <w:lang w:val="el-GR"/>
        </w:rPr>
        <w:t>0,0019, με ένα όριο 1,13). Το ποσοστό θνησιμότητας οποιασδήποτε αιτιολογίας ήταν 11,6 % και 11,8 % μεταξύ των ασθενών που έλαβαν αγωγή με τελμισαρτάνη και ραμιπρίλη, αντιστοίχως.</w:t>
      </w:r>
    </w:p>
    <w:p w:rsidR="00681191" w:rsidRPr="0095206D" w:rsidRDefault="00681191" w:rsidP="00681191">
      <w:pPr>
        <w:spacing w:line="240" w:lineRule="auto"/>
        <w:rPr>
          <w:szCs w:val="22"/>
          <w:lang w:val="el-GR"/>
        </w:rPr>
      </w:pPr>
    </w:p>
    <w:p w:rsidR="00681191" w:rsidRPr="0095206D" w:rsidRDefault="00681191" w:rsidP="00681191">
      <w:pPr>
        <w:autoSpaceDE w:val="0"/>
        <w:autoSpaceDN w:val="0"/>
        <w:adjustRightInd w:val="0"/>
        <w:spacing w:line="240" w:lineRule="auto"/>
        <w:rPr>
          <w:szCs w:val="22"/>
          <w:lang w:val="el-GR"/>
        </w:rPr>
      </w:pPr>
      <w:r w:rsidRPr="0095206D">
        <w:rPr>
          <w:szCs w:val="22"/>
          <w:lang w:val="el-GR"/>
        </w:rPr>
        <w:t>Η τελμισαρτάνη βρέθηκε να είναι εξίσου αποτελεσματική με τη ραμιπρίλη στο προκαθορισμένο δευτερεύον τελικό σημείο του καρδιαγγειακού θανάτου, του μη</w:t>
      </w:r>
      <w:r w:rsidR="00FC5F04">
        <w:rPr>
          <w:szCs w:val="22"/>
          <w:lang w:val="el-GR"/>
        </w:rPr>
        <w:t xml:space="preserve"> </w:t>
      </w:r>
      <w:r w:rsidRPr="0095206D">
        <w:rPr>
          <w:szCs w:val="22"/>
          <w:lang w:val="el-GR"/>
        </w:rPr>
        <w:t xml:space="preserve">θανατηφόρου εμφράγματος του μυοκαρδίου και του μη θανατηφόρου αγγειακού εγκεφαλικού επεισοδίου [0,99 (97,5 % </w:t>
      </w:r>
      <w:r w:rsidRPr="0095206D">
        <w:rPr>
          <w:szCs w:val="22"/>
        </w:rPr>
        <w:t>CI</w:t>
      </w:r>
      <w:r w:rsidRPr="0095206D">
        <w:rPr>
          <w:szCs w:val="22"/>
          <w:lang w:val="el-GR"/>
        </w:rPr>
        <w:t xml:space="preserve"> 0,90 - 1,08), </w:t>
      </w:r>
      <w:r w:rsidRPr="0095206D">
        <w:rPr>
          <w:szCs w:val="22"/>
        </w:rPr>
        <w:t>p</w:t>
      </w:r>
      <w:r w:rsidRPr="0095206D">
        <w:rPr>
          <w:szCs w:val="22"/>
          <w:lang w:val="el-GR"/>
        </w:rPr>
        <w:t xml:space="preserve"> (μη κατωτερότητας)</w:t>
      </w:r>
      <w:r w:rsidR="005D3E47">
        <w:rPr>
          <w:szCs w:val="22"/>
          <w:lang w:val="el-GR"/>
        </w:rPr>
        <w:t xml:space="preserve"> </w:t>
      </w:r>
      <w:r w:rsidRPr="0095206D">
        <w:rPr>
          <w:szCs w:val="22"/>
          <w:lang w:val="el-GR"/>
        </w:rPr>
        <w:t>=</w:t>
      </w:r>
      <w:r w:rsidR="005D3E47">
        <w:rPr>
          <w:szCs w:val="22"/>
          <w:lang w:val="el-GR"/>
        </w:rPr>
        <w:t xml:space="preserve"> </w:t>
      </w:r>
      <w:r w:rsidRPr="0095206D">
        <w:rPr>
          <w:szCs w:val="22"/>
          <w:lang w:val="el-GR"/>
        </w:rPr>
        <w:t xml:space="preserve">0,0004], το </w:t>
      </w:r>
      <w:r w:rsidR="007774EE">
        <w:rPr>
          <w:szCs w:val="22"/>
          <w:lang w:val="el-GR"/>
        </w:rPr>
        <w:t>πρωτεύον</w:t>
      </w:r>
      <w:r w:rsidRPr="0095206D">
        <w:rPr>
          <w:szCs w:val="22"/>
          <w:lang w:val="el-GR"/>
        </w:rPr>
        <w:t xml:space="preserve"> τελικό σημείο στη μελέτη αναφοράς </w:t>
      </w:r>
      <w:r w:rsidRPr="0095206D">
        <w:rPr>
          <w:szCs w:val="22"/>
        </w:rPr>
        <w:t>HOPE</w:t>
      </w:r>
      <w:r w:rsidRPr="0095206D">
        <w:rPr>
          <w:szCs w:val="22"/>
          <w:lang w:val="el-GR"/>
        </w:rPr>
        <w:t xml:space="preserve"> (</w:t>
      </w:r>
      <w:r w:rsidRPr="0095206D">
        <w:rPr>
          <w:szCs w:val="22"/>
          <w:lang w:val="el-GR" w:eastAsia="el-GR"/>
        </w:rPr>
        <w:t xml:space="preserve">The </w:t>
      </w:r>
      <w:r w:rsidRPr="0095206D">
        <w:rPr>
          <w:bCs/>
          <w:szCs w:val="22"/>
          <w:lang w:val="el-GR" w:eastAsia="el-GR"/>
        </w:rPr>
        <w:t>H</w:t>
      </w:r>
      <w:r w:rsidRPr="0095206D">
        <w:rPr>
          <w:szCs w:val="22"/>
          <w:lang w:val="el-GR" w:eastAsia="el-GR"/>
        </w:rPr>
        <w:t xml:space="preserve">eart </w:t>
      </w:r>
      <w:r w:rsidRPr="0095206D">
        <w:rPr>
          <w:bCs/>
          <w:szCs w:val="22"/>
          <w:lang w:val="el-GR" w:eastAsia="el-GR"/>
        </w:rPr>
        <w:t>O</w:t>
      </w:r>
      <w:r w:rsidRPr="0095206D">
        <w:rPr>
          <w:szCs w:val="22"/>
          <w:lang w:val="el-GR" w:eastAsia="el-GR"/>
        </w:rPr>
        <w:t xml:space="preserve">utcomes </w:t>
      </w:r>
      <w:r w:rsidRPr="0095206D">
        <w:rPr>
          <w:bCs/>
          <w:szCs w:val="22"/>
          <w:lang w:val="el-GR" w:eastAsia="el-GR"/>
        </w:rPr>
        <w:t>P</w:t>
      </w:r>
      <w:r w:rsidRPr="0095206D">
        <w:rPr>
          <w:szCs w:val="22"/>
          <w:lang w:val="el-GR" w:eastAsia="el-GR"/>
        </w:rPr>
        <w:t xml:space="preserve">revention </w:t>
      </w:r>
      <w:r w:rsidRPr="0095206D">
        <w:rPr>
          <w:bCs/>
          <w:szCs w:val="22"/>
          <w:lang w:val="el-GR" w:eastAsia="el-GR"/>
        </w:rPr>
        <w:t>E</w:t>
      </w:r>
      <w:r w:rsidRPr="0095206D">
        <w:rPr>
          <w:szCs w:val="22"/>
          <w:lang w:val="el-GR" w:eastAsia="el-GR"/>
        </w:rPr>
        <w:t>valuation Study</w:t>
      </w:r>
      <w:r w:rsidRPr="0095206D">
        <w:rPr>
          <w:szCs w:val="22"/>
          <w:lang w:val="el-GR"/>
        </w:rPr>
        <w:t>), η οποία είχε διερευνήσει την επίδραση της ραμιπρίλης έναντι του εικονικού φαρμάκου.</w:t>
      </w:r>
    </w:p>
    <w:p w:rsidR="00681191" w:rsidRPr="0095206D" w:rsidRDefault="00681191" w:rsidP="00681191">
      <w:pPr>
        <w:spacing w:line="240" w:lineRule="auto"/>
        <w:rPr>
          <w:szCs w:val="22"/>
          <w:lang w:val="el-GR"/>
        </w:rPr>
      </w:pPr>
    </w:p>
    <w:p w:rsidR="00681191" w:rsidRPr="0095206D" w:rsidRDefault="00681191" w:rsidP="00681191">
      <w:pPr>
        <w:spacing w:line="240" w:lineRule="auto"/>
        <w:rPr>
          <w:szCs w:val="22"/>
          <w:lang w:val="el-GR"/>
        </w:rPr>
      </w:pPr>
      <w:r w:rsidRPr="0095206D">
        <w:rPr>
          <w:szCs w:val="22"/>
          <w:lang w:val="el-GR"/>
        </w:rPr>
        <w:t xml:space="preserve">Η μελέτη </w:t>
      </w:r>
      <w:r w:rsidRPr="0095206D">
        <w:rPr>
          <w:szCs w:val="22"/>
        </w:rPr>
        <w:t>TRANSCEND</w:t>
      </w:r>
      <w:r w:rsidRPr="0095206D">
        <w:rPr>
          <w:szCs w:val="22"/>
          <w:lang w:val="el-GR"/>
        </w:rPr>
        <w:t xml:space="preserve"> τυχαιοποίησε ασθενείς με δυσανεξία στους αναστολείς του μετατρεπτικού ενζύμου της αγγειοτενσίνης με </w:t>
      </w:r>
      <w:r w:rsidR="005F2A11">
        <w:rPr>
          <w:szCs w:val="22"/>
          <w:lang w:val="el-GR"/>
        </w:rPr>
        <w:t>κα</w:t>
      </w:r>
      <w:r w:rsidRPr="0095206D">
        <w:rPr>
          <w:szCs w:val="22"/>
          <w:lang w:val="el-GR"/>
        </w:rPr>
        <w:t>τ</w:t>
      </w:r>
      <w:r w:rsidR="005F2A11">
        <w:rPr>
          <w:szCs w:val="22"/>
          <w:lang w:val="el-GR"/>
        </w:rPr>
        <w:t>ά</w:t>
      </w:r>
      <w:r w:rsidRPr="0095206D">
        <w:rPr>
          <w:szCs w:val="22"/>
          <w:lang w:val="el-GR"/>
        </w:rPr>
        <w:t xml:space="preserve"> </w:t>
      </w:r>
      <w:r w:rsidR="005E71DC">
        <w:rPr>
          <w:szCs w:val="22"/>
          <w:lang w:val="el-GR"/>
        </w:rPr>
        <w:t>τα λοιπά</w:t>
      </w:r>
      <w:r w:rsidRPr="0095206D">
        <w:rPr>
          <w:szCs w:val="22"/>
          <w:lang w:val="el-GR"/>
        </w:rPr>
        <w:t xml:space="preserve"> κριτήρια ένταξης </w:t>
      </w:r>
      <w:r w:rsidR="005E71DC">
        <w:rPr>
          <w:szCs w:val="22"/>
          <w:lang w:val="el-GR"/>
        </w:rPr>
        <w:t>παρ</w:t>
      </w:r>
      <w:r w:rsidRPr="0095206D">
        <w:rPr>
          <w:szCs w:val="22"/>
          <w:lang w:val="el-GR"/>
        </w:rPr>
        <w:t xml:space="preserve">όμοια με την </w:t>
      </w:r>
      <w:r w:rsidRPr="0095206D">
        <w:rPr>
          <w:szCs w:val="22"/>
        </w:rPr>
        <w:t>ONTARGET</w:t>
      </w:r>
      <w:r w:rsidRPr="0095206D">
        <w:rPr>
          <w:szCs w:val="22"/>
          <w:lang w:val="el-GR"/>
        </w:rPr>
        <w:t xml:space="preserve"> σε τελμισαρτάνη 80 </w:t>
      </w:r>
      <w:r w:rsidRPr="0095206D">
        <w:rPr>
          <w:szCs w:val="22"/>
        </w:rPr>
        <w:t>mg</w:t>
      </w:r>
      <w:r w:rsidRPr="0095206D">
        <w:rPr>
          <w:szCs w:val="22"/>
          <w:lang w:val="el-GR"/>
        </w:rPr>
        <w:t xml:space="preserve"> (</w:t>
      </w:r>
      <w:r w:rsidRPr="0095206D">
        <w:rPr>
          <w:szCs w:val="22"/>
        </w:rPr>
        <w:t>n</w:t>
      </w:r>
      <w:r w:rsidRPr="0095206D">
        <w:rPr>
          <w:szCs w:val="22"/>
          <w:lang w:val="el-GR"/>
        </w:rPr>
        <w:t xml:space="preserve"> = 2</w:t>
      </w:r>
      <w:r w:rsidR="005E71DC">
        <w:rPr>
          <w:szCs w:val="22"/>
          <w:lang w:val="el-GR"/>
        </w:rPr>
        <w:t>.</w:t>
      </w:r>
      <w:r w:rsidRPr="0095206D">
        <w:rPr>
          <w:szCs w:val="22"/>
          <w:lang w:val="el-GR"/>
        </w:rPr>
        <w:t>954) ή εικονικό φάρμακο (</w:t>
      </w:r>
      <w:r w:rsidRPr="0095206D">
        <w:rPr>
          <w:szCs w:val="22"/>
        </w:rPr>
        <w:t>n</w:t>
      </w:r>
      <w:r w:rsidRPr="0095206D">
        <w:rPr>
          <w:szCs w:val="22"/>
          <w:lang w:val="el-GR"/>
        </w:rPr>
        <w:t xml:space="preserve"> = 2</w:t>
      </w:r>
      <w:r w:rsidR="005E71DC">
        <w:rPr>
          <w:szCs w:val="22"/>
          <w:lang w:val="el-GR"/>
        </w:rPr>
        <w:t>.</w:t>
      </w:r>
      <w:r w:rsidRPr="0095206D">
        <w:rPr>
          <w:szCs w:val="22"/>
          <w:lang w:val="el-GR"/>
        </w:rPr>
        <w:t>972), και τα δύο χορηγούμενα επιπλέον της τυπικής αγωγής. Η μέση διάρκεια της παρακολούθησης ήταν 4 χρόνια και 8 μήνες. Δεν παρατηρήθηκε στατιστικά σημαντική διαφορά [15,7</w:t>
      </w:r>
      <w:r w:rsidR="00C567C5">
        <w:rPr>
          <w:szCs w:val="22"/>
          <w:lang w:val="el-GR"/>
        </w:rPr>
        <w:t> </w:t>
      </w:r>
      <w:r w:rsidRPr="0095206D">
        <w:rPr>
          <w:szCs w:val="22"/>
          <w:lang w:val="el-GR"/>
        </w:rPr>
        <w:t>% στην τελμισαρτάνη και 17,0</w:t>
      </w:r>
      <w:r w:rsidR="00C567C5">
        <w:rPr>
          <w:szCs w:val="22"/>
          <w:lang w:val="el-GR"/>
        </w:rPr>
        <w:t> </w:t>
      </w:r>
      <w:r w:rsidRPr="0095206D">
        <w:rPr>
          <w:szCs w:val="22"/>
          <w:lang w:val="el-GR"/>
        </w:rPr>
        <w:t xml:space="preserve">% στην ομάδα του εικονικού φαρμάκου με αναλογία κινδύνου 0,92 (95 % </w:t>
      </w:r>
      <w:r w:rsidRPr="0095206D">
        <w:rPr>
          <w:szCs w:val="22"/>
        </w:rPr>
        <w:t>CI</w:t>
      </w:r>
      <w:r w:rsidRPr="0095206D">
        <w:rPr>
          <w:szCs w:val="22"/>
          <w:lang w:val="el-GR"/>
        </w:rPr>
        <w:t xml:space="preserve"> 0,81 - 1,05, </w:t>
      </w:r>
      <w:r w:rsidRPr="0095206D">
        <w:rPr>
          <w:szCs w:val="22"/>
        </w:rPr>
        <w:t>p</w:t>
      </w:r>
      <w:r w:rsidR="005D3E47">
        <w:rPr>
          <w:szCs w:val="22"/>
          <w:lang w:val="el-GR"/>
        </w:rPr>
        <w:t xml:space="preserve"> </w:t>
      </w:r>
      <w:r w:rsidRPr="0095206D">
        <w:rPr>
          <w:szCs w:val="22"/>
          <w:lang w:val="el-GR"/>
        </w:rPr>
        <w:t>=</w:t>
      </w:r>
      <w:r w:rsidR="005D3E47">
        <w:rPr>
          <w:szCs w:val="22"/>
          <w:lang w:val="el-GR"/>
        </w:rPr>
        <w:t xml:space="preserve"> </w:t>
      </w:r>
      <w:r w:rsidRPr="0095206D">
        <w:rPr>
          <w:szCs w:val="22"/>
          <w:lang w:val="el-GR"/>
        </w:rPr>
        <w:t>0,22)] στην επίπτωση του πρωτεύοντος σύνθετου τελικού σημείου (καρδιαγγειακός θάνατος, μη θανατηφόρο έμφραγμα του μυοκαρδίου, μη θανατηφόρο αγγειακό εγκεφαλικό επεισόδιο ή νοσηλεία για συμφορητική καρδιακή ανεπάρκεια). Υπήρ</w:t>
      </w:r>
      <w:r w:rsidR="00D855B6">
        <w:rPr>
          <w:szCs w:val="22"/>
          <w:lang w:val="el-GR"/>
        </w:rPr>
        <w:t>ξ</w:t>
      </w:r>
      <w:r w:rsidRPr="0095206D">
        <w:rPr>
          <w:szCs w:val="22"/>
          <w:lang w:val="el-GR"/>
        </w:rPr>
        <w:t xml:space="preserve">αν ενδείξεις για όφελος της τελμισαρτάνης σε σύγκριση με το εικονικό φάρμακο στο προκαθορισμένο δευτερεύον σύνθετο τελικό σημείο του καρδιαγγειακού θανάτου, </w:t>
      </w:r>
      <w:r w:rsidR="00E74239">
        <w:rPr>
          <w:szCs w:val="22"/>
          <w:lang w:val="el-GR"/>
        </w:rPr>
        <w:t xml:space="preserve">του </w:t>
      </w:r>
      <w:r w:rsidRPr="0095206D">
        <w:rPr>
          <w:szCs w:val="22"/>
          <w:lang w:val="el-GR"/>
        </w:rPr>
        <w:t>μη</w:t>
      </w:r>
      <w:r w:rsidR="00EE37D8">
        <w:rPr>
          <w:szCs w:val="22"/>
          <w:lang w:val="el-GR"/>
        </w:rPr>
        <w:t xml:space="preserve"> </w:t>
      </w:r>
      <w:r w:rsidRPr="0095206D">
        <w:rPr>
          <w:szCs w:val="22"/>
          <w:lang w:val="el-GR"/>
        </w:rPr>
        <w:t xml:space="preserve">θανατηφόρου εμφράγματος του μυοκαρδίου και </w:t>
      </w:r>
      <w:r w:rsidR="00E74239">
        <w:rPr>
          <w:szCs w:val="22"/>
          <w:lang w:val="el-GR"/>
        </w:rPr>
        <w:t xml:space="preserve">του </w:t>
      </w:r>
      <w:r w:rsidRPr="0095206D">
        <w:rPr>
          <w:szCs w:val="22"/>
          <w:lang w:val="el-GR"/>
        </w:rPr>
        <w:t xml:space="preserve">μη θανατηφόρου αγγειακού εγκεφαλικού επεισοδίου [0,87 (95 % </w:t>
      </w:r>
      <w:r w:rsidRPr="0095206D">
        <w:rPr>
          <w:szCs w:val="22"/>
        </w:rPr>
        <w:t>CI</w:t>
      </w:r>
      <w:r w:rsidRPr="0095206D">
        <w:rPr>
          <w:szCs w:val="22"/>
          <w:lang w:val="el-GR"/>
        </w:rPr>
        <w:t xml:space="preserve"> 0,76 - 1,00, </w:t>
      </w:r>
      <w:r w:rsidRPr="0095206D">
        <w:rPr>
          <w:szCs w:val="22"/>
        </w:rPr>
        <w:t>p</w:t>
      </w:r>
      <w:r w:rsidR="005D3E47">
        <w:rPr>
          <w:szCs w:val="22"/>
          <w:lang w:val="el-GR"/>
        </w:rPr>
        <w:t xml:space="preserve"> </w:t>
      </w:r>
      <w:r w:rsidRPr="0095206D">
        <w:rPr>
          <w:szCs w:val="22"/>
          <w:lang w:val="el-GR"/>
        </w:rPr>
        <w:t>=</w:t>
      </w:r>
      <w:r w:rsidR="005D3E47">
        <w:rPr>
          <w:szCs w:val="22"/>
          <w:lang w:val="el-GR"/>
        </w:rPr>
        <w:t xml:space="preserve"> </w:t>
      </w:r>
      <w:r w:rsidRPr="0095206D">
        <w:rPr>
          <w:szCs w:val="22"/>
          <w:lang w:val="el-GR"/>
        </w:rPr>
        <w:t xml:space="preserve">0,048)]. Δεν υπήρξαν </w:t>
      </w:r>
      <w:r w:rsidR="00E74239">
        <w:rPr>
          <w:szCs w:val="22"/>
          <w:lang w:val="el-GR"/>
        </w:rPr>
        <w:t>ενδείξεις</w:t>
      </w:r>
      <w:r w:rsidRPr="0095206D">
        <w:rPr>
          <w:szCs w:val="22"/>
          <w:lang w:val="el-GR"/>
        </w:rPr>
        <w:t xml:space="preserve"> για όφελος στην καρδιαγγειακή θνησιμότητα (αναλογία κινδύνου 1,03, 95 % </w:t>
      </w:r>
      <w:r w:rsidRPr="0095206D">
        <w:rPr>
          <w:szCs w:val="22"/>
        </w:rPr>
        <w:t>CI</w:t>
      </w:r>
      <w:r w:rsidRPr="0095206D">
        <w:rPr>
          <w:szCs w:val="22"/>
          <w:lang w:val="el-GR"/>
        </w:rPr>
        <w:t xml:space="preserve"> 0,85 - 1,24).</w:t>
      </w:r>
    </w:p>
    <w:p w:rsidR="00681191" w:rsidRPr="0095206D" w:rsidRDefault="00681191" w:rsidP="00681191">
      <w:pPr>
        <w:spacing w:line="240" w:lineRule="auto"/>
        <w:rPr>
          <w:szCs w:val="22"/>
          <w:lang w:val="el-GR"/>
        </w:rPr>
      </w:pPr>
    </w:p>
    <w:p w:rsidR="00681191" w:rsidRPr="0095206D" w:rsidRDefault="00681191" w:rsidP="00681191">
      <w:pPr>
        <w:spacing w:line="240" w:lineRule="auto"/>
        <w:rPr>
          <w:szCs w:val="22"/>
          <w:lang w:val="el-GR"/>
        </w:rPr>
      </w:pPr>
      <w:r w:rsidRPr="0095206D">
        <w:rPr>
          <w:szCs w:val="22"/>
          <w:lang w:val="el-GR"/>
        </w:rPr>
        <w:t>Βήχας και αγγειοοίδημα αναφέρθηκαν λιγότερο συχνά σε ασθενείς που έλαβαν θεραπεία με τελμισαρτάνη σε σχέση με ασθενείς που έλαβαν θεραπεία με ραμιπρίλη, ενώ υπόταση αναφέρθηκε περισσότερο συχνά με τελμισαρτάνη.</w:t>
      </w:r>
    </w:p>
    <w:p w:rsidR="00681191" w:rsidRPr="0095206D" w:rsidRDefault="00681191" w:rsidP="00681191">
      <w:pPr>
        <w:spacing w:line="240" w:lineRule="auto"/>
        <w:rPr>
          <w:szCs w:val="22"/>
          <w:lang w:val="el-GR"/>
        </w:rPr>
      </w:pPr>
    </w:p>
    <w:p w:rsidR="00681191" w:rsidRPr="0095206D" w:rsidRDefault="00681191" w:rsidP="00681191">
      <w:pPr>
        <w:widowControl w:val="0"/>
        <w:tabs>
          <w:tab w:val="clear" w:pos="567"/>
        </w:tabs>
        <w:autoSpaceDE w:val="0"/>
        <w:autoSpaceDN w:val="0"/>
        <w:adjustRightInd w:val="0"/>
        <w:spacing w:line="240" w:lineRule="auto"/>
        <w:rPr>
          <w:szCs w:val="22"/>
          <w:lang w:val="sl-SI"/>
        </w:rPr>
      </w:pPr>
      <w:r w:rsidRPr="0095206D">
        <w:rPr>
          <w:szCs w:val="22"/>
          <w:lang w:val="el-GR"/>
        </w:rPr>
        <w:t xml:space="preserve">Συνδυάζοντας την τελμισαρτάνη με τη ραμιπρίλη δεν προστέθηκε επιπλέον όφελος έναντι της μονοθεραπείας με ραμιπρίλη ή τελμισρτάνη. Η καρδιαγγειακή θνησιμότητα και η θνησιμότητα </w:t>
      </w:r>
      <w:r w:rsidR="00F54E6E">
        <w:rPr>
          <w:szCs w:val="22"/>
          <w:lang w:val="el-GR"/>
        </w:rPr>
        <w:t>οποιασδήποτε αιτιολογίας</w:t>
      </w:r>
      <w:r w:rsidRPr="0095206D">
        <w:rPr>
          <w:szCs w:val="22"/>
          <w:lang w:val="el-GR"/>
        </w:rPr>
        <w:t xml:space="preserve"> ήταν αριθμητικά υψηλότερη με το συνδυασμό. Επιπλέον, υπήρξε σημαντικά μεγαλύτερη επίπτωση υπερκαλιαιμίας, νεφρικής ανεπάρκειας, υπότασης και συγκοπής στην ομάδα του συνδυασμού. Συνεπώς, η χρήση του συνδυασμού τελμισαρτάνης και ραμιπρίλης δεν συνιστάται σε αυτό τον πληθυσμό.</w:t>
      </w:r>
    </w:p>
    <w:p w:rsidR="00681191" w:rsidRPr="0095206D" w:rsidRDefault="00681191" w:rsidP="00681191">
      <w:pPr>
        <w:widowControl w:val="0"/>
        <w:tabs>
          <w:tab w:val="clear" w:pos="56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Στη </w:t>
      </w:r>
      <w:r w:rsidR="00F54E6E">
        <w:rPr>
          <w:snapToGrid/>
          <w:szCs w:val="22"/>
          <w:lang w:val="el-GR"/>
        </w:rPr>
        <w:t>δοκιμή</w:t>
      </w:r>
      <w:r w:rsidRPr="00FC2F1F">
        <w:rPr>
          <w:snapToGrid/>
          <w:szCs w:val="22"/>
          <w:lang w:val="el-GR"/>
        </w:rPr>
        <w:t xml:space="preserve"> «Αγωγή Προφύλαξης για Αποτελεσματική Πρόληψη Δεύτερων Εγκεφαλικών Επεισοδίων» (PRoFESS) σε ασθενείς </w:t>
      </w:r>
      <w:r w:rsidR="00F54E6E">
        <w:rPr>
          <w:snapToGrid/>
          <w:szCs w:val="22"/>
          <w:lang w:val="el-GR"/>
        </w:rPr>
        <w:t xml:space="preserve">ηλικίας </w:t>
      </w:r>
      <w:r w:rsidRPr="00FC2F1F">
        <w:rPr>
          <w:snapToGrid/>
          <w:szCs w:val="22"/>
          <w:lang w:val="el-GR"/>
        </w:rPr>
        <w:t xml:space="preserve">50 ετών και μεγαλύτερους, οι οποίοι είχαν πρόσφατα </w:t>
      </w:r>
      <w:r w:rsidR="00F54E6E">
        <w:rPr>
          <w:snapToGrid/>
          <w:szCs w:val="22"/>
          <w:lang w:val="el-GR"/>
        </w:rPr>
        <w:t xml:space="preserve">υποστεί αγγειακό </w:t>
      </w:r>
      <w:r w:rsidRPr="00FC2F1F">
        <w:rPr>
          <w:snapToGrid/>
          <w:szCs w:val="22"/>
          <w:lang w:val="el-GR"/>
        </w:rPr>
        <w:t>εγκεφαλικό επεισόδιο, σημειώθηκε αυξημένη επίπτωση σήψης με την τελμισαρτάνη σε σχέση με το εικονικό φάρμακο, 0,70</w:t>
      </w:r>
      <w:r w:rsidR="00C567C5">
        <w:rPr>
          <w:snapToGrid/>
          <w:szCs w:val="22"/>
          <w:lang w:val="el-GR"/>
        </w:rPr>
        <w:t> </w:t>
      </w:r>
      <w:r w:rsidRPr="00FC2F1F">
        <w:rPr>
          <w:snapToGrid/>
          <w:szCs w:val="22"/>
          <w:lang w:val="el-GR"/>
        </w:rPr>
        <w:t>% σε σύγκριση με 0,49</w:t>
      </w:r>
      <w:r w:rsidR="00C567C5">
        <w:rPr>
          <w:snapToGrid/>
          <w:szCs w:val="22"/>
          <w:lang w:val="el-GR"/>
        </w:rPr>
        <w:t> </w:t>
      </w:r>
      <w:r w:rsidRPr="00FC2F1F">
        <w:rPr>
          <w:snapToGrid/>
          <w:szCs w:val="22"/>
          <w:lang w:val="el-GR"/>
        </w:rPr>
        <w:t>% [Λόγος κινδύνου 1,43 (95</w:t>
      </w:r>
      <w:r w:rsidR="00C567C5">
        <w:rPr>
          <w:snapToGrid/>
          <w:szCs w:val="22"/>
          <w:lang w:val="el-GR"/>
        </w:rPr>
        <w:t> </w:t>
      </w:r>
      <w:r w:rsidRPr="00FC2F1F">
        <w:rPr>
          <w:snapToGrid/>
          <w:szCs w:val="22"/>
          <w:lang w:val="el-GR"/>
        </w:rPr>
        <w:t>% διάστημα εμπιστοσύνης 1,00</w:t>
      </w:r>
      <w:r w:rsidR="00C567C5">
        <w:rPr>
          <w:snapToGrid/>
          <w:szCs w:val="22"/>
          <w:lang w:val="el-GR"/>
        </w:rPr>
        <w:t xml:space="preserve"> </w:t>
      </w:r>
      <w:r w:rsidRPr="00FC2F1F">
        <w:rPr>
          <w:snapToGrid/>
          <w:szCs w:val="22"/>
          <w:lang w:val="el-GR"/>
        </w:rPr>
        <w:t>-</w:t>
      </w:r>
      <w:r w:rsidR="00C567C5">
        <w:rPr>
          <w:snapToGrid/>
          <w:szCs w:val="22"/>
          <w:lang w:val="el-GR"/>
        </w:rPr>
        <w:t xml:space="preserve"> </w:t>
      </w:r>
      <w:r w:rsidRPr="00FC2F1F">
        <w:rPr>
          <w:snapToGrid/>
          <w:szCs w:val="22"/>
          <w:lang w:val="el-GR"/>
        </w:rPr>
        <w:t>2,06)]</w:t>
      </w:r>
      <w:r w:rsidR="004C0867">
        <w:rPr>
          <w:snapToGrid/>
          <w:szCs w:val="22"/>
          <w:lang w:val="el-GR"/>
        </w:rPr>
        <w:t>.</w:t>
      </w:r>
      <w:r w:rsidRPr="00FC2F1F">
        <w:rPr>
          <w:snapToGrid/>
          <w:szCs w:val="22"/>
          <w:lang w:val="el-GR"/>
        </w:rPr>
        <w:t>·</w:t>
      </w:r>
      <w:r w:rsidR="004C0867">
        <w:rPr>
          <w:snapToGrid/>
          <w:szCs w:val="22"/>
          <w:lang w:val="el-GR"/>
        </w:rPr>
        <w:t>Η</w:t>
      </w:r>
      <w:r w:rsidRPr="00FC2F1F">
        <w:rPr>
          <w:snapToGrid/>
          <w:szCs w:val="22"/>
          <w:lang w:val="el-GR"/>
        </w:rPr>
        <w:t xml:space="preserve"> επίπτωση των θανατηφόρων περιστατικών σήψης ήταν αυξημένη για ασθενείς που λ</w:t>
      </w:r>
      <w:r w:rsidR="004C0867">
        <w:rPr>
          <w:snapToGrid/>
          <w:szCs w:val="22"/>
          <w:lang w:val="el-GR"/>
        </w:rPr>
        <w:t>άμβαναν</w:t>
      </w:r>
      <w:r w:rsidRPr="00FC2F1F">
        <w:rPr>
          <w:snapToGrid/>
          <w:szCs w:val="22"/>
          <w:lang w:val="el-GR"/>
        </w:rPr>
        <w:t xml:space="preserve"> τελμισαρτάνη (0,33</w:t>
      </w:r>
      <w:r w:rsidR="00C567C5">
        <w:rPr>
          <w:snapToGrid/>
          <w:szCs w:val="22"/>
          <w:lang w:val="el-GR"/>
        </w:rPr>
        <w:t> </w:t>
      </w:r>
      <w:r w:rsidRPr="00FC2F1F">
        <w:rPr>
          <w:snapToGrid/>
          <w:szCs w:val="22"/>
          <w:lang w:val="el-GR"/>
        </w:rPr>
        <w:t xml:space="preserve">%) σε σχέση με ασθενείς </w:t>
      </w:r>
      <w:r w:rsidR="004C0867">
        <w:rPr>
          <w:snapToGrid/>
          <w:szCs w:val="22"/>
          <w:lang w:val="el-GR"/>
        </w:rPr>
        <w:t>που</w:t>
      </w:r>
      <w:r w:rsidRPr="00FC2F1F">
        <w:rPr>
          <w:snapToGrid/>
          <w:szCs w:val="22"/>
          <w:lang w:val="el-GR"/>
        </w:rPr>
        <w:t xml:space="preserve"> λ</w:t>
      </w:r>
      <w:r w:rsidR="004C0867">
        <w:rPr>
          <w:snapToGrid/>
          <w:szCs w:val="22"/>
          <w:lang w:val="el-GR"/>
        </w:rPr>
        <w:t>ά</w:t>
      </w:r>
      <w:r w:rsidRPr="00FC2F1F">
        <w:rPr>
          <w:snapToGrid/>
          <w:szCs w:val="22"/>
          <w:lang w:val="el-GR"/>
        </w:rPr>
        <w:t>μβ</w:t>
      </w:r>
      <w:r w:rsidR="004C0867">
        <w:rPr>
          <w:snapToGrid/>
          <w:szCs w:val="22"/>
          <w:lang w:val="el-GR"/>
        </w:rPr>
        <w:t>α</w:t>
      </w:r>
      <w:r w:rsidRPr="00FC2F1F">
        <w:rPr>
          <w:snapToGrid/>
          <w:szCs w:val="22"/>
          <w:lang w:val="el-GR"/>
        </w:rPr>
        <w:t>ν</w:t>
      </w:r>
      <w:r w:rsidR="004C0867">
        <w:rPr>
          <w:snapToGrid/>
          <w:szCs w:val="22"/>
          <w:lang w:val="el-GR"/>
        </w:rPr>
        <w:t>α</w:t>
      </w:r>
      <w:r w:rsidRPr="00FC2F1F">
        <w:rPr>
          <w:snapToGrid/>
          <w:szCs w:val="22"/>
          <w:lang w:val="el-GR"/>
        </w:rPr>
        <w:t>ν εικονικό φάρμακο (0,16</w:t>
      </w:r>
      <w:r w:rsidR="00C567C5">
        <w:rPr>
          <w:snapToGrid/>
          <w:szCs w:val="22"/>
          <w:lang w:val="el-GR"/>
        </w:rPr>
        <w:t> </w:t>
      </w:r>
      <w:r w:rsidRPr="00FC2F1F">
        <w:rPr>
          <w:snapToGrid/>
          <w:szCs w:val="22"/>
          <w:lang w:val="el-GR"/>
        </w:rPr>
        <w:t>%) [Λόγος κινδύνου 2,07 (95</w:t>
      </w:r>
      <w:r w:rsidR="00C567C5">
        <w:rPr>
          <w:snapToGrid/>
          <w:szCs w:val="22"/>
          <w:lang w:val="el-GR"/>
        </w:rPr>
        <w:t> </w:t>
      </w:r>
      <w:r w:rsidRPr="00FC2F1F">
        <w:rPr>
          <w:snapToGrid/>
          <w:szCs w:val="22"/>
          <w:lang w:val="el-GR"/>
        </w:rPr>
        <w:t>% διάστημα εμπιστοσύνης 1,14</w:t>
      </w:r>
      <w:r w:rsidR="00C567C5">
        <w:rPr>
          <w:snapToGrid/>
          <w:szCs w:val="22"/>
          <w:lang w:val="el-GR"/>
        </w:rPr>
        <w:t xml:space="preserve"> </w:t>
      </w:r>
      <w:r w:rsidRPr="00FC2F1F">
        <w:rPr>
          <w:snapToGrid/>
          <w:szCs w:val="22"/>
          <w:lang w:val="el-GR"/>
        </w:rPr>
        <w:t>-</w:t>
      </w:r>
      <w:r w:rsidR="00C567C5">
        <w:rPr>
          <w:snapToGrid/>
          <w:szCs w:val="22"/>
          <w:lang w:val="el-GR"/>
        </w:rPr>
        <w:t xml:space="preserve"> </w:t>
      </w:r>
      <w:r w:rsidRPr="00FC2F1F">
        <w:rPr>
          <w:snapToGrid/>
          <w:szCs w:val="22"/>
          <w:lang w:val="el-GR"/>
        </w:rPr>
        <w:t>3,76)]. Το παρατηρ</w:t>
      </w:r>
      <w:r w:rsidR="004C0867">
        <w:rPr>
          <w:snapToGrid/>
          <w:szCs w:val="22"/>
          <w:lang w:val="el-GR"/>
        </w:rPr>
        <w:t>ηθέν</w:t>
      </w:r>
      <w:r w:rsidRPr="00FC2F1F">
        <w:rPr>
          <w:snapToGrid/>
          <w:szCs w:val="22"/>
          <w:lang w:val="el-GR"/>
        </w:rPr>
        <w:t xml:space="preserve"> αυξανόμενο ποσοστό εμφάνισης σήψης με </w:t>
      </w:r>
      <w:r w:rsidR="00CE1966">
        <w:rPr>
          <w:snapToGrid/>
          <w:szCs w:val="22"/>
          <w:lang w:val="el-GR"/>
        </w:rPr>
        <w:t>χρήση</w:t>
      </w:r>
      <w:r w:rsidRPr="00FC2F1F">
        <w:rPr>
          <w:snapToGrid/>
          <w:szCs w:val="22"/>
          <w:lang w:val="el-GR"/>
        </w:rPr>
        <w:t xml:space="preserve"> τελμισαρτάνης μπορεί να είναι είτε τυχαίο εύρημα ή σχετιζόμενο με ένα προς το παρόν άγνωστο μηχανισμό.</w:t>
      </w:r>
    </w:p>
    <w:p w:rsidR="00681191" w:rsidRDefault="00681191" w:rsidP="00681191">
      <w:pPr>
        <w:widowControl w:val="0"/>
        <w:tabs>
          <w:tab w:val="clear" w:pos="567"/>
        </w:tabs>
        <w:autoSpaceDE w:val="0"/>
        <w:autoSpaceDN w:val="0"/>
        <w:adjustRightInd w:val="0"/>
        <w:spacing w:line="240" w:lineRule="auto"/>
        <w:rPr>
          <w:snapToGrid/>
          <w:szCs w:val="22"/>
          <w:lang w:val="sl-SI"/>
        </w:rPr>
      </w:pPr>
    </w:p>
    <w:p w:rsidR="00681191" w:rsidRPr="00D76F8A" w:rsidRDefault="00681191" w:rsidP="00681191">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Δύο μεγάλες τυχαιοποιημένες, ελεγχόμενες μελέτες (η ONTARGET (ONgoing Telmisartan Alone and in combination with Ramipril Global Endpoint Trial) και η VA NEPHRON-D (The Veterans Affairs Nephropathy in Diabetes)) έχουν εξετάσει τη χρήση του συνδυασμού ενός αναστολέα ΜΕΑ με έναν αποκλειστή των υποδοχέων αγγειοτενσίνης II.</w:t>
      </w:r>
    </w:p>
    <w:p w:rsidR="00681191" w:rsidRPr="00D76F8A" w:rsidRDefault="00681191" w:rsidP="00681191">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Η ONTARGET ήταν μία μελέτη που διεξήχθη σε ασθενείς με ιστορικό καρδιαγγειακής ή εγκεφαλικής αγγειακής νόσου</w:t>
      </w:r>
      <w:r w:rsidR="00C46A34">
        <w:rPr>
          <w:snapToGrid/>
          <w:szCs w:val="22"/>
          <w:lang w:val="el-GR"/>
        </w:rPr>
        <w:t>,</w:t>
      </w:r>
      <w:r w:rsidRPr="00D76F8A">
        <w:rPr>
          <w:snapToGrid/>
          <w:szCs w:val="22"/>
          <w:lang w:val="sl-SI"/>
        </w:rPr>
        <w:t xml:space="preserve"> ή σακχαρώδη διαβήτη τύπου 2 συνοδευόμενο από ένδειξη βλάβης τελικού οργάνου.</w:t>
      </w:r>
    </w:p>
    <w:p w:rsidR="00681191" w:rsidRPr="00D76F8A" w:rsidRDefault="00681191" w:rsidP="00681191">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Η VA NEPHRON D ήταν μία μελέτη σε ασθενείς με σακχαρώδη διαβήτη τύπου 2 και διαβητική νεφροπάθεια</w:t>
      </w:r>
      <w:r w:rsidR="00584CF4">
        <w:rPr>
          <w:snapToGrid/>
          <w:szCs w:val="22"/>
          <w:lang w:val="sl-SI"/>
        </w:rPr>
        <w:t>.</w:t>
      </w:r>
    </w:p>
    <w:p w:rsidR="00681191" w:rsidRPr="00D76F8A" w:rsidRDefault="00681191" w:rsidP="00681191">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 xml:space="preserve">Αυτές οι μελέτες δεν έχουν δείξει σημαντική ωφέλιμη επίδραση στις νεφρικές και/ή στις καρδιαγγειακές εκβάσεις και </w:t>
      </w:r>
      <w:r w:rsidR="00C46A34">
        <w:rPr>
          <w:snapToGrid/>
          <w:szCs w:val="22"/>
          <w:lang w:val="el-GR"/>
        </w:rPr>
        <w:t>σ</w:t>
      </w:r>
      <w:r w:rsidRPr="00D76F8A">
        <w:rPr>
          <w:snapToGrid/>
          <w:szCs w:val="22"/>
          <w:lang w:val="sl-SI"/>
        </w:rPr>
        <w:t>τη θνησιμότητα, ενώ παρατηρήθηκε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w:t>
      </w:r>
    </w:p>
    <w:p w:rsidR="00681191" w:rsidRPr="00D76F8A" w:rsidRDefault="00681191" w:rsidP="00681191">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w:t>
      </w:r>
    </w:p>
    <w:p w:rsidR="003269AF" w:rsidRDefault="003269AF" w:rsidP="00681191">
      <w:pPr>
        <w:widowControl w:val="0"/>
        <w:tabs>
          <w:tab w:val="clear" w:pos="567"/>
        </w:tabs>
        <w:autoSpaceDE w:val="0"/>
        <w:autoSpaceDN w:val="0"/>
        <w:adjustRightInd w:val="0"/>
        <w:spacing w:line="240" w:lineRule="auto"/>
        <w:rPr>
          <w:snapToGrid/>
          <w:szCs w:val="22"/>
          <w:lang w:val="sl-SI"/>
        </w:rPr>
      </w:pPr>
    </w:p>
    <w:p w:rsidR="00681191" w:rsidRDefault="00681191" w:rsidP="00681191">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 xml:space="preserve">Η ALTITUDE (Aliskiren Trial in Type 2 Diabetes Using Cardiovascular and Renal Disease Endpoints) ήταν μία μελέτη σχεδιασμένη να ελέγξει το όφελος της προσθήκης αλισκιρένης σε μία </w:t>
      </w:r>
      <w:r w:rsidR="0090668F">
        <w:rPr>
          <w:snapToGrid/>
          <w:szCs w:val="22"/>
          <w:lang w:val="el-GR"/>
        </w:rPr>
        <w:t>καθιερωμένη</w:t>
      </w:r>
      <w:r w:rsidRPr="00D76F8A">
        <w:rPr>
          <w:snapToGrid/>
          <w:szCs w:val="22"/>
          <w:lang w:val="sl-SI"/>
        </w:rPr>
        <w:t xml:space="preserve">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w:t>
      </w:r>
      <w:r w:rsidR="0090668F">
        <w:rPr>
          <w:snapToGrid/>
          <w:szCs w:val="22"/>
          <w:lang w:val="el-GR"/>
        </w:rPr>
        <w:t>,</w:t>
      </w:r>
      <w:r w:rsidRPr="00D76F8A">
        <w:rPr>
          <w:snapToGrid/>
          <w:szCs w:val="22"/>
          <w:lang w:val="sl-SI"/>
        </w:rPr>
        <w:t xml:space="preserve"> ή και τα δύο. Η μελέτη διεκόπη πρόωρα λόγω αυξημένου κινδύνου ανεπιθύμητων εκβάσεων. Ο καρδιαγγειακός θάνατος και το </w:t>
      </w:r>
      <w:r w:rsidR="0090668F">
        <w:rPr>
          <w:snapToGrid/>
          <w:szCs w:val="22"/>
          <w:lang w:val="el-GR"/>
        </w:rPr>
        <w:t xml:space="preserve">αγγειακό </w:t>
      </w:r>
      <w:r w:rsidRPr="00D76F8A">
        <w:rPr>
          <w:snapToGrid/>
          <w:szCs w:val="22"/>
          <w:lang w:val="sl-SI"/>
        </w:rPr>
        <w:t>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στην ομάδα του εικονικού φαρμάκου.</w:t>
      </w:r>
    </w:p>
    <w:p w:rsidR="00681191" w:rsidRPr="00311F0B" w:rsidRDefault="00681191" w:rsidP="00681191">
      <w:pPr>
        <w:widowControl w:val="0"/>
        <w:tabs>
          <w:tab w:val="clear" w:pos="56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Επιδημιολογικές μελέτες έχουν δείξει ότι μακροχρόνια θεραπεία με υδροχλωροθειαζίδη ελαττώνει τον κίνδυνο καρδιαγγειακής </w:t>
      </w:r>
      <w:r w:rsidR="006C516A" w:rsidRPr="00FC2F1F">
        <w:rPr>
          <w:snapToGrid/>
          <w:szCs w:val="22"/>
          <w:lang w:val="el-GR"/>
        </w:rPr>
        <w:t xml:space="preserve">θνησιμότητας </w:t>
      </w:r>
      <w:r w:rsidR="006C516A">
        <w:rPr>
          <w:snapToGrid/>
          <w:szCs w:val="22"/>
          <w:lang w:val="el-GR"/>
        </w:rPr>
        <w:t xml:space="preserve">και </w:t>
      </w:r>
      <w:r w:rsidRPr="00FC2F1F">
        <w:rPr>
          <w:snapToGrid/>
          <w:szCs w:val="22"/>
          <w:lang w:val="el-GR"/>
        </w:rPr>
        <w:t>νοσηρότητας.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επιδράσεις του συνδυασμού σταθερών δόσεων τελμισαρτάνης/υδροχλωροθειαζίδης στη θνησιμότητα και την καρδιαγγειακή νοσηρότητα είναι επί του παρόντος άγνωστες.</w:t>
      </w:r>
    </w:p>
    <w:p w:rsidR="00005124" w:rsidRDefault="00005124" w:rsidP="00005124">
      <w:pPr>
        <w:widowControl w:val="0"/>
        <w:tabs>
          <w:tab w:val="clear" w:pos="567"/>
        </w:tabs>
        <w:spacing w:line="240" w:lineRule="auto"/>
        <w:rPr>
          <w:snapToGrid/>
          <w:szCs w:val="22"/>
          <w:lang w:val="sl-SI" w:eastAsia="sl-SI"/>
        </w:rPr>
      </w:pPr>
    </w:p>
    <w:p w:rsidR="00005124" w:rsidRPr="00A61F09" w:rsidRDefault="00005124" w:rsidP="00005124">
      <w:pPr>
        <w:widowControl w:val="0"/>
        <w:tabs>
          <w:tab w:val="clear" w:pos="567"/>
        </w:tabs>
        <w:spacing w:line="240" w:lineRule="auto"/>
        <w:rPr>
          <w:snapToGrid/>
          <w:szCs w:val="22"/>
          <w:u w:val="single"/>
          <w:lang w:val="sl-SI" w:eastAsia="sl-SI"/>
        </w:rPr>
      </w:pPr>
      <w:r w:rsidRPr="00A61F09">
        <w:rPr>
          <w:snapToGrid/>
          <w:szCs w:val="22"/>
          <w:u w:val="single"/>
          <w:lang w:val="sl-SI" w:eastAsia="sl-SI"/>
        </w:rPr>
        <w:t>Μη μελανωματικός καρκίνος του δέρματος</w:t>
      </w:r>
    </w:p>
    <w:p w:rsidR="00005124" w:rsidRPr="00005124" w:rsidRDefault="00005124" w:rsidP="00005124">
      <w:pPr>
        <w:widowControl w:val="0"/>
        <w:tabs>
          <w:tab w:val="clear" w:pos="567"/>
        </w:tabs>
        <w:spacing w:line="240" w:lineRule="auto"/>
        <w:rPr>
          <w:snapToGrid/>
          <w:szCs w:val="22"/>
          <w:lang w:val="el-GR" w:eastAsia="sl-SI"/>
        </w:rPr>
      </w:pPr>
      <w:r w:rsidRPr="00005124">
        <w:rPr>
          <w:snapToGrid/>
          <w:szCs w:val="22"/>
          <w:lang w:val="sl-SI" w:eastAsia="sl-SI"/>
        </w:rPr>
        <w:t xml:space="preserve">Βάσει των διαθέσιμων δεδομένων από επιδημιολογικές μελέτες, παρατηρήθηκε συσχέτιση μεταξύ της υδροχλωροθειαζίδης και του μη μελανωματικού καρκίνου του δέρματος εξαρτώμενη από αθροιστική δόση υδροχλωροθειαζίδης. Διενεργήθηκε μελέτη σε πληθυσμό </w:t>
      </w:r>
      <w:r w:rsidRPr="00005124">
        <w:rPr>
          <w:snapToGrid/>
          <w:szCs w:val="22"/>
          <w:lang w:val="el-GR" w:eastAsia="sl-SI"/>
        </w:rPr>
        <w:t xml:space="preserve">που αποτελούνταν από </w:t>
      </w:r>
      <w:r w:rsidRPr="00005124">
        <w:rPr>
          <w:snapToGrid/>
          <w:szCs w:val="22"/>
          <w:lang w:val="sl-SI" w:eastAsia="sl-SI"/>
        </w:rPr>
        <w:t>71.533 ασθενείς με βασικοκυτταρικό καρκίνωμα και 8.629 ασθενείς με καρκίνωμα του πλακώδους επιθηλίου έναντι πληθυσμού μαρτύρων όπου περιλαμβάνοντ</w:t>
      </w:r>
      <w:r w:rsidRPr="00005124">
        <w:rPr>
          <w:snapToGrid/>
          <w:szCs w:val="22"/>
          <w:lang w:val="el-GR" w:eastAsia="sl-SI"/>
        </w:rPr>
        <w:t>αν</w:t>
      </w:r>
      <w:r w:rsidRPr="00005124">
        <w:rPr>
          <w:snapToGrid/>
          <w:szCs w:val="22"/>
          <w:lang w:val="sl-SI" w:eastAsia="sl-SI"/>
        </w:rPr>
        <w:t xml:space="preserve"> 1.430.833 και 172.462 υποκείμενα, αντίστοιχα. Η χρήση υψηλής δόσης υδροχλωροθειαζίδης (≥50</w:t>
      </w:r>
      <w:r w:rsidRPr="00005124">
        <w:rPr>
          <w:snapToGrid/>
          <w:szCs w:val="22"/>
          <w:lang w:val="el-GR" w:eastAsia="sl-SI"/>
        </w:rPr>
        <w:t>.</w:t>
      </w:r>
      <w:r w:rsidRPr="00005124">
        <w:rPr>
          <w:snapToGrid/>
          <w:szCs w:val="22"/>
          <w:lang w:val="sl-SI" w:eastAsia="sl-SI"/>
        </w:rPr>
        <w:t>000 mg αθροιστικά) συσχετίστηκε με προσαρμοσμένη αναλογία πιθανοτήτων 1,29 (95% ΔΕ: 1,23-1,35) για το βασικοκυτταρικό καρκίνωμα και 3,98 (95% ΔΕ: 3,68-4,31) για το καρκίνωμα πλακώδους επιθηλίου. Τόσο για το βασικοκυτταρικό καρκίνωμα όσο και για το καρκίνωμα πλακώδους επιθηλίου παρατηρήθηκε σαφής σχέση αθροιστικής δόσης-απόκρισης. Στο πλαίσιο άλλης μελέτης καταδείχθηκε πιθανή συσχέτιση μεταξύ του καρκίνου των χειλιών (καρκίνωμα πλακώδους επιθηλίου) και της έκθεσης στην υδροχλωροθειαζίδη: 633 περιστατικά καρκίνου των χειλιών συγκρίθηκαν με 63.067 μάρτυρες, με τη χρήση στρατηγικής δειγματοληψίας στην ομάδα ατόμων σε κίνδυνο. Καταδείχθηκε σχέση αθροιστικής δόσης-απόκρισης με προσαρμοσμένη αναλογία πιθανοτήτων 2,1 (95% ΔΕ: 1,7-2,6) που αυξανόταν σε 3,9 (3,0-4,9) στην περίπτωση υψηλής δόσης (~25</w:t>
      </w:r>
      <w:r w:rsidRPr="00005124">
        <w:rPr>
          <w:snapToGrid/>
          <w:szCs w:val="22"/>
          <w:lang w:val="el-GR" w:eastAsia="sl-SI"/>
        </w:rPr>
        <w:t>.</w:t>
      </w:r>
      <w:r w:rsidRPr="00005124">
        <w:rPr>
          <w:snapToGrid/>
          <w:szCs w:val="22"/>
          <w:lang w:val="sl-SI" w:eastAsia="sl-SI"/>
        </w:rPr>
        <w:t>000 mg) και με αναλογία πιθανοτήτων 7,7 (5,7-10,5) για την υψηλότερη αθροιστική δόση (~100.000 mg) (βλ. επίσης παράγραφο 4.4).</w:t>
      </w:r>
    </w:p>
    <w:p w:rsidR="00681191" w:rsidRPr="00A61F09" w:rsidRDefault="00681191" w:rsidP="00681191">
      <w:pPr>
        <w:widowControl w:val="0"/>
        <w:numPr>
          <w:ilvl w:val="12"/>
          <w:numId w:val="0"/>
        </w:numPr>
        <w:spacing w:line="240" w:lineRule="auto"/>
        <w:ind w:right="-2"/>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5.2</w:t>
      </w:r>
      <w:r w:rsidRPr="00FC2F1F">
        <w:rPr>
          <w:b/>
          <w:noProof/>
          <w:szCs w:val="22"/>
          <w:lang w:val="el-GR"/>
        </w:rPr>
        <w:tab/>
        <w:t>Φαρμακοκινητικές ιδιότητες</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συγχορήγηση υδροχλωροθειαζίδης και τελμισαρτάνης δε</w:t>
      </w:r>
      <w:r w:rsidR="00CD3533">
        <w:rPr>
          <w:snapToGrid/>
          <w:szCs w:val="22"/>
          <w:lang w:val="el-GR"/>
        </w:rPr>
        <w:t>ν</w:t>
      </w:r>
      <w:r w:rsidRPr="00FC2F1F">
        <w:rPr>
          <w:snapToGrid/>
          <w:szCs w:val="22"/>
          <w:lang w:val="el-GR"/>
        </w:rPr>
        <w:t xml:space="preserve"> φαίνεται να έχει επίδραση στη φαρμακοκινητική των επιμέρους ουσιών σε υγιείς εθελοντές.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3D2DCD">
      <w:pPr>
        <w:rPr>
          <w:snapToGrid/>
          <w:szCs w:val="22"/>
          <w:u w:val="single"/>
          <w:lang w:val="el-GR"/>
        </w:rPr>
      </w:pPr>
      <w:r w:rsidRPr="00FC2F1F">
        <w:rPr>
          <w:snapToGrid/>
          <w:szCs w:val="22"/>
          <w:u w:val="single"/>
          <w:lang w:val="el-GR"/>
        </w:rPr>
        <w:t>Aπορρόφηση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Τελμισαρτάνη: Μετά </w:t>
      </w:r>
      <w:r w:rsidR="00CD3533">
        <w:rPr>
          <w:snapToGrid/>
          <w:szCs w:val="22"/>
          <w:lang w:val="el-GR"/>
        </w:rPr>
        <w:t xml:space="preserve">την </w:t>
      </w:r>
      <w:r w:rsidRPr="00FC2F1F">
        <w:rPr>
          <w:snapToGrid/>
          <w:szCs w:val="22"/>
          <w:lang w:val="el-GR"/>
        </w:rPr>
        <w:t>από του στόματος χορήγηση οι μέγιστες συγκεντρώσεις τελμισαρτάνης επιτυγχάνονται σε</w:t>
      </w:r>
      <w:r w:rsidRPr="00FC2F1F">
        <w:rPr>
          <w:szCs w:val="22"/>
          <w:lang w:val="el-GR"/>
        </w:rPr>
        <w:t xml:space="preserve"> 0,5 – 1,5 </w:t>
      </w:r>
      <w:r w:rsidRPr="00FC2F1F">
        <w:rPr>
          <w:snapToGrid/>
          <w:szCs w:val="22"/>
          <w:lang w:val="el-GR"/>
        </w:rPr>
        <w:t>ώρ</w:t>
      </w:r>
      <w:r w:rsidR="006C516A">
        <w:rPr>
          <w:snapToGrid/>
          <w:szCs w:val="22"/>
          <w:lang w:val="el-GR"/>
        </w:rPr>
        <w:t>ες</w:t>
      </w:r>
      <w:r w:rsidRPr="00FC2F1F">
        <w:rPr>
          <w:snapToGrid/>
          <w:szCs w:val="22"/>
          <w:lang w:val="el-GR"/>
        </w:rPr>
        <w:t xml:space="preserve"> μετά τη χορήγηση. Η απόλυτη βιοδιαθεσιμότητα της τελμισαρτάνης 40</w:t>
      </w:r>
      <w:r>
        <w:rPr>
          <w:snapToGrid/>
          <w:szCs w:val="22"/>
          <w:lang w:val="el-GR"/>
        </w:rPr>
        <w:t> mg</w:t>
      </w:r>
      <w:r w:rsidRPr="00FC2F1F">
        <w:rPr>
          <w:snapToGrid/>
          <w:szCs w:val="22"/>
          <w:lang w:val="el-GR"/>
        </w:rPr>
        <w:t xml:space="preserve"> και 160</w:t>
      </w:r>
      <w:r>
        <w:rPr>
          <w:snapToGrid/>
          <w:szCs w:val="22"/>
          <w:lang w:val="el-GR"/>
        </w:rPr>
        <w:t> mg</w:t>
      </w:r>
      <w:r w:rsidRPr="00FC2F1F">
        <w:rPr>
          <w:snapToGrid/>
          <w:szCs w:val="22"/>
          <w:lang w:val="el-GR"/>
        </w:rPr>
        <w:t xml:space="preserve"> ήταν 42 % και 58 %, αντίστοιχα. Η τροφή μειώνει ελαφρώς τη βιοδιαθεσιμότητα της τελμισαρτάνης με μείωση της περιοχής κάτω από την καμπύλη συγκ</w:t>
      </w:r>
      <w:r w:rsidR="00645FE7">
        <w:rPr>
          <w:snapToGrid/>
          <w:szCs w:val="22"/>
          <w:lang w:val="el-GR"/>
        </w:rPr>
        <w:t>έ</w:t>
      </w:r>
      <w:r w:rsidRPr="00FC2F1F">
        <w:rPr>
          <w:snapToGrid/>
          <w:szCs w:val="22"/>
          <w:lang w:val="el-GR"/>
        </w:rPr>
        <w:t>ντρ</w:t>
      </w:r>
      <w:r w:rsidR="00645FE7">
        <w:rPr>
          <w:snapToGrid/>
          <w:szCs w:val="22"/>
          <w:lang w:val="el-GR"/>
        </w:rPr>
        <w:t>ω</w:t>
      </w:r>
      <w:r w:rsidRPr="00FC2F1F">
        <w:rPr>
          <w:snapToGrid/>
          <w:szCs w:val="22"/>
          <w:lang w:val="el-GR"/>
        </w:rPr>
        <w:t>σ</w:t>
      </w:r>
      <w:r w:rsidR="00645FE7">
        <w:rPr>
          <w:snapToGrid/>
          <w:szCs w:val="22"/>
          <w:lang w:val="el-GR"/>
        </w:rPr>
        <w:t>η</w:t>
      </w:r>
      <w:r w:rsidRPr="00FC2F1F">
        <w:rPr>
          <w:snapToGrid/>
          <w:szCs w:val="22"/>
          <w:lang w:val="el-GR"/>
        </w:rPr>
        <w:t xml:space="preserve">ς </w:t>
      </w:r>
      <w:r w:rsidR="00645FE7">
        <w:rPr>
          <w:snapToGrid/>
          <w:szCs w:val="22"/>
          <w:lang w:val="el-GR"/>
        </w:rPr>
        <w:t xml:space="preserve">στο </w:t>
      </w:r>
      <w:r w:rsidRPr="00FC2F1F">
        <w:rPr>
          <w:snapToGrid/>
          <w:szCs w:val="22"/>
          <w:lang w:val="el-GR"/>
        </w:rPr>
        <w:t xml:space="preserve">πλάσμα – χρόνου (AUC) </w:t>
      </w:r>
      <w:r w:rsidR="00645FE7">
        <w:rPr>
          <w:snapToGrid/>
          <w:szCs w:val="22"/>
          <w:lang w:val="el-GR"/>
        </w:rPr>
        <w:t xml:space="preserve">κατά </w:t>
      </w:r>
      <w:r w:rsidRPr="00FC2F1F">
        <w:rPr>
          <w:snapToGrid/>
          <w:szCs w:val="22"/>
          <w:lang w:val="el-GR"/>
        </w:rPr>
        <w:t>περίπου 6 %, στην περίπτωση του δισκίου 40</w:t>
      </w:r>
      <w:r>
        <w:rPr>
          <w:snapToGrid/>
          <w:szCs w:val="22"/>
          <w:lang w:val="el-GR"/>
        </w:rPr>
        <w:t> mg</w:t>
      </w:r>
      <w:r w:rsidRPr="00FC2F1F">
        <w:rPr>
          <w:snapToGrid/>
          <w:szCs w:val="22"/>
          <w:lang w:val="el-GR"/>
        </w:rPr>
        <w:t xml:space="preserve"> και </w:t>
      </w:r>
      <w:r w:rsidR="00645FE7">
        <w:rPr>
          <w:snapToGrid/>
          <w:szCs w:val="22"/>
          <w:lang w:val="el-GR"/>
        </w:rPr>
        <w:t xml:space="preserve">κατά </w:t>
      </w:r>
      <w:r w:rsidRPr="00FC2F1F">
        <w:rPr>
          <w:snapToGrid/>
          <w:szCs w:val="22"/>
          <w:lang w:val="el-GR"/>
        </w:rPr>
        <w:t>περίπου 19 % μετά από δόση 160</w:t>
      </w:r>
      <w:r>
        <w:rPr>
          <w:snapToGrid/>
          <w:szCs w:val="22"/>
          <w:lang w:val="el-GR"/>
        </w:rPr>
        <w:t> mg</w:t>
      </w:r>
      <w:r w:rsidRPr="00FC2F1F">
        <w:rPr>
          <w:snapToGrid/>
          <w:szCs w:val="22"/>
          <w:lang w:val="el-GR"/>
        </w:rPr>
        <w:t xml:space="preserve">. </w:t>
      </w:r>
      <w:r w:rsidR="00645FE7">
        <w:rPr>
          <w:snapToGrid/>
          <w:szCs w:val="22"/>
          <w:lang w:val="el-GR"/>
        </w:rPr>
        <w:t xml:space="preserve">Έως </w:t>
      </w:r>
      <w:r w:rsidRPr="00FC2F1F">
        <w:rPr>
          <w:snapToGrid/>
          <w:szCs w:val="22"/>
          <w:lang w:val="el-GR"/>
        </w:rPr>
        <w:t xml:space="preserve">3 ώρες μετά τη χορήγηση οι συγκεντρώσεις </w:t>
      </w:r>
      <w:r w:rsidR="00645FE7">
        <w:rPr>
          <w:snapToGrid/>
          <w:szCs w:val="22"/>
          <w:lang w:val="el-GR"/>
        </w:rPr>
        <w:t xml:space="preserve">στο </w:t>
      </w:r>
      <w:r w:rsidRPr="00FC2F1F">
        <w:rPr>
          <w:snapToGrid/>
          <w:szCs w:val="22"/>
          <w:lang w:val="el-GR"/>
        </w:rPr>
        <w:t xml:space="preserve">πλάσμα είναι παρόμοιες είτε η τελμισαρτάνη λαμβάνεται σε κατάσταση νηστείας είτε με τροφή. Η μικρή μείωση στην AUC δεν αναμένεται να προκαλέσει μείωση της θεραπευτικής αποτελεσματικότητας. Η τελμισαρτάνη δεν </w:t>
      </w:r>
      <w:r w:rsidR="006C516A">
        <w:rPr>
          <w:snapToGrid/>
          <w:szCs w:val="22"/>
          <w:lang w:val="el-GR"/>
        </w:rPr>
        <w:t>συσσωρεύεται</w:t>
      </w:r>
      <w:r w:rsidRPr="00FC2F1F">
        <w:rPr>
          <w:snapToGrid/>
          <w:szCs w:val="22"/>
          <w:lang w:val="el-GR"/>
        </w:rPr>
        <w:t xml:space="preserve"> </w:t>
      </w:r>
      <w:r w:rsidR="006C516A">
        <w:rPr>
          <w:snapToGrid/>
          <w:szCs w:val="22"/>
          <w:lang w:val="el-GR"/>
        </w:rPr>
        <w:t xml:space="preserve">σε </w:t>
      </w:r>
      <w:r w:rsidRPr="00FC2F1F">
        <w:rPr>
          <w:snapToGrid/>
          <w:szCs w:val="22"/>
          <w:lang w:val="el-GR"/>
        </w:rPr>
        <w:t>αξιοσημείωτ</w:t>
      </w:r>
      <w:r w:rsidR="006C516A">
        <w:rPr>
          <w:snapToGrid/>
          <w:szCs w:val="22"/>
          <w:lang w:val="el-GR"/>
        </w:rPr>
        <w:t>ο</w:t>
      </w:r>
      <w:r w:rsidRPr="00FC2F1F">
        <w:rPr>
          <w:snapToGrid/>
          <w:szCs w:val="22"/>
          <w:lang w:val="el-GR"/>
        </w:rPr>
        <w:t xml:space="preserve"> </w:t>
      </w:r>
      <w:r w:rsidR="006C516A">
        <w:rPr>
          <w:snapToGrid/>
          <w:szCs w:val="22"/>
          <w:lang w:val="el-GR"/>
        </w:rPr>
        <w:t xml:space="preserve">βαθμό </w:t>
      </w:r>
      <w:r w:rsidRPr="00FC2F1F">
        <w:rPr>
          <w:snapToGrid/>
          <w:szCs w:val="22"/>
          <w:lang w:val="el-GR"/>
        </w:rPr>
        <w:t>στο πλάσμα μετά από επαναλαμβανόμενη χορήγηση.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Υδροχλωροθειαζίδη: Μετά </w:t>
      </w:r>
      <w:r w:rsidR="00535DDF">
        <w:rPr>
          <w:snapToGrid/>
          <w:szCs w:val="22"/>
          <w:lang w:val="el-GR"/>
        </w:rPr>
        <w:t xml:space="preserve">την </w:t>
      </w:r>
      <w:r w:rsidRPr="00FC2F1F">
        <w:rPr>
          <w:snapToGrid/>
          <w:szCs w:val="22"/>
          <w:lang w:val="el-GR"/>
        </w:rPr>
        <w:t xml:space="preserve">από του στόματος χορήγηση </w:t>
      </w:r>
      <w:r w:rsidRPr="00FC2F1F">
        <w:rPr>
          <w:szCs w:val="22"/>
          <w:lang w:val="el-GR"/>
        </w:rPr>
        <w:t>Tolucombi</w:t>
      </w:r>
      <w:r w:rsidR="001F63AF">
        <w:rPr>
          <w:szCs w:val="22"/>
          <w:lang w:val="el-GR"/>
        </w:rPr>
        <w:t>,</w:t>
      </w:r>
      <w:r w:rsidRPr="00FC2F1F">
        <w:rPr>
          <w:snapToGrid/>
          <w:szCs w:val="22"/>
          <w:lang w:val="el-GR"/>
        </w:rPr>
        <w:t xml:space="preserve"> οι μέγιστες συγκεντρώσεις υδροχλωροθειαζίδης επιτυγχάνονται περίπου </w:t>
      </w:r>
      <w:r w:rsidR="00535DDF">
        <w:rPr>
          <w:snapToGrid/>
          <w:szCs w:val="22"/>
          <w:lang w:val="el-GR"/>
        </w:rPr>
        <w:t xml:space="preserve">σε </w:t>
      </w:r>
      <w:r w:rsidRPr="00FC2F1F">
        <w:rPr>
          <w:snapToGrid/>
          <w:szCs w:val="22"/>
          <w:lang w:val="el-GR"/>
        </w:rPr>
        <w:t>1,0 - 3,0 ώρες μετά τη χορήγηση. Με βάση την αθροιστική νεφρική απέκκριση της υδροχλωροθειαζίδης η απόλυτη βιοδιαθεσιμότητα ήταν περίπου 60 %.</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Κατανομή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τελμισαρτάνη δεσμεύεται </w:t>
      </w:r>
      <w:r w:rsidR="00535DDF">
        <w:rPr>
          <w:snapToGrid/>
          <w:szCs w:val="22"/>
          <w:lang w:val="el-GR"/>
        </w:rPr>
        <w:t xml:space="preserve">με </w:t>
      </w:r>
      <w:r w:rsidRPr="00FC2F1F">
        <w:rPr>
          <w:snapToGrid/>
          <w:szCs w:val="22"/>
          <w:lang w:val="el-GR"/>
        </w:rPr>
        <w:t>τις πρωτεΐνες του πλάσματος σε υψηλό βαθμό (&gt; 99,5</w:t>
      </w:r>
      <w:r w:rsidR="005D6217">
        <w:rPr>
          <w:snapToGrid/>
          <w:szCs w:val="22"/>
          <w:lang w:val="el-GR"/>
        </w:rPr>
        <w:t> </w:t>
      </w:r>
      <w:r w:rsidRPr="00FC2F1F">
        <w:rPr>
          <w:snapToGrid/>
          <w:szCs w:val="22"/>
          <w:lang w:val="el-GR"/>
        </w:rPr>
        <w:t>%) κυρίως με την αλβουμίνη και την άλφα-1 όξινη γλυκοπρωτε</w:t>
      </w:r>
      <w:r w:rsidR="00535DDF" w:rsidRPr="000151B8">
        <w:rPr>
          <w:szCs w:val="22"/>
          <w:lang w:val="el-GR"/>
        </w:rPr>
        <w:t>ΐ</w:t>
      </w:r>
      <w:r w:rsidRPr="00FC2F1F">
        <w:rPr>
          <w:snapToGrid/>
          <w:szCs w:val="22"/>
          <w:lang w:val="el-GR"/>
        </w:rPr>
        <w:t>νη. Ο φαινόμενος όγκος κατανομής για τη</w:t>
      </w:r>
      <w:r w:rsidR="00535DDF">
        <w:rPr>
          <w:snapToGrid/>
          <w:szCs w:val="22"/>
          <w:lang w:val="el-GR"/>
        </w:rPr>
        <w:t>ν</w:t>
      </w:r>
      <w:r w:rsidRPr="00FC2F1F">
        <w:rPr>
          <w:snapToGrid/>
          <w:szCs w:val="22"/>
          <w:lang w:val="el-GR"/>
        </w:rPr>
        <w:t xml:space="preserve"> τελμισαρτάνη είναι περίπου 500 λίτρα, υποδηλώνοντας επιπρόσθετη δέσμευση στους ιστούς.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συνδέεται κατά 68 % στις πρωτε</w:t>
      </w:r>
      <w:r w:rsidR="00535DDF" w:rsidRPr="000151B8">
        <w:rPr>
          <w:szCs w:val="22"/>
          <w:lang w:val="el-GR"/>
        </w:rPr>
        <w:t>ΐ</w:t>
      </w:r>
      <w:r w:rsidRPr="00FC2F1F">
        <w:rPr>
          <w:snapToGrid/>
          <w:szCs w:val="22"/>
          <w:lang w:val="el-GR"/>
        </w:rPr>
        <w:t xml:space="preserve">νες </w:t>
      </w:r>
      <w:r w:rsidR="00535DDF">
        <w:rPr>
          <w:snapToGrid/>
          <w:szCs w:val="22"/>
          <w:lang w:val="el-GR"/>
        </w:rPr>
        <w:t xml:space="preserve">του </w:t>
      </w:r>
      <w:r w:rsidRPr="00FC2F1F">
        <w:rPr>
          <w:snapToGrid/>
          <w:szCs w:val="22"/>
          <w:lang w:val="el-GR"/>
        </w:rPr>
        <w:t>πλάσματος και ο φαινόμενος όγκος κατανομής είναι 0,83 – 1,14 l/kg.</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Βιομετασχηματισμός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τελμισαρτάνη μεταβολίζεται μέσω σύζευξης για να σχηματίσει ένα φαρμακολογικά ανενεργό ακυλ-γλυκουρονίδιο. Το γλυκουρονίδιο της μητρικής ουσίας είναι ο μοναδικός μεταβολίτης που έχει αναγνωρισθεί στους ανθρώπους. Μετά από εφάπαξ δόση επισημασμένης με </w:t>
      </w:r>
      <w:r w:rsidRPr="00FC2F1F">
        <w:rPr>
          <w:snapToGrid/>
          <w:szCs w:val="22"/>
          <w:vertAlign w:val="superscript"/>
          <w:lang w:val="el-GR"/>
        </w:rPr>
        <w:t>14</w:t>
      </w:r>
      <w:r w:rsidRPr="00FC2F1F">
        <w:rPr>
          <w:snapToGrid/>
          <w:szCs w:val="22"/>
          <w:lang w:val="el-GR"/>
        </w:rPr>
        <w:t xml:space="preserve">C τελμισαρτάνης το γλυκουρονίδιο αντιπροσωπεύει περίπου </w:t>
      </w:r>
      <w:r w:rsidR="00E34105">
        <w:rPr>
          <w:snapToGrid/>
          <w:szCs w:val="22"/>
          <w:lang w:val="el-GR"/>
        </w:rPr>
        <w:t xml:space="preserve">το </w:t>
      </w:r>
      <w:r w:rsidRPr="00FC2F1F">
        <w:rPr>
          <w:snapToGrid/>
          <w:szCs w:val="22"/>
          <w:lang w:val="el-GR"/>
        </w:rPr>
        <w:t>11</w:t>
      </w:r>
      <w:r w:rsidR="005D6217">
        <w:rPr>
          <w:snapToGrid/>
          <w:szCs w:val="22"/>
          <w:lang w:val="el-GR"/>
        </w:rPr>
        <w:t> </w:t>
      </w:r>
      <w:r w:rsidRPr="00FC2F1F">
        <w:rPr>
          <w:snapToGrid/>
          <w:szCs w:val="22"/>
          <w:lang w:val="el-GR"/>
        </w:rPr>
        <w:t>% της μετρ</w:t>
      </w:r>
      <w:r w:rsidR="00687E47">
        <w:rPr>
          <w:snapToGrid/>
          <w:szCs w:val="22"/>
          <w:lang w:val="el-GR"/>
        </w:rPr>
        <w:t>ηθείσας</w:t>
      </w:r>
      <w:r w:rsidRPr="00FC2F1F">
        <w:rPr>
          <w:snapToGrid/>
          <w:szCs w:val="22"/>
          <w:lang w:val="el-GR"/>
        </w:rPr>
        <w:t xml:space="preserve"> ραδιενέργειας στο πλάσμα. Τα ισοένζυμα του κυτοχρώματος Ρ450 δεν εμπλέκονται στο μεταβολισμό της τελμισαρτάνης.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δε</w:t>
      </w:r>
      <w:r w:rsidR="00687E47">
        <w:rPr>
          <w:snapToGrid/>
          <w:szCs w:val="22"/>
          <w:lang w:val="el-GR"/>
        </w:rPr>
        <w:t>ν</w:t>
      </w:r>
      <w:r w:rsidRPr="00FC2F1F">
        <w:rPr>
          <w:snapToGrid/>
          <w:szCs w:val="22"/>
          <w:lang w:val="el-GR"/>
        </w:rPr>
        <w:t xml:space="preserve"> μεταβολίζεται στον άνθρωπο.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Αποβολή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Τελμισαρτάνη: Μετά από ενδοφλέβια ή από στόματος χορήγηση επισημασμένης με </w:t>
      </w:r>
      <w:r w:rsidRPr="00FC2F1F">
        <w:rPr>
          <w:snapToGrid/>
          <w:szCs w:val="22"/>
          <w:vertAlign w:val="superscript"/>
          <w:lang w:val="el-GR"/>
        </w:rPr>
        <w:t>14</w:t>
      </w:r>
      <w:r w:rsidRPr="00FC2F1F">
        <w:rPr>
          <w:snapToGrid/>
          <w:szCs w:val="22"/>
          <w:lang w:val="el-GR"/>
        </w:rPr>
        <w:t>C τελμισαρτάνης, το μεγαλύτερο μέρος της χορηγηθείσας δόσης (&gt;97 %) αποβλήθηκε στα κόπρανα μέσω απέκκρισης δια της χολής. Μόνο ελάχιστ</w:t>
      </w:r>
      <w:r w:rsidR="00687E47">
        <w:rPr>
          <w:snapToGrid/>
          <w:szCs w:val="22"/>
          <w:lang w:val="el-GR"/>
        </w:rPr>
        <w:t>ες</w:t>
      </w:r>
      <w:r w:rsidRPr="00FC2F1F">
        <w:rPr>
          <w:snapToGrid/>
          <w:szCs w:val="22"/>
          <w:lang w:val="el-GR"/>
        </w:rPr>
        <w:t xml:space="preserve"> ποσ</w:t>
      </w:r>
      <w:r w:rsidR="00687E47">
        <w:rPr>
          <w:snapToGrid/>
          <w:szCs w:val="22"/>
          <w:lang w:val="el-GR"/>
        </w:rPr>
        <w:t>ότητες</w:t>
      </w:r>
      <w:r w:rsidRPr="00FC2F1F">
        <w:rPr>
          <w:snapToGrid/>
          <w:szCs w:val="22"/>
          <w:lang w:val="el-GR"/>
        </w:rPr>
        <w:t xml:space="preserve"> ανιχνεύτηκαν στα ούρα. Η ολική κάθαρση της τελμισαρτάνης </w:t>
      </w:r>
      <w:r w:rsidR="00687E47">
        <w:rPr>
          <w:snapToGrid/>
          <w:szCs w:val="22"/>
          <w:lang w:val="el-GR"/>
        </w:rPr>
        <w:t xml:space="preserve">στο πλάσμα </w:t>
      </w:r>
      <w:r w:rsidRPr="00FC2F1F">
        <w:rPr>
          <w:snapToGrid/>
          <w:szCs w:val="22"/>
          <w:lang w:val="el-GR"/>
        </w:rPr>
        <w:t xml:space="preserve">μετά </w:t>
      </w:r>
      <w:r w:rsidR="001A7346">
        <w:rPr>
          <w:snapToGrid/>
          <w:szCs w:val="22"/>
          <w:lang w:val="el-GR"/>
        </w:rPr>
        <w:t xml:space="preserve">την </w:t>
      </w:r>
      <w:r w:rsidRPr="00FC2F1F">
        <w:rPr>
          <w:snapToGrid/>
          <w:szCs w:val="22"/>
          <w:lang w:val="el-GR"/>
        </w:rPr>
        <w:t>από του στόματος χορήγηση είναι &gt;1</w:t>
      </w:r>
      <w:r w:rsidR="00687E47">
        <w:rPr>
          <w:snapToGrid/>
          <w:szCs w:val="22"/>
          <w:lang w:val="el-GR"/>
        </w:rPr>
        <w:t>.</w:t>
      </w:r>
      <w:r w:rsidRPr="00FC2F1F">
        <w:rPr>
          <w:snapToGrid/>
          <w:szCs w:val="22"/>
          <w:lang w:val="el-GR"/>
        </w:rPr>
        <w:t xml:space="preserve">500 ml/min. Ο τελικός χρόνος ημίσειας ζωής </w:t>
      </w:r>
      <w:r w:rsidR="00CC0B9A">
        <w:rPr>
          <w:snapToGrid/>
          <w:szCs w:val="22"/>
          <w:lang w:val="el-GR"/>
        </w:rPr>
        <w:t xml:space="preserve">της </w:t>
      </w:r>
      <w:r w:rsidRPr="00FC2F1F">
        <w:rPr>
          <w:snapToGrid/>
          <w:szCs w:val="22"/>
          <w:lang w:val="el-GR"/>
        </w:rPr>
        <w:t>αποβολής ήταν &gt;20 ώρες.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υδροχλωροθειαζίδη απεκκρίνεται σχεδόν εξ ολοκλήρου ως αμετάβλητη ουσία στα ούρα. Περίπου </w:t>
      </w:r>
      <w:r w:rsidR="00CC0B9A">
        <w:rPr>
          <w:snapToGrid/>
          <w:szCs w:val="22"/>
          <w:lang w:val="el-GR"/>
        </w:rPr>
        <w:t xml:space="preserve">το </w:t>
      </w:r>
      <w:r w:rsidRPr="00FC2F1F">
        <w:rPr>
          <w:snapToGrid/>
          <w:szCs w:val="22"/>
          <w:lang w:val="el-GR"/>
        </w:rPr>
        <w:t>60 % της από του στόματος δόσης αποβάλλεται εντός 48 ωρών. Η νεφρική κάθαρση είναι περίπου 250 – 300 ml/min. Ο τελικός χρόνος ημίσειας ζωής για την απο</w:t>
      </w:r>
      <w:r w:rsidR="00CC0B9A">
        <w:rPr>
          <w:snapToGrid/>
          <w:szCs w:val="22"/>
          <w:lang w:val="el-GR"/>
        </w:rPr>
        <w:t>βολή</w:t>
      </w:r>
      <w:r w:rsidRPr="00FC2F1F">
        <w:rPr>
          <w:snapToGrid/>
          <w:szCs w:val="22"/>
          <w:lang w:val="el-GR"/>
        </w:rPr>
        <w:t xml:space="preserve"> της υδροχλωροθειαζίδης είναι 10 – 15 ώρες.</w:t>
      </w:r>
    </w:p>
    <w:p w:rsidR="00681191" w:rsidRPr="00FC2F1F" w:rsidRDefault="00681191" w:rsidP="00681191">
      <w:pPr>
        <w:widowControl w:val="0"/>
        <w:spacing w:line="240" w:lineRule="auto"/>
        <w:rPr>
          <w:noProof/>
          <w:szCs w:val="22"/>
          <w:lang w:val="el-GR"/>
        </w:rPr>
      </w:pPr>
    </w:p>
    <w:p w:rsidR="00F1788E" w:rsidRPr="002210C0" w:rsidRDefault="00F1788E" w:rsidP="00681191">
      <w:pPr>
        <w:widowControl w:val="0"/>
        <w:tabs>
          <w:tab w:val="clear" w:pos="567"/>
        </w:tabs>
        <w:autoSpaceDE w:val="0"/>
        <w:autoSpaceDN w:val="0"/>
        <w:adjustRightInd w:val="0"/>
        <w:spacing w:line="240" w:lineRule="auto"/>
        <w:rPr>
          <w:iCs/>
          <w:snapToGrid/>
          <w:szCs w:val="22"/>
          <w:u w:val="single"/>
          <w:lang w:val="el-GR"/>
        </w:rPr>
      </w:pPr>
      <w:r w:rsidRPr="002210C0">
        <w:rPr>
          <w:iCs/>
          <w:snapToGrid/>
          <w:szCs w:val="22"/>
          <w:u w:val="single"/>
          <w:lang w:val="el-GR"/>
        </w:rPr>
        <w:t>Γραμμικότητα/μη</w:t>
      </w:r>
      <w:r w:rsidR="00B2197C">
        <w:rPr>
          <w:iCs/>
          <w:snapToGrid/>
          <w:szCs w:val="22"/>
          <w:u w:val="single"/>
          <w:lang w:val="el-GR"/>
        </w:rPr>
        <w:t xml:space="preserve"> </w:t>
      </w:r>
      <w:r w:rsidRPr="002210C0">
        <w:rPr>
          <w:iCs/>
          <w:snapToGrid/>
          <w:szCs w:val="22"/>
          <w:u w:val="single"/>
          <w:lang w:val="el-GR"/>
        </w:rPr>
        <w:t>γραμμικότητα</w:t>
      </w:r>
    </w:p>
    <w:p w:rsidR="00F1788E" w:rsidRPr="002210C0" w:rsidRDefault="00F1788E" w:rsidP="00681191">
      <w:pPr>
        <w:widowControl w:val="0"/>
        <w:tabs>
          <w:tab w:val="clear" w:pos="567"/>
        </w:tabs>
        <w:autoSpaceDE w:val="0"/>
        <w:autoSpaceDN w:val="0"/>
        <w:adjustRightInd w:val="0"/>
        <w:spacing w:line="240" w:lineRule="auto"/>
        <w:rPr>
          <w:iCs/>
          <w:snapToGrid/>
          <w:szCs w:val="22"/>
          <w:lang w:val="el-GR"/>
        </w:rPr>
      </w:pPr>
      <w:r>
        <w:rPr>
          <w:iCs/>
          <w:snapToGrid/>
          <w:szCs w:val="22"/>
          <w:lang w:val="el-GR"/>
        </w:rPr>
        <w:t>Τελμισαρτάνη:</w:t>
      </w:r>
      <w:r w:rsidRPr="00F1788E">
        <w:rPr>
          <w:snapToGrid/>
          <w:szCs w:val="22"/>
          <w:lang w:val="el-GR"/>
        </w:rPr>
        <w:t xml:space="preserve"> </w:t>
      </w:r>
      <w:r w:rsidRPr="00F1788E">
        <w:rPr>
          <w:iCs/>
          <w:snapToGrid/>
          <w:szCs w:val="22"/>
          <w:lang w:val="el-GR"/>
        </w:rPr>
        <w:t xml:space="preserve">Η φαρμακοκινητική της από στόματος χορηγούμενης τελμισαρτάνης είναι μη γραμμική σε εύρος δόσεων </w:t>
      </w:r>
      <w:r w:rsidR="00CC0B9A">
        <w:rPr>
          <w:iCs/>
          <w:snapToGrid/>
          <w:szCs w:val="22"/>
          <w:lang w:val="el-GR"/>
        </w:rPr>
        <w:t xml:space="preserve">από </w:t>
      </w:r>
      <w:r w:rsidRPr="00F1788E">
        <w:rPr>
          <w:iCs/>
          <w:snapToGrid/>
          <w:szCs w:val="22"/>
          <w:lang w:val="el-GR"/>
        </w:rPr>
        <w:t xml:space="preserve">20 – 160 mg με μεγαλύτερες </w:t>
      </w:r>
      <w:r w:rsidR="00CC0B9A">
        <w:rPr>
          <w:iCs/>
          <w:snapToGrid/>
          <w:szCs w:val="22"/>
          <w:lang w:val="el-GR"/>
        </w:rPr>
        <w:t xml:space="preserve">από ότι </w:t>
      </w:r>
      <w:r w:rsidRPr="00F1788E">
        <w:rPr>
          <w:iCs/>
          <w:snapToGrid/>
          <w:szCs w:val="22"/>
          <w:lang w:val="el-GR"/>
        </w:rPr>
        <w:t>αναλογικ</w:t>
      </w:r>
      <w:r w:rsidR="00CC0B9A">
        <w:rPr>
          <w:iCs/>
          <w:snapToGrid/>
          <w:szCs w:val="22"/>
          <w:lang w:val="el-GR"/>
        </w:rPr>
        <w:t>ές</w:t>
      </w:r>
      <w:r w:rsidRPr="00F1788E">
        <w:rPr>
          <w:iCs/>
          <w:snapToGrid/>
          <w:szCs w:val="22"/>
          <w:lang w:val="el-GR"/>
        </w:rPr>
        <w:t xml:space="preserve"> αυξήσεις </w:t>
      </w:r>
      <w:r w:rsidR="00E40270">
        <w:rPr>
          <w:iCs/>
          <w:snapToGrid/>
          <w:szCs w:val="22"/>
          <w:lang w:val="el-GR"/>
        </w:rPr>
        <w:t>των</w:t>
      </w:r>
      <w:r w:rsidRPr="00F1788E">
        <w:rPr>
          <w:iCs/>
          <w:snapToGrid/>
          <w:szCs w:val="22"/>
          <w:lang w:val="el-GR"/>
        </w:rPr>
        <w:t xml:space="preserve"> συγκεντρώσε</w:t>
      </w:r>
      <w:r w:rsidR="00E40270">
        <w:rPr>
          <w:iCs/>
          <w:snapToGrid/>
          <w:szCs w:val="22"/>
          <w:lang w:val="el-GR"/>
        </w:rPr>
        <w:t>ων</w:t>
      </w:r>
      <w:r w:rsidRPr="00F1788E">
        <w:rPr>
          <w:iCs/>
          <w:snapToGrid/>
          <w:szCs w:val="22"/>
          <w:lang w:val="el-GR"/>
        </w:rPr>
        <w:t xml:space="preserve"> </w:t>
      </w:r>
      <w:r w:rsidR="00E40270">
        <w:rPr>
          <w:iCs/>
          <w:snapToGrid/>
          <w:szCs w:val="22"/>
          <w:lang w:val="el-GR"/>
        </w:rPr>
        <w:t xml:space="preserve">στο </w:t>
      </w:r>
      <w:r w:rsidRPr="00F1788E">
        <w:rPr>
          <w:iCs/>
          <w:snapToGrid/>
          <w:szCs w:val="22"/>
          <w:lang w:val="el-GR"/>
        </w:rPr>
        <w:t>πλάσμα (C</w:t>
      </w:r>
      <w:r w:rsidRPr="00F1788E">
        <w:rPr>
          <w:iCs/>
          <w:snapToGrid/>
          <w:szCs w:val="22"/>
          <w:vertAlign w:val="subscript"/>
          <w:lang w:val="el-GR"/>
        </w:rPr>
        <w:t>max</w:t>
      </w:r>
      <w:r w:rsidRPr="00F1788E">
        <w:rPr>
          <w:iCs/>
          <w:snapToGrid/>
          <w:szCs w:val="22"/>
          <w:lang w:val="el-GR"/>
        </w:rPr>
        <w:t xml:space="preserve"> και AUC) με </w:t>
      </w:r>
      <w:r w:rsidR="00E40270">
        <w:rPr>
          <w:iCs/>
          <w:snapToGrid/>
          <w:szCs w:val="22"/>
          <w:lang w:val="el-GR"/>
        </w:rPr>
        <w:t>αυξανόμενες δόσεις</w:t>
      </w:r>
      <w:r w:rsidRPr="00F1788E">
        <w:rPr>
          <w:iCs/>
          <w:snapToGrid/>
          <w:szCs w:val="22"/>
          <w:lang w:val="el-GR"/>
        </w:rPr>
        <w:t>.</w:t>
      </w:r>
    </w:p>
    <w:p w:rsidR="00F1788E" w:rsidRPr="002210C0" w:rsidRDefault="00CC0B9A" w:rsidP="00681191">
      <w:pPr>
        <w:widowControl w:val="0"/>
        <w:tabs>
          <w:tab w:val="clear" w:pos="567"/>
        </w:tabs>
        <w:autoSpaceDE w:val="0"/>
        <w:autoSpaceDN w:val="0"/>
        <w:adjustRightInd w:val="0"/>
        <w:spacing w:line="240" w:lineRule="auto"/>
        <w:rPr>
          <w:iCs/>
          <w:snapToGrid/>
          <w:szCs w:val="22"/>
          <w:lang w:val="el-GR"/>
        </w:rPr>
      </w:pPr>
      <w:r>
        <w:rPr>
          <w:szCs w:val="22"/>
          <w:lang w:val="el-GR"/>
        </w:rPr>
        <w:t xml:space="preserve">Η </w:t>
      </w:r>
      <w:r>
        <w:rPr>
          <w:lang w:val="el-GR"/>
        </w:rPr>
        <w:t>υδροχλωροθειαζίδη εμφανίζει γραμμική φαρμακοκινητική</w:t>
      </w:r>
      <w:r w:rsidR="00E40270">
        <w:rPr>
          <w:lang w:val="el-GR"/>
        </w:rPr>
        <w:t>.</w:t>
      </w:r>
    </w:p>
    <w:p w:rsidR="00CC0B9A" w:rsidRDefault="00CC0B9A" w:rsidP="00681191">
      <w:pPr>
        <w:widowControl w:val="0"/>
        <w:tabs>
          <w:tab w:val="clear" w:pos="567"/>
        </w:tabs>
        <w:autoSpaceDE w:val="0"/>
        <w:autoSpaceDN w:val="0"/>
        <w:adjustRightInd w:val="0"/>
        <w:spacing w:line="240" w:lineRule="auto"/>
        <w:rPr>
          <w:i/>
          <w:iCs/>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Ηλικιωμένοι</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φαρμακοκινητική της τελμισαρτάνης δε</w:t>
      </w:r>
      <w:r w:rsidR="00E40270">
        <w:rPr>
          <w:snapToGrid/>
          <w:szCs w:val="22"/>
          <w:lang w:val="el-GR"/>
        </w:rPr>
        <w:t>ν</w:t>
      </w:r>
      <w:r w:rsidRPr="00FC2F1F">
        <w:rPr>
          <w:snapToGrid/>
          <w:szCs w:val="22"/>
          <w:lang w:val="el-GR"/>
        </w:rPr>
        <w:t xml:space="preserve"> διαφέρει μεταξύ των ηλικιωμένων και των νε</w:t>
      </w:r>
      <w:r w:rsidR="00E40270">
        <w:rPr>
          <w:snapToGrid/>
          <w:szCs w:val="22"/>
          <w:lang w:val="el-GR"/>
        </w:rPr>
        <w:t>αρό</w:t>
      </w:r>
      <w:r w:rsidRPr="00FC2F1F">
        <w:rPr>
          <w:snapToGrid/>
          <w:szCs w:val="22"/>
          <w:lang w:val="el-GR"/>
        </w:rPr>
        <w:t>τ</w:t>
      </w:r>
      <w:r w:rsidR="00E40270">
        <w:rPr>
          <w:snapToGrid/>
          <w:szCs w:val="22"/>
          <w:lang w:val="el-GR"/>
        </w:rPr>
        <w:t>ε</w:t>
      </w:r>
      <w:r w:rsidRPr="00FC2F1F">
        <w:rPr>
          <w:snapToGrid/>
          <w:szCs w:val="22"/>
          <w:lang w:val="el-GR"/>
        </w:rPr>
        <w:t>ρων από 65 ετών.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Φύλο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Οι συγκεντρώσεις της τελμισαρτάνης </w:t>
      </w:r>
      <w:r w:rsidR="00E40270">
        <w:rPr>
          <w:snapToGrid/>
          <w:szCs w:val="22"/>
          <w:lang w:val="el-GR"/>
        </w:rPr>
        <w:t xml:space="preserve">στο πλάσμα </w:t>
      </w:r>
      <w:r w:rsidRPr="00FC2F1F">
        <w:rPr>
          <w:snapToGrid/>
          <w:szCs w:val="22"/>
          <w:lang w:val="el-GR"/>
        </w:rPr>
        <w:t xml:space="preserve">είναι γενικά 2 – 3 φορές υψηλότερες στις γυναίκες από </w:t>
      </w:r>
      <w:r w:rsidR="00E40270">
        <w:rPr>
          <w:snapToGrid/>
          <w:szCs w:val="22"/>
          <w:lang w:val="el-GR"/>
        </w:rPr>
        <w:t>ότι σ</w:t>
      </w:r>
      <w:r w:rsidRPr="00FC2F1F">
        <w:rPr>
          <w:snapToGrid/>
          <w:szCs w:val="22"/>
          <w:lang w:val="el-GR"/>
        </w:rPr>
        <w:t>τους άνδρες. Εντούτοις στις κλινικές δοκιμές, δε</w:t>
      </w:r>
      <w:r w:rsidR="00E40270">
        <w:rPr>
          <w:snapToGrid/>
          <w:szCs w:val="22"/>
          <w:lang w:val="el-GR"/>
        </w:rPr>
        <w:t>ν</w:t>
      </w:r>
      <w:r w:rsidRPr="00FC2F1F">
        <w:rPr>
          <w:snapToGrid/>
          <w:szCs w:val="22"/>
          <w:lang w:val="el-GR"/>
        </w:rPr>
        <w:t xml:space="preserve"> βρέθηκε σημαντικά αυξημένη ανταπόκριση στην αρτηριακή πίεση ή στη συχνότητα εμφάνισης ορθοστατικής υπότασης στις γυναίκες. Δεν ήταν απαραίτητη τροποποίηση της δοσολογίας. Υπήρ</w:t>
      </w:r>
      <w:r w:rsidR="00323407">
        <w:rPr>
          <w:snapToGrid/>
          <w:szCs w:val="22"/>
          <w:lang w:val="el-GR"/>
        </w:rPr>
        <w:t>ξ</w:t>
      </w:r>
      <w:r w:rsidRPr="00FC2F1F">
        <w:rPr>
          <w:snapToGrid/>
          <w:szCs w:val="22"/>
          <w:lang w:val="el-GR"/>
        </w:rPr>
        <w:t xml:space="preserve">ε μία τάση για υψηλότερες συγκεντρώσεις υδροχλωροθειαζίδης </w:t>
      </w:r>
      <w:r w:rsidR="00323407">
        <w:rPr>
          <w:snapToGrid/>
          <w:szCs w:val="22"/>
          <w:lang w:val="el-GR"/>
        </w:rPr>
        <w:t>στο πλάσμα</w:t>
      </w:r>
      <w:r w:rsidRPr="00FC2F1F">
        <w:rPr>
          <w:snapToGrid/>
          <w:szCs w:val="22"/>
          <w:lang w:val="el-GR"/>
        </w:rPr>
        <w:t xml:space="preserve"> </w:t>
      </w:r>
      <w:r w:rsidR="00323407">
        <w:rPr>
          <w:snapToGrid/>
          <w:szCs w:val="22"/>
          <w:lang w:val="el-GR"/>
        </w:rPr>
        <w:t xml:space="preserve">των </w:t>
      </w:r>
      <w:r w:rsidRPr="00FC2F1F">
        <w:rPr>
          <w:snapToGrid/>
          <w:szCs w:val="22"/>
          <w:lang w:val="el-GR"/>
        </w:rPr>
        <w:t>γυνα</w:t>
      </w:r>
      <w:r w:rsidR="00323407">
        <w:rPr>
          <w:snapToGrid/>
          <w:szCs w:val="22"/>
          <w:lang w:val="el-GR"/>
        </w:rPr>
        <w:t>ικών</w:t>
      </w:r>
      <w:r w:rsidRPr="00FC2F1F">
        <w:rPr>
          <w:snapToGrid/>
          <w:szCs w:val="22"/>
          <w:lang w:val="el-GR"/>
        </w:rPr>
        <w:t xml:space="preserve"> από ότι </w:t>
      </w:r>
      <w:r w:rsidR="00323407">
        <w:rPr>
          <w:snapToGrid/>
          <w:szCs w:val="22"/>
          <w:lang w:val="el-GR"/>
        </w:rPr>
        <w:t>των</w:t>
      </w:r>
      <w:r w:rsidRPr="00FC2F1F">
        <w:rPr>
          <w:snapToGrid/>
          <w:szCs w:val="22"/>
          <w:lang w:val="el-GR"/>
        </w:rPr>
        <w:t xml:space="preserve"> </w:t>
      </w:r>
      <w:r w:rsidR="00323407">
        <w:rPr>
          <w:snapToGrid/>
          <w:szCs w:val="22"/>
          <w:lang w:val="el-GR"/>
        </w:rPr>
        <w:t>α</w:t>
      </w:r>
      <w:r w:rsidRPr="00FC2F1F">
        <w:rPr>
          <w:snapToGrid/>
          <w:szCs w:val="22"/>
          <w:lang w:val="el-GR"/>
        </w:rPr>
        <w:t>νδρ</w:t>
      </w:r>
      <w:r w:rsidR="00323407">
        <w:rPr>
          <w:snapToGrid/>
          <w:szCs w:val="22"/>
          <w:lang w:val="el-GR"/>
        </w:rPr>
        <w:t>ών</w:t>
      </w:r>
      <w:r w:rsidRPr="00FC2F1F">
        <w:rPr>
          <w:snapToGrid/>
          <w:szCs w:val="22"/>
          <w:lang w:val="el-GR"/>
        </w:rPr>
        <w:t>. Αυτό δε</w:t>
      </w:r>
      <w:r w:rsidR="00323407">
        <w:rPr>
          <w:snapToGrid/>
          <w:szCs w:val="22"/>
          <w:lang w:val="el-GR"/>
        </w:rPr>
        <w:t>ν</w:t>
      </w:r>
      <w:r w:rsidRPr="00FC2F1F">
        <w:rPr>
          <w:snapToGrid/>
          <w:szCs w:val="22"/>
          <w:lang w:val="el-GR"/>
        </w:rPr>
        <w:t xml:space="preserve"> θεωρείται ότι έχει κλινική σημασία.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Νεφρική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νεφρική απέκκριση δε</w:t>
      </w:r>
      <w:r w:rsidR="00323407">
        <w:rPr>
          <w:snapToGrid/>
          <w:szCs w:val="22"/>
          <w:lang w:val="el-GR"/>
        </w:rPr>
        <w:t>ν</w:t>
      </w:r>
      <w:r w:rsidRPr="00FC2F1F">
        <w:rPr>
          <w:snapToGrid/>
          <w:szCs w:val="22"/>
          <w:lang w:val="el-GR"/>
        </w:rPr>
        <w:t xml:space="preserve"> συνεισφέρει στην κάθαρση της τελμισαρτάνης. Με βάση </w:t>
      </w:r>
      <w:r w:rsidR="00B14A89">
        <w:rPr>
          <w:snapToGrid/>
          <w:szCs w:val="22"/>
          <w:lang w:val="el-GR"/>
        </w:rPr>
        <w:t>περιορισμένη</w:t>
      </w:r>
      <w:r w:rsidRPr="00FC2F1F">
        <w:rPr>
          <w:snapToGrid/>
          <w:szCs w:val="22"/>
          <w:lang w:val="el-GR"/>
        </w:rPr>
        <w:t xml:space="preserve"> εμπειρία σε ασθενείς με ήπια έως μ</w:t>
      </w:r>
      <w:r w:rsidR="00B14A89">
        <w:rPr>
          <w:snapToGrid/>
          <w:szCs w:val="22"/>
          <w:lang w:val="el-GR"/>
        </w:rPr>
        <w:t>ετρίου</w:t>
      </w:r>
      <w:r w:rsidRPr="00FC2F1F">
        <w:rPr>
          <w:snapToGrid/>
          <w:szCs w:val="22"/>
          <w:lang w:val="el-GR"/>
        </w:rPr>
        <w:t xml:space="preserve"> </w:t>
      </w:r>
      <w:r w:rsidR="00B14A89">
        <w:rPr>
          <w:snapToGrid/>
          <w:szCs w:val="22"/>
          <w:lang w:val="el-GR"/>
        </w:rPr>
        <w:t xml:space="preserve">βαθμού </w:t>
      </w:r>
      <w:r w:rsidRPr="00FC2F1F">
        <w:rPr>
          <w:snapToGrid/>
          <w:szCs w:val="22"/>
          <w:lang w:val="el-GR"/>
        </w:rPr>
        <w:t>νεφρική δυσλειτουργία (κάθαρση κρεατινίνης 30</w:t>
      </w:r>
      <w:r w:rsidR="005D6217">
        <w:rPr>
          <w:snapToGrid/>
          <w:szCs w:val="22"/>
          <w:lang w:val="el-GR"/>
        </w:rPr>
        <w:t xml:space="preserve"> </w:t>
      </w:r>
      <w:r w:rsidRPr="00FC2F1F">
        <w:rPr>
          <w:snapToGrid/>
          <w:szCs w:val="22"/>
          <w:lang w:val="el-GR"/>
        </w:rPr>
        <w:t>-</w:t>
      </w:r>
      <w:r w:rsidR="005D6217">
        <w:rPr>
          <w:snapToGrid/>
          <w:szCs w:val="22"/>
          <w:lang w:val="el-GR"/>
        </w:rPr>
        <w:t xml:space="preserve"> </w:t>
      </w:r>
      <w:r w:rsidRPr="00FC2F1F">
        <w:rPr>
          <w:snapToGrid/>
          <w:szCs w:val="22"/>
          <w:lang w:val="el-GR"/>
        </w:rPr>
        <w:t>60 ml/min, μέση τιμή περίπου 50 ml/min) δεν απαιτείται τροποποίηση της δοσολογίας σε ασθενείς με μειωμένη νεφρική λειτουργία. Η τελμισαρτάνη δεν απομακρύνεται από το αίμα με αιμοκάθαρση. Σε ασθενείς με μειωμένη νεφρική λειτουργία ο ρυθμός αποβολής της υδροχλωροθειαζίδης είναι ελαττωμένος. Σε μια τυπική μελέτη σε ασθενείς με μέση κάθαρση κρεατινίνης 90 ml/min ο χρόνος ημίσειας ζωής για την απο</w:t>
      </w:r>
      <w:r w:rsidR="00B14A89">
        <w:rPr>
          <w:snapToGrid/>
          <w:szCs w:val="22"/>
          <w:lang w:val="el-GR"/>
        </w:rPr>
        <w:t>βολή</w:t>
      </w:r>
      <w:r w:rsidRPr="00FC2F1F">
        <w:rPr>
          <w:snapToGrid/>
          <w:szCs w:val="22"/>
          <w:lang w:val="el-GR"/>
        </w:rPr>
        <w:t xml:space="preserve"> της</w:t>
      </w:r>
      <w:r>
        <w:rPr>
          <w:snapToGrid/>
          <w:szCs w:val="22"/>
          <w:lang w:val="sl-SI"/>
        </w:rPr>
        <w:t xml:space="preserve"> </w:t>
      </w:r>
      <w:r w:rsidRPr="00FC2F1F">
        <w:rPr>
          <w:snapToGrid/>
          <w:szCs w:val="22"/>
          <w:lang w:val="el-GR"/>
        </w:rPr>
        <w:t>υδροχλωροθειαζίδης ήταν αυξημένος. Σε λειτουργικά ανεφρικούς ασθενείς ο χρόνος ημίσειας ζωής για την απο</w:t>
      </w:r>
      <w:r w:rsidR="00B14A89">
        <w:rPr>
          <w:snapToGrid/>
          <w:szCs w:val="22"/>
          <w:lang w:val="el-GR"/>
        </w:rPr>
        <w:t>βολή</w:t>
      </w:r>
      <w:r w:rsidRPr="00FC2F1F">
        <w:rPr>
          <w:snapToGrid/>
          <w:szCs w:val="22"/>
          <w:lang w:val="el-GR"/>
        </w:rPr>
        <w:t xml:space="preserve"> είναι περίπου 34 ώρες.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Ηπατική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Μελέτες φαρμακοκινητικής σε ασθενείς με ηπατική δυσλειτουργία έδειξαν αύξηση στην απόλυτη βιοδιαθεσιμότητα έως σχεδόν 100 %. Ο χρόνος ημ</w:t>
      </w:r>
      <w:r w:rsidR="00B14A89">
        <w:rPr>
          <w:snapToGrid/>
          <w:szCs w:val="22"/>
          <w:lang w:val="el-GR"/>
        </w:rPr>
        <w:t>ίσειας</w:t>
      </w:r>
      <w:r w:rsidR="0033113C">
        <w:rPr>
          <w:snapToGrid/>
          <w:szCs w:val="22"/>
          <w:lang w:val="el-GR"/>
        </w:rPr>
        <w:t xml:space="preserve"> </w:t>
      </w:r>
      <w:r w:rsidRPr="00FC2F1F">
        <w:rPr>
          <w:snapToGrid/>
          <w:szCs w:val="22"/>
          <w:lang w:val="el-GR"/>
        </w:rPr>
        <w:t>ζωής της απο</w:t>
      </w:r>
      <w:r w:rsidR="0033113C">
        <w:rPr>
          <w:snapToGrid/>
          <w:szCs w:val="22"/>
          <w:lang w:val="el-GR"/>
        </w:rPr>
        <w:t>βολής</w:t>
      </w:r>
      <w:r w:rsidRPr="00FC2F1F">
        <w:rPr>
          <w:snapToGrid/>
          <w:szCs w:val="22"/>
          <w:lang w:val="el-GR"/>
        </w:rPr>
        <w:t xml:space="preserve"> δεν μεταβάλλεται σε ασθενείς με ηπατική </w:t>
      </w:r>
      <w:r w:rsidR="0033113C">
        <w:rPr>
          <w:snapToGrid/>
          <w:szCs w:val="22"/>
          <w:lang w:val="el-GR"/>
        </w:rPr>
        <w:t>δυσλειτουργία</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bookmarkEnd w:id="10"/>
    <w:p w:rsidR="00681191" w:rsidRPr="00FC2F1F" w:rsidRDefault="00681191" w:rsidP="00681191">
      <w:pPr>
        <w:widowControl w:val="0"/>
        <w:tabs>
          <w:tab w:val="clear" w:pos="567"/>
        </w:tabs>
        <w:spacing w:line="240" w:lineRule="auto"/>
        <w:ind w:left="567" w:hanging="567"/>
        <w:rPr>
          <w:b/>
          <w:noProof/>
          <w:szCs w:val="22"/>
          <w:lang w:val="el-GR"/>
        </w:rPr>
      </w:pPr>
      <w:r w:rsidRPr="00926811">
        <w:rPr>
          <w:b/>
          <w:noProof/>
          <w:szCs w:val="22"/>
          <w:lang w:val="el-GR"/>
        </w:rPr>
        <w:t>5.3</w:t>
      </w:r>
      <w:r w:rsidRPr="00926811">
        <w:rPr>
          <w:b/>
          <w:noProof/>
          <w:szCs w:val="22"/>
          <w:lang w:val="el-GR"/>
        </w:rPr>
        <w:tab/>
        <w:t>Προκλινικά δεδομένα για την ασφάλεια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Σε προκλινικές μελέτες ασφάλειας που διεξήχθησαν με συγχορήγηση τελμισαρτάνης και υδροχλωροθειαζίδης σε νορμοτασικούς αρουραίους και σκύλους, δόσεις που προκαλούν έκθεση συγκρίσιμη με αυτή του κλινικού θεραπευτικού εύρους δεν προκάλεσαν επιπρόσθετα ευρήματα που να μην έχουν ήδη παρατηρηθεί με τη χορήγηση </w:t>
      </w:r>
      <w:r w:rsidR="00926811">
        <w:rPr>
          <w:snapToGrid/>
          <w:szCs w:val="22"/>
          <w:lang w:val="el-GR"/>
        </w:rPr>
        <w:t xml:space="preserve">της </w:t>
      </w:r>
      <w:r w:rsidRPr="00FC2F1F">
        <w:rPr>
          <w:snapToGrid/>
          <w:szCs w:val="22"/>
          <w:lang w:val="el-GR"/>
        </w:rPr>
        <w:t>κάθε ουσίας χωριστά. Τα τοξικολογικά ευρήματα που παρατηρήθηκαν φαίνεται να μην έχουν σημασία στη θεραπευτική χρήση σε ανθρώπους.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Τοξικολογικά ευρήματα επίσης καλώς αναγνωρισμένα από προκλινικές μελέτες με αναστολείς του μετατρεπτικού ενζύμου της αγγειοτενσίνης και ανταγωνιστές των υποδοχέων της αγγειοτενσίνης ΙΙ ήταν: μείωση στις παραμέτρους της ερυθράς σειράς των κυττάρων του αίματος (ερυθροκύτταρα, αιμοσφαιρίνη, αιματοκρίτης), μεταβολές στην αιμοδυναμική των νεφρών (αύξηση </w:t>
      </w:r>
      <w:r w:rsidRPr="003D2DCD">
        <w:rPr>
          <w:snapToGrid/>
          <w:szCs w:val="22"/>
          <w:lang w:val="el-GR"/>
        </w:rPr>
        <w:t>τ</w:t>
      </w:r>
      <w:r w:rsidR="000A0757">
        <w:rPr>
          <w:snapToGrid/>
          <w:szCs w:val="22"/>
          <w:lang w:val="el-GR"/>
        </w:rPr>
        <w:t>ου</w:t>
      </w:r>
      <w:r w:rsidRPr="003D2DCD">
        <w:rPr>
          <w:snapToGrid/>
          <w:szCs w:val="22"/>
          <w:lang w:val="el-GR"/>
        </w:rPr>
        <w:t xml:space="preserve"> αζώτου</w:t>
      </w:r>
      <w:r w:rsidR="000A0757">
        <w:rPr>
          <w:snapToGrid/>
          <w:szCs w:val="22"/>
          <w:lang w:val="el-GR"/>
        </w:rPr>
        <w:t xml:space="preserve"> ουρίας</w:t>
      </w:r>
      <w:r w:rsidRPr="00FC2F1F">
        <w:rPr>
          <w:snapToGrid/>
          <w:szCs w:val="22"/>
          <w:lang w:val="el-GR"/>
        </w:rPr>
        <w:t xml:space="preserve"> και της κρεατινίνης</w:t>
      </w:r>
      <w:r w:rsidR="005F6139" w:rsidRPr="002210C0">
        <w:rPr>
          <w:snapToGrid/>
          <w:szCs w:val="22"/>
          <w:lang w:val="el-GR"/>
        </w:rPr>
        <w:t xml:space="preserve"> </w:t>
      </w:r>
      <w:r w:rsidR="005F6139">
        <w:rPr>
          <w:snapToGrid/>
          <w:szCs w:val="22"/>
          <w:lang w:val="el-GR"/>
        </w:rPr>
        <w:t>αίματος</w:t>
      </w:r>
      <w:r w:rsidRPr="00FC2F1F">
        <w:rPr>
          <w:snapToGrid/>
          <w:szCs w:val="22"/>
          <w:lang w:val="el-GR"/>
        </w:rPr>
        <w:t xml:space="preserve">), αυξημένη δραστηριότητα ρενίνης πλάσματος, υπερτροφία/υπερπλασία των παρασπειραματικών κυττάρων και βλάβη του γαστρικού βλεννογόνου. Οι βλάβες του γαστρικού βλεννογόνου μπορούσαν να </w:t>
      </w:r>
      <w:r w:rsidR="002373AA">
        <w:rPr>
          <w:snapToGrid/>
          <w:szCs w:val="22"/>
          <w:lang w:val="el-GR"/>
        </w:rPr>
        <w:t>αποτραπούν</w:t>
      </w:r>
      <w:r>
        <w:rPr>
          <w:snapToGrid/>
          <w:szCs w:val="22"/>
          <w:lang w:val="el-GR"/>
        </w:rPr>
        <w:t>/</w:t>
      </w:r>
      <w:r w:rsidRPr="00FC2F1F">
        <w:rPr>
          <w:snapToGrid/>
          <w:szCs w:val="22"/>
          <w:lang w:val="el-GR"/>
        </w:rPr>
        <w:t xml:space="preserve">ελαχιστοποιηθούν με τη χορήγηση από του στόματος </w:t>
      </w:r>
      <w:r w:rsidR="00477FC1">
        <w:rPr>
          <w:snapToGrid/>
          <w:szCs w:val="22"/>
          <w:lang w:val="el-GR"/>
        </w:rPr>
        <w:t>διαλύματος χλωριούχου νατρίου</w:t>
      </w:r>
      <w:r w:rsidRPr="00FC2F1F">
        <w:rPr>
          <w:snapToGrid/>
          <w:szCs w:val="22"/>
          <w:lang w:val="el-GR"/>
        </w:rPr>
        <w:t xml:space="preserve"> και την ομαδική συγκατοίκηση των ζώων. Στους σκύλους παρατηρήθηκ</w:t>
      </w:r>
      <w:r w:rsidR="00130B8B">
        <w:rPr>
          <w:snapToGrid/>
          <w:szCs w:val="22"/>
          <w:lang w:val="el-GR"/>
        </w:rPr>
        <w:t>αν</w:t>
      </w:r>
      <w:r w:rsidRPr="00FC2F1F">
        <w:rPr>
          <w:snapToGrid/>
          <w:szCs w:val="22"/>
          <w:lang w:val="el-GR"/>
        </w:rPr>
        <w:t xml:space="preserve"> διάταση και ατροφία των νεφρικών σωληναρίων. Αυτά τα ευρήματα θεωρείται ότι οφείλονται σ</w:t>
      </w:r>
      <w:r w:rsidR="00130B8B">
        <w:rPr>
          <w:snapToGrid/>
          <w:szCs w:val="22"/>
          <w:lang w:val="el-GR"/>
        </w:rPr>
        <w:t>τη</w:t>
      </w:r>
      <w:r w:rsidRPr="00FC2F1F">
        <w:rPr>
          <w:snapToGrid/>
          <w:szCs w:val="22"/>
          <w:lang w:val="el-GR"/>
        </w:rPr>
        <w:t xml:space="preserve"> φαρμακολογική δραστηριότητα της τελμισαρτάνης.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Δεν υπάρχ</w:t>
      </w:r>
      <w:r w:rsidR="00130B8B">
        <w:rPr>
          <w:snapToGrid/>
          <w:szCs w:val="22"/>
          <w:lang w:val="el-GR"/>
        </w:rPr>
        <w:t>ει</w:t>
      </w:r>
      <w:r w:rsidRPr="00FC2F1F">
        <w:rPr>
          <w:snapToGrid/>
          <w:szCs w:val="22"/>
          <w:lang w:val="el-GR"/>
        </w:rPr>
        <w:t xml:space="preserve"> σαφή</w:t>
      </w:r>
      <w:r w:rsidR="00E42F28">
        <w:rPr>
          <w:snapToGrid/>
          <w:szCs w:val="22"/>
          <w:lang w:val="el-GR"/>
        </w:rPr>
        <w:t>ς</w:t>
      </w:r>
      <w:r w:rsidRPr="00FC2F1F">
        <w:rPr>
          <w:snapToGrid/>
          <w:szCs w:val="22"/>
          <w:lang w:val="el-GR"/>
        </w:rPr>
        <w:t xml:space="preserve"> </w:t>
      </w:r>
      <w:r w:rsidR="00130B8B">
        <w:rPr>
          <w:snapToGrid/>
          <w:szCs w:val="22"/>
          <w:lang w:val="el-GR"/>
        </w:rPr>
        <w:t>ένδειξη</w:t>
      </w:r>
      <w:r w:rsidRPr="00FC2F1F">
        <w:rPr>
          <w:snapToGrid/>
          <w:szCs w:val="22"/>
          <w:lang w:val="el-GR"/>
        </w:rPr>
        <w:t xml:space="preserve"> τερατογόνου δράσης, αλλά σε τοξικά επίπεδα </w:t>
      </w:r>
      <w:r w:rsidR="00130B8B">
        <w:rPr>
          <w:snapToGrid/>
          <w:szCs w:val="22"/>
          <w:lang w:val="el-GR"/>
        </w:rPr>
        <w:t xml:space="preserve">δόσης </w:t>
      </w:r>
      <w:r w:rsidRPr="00FC2F1F">
        <w:rPr>
          <w:snapToGrid/>
          <w:szCs w:val="22"/>
          <w:lang w:val="el-GR"/>
        </w:rPr>
        <w:t xml:space="preserve">τελμισαρτάνης παρατηρήθηκε επίδραση στη </w:t>
      </w:r>
      <w:r w:rsidRPr="003D2DCD">
        <w:rPr>
          <w:snapToGrid/>
          <w:szCs w:val="22"/>
          <w:lang w:val="el-GR"/>
        </w:rPr>
        <w:t>μετ</w:t>
      </w:r>
      <w:r w:rsidR="00E42F28" w:rsidRPr="003D2DCD">
        <w:rPr>
          <w:snapToGrid/>
          <w:szCs w:val="22"/>
          <w:lang w:val="el-GR"/>
        </w:rPr>
        <w:t>αγεννητική</w:t>
      </w:r>
      <w:r w:rsidRPr="003D2DCD">
        <w:rPr>
          <w:snapToGrid/>
          <w:szCs w:val="22"/>
          <w:lang w:val="el-GR"/>
        </w:rPr>
        <w:t xml:space="preserve"> α</w:t>
      </w:r>
      <w:r w:rsidRPr="00FC2F1F">
        <w:rPr>
          <w:snapToGrid/>
          <w:szCs w:val="22"/>
          <w:lang w:val="el-GR"/>
        </w:rPr>
        <w:t>νάπτυξη των απογόνων όπως χαμηλότερο σωματικό βάρος και καθυστέρηση στο άνοιγμα των ματιών.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τελμισαρτάνη δεν παρουσίασε καμία ένδειξη</w:t>
      </w:r>
      <w:r w:rsidR="00E42F28">
        <w:rPr>
          <w:snapToGrid/>
          <w:szCs w:val="22"/>
          <w:lang w:val="el-GR"/>
        </w:rPr>
        <w:t xml:space="preserve"> </w:t>
      </w:r>
      <w:r w:rsidRPr="00FC2F1F">
        <w:rPr>
          <w:snapToGrid/>
          <w:szCs w:val="22"/>
          <w:lang w:val="el-GR"/>
        </w:rPr>
        <w:t>μεταλλ</w:t>
      </w:r>
      <w:r w:rsidR="009918BA">
        <w:rPr>
          <w:snapToGrid/>
          <w:szCs w:val="22"/>
          <w:lang w:val="el-GR"/>
        </w:rPr>
        <w:t>αξιογόνου δράσης</w:t>
      </w:r>
      <w:r w:rsidRPr="00FC2F1F">
        <w:rPr>
          <w:snapToGrid/>
          <w:szCs w:val="22"/>
          <w:lang w:val="el-GR"/>
        </w:rPr>
        <w:t xml:space="preserve"> και σχετική</w:t>
      </w:r>
      <w:r w:rsidR="009918BA">
        <w:rPr>
          <w:snapToGrid/>
          <w:szCs w:val="22"/>
          <w:lang w:val="el-GR"/>
        </w:rPr>
        <w:t>ς</w:t>
      </w:r>
      <w:r w:rsidRPr="00FC2F1F">
        <w:rPr>
          <w:snapToGrid/>
          <w:szCs w:val="22"/>
          <w:lang w:val="el-GR"/>
        </w:rPr>
        <w:t xml:space="preserve"> </w:t>
      </w:r>
      <w:r w:rsidR="0058659D">
        <w:rPr>
          <w:snapToGrid/>
          <w:szCs w:val="22"/>
          <w:lang w:val="el-GR"/>
        </w:rPr>
        <w:t>κλαστογόνου</w:t>
      </w:r>
      <w:r w:rsidRPr="00FC2F1F">
        <w:rPr>
          <w:snapToGrid/>
          <w:szCs w:val="22"/>
          <w:lang w:val="el-GR"/>
        </w:rPr>
        <w:t xml:space="preserve"> δραστηριότητα</w:t>
      </w:r>
      <w:r w:rsidR="009918BA">
        <w:rPr>
          <w:snapToGrid/>
          <w:szCs w:val="22"/>
          <w:lang w:val="el-GR"/>
        </w:rPr>
        <w:t>ς</w:t>
      </w:r>
      <w:r w:rsidRPr="00FC2F1F">
        <w:rPr>
          <w:snapToGrid/>
          <w:szCs w:val="22"/>
          <w:lang w:val="el-GR"/>
        </w:rPr>
        <w:t xml:space="preserve"> σε in vitro μελέτες και καμία ένδειξη καρκινογένεσης σε αρουραίους και ποντ</w:t>
      </w:r>
      <w:r w:rsidR="009918BA">
        <w:rPr>
          <w:snapToGrid/>
          <w:szCs w:val="22"/>
          <w:lang w:val="el-GR"/>
        </w:rPr>
        <w:t>ικούς</w:t>
      </w:r>
      <w:r w:rsidRPr="00FC2F1F">
        <w:rPr>
          <w:snapToGrid/>
          <w:szCs w:val="22"/>
          <w:lang w:val="el-GR"/>
        </w:rPr>
        <w:t xml:space="preserve">. Μελέτες με υδροχλωροθειαζίδη έχουν δείξει αμφίβολα αποτελέσματα για γονοτοξικές ή καρκινογόνες επιδράσεις σε μερικά πειραματικά μοντέλα. Εντούτοις, η εκτεταμένη εμπειρία χρήσης της υδροχλωροθειαζίδης στους ανθρώπους δεν έχει δείξει συσχέτιση μεταξύ της χρήσης </w:t>
      </w:r>
      <w:r w:rsidR="00BC6A26">
        <w:rPr>
          <w:snapToGrid/>
          <w:szCs w:val="22"/>
          <w:lang w:val="el-GR"/>
        </w:rPr>
        <w:t xml:space="preserve">της </w:t>
      </w:r>
      <w:r w:rsidRPr="00FC2F1F">
        <w:rPr>
          <w:snapToGrid/>
          <w:szCs w:val="22"/>
          <w:lang w:val="el-GR"/>
        </w:rPr>
        <w:t>και</w:t>
      </w:r>
      <w:r w:rsidR="00BC6A26">
        <w:rPr>
          <w:snapToGrid/>
          <w:szCs w:val="22"/>
          <w:lang w:val="el-GR"/>
        </w:rPr>
        <w:t xml:space="preserve"> της</w:t>
      </w:r>
      <w:r w:rsidRPr="00FC2F1F">
        <w:rPr>
          <w:snapToGrid/>
          <w:szCs w:val="22"/>
          <w:lang w:val="el-GR"/>
        </w:rPr>
        <w:t xml:space="preserve"> αύξησης των νεοπλασμάτων.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Για την ενδεχόμενη εμβρυοτοξικότητα του συνδυασμού τελμισαρτάνης/υδροχλωροθειαζίδης βλ. παράγραφο 4.6.</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w:t>
      </w:r>
      <w:r w:rsidRPr="00FC2F1F">
        <w:rPr>
          <w:b/>
          <w:noProof/>
          <w:szCs w:val="22"/>
          <w:lang w:val="el-GR"/>
        </w:rPr>
        <w:tab/>
        <w:t>ΦΑΡΜΑΚΕΥΤΙΚΕΣ ΠΛΗΡΟΦΟΡΙΕΣ</w:t>
      </w:r>
    </w:p>
    <w:p w:rsidR="00681191" w:rsidRPr="00FC2F1F" w:rsidRDefault="00681191" w:rsidP="00681191">
      <w:pPr>
        <w:widowControl w:val="0"/>
        <w:tabs>
          <w:tab w:val="clear" w:pos="567"/>
        </w:tabs>
        <w:spacing w:line="240" w:lineRule="auto"/>
        <w:ind w:left="567" w:hanging="567"/>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6.1</w:t>
      </w:r>
      <w:r w:rsidRPr="00FC2F1F">
        <w:rPr>
          <w:b/>
          <w:noProof/>
          <w:szCs w:val="22"/>
          <w:lang w:val="el-GR"/>
        </w:rPr>
        <w:tab/>
        <w:t>Κατάλογος εκδόχων</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Υδροξυπροπυλοκυτταρίνη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Λακτόζη μονοϋδρική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Μαγνήσιο στεατικό</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Μαννιτόλη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Μεγλουμίνη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Ποβιδόνη (K30)</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Σιδήρου οξείδιο ερυθρό (E172)</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Οξείδιο του πυριτίου, κολλοειδές άνυδρο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Νατρίου υδροξείδιο (Ε524)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Νάτριο στεατυλοφουμαρικό</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Σορβιτόλη (E420)</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6.2</w:t>
      </w:r>
      <w:r w:rsidRPr="00FC2F1F">
        <w:rPr>
          <w:b/>
          <w:noProof/>
          <w:szCs w:val="22"/>
          <w:lang w:val="el-GR"/>
        </w:rPr>
        <w:tab/>
        <w:t>Ασυμβατότητες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Δεν εφαρμόζεται.</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6.3</w:t>
      </w:r>
      <w:r w:rsidRPr="00FC2F1F">
        <w:rPr>
          <w:b/>
          <w:noProof/>
          <w:szCs w:val="22"/>
          <w:lang w:val="el-GR"/>
        </w:rPr>
        <w:tab/>
        <w:t>Διάρκεια ζωής</w:t>
      </w:r>
    </w:p>
    <w:p w:rsidR="00681191" w:rsidRPr="00FC2F1F" w:rsidRDefault="00681191" w:rsidP="00681191">
      <w:pPr>
        <w:widowControl w:val="0"/>
        <w:spacing w:line="240" w:lineRule="auto"/>
        <w:rPr>
          <w:noProof/>
          <w:szCs w:val="22"/>
          <w:lang w:val="el-GR"/>
        </w:rPr>
      </w:pPr>
    </w:p>
    <w:p w:rsidR="00681191" w:rsidRPr="00FC2F1F" w:rsidRDefault="0079102E" w:rsidP="00681191">
      <w:pPr>
        <w:widowControl w:val="0"/>
        <w:spacing w:line="240" w:lineRule="auto"/>
        <w:rPr>
          <w:noProof/>
          <w:szCs w:val="22"/>
          <w:lang w:val="el-GR"/>
        </w:rPr>
      </w:pPr>
      <w:r w:rsidRPr="00FC2F1F">
        <w:rPr>
          <w:snapToGrid/>
          <w:szCs w:val="22"/>
          <w:lang w:val="el-GR"/>
        </w:rPr>
        <w:t xml:space="preserve">Κυψέλες </w:t>
      </w:r>
      <w:r w:rsidRPr="00FC2F1F">
        <w:rPr>
          <w:szCs w:val="22"/>
          <w:lang w:val="el-GR"/>
        </w:rPr>
        <w:t xml:space="preserve">(φύλλο OPA/Al/PVC//φύλλο Al): </w:t>
      </w:r>
      <w:r w:rsidR="009510BC">
        <w:rPr>
          <w:noProof/>
          <w:szCs w:val="22"/>
          <w:lang w:val="sl-SI"/>
        </w:rPr>
        <w:t>3</w:t>
      </w:r>
      <w:r w:rsidR="00681191" w:rsidRPr="00FC2F1F">
        <w:rPr>
          <w:noProof/>
          <w:szCs w:val="22"/>
          <w:lang w:val="el-GR"/>
        </w:rPr>
        <w:t xml:space="preserve"> χρόνια</w:t>
      </w:r>
    </w:p>
    <w:p w:rsidR="00681191" w:rsidRDefault="0079102E" w:rsidP="00681191">
      <w:pPr>
        <w:widowControl w:val="0"/>
        <w:spacing w:line="240" w:lineRule="auto"/>
        <w:rPr>
          <w:noProof/>
          <w:szCs w:val="22"/>
          <w:lang w:val="sl-SI"/>
        </w:rPr>
      </w:pPr>
      <w:r w:rsidRPr="00FC2F1F">
        <w:rPr>
          <w:szCs w:val="22"/>
          <w:lang w:val="el-GR"/>
        </w:rPr>
        <w:t>Κυψέλες (φύλλο OPA/Al/PE με ξηραντικό//φύλλο Al):</w:t>
      </w:r>
      <w:r w:rsidRPr="0079102E">
        <w:rPr>
          <w:noProof/>
          <w:szCs w:val="22"/>
          <w:lang w:val="sl-SI"/>
        </w:rPr>
        <w:t xml:space="preserve"> </w:t>
      </w:r>
      <w:r>
        <w:rPr>
          <w:noProof/>
          <w:szCs w:val="22"/>
          <w:lang w:val="sl-SI"/>
        </w:rPr>
        <w:t>2</w:t>
      </w:r>
      <w:r w:rsidRPr="00FC2F1F">
        <w:rPr>
          <w:noProof/>
          <w:szCs w:val="22"/>
          <w:lang w:val="el-GR"/>
        </w:rPr>
        <w:t xml:space="preserve"> χρόνια</w:t>
      </w:r>
    </w:p>
    <w:p w:rsidR="0079102E" w:rsidRPr="006A5B87" w:rsidRDefault="0079102E" w:rsidP="00681191">
      <w:pPr>
        <w:widowControl w:val="0"/>
        <w:spacing w:line="240" w:lineRule="auto"/>
        <w:rPr>
          <w:noProof/>
          <w:szCs w:val="22"/>
          <w:lang w:val="sl-SI"/>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6.4</w:t>
      </w:r>
      <w:r w:rsidRPr="00FC2F1F">
        <w:rPr>
          <w:b/>
          <w:noProof/>
          <w:szCs w:val="22"/>
          <w:lang w:val="el-GR"/>
        </w:rPr>
        <w:tab/>
        <w:t>Ιδιαίτερες προφυλάξεις κατά τη φύλαξη του προϊόντος</w:t>
      </w:r>
    </w:p>
    <w:p w:rsidR="00F67EAF" w:rsidRDefault="00F67EAF" w:rsidP="00681191">
      <w:pPr>
        <w:widowControl w:val="0"/>
        <w:tabs>
          <w:tab w:val="clear" w:pos="56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Το φαρμακευτικό αυτό προϊόν δεν απαιτεί ιδιαίτερες συνθήκες θερμοκρασίας για τη φύλαξή του.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Φυλάσσετ</w:t>
      </w:r>
      <w:r w:rsidR="005266E5">
        <w:rPr>
          <w:snapToGrid/>
          <w:szCs w:val="22"/>
          <w:lang w:val="el-GR"/>
        </w:rPr>
        <w:t>ε</w:t>
      </w:r>
      <w:r w:rsidRPr="00FC2F1F">
        <w:rPr>
          <w:snapToGrid/>
          <w:szCs w:val="22"/>
          <w:lang w:val="el-GR"/>
        </w:rPr>
        <w:t xml:space="preserve"> στην αρχική συσκευασία για να προστατεύεται από το φως.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6.5</w:t>
      </w:r>
      <w:r w:rsidRPr="00FC2F1F">
        <w:rPr>
          <w:b/>
          <w:noProof/>
          <w:szCs w:val="22"/>
          <w:lang w:val="el-GR"/>
        </w:rPr>
        <w:tab/>
        <w:t>Φύση και συστατικά του περιέκτη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zCs w:val="22"/>
          <w:lang w:val="el-GR"/>
        </w:rPr>
      </w:pPr>
      <w:r w:rsidRPr="00FC2F1F">
        <w:rPr>
          <w:snapToGrid/>
          <w:szCs w:val="22"/>
          <w:lang w:val="el-GR"/>
        </w:rPr>
        <w:t xml:space="preserve">Κυψέλες </w:t>
      </w:r>
      <w:r w:rsidRPr="00FC2F1F">
        <w:rPr>
          <w:szCs w:val="22"/>
          <w:lang w:val="el-GR"/>
        </w:rPr>
        <w:t>(φύλλο OPA/Al/PVC//φύλλο Al): 14</w:t>
      </w:r>
      <w:r w:rsidR="00DE3DCF">
        <w:rPr>
          <w:szCs w:val="22"/>
          <w:lang w:val="en-US"/>
        </w:rPr>
        <w:t> x </w:t>
      </w:r>
      <w:r w:rsidR="00DE3DCF" w:rsidRPr="00B754A1">
        <w:rPr>
          <w:szCs w:val="22"/>
          <w:lang w:val="el-GR"/>
        </w:rPr>
        <w:t>1</w:t>
      </w:r>
      <w:r w:rsidRPr="00FC2F1F">
        <w:rPr>
          <w:szCs w:val="22"/>
          <w:lang w:val="el-GR"/>
        </w:rPr>
        <w:t>, 28</w:t>
      </w:r>
      <w:bookmarkStart w:id="11" w:name="_Hlk497748081"/>
      <w:r w:rsidR="00DE3DCF">
        <w:rPr>
          <w:szCs w:val="22"/>
          <w:lang w:val="en-US"/>
        </w:rPr>
        <w:t> x </w:t>
      </w:r>
      <w:r w:rsidR="00DE3DCF" w:rsidRPr="00B754A1">
        <w:rPr>
          <w:szCs w:val="22"/>
          <w:lang w:val="el-GR"/>
        </w:rPr>
        <w:t>1</w:t>
      </w:r>
      <w:bookmarkEnd w:id="11"/>
      <w:r w:rsidRPr="00FC2F1F">
        <w:rPr>
          <w:szCs w:val="22"/>
          <w:lang w:val="el-GR"/>
        </w:rPr>
        <w:t>, 30</w:t>
      </w:r>
      <w:r w:rsidR="00DE3DCF" w:rsidRPr="00DE3DCF">
        <w:rPr>
          <w:szCs w:val="22"/>
          <w:lang w:val="en-US"/>
        </w:rPr>
        <w:t> x </w:t>
      </w:r>
      <w:r w:rsidR="00DE3DCF" w:rsidRPr="00DE3DCF">
        <w:rPr>
          <w:szCs w:val="22"/>
          <w:lang w:val="el-GR"/>
        </w:rPr>
        <w:t>1</w:t>
      </w:r>
      <w:r w:rsidRPr="00FC2F1F">
        <w:rPr>
          <w:szCs w:val="22"/>
          <w:lang w:val="el-GR"/>
        </w:rPr>
        <w:t>, 56</w:t>
      </w:r>
      <w:r w:rsidR="00DE3DCF">
        <w:rPr>
          <w:szCs w:val="22"/>
          <w:lang w:val="en-US"/>
        </w:rPr>
        <w:t> x </w:t>
      </w:r>
      <w:r w:rsidR="00DE3DCF" w:rsidRPr="009165EF">
        <w:rPr>
          <w:szCs w:val="22"/>
          <w:lang w:val="el-GR"/>
        </w:rPr>
        <w:t>1</w:t>
      </w:r>
      <w:r w:rsidRPr="00FC2F1F">
        <w:rPr>
          <w:szCs w:val="22"/>
          <w:lang w:val="el-GR"/>
        </w:rPr>
        <w:t>, 60</w:t>
      </w:r>
      <w:r w:rsidR="00DE3DCF">
        <w:rPr>
          <w:szCs w:val="22"/>
          <w:lang w:val="en-US"/>
        </w:rPr>
        <w:t> x </w:t>
      </w:r>
      <w:r w:rsidR="00DE3DCF" w:rsidRPr="009165EF">
        <w:rPr>
          <w:szCs w:val="22"/>
          <w:lang w:val="el-GR"/>
        </w:rPr>
        <w:t>1</w:t>
      </w:r>
      <w:r w:rsidRPr="00FC2F1F">
        <w:rPr>
          <w:szCs w:val="22"/>
          <w:lang w:val="el-GR"/>
        </w:rPr>
        <w:t>, 84</w:t>
      </w:r>
      <w:r w:rsidR="00DE3DCF">
        <w:rPr>
          <w:szCs w:val="22"/>
          <w:lang w:val="en-US"/>
        </w:rPr>
        <w:t> x </w:t>
      </w:r>
      <w:r w:rsidR="00DE3DCF" w:rsidRPr="009165EF">
        <w:rPr>
          <w:szCs w:val="22"/>
          <w:lang w:val="el-GR"/>
        </w:rPr>
        <w:t>1</w:t>
      </w:r>
      <w:r w:rsidRPr="00FC2F1F">
        <w:rPr>
          <w:szCs w:val="22"/>
          <w:lang w:val="el-GR"/>
        </w:rPr>
        <w:t>, 90</w:t>
      </w:r>
      <w:r w:rsidR="00DE3DCF">
        <w:rPr>
          <w:szCs w:val="22"/>
          <w:lang w:val="en-US"/>
        </w:rPr>
        <w:t> x </w:t>
      </w:r>
      <w:r w:rsidR="00DE3DCF" w:rsidRPr="009165EF">
        <w:rPr>
          <w:szCs w:val="22"/>
          <w:lang w:val="el-GR"/>
        </w:rPr>
        <w:t>1</w:t>
      </w:r>
      <w:r>
        <w:rPr>
          <w:szCs w:val="22"/>
          <w:lang w:val="sl-SI"/>
        </w:rPr>
        <w:t>,</w:t>
      </w:r>
      <w:r w:rsidRPr="00FC2F1F">
        <w:rPr>
          <w:szCs w:val="22"/>
          <w:lang w:val="el-GR"/>
        </w:rPr>
        <w:t xml:space="preserve"> 98</w:t>
      </w:r>
      <w:r w:rsidR="00DE3DCF">
        <w:rPr>
          <w:szCs w:val="22"/>
          <w:lang w:val="en-US"/>
        </w:rPr>
        <w:t> x </w:t>
      </w:r>
      <w:r w:rsidR="00DE3DCF" w:rsidRPr="009165EF">
        <w:rPr>
          <w:szCs w:val="22"/>
          <w:lang w:val="el-GR"/>
        </w:rPr>
        <w:t>1</w:t>
      </w:r>
      <w:r w:rsidRPr="00FC2F1F">
        <w:rPr>
          <w:szCs w:val="22"/>
          <w:lang w:val="el-GR"/>
        </w:rPr>
        <w:t xml:space="preserve"> και </w:t>
      </w:r>
      <w:r>
        <w:rPr>
          <w:szCs w:val="22"/>
          <w:lang w:val="sl-SI"/>
        </w:rPr>
        <w:t>100</w:t>
      </w:r>
      <w:r w:rsidR="00DE3DCF" w:rsidRPr="00B754A1">
        <w:rPr>
          <w:szCs w:val="22"/>
          <w:lang w:val="el-GR"/>
        </w:rPr>
        <w:t xml:space="preserve"> </w:t>
      </w:r>
      <w:r w:rsidR="00DE3DCF">
        <w:rPr>
          <w:szCs w:val="22"/>
          <w:lang w:val="en-US"/>
        </w:rPr>
        <w:t>x </w:t>
      </w:r>
      <w:r w:rsidR="00DE3DCF" w:rsidRPr="009165EF">
        <w:rPr>
          <w:szCs w:val="22"/>
          <w:lang w:val="el-GR"/>
        </w:rPr>
        <w:t>1</w:t>
      </w:r>
      <w:r>
        <w:rPr>
          <w:szCs w:val="22"/>
          <w:lang w:val="sl-SI"/>
        </w:rPr>
        <w:t xml:space="preserve"> </w:t>
      </w:r>
      <w:r w:rsidRPr="00FC2F1F">
        <w:rPr>
          <w:szCs w:val="22"/>
          <w:lang w:val="el-GR"/>
        </w:rPr>
        <w:t>δισκί</w:t>
      </w:r>
      <w:r w:rsidR="00DE3DCF">
        <w:rPr>
          <w:szCs w:val="22"/>
          <w:lang w:val="el-GR"/>
        </w:rPr>
        <w:t>ο</w:t>
      </w:r>
      <w:r w:rsidRPr="00FC2F1F">
        <w:rPr>
          <w:szCs w:val="22"/>
          <w:lang w:val="el-GR"/>
        </w:rPr>
        <w:t xml:space="preserve"> σε κουτί.</w:t>
      </w:r>
    </w:p>
    <w:p w:rsidR="00681191" w:rsidRPr="00FC2F1F" w:rsidRDefault="00681191" w:rsidP="00681191">
      <w:pPr>
        <w:widowControl w:val="0"/>
        <w:tabs>
          <w:tab w:val="clear" w:pos="567"/>
        </w:tabs>
        <w:autoSpaceDE w:val="0"/>
        <w:autoSpaceDN w:val="0"/>
        <w:adjustRightInd w:val="0"/>
        <w:spacing w:line="240" w:lineRule="auto"/>
        <w:rPr>
          <w:szCs w:val="22"/>
          <w:lang w:val="el-GR"/>
        </w:rPr>
      </w:pPr>
      <w:r w:rsidRPr="00FC2F1F">
        <w:rPr>
          <w:szCs w:val="22"/>
          <w:lang w:val="el-GR"/>
        </w:rPr>
        <w:t>Κυψέλες (φύλλο OPA/Al/PE με ξηραντικό//φύλλο Al): 14</w:t>
      </w:r>
      <w:r w:rsidR="00DE3DCF">
        <w:rPr>
          <w:szCs w:val="22"/>
          <w:lang w:val="en-US"/>
        </w:rPr>
        <w:t> x </w:t>
      </w:r>
      <w:r w:rsidR="00DE3DCF" w:rsidRPr="009165EF">
        <w:rPr>
          <w:szCs w:val="22"/>
          <w:lang w:val="el-GR"/>
        </w:rPr>
        <w:t>1</w:t>
      </w:r>
      <w:r w:rsidRPr="00FC2F1F">
        <w:rPr>
          <w:szCs w:val="22"/>
          <w:lang w:val="el-GR"/>
        </w:rPr>
        <w:t xml:space="preserve"> και 98</w:t>
      </w:r>
      <w:r w:rsidR="00DE3DCF">
        <w:rPr>
          <w:szCs w:val="22"/>
          <w:lang w:val="en-US"/>
        </w:rPr>
        <w:t> x </w:t>
      </w:r>
      <w:r w:rsidR="00DE3DCF" w:rsidRPr="009165EF">
        <w:rPr>
          <w:szCs w:val="22"/>
          <w:lang w:val="el-GR"/>
        </w:rPr>
        <w:t>1</w:t>
      </w:r>
      <w:r w:rsidRPr="00FC2F1F">
        <w:rPr>
          <w:szCs w:val="22"/>
          <w:lang w:val="el-GR"/>
        </w:rPr>
        <w:t xml:space="preserve"> δισκί</w:t>
      </w:r>
      <w:r w:rsidR="00DE3DCF">
        <w:rPr>
          <w:szCs w:val="22"/>
          <w:lang w:val="el-GR"/>
        </w:rPr>
        <w:t>ο</w:t>
      </w:r>
      <w:r w:rsidRPr="00FC2F1F">
        <w:rPr>
          <w:szCs w:val="22"/>
          <w:lang w:val="el-GR"/>
        </w:rPr>
        <w:t xml:space="preserve"> σε κουτί.</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Μπορεί να μη</w:t>
      </w:r>
      <w:r w:rsidR="002A3FBD">
        <w:rPr>
          <w:snapToGrid/>
          <w:szCs w:val="22"/>
          <w:lang w:val="el-GR"/>
        </w:rPr>
        <w:t>ν</w:t>
      </w:r>
      <w:r w:rsidRPr="00FC2F1F">
        <w:rPr>
          <w:snapToGrid/>
          <w:szCs w:val="22"/>
          <w:lang w:val="el-GR"/>
        </w:rPr>
        <w:t xml:space="preserve"> κυκλοφορούν όλες οι συσκευασίες.</w:t>
      </w:r>
    </w:p>
    <w:p w:rsidR="00681191" w:rsidRPr="00FC2F1F" w:rsidRDefault="00681191" w:rsidP="00681191">
      <w:pPr>
        <w:widowControl w:val="0"/>
        <w:tabs>
          <w:tab w:val="clear" w:pos="567"/>
        </w:tabs>
        <w:autoSpaceDE w:val="0"/>
        <w:autoSpaceDN w:val="0"/>
        <w:adjustRightInd w:val="0"/>
        <w:spacing w:line="240" w:lineRule="auto"/>
        <w:rPr>
          <w:b/>
          <w:bCs/>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6.6</w:t>
      </w:r>
      <w:r w:rsidRPr="00FC2F1F">
        <w:rPr>
          <w:b/>
          <w:noProof/>
          <w:szCs w:val="22"/>
          <w:lang w:val="el-GR"/>
        </w:rPr>
        <w:tab/>
        <w:t>Ιδιαίτερες προφυλάξεις απόρριψης</w:t>
      </w:r>
    </w:p>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Καμία ειδική υποχρέωση.</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spacing w:line="240" w:lineRule="auto"/>
        <w:ind w:left="567" w:hanging="567"/>
        <w:rPr>
          <w:noProof/>
          <w:szCs w:val="22"/>
          <w:lang w:val="el-GR"/>
        </w:rPr>
      </w:pPr>
      <w:r w:rsidRPr="00FC2F1F">
        <w:rPr>
          <w:b/>
          <w:noProof/>
          <w:szCs w:val="22"/>
          <w:lang w:val="el-GR"/>
        </w:rPr>
        <w:t>7.</w:t>
      </w:r>
      <w:r w:rsidRPr="00FC2F1F">
        <w:rPr>
          <w:b/>
          <w:noProof/>
          <w:szCs w:val="22"/>
          <w:lang w:val="el-GR"/>
        </w:rPr>
        <w:tab/>
        <w:t>ΚΑΤΟΧΟΣ ΤΗΣ ΑΔΕΙΑΣ ΚΥΚΛΟΦΟΡΙΑΣ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KRKA, d.d., Novo mesto, Šmarješka cesta 6, 8501 Novo mesto, Σλοβενία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8.</w:t>
      </w:r>
      <w:r w:rsidRPr="00FC2F1F">
        <w:rPr>
          <w:b/>
          <w:noProof/>
          <w:szCs w:val="22"/>
          <w:lang w:val="el-GR"/>
        </w:rPr>
        <w:tab/>
        <w:t>ΑΡΙΘΜΟΣ(ΟΙ) ΑΔΕΙΑΣ ΚΥΚΛΟΦΟΡΙΑΣ</w:t>
      </w:r>
    </w:p>
    <w:p w:rsidR="00681191" w:rsidRPr="00FC2F1F" w:rsidRDefault="00681191" w:rsidP="00681191">
      <w:pPr>
        <w:widowControl w:val="0"/>
        <w:spacing w:line="240" w:lineRule="auto"/>
        <w:rPr>
          <w:noProof/>
          <w:szCs w:val="22"/>
          <w:lang w:val="el-GR"/>
        </w:rPr>
      </w:pPr>
    </w:p>
    <w:p w:rsidR="0033113C" w:rsidRPr="002210C0" w:rsidRDefault="0033113C" w:rsidP="0033113C">
      <w:pPr>
        <w:widowControl w:val="0"/>
        <w:tabs>
          <w:tab w:val="clear" w:pos="567"/>
        </w:tabs>
        <w:spacing w:line="240" w:lineRule="auto"/>
        <w:rPr>
          <w:rFonts w:eastAsia="Calibri"/>
          <w:snapToGrid/>
          <w:szCs w:val="22"/>
          <w:u w:val="single"/>
          <w:lang w:val="el-GR"/>
        </w:rPr>
      </w:pPr>
      <w:r w:rsidRPr="002210C0">
        <w:rPr>
          <w:rFonts w:eastAsia="Calibri"/>
          <w:snapToGrid/>
          <w:szCs w:val="22"/>
          <w:u w:val="single"/>
        </w:rPr>
        <w:t>Tolucombi</w:t>
      </w:r>
      <w:r w:rsidRPr="002210C0">
        <w:rPr>
          <w:rFonts w:eastAsia="Calibri"/>
          <w:snapToGrid/>
          <w:szCs w:val="22"/>
          <w:u w:val="single"/>
          <w:lang w:val="el-GR"/>
        </w:rPr>
        <w:t xml:space="preserve"> 40</w:t>
      </w:r>
      <w:r w:rsidRPr="002210C0">
        <w:rPr>
          <w:rFonts w:eastAsia="Calibri"/>
          <w:snapToGrid/>
          <w:szCs w:val="22"/>
          <w:u w:val="single"/>
        </w:rPr>
        <w:t> mg</w:t>
      </w:r>
      <w:r w:rsidRPr="002210C0">
        <w:rPr>
          <w:rFonts w:eastAsia="Calibri"/>
          <w:snapToGrid/>
          <w:szCs w:val="22"/>
          <w:u w:val="single"/>
          <w:lang w:val="el-GR"/>
        </w:rPr>
        <w:t>/12</w:t>
      </w:r>
      <w:r>
        <w:rPr>
          <w:rFonts w:eastAsia="Calibri"/>
          <w:snapToGrid/>
          <w:szCs w:val="22"/>
          <w:u w:val="single"/>
          <w:lang w:val="el-GR"/>
        </w:rPr>
        <w:t>,</w:t>
      </w:r>
      <w:r w:rsidRPr="002210C0">
        <w:rPr>
          <w:rFonts w:eastAsia="Calibri"/>
          <w:snapToGrid/>
          <w:szCs w:val="22"/>
          <w:u w:val="single"/>
          <w:lang w:val="el-GR"/>
        </w:rPr>
        <w:t>5</w:t>
      </w:r>
      <w:r w:rsidRPr="002210C0">
        <w:rPr>
          <w:rFonts w:eastAsia="Calibri"/>
          <w:snapToGrid/>
          <w:szCs w:val="22"/>
          <w:u w:val="single"/>
        </w:rPr>
        <w:t> mg</w:t>
      </w:r>
      <w:r w:rsidRPr="002210C0">
        <w:rPr>
          <w:rFonts w:eastAsia="Calibri"/>
          <w:snapToGrid/>
          <w:szCs w:val="22"/>
          <w:u w:val="single"/>
          <w:lang w:val="el-GR"/>
        </w:rPr>
        <w:t xml:space="preserve"> </w:t>
      </w:r>
      <w:r>
        <w:rPr>
          <w:rFonts w:eastAsia="Calibri"/>
          <w:snapToGrid/>
          <w:szCs w:val="22"/>
          <w:u w:val="single"/>
          <w:lang w:val="el-GR"/>
        </w:rPr>
        <w:t>δισκία</w:t>
      </w:r>
    </w:p>
    <w:p w:rsidR="00681191" w:rsidRPr="002210C0" w:rsidRDefault="00681191" w:rsidP="00681191">
      <w:pPr>
        <w:widowControl w:val="0"/>
        <w:tabs>
          <w:tab w:val="clear" w:pos="567"/>
        </w:tabs>
        <w:spacing w:line="240" w:lineRule="auto"/>
        <w:rPr>
          <w:rFonts w:eastAsia="Calibri"/>
          <w:snapToGrid/>
          <w:szCs w:val="22"/>
          <w:lang w:val="fr-FR"/>
        </w:rPr>
      </w:pPr>
      <w:r w:rsidRPr="002210C0">
        <w:rPr>
          <w:rFonts w:eastAsia="Calibri"/>
          <w:snapToGrid/>
          <w:szCs w:val="22"/>
          <w:lang w:val="fr-FR"/>
        </w:rPr>
        <w:t>EU/1/13/821/001</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EU/1/13/821/002</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EU/1/13/821/003</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EU/1/13/821/004</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EU/1/13/821/005</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EU/1/13/821/006</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EU/1/13/821/007</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EU/1/13/821/008</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EU/1/13/821/009</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EU/1/13/821/010</w:t>
      </w:r>
    </w:p>
    <w:p w:rsidR="00681191" w:rsidRPr="003704DB" w:rsidRDefault="00681191" w:rsidP="00681191">
      <w:pPr>
        <w:widowControl w:val="0"/>
        <w:tabs>
          <w:tab w:val="clear" w:pos="567"/>
        </w:tabs>
        <w:spacing w:line="240" w:lineRule="auto"/>
        <w:rPr>
          <w:rFonts w:eastAsia="Calibri"/>
          <w:snapToGrid/>
          <w:szCs w:val="22"/>
          <w:lang w:val="sl-SI"/>
        </w:rPr>
      </w:pPr>
      <w:r w:rsidRPr="00C403BB">
        <w:rPr>
          <w:rFonts w:eastAsia="Calibri"/>
          <w:snapToGrid/>
          <w:szCs w:val="22"/>
          <w:lang w:val="fr-FR"/>
        </w:rPr>
        <w:t>EU/1/13/821/</w:t>
      </w:r>
      <w:r>
        <w:rPr>
          <w:rFonts w:eastAsia="Calibri"/>
          <w:snapToGrid/>
          <w:szCs w:val="22"/>
          <w:lang w:val="sl-SI"/>
        </w:rPr>
        <w:t>031</w:t>
      </w:r>
    </w:p>
    <w:p w:rsidR="00681191" w:rsidRPr="00C403BB" w:rsidRDefault="00681191" w:rsidP="00681191">
      <w:pPr>
        <w:widowControl w:val="0"/>
        <w:spacing w:line="240" w:lineRule="auto"/>
        <w:rPr>
          <w:noProof/>
          <w:szCs w:val="22"/>
          <w:lang w:val="fr-FR"/>
        </w:rPr>
      </w:pPr>
    </w:p>
    <w:p w:rsidR="0033113C" w:rsidRPr="002210C0" w:rsidRDefault="0033113C" w:rsidP="0033113C">
      <w:pPr>
        <w:widowControl w:val="0"/>
        <w:spacing w:line="240" w:lineRule="auto"/>
        <w:rPr>
          <w:noProof/>
          <w:szCs w:val="22"/>
          <w:u w:val="single"/>
          <w:lang w:val="fr-FR"/>
        </w:rPr>
      </w:pPr>
      <w:r w:rsidRPr="002210C0">
        <w:rPr>
          <w:noProof/>
          <w:szCs w:val="22"/>
          <w:u w:val="single"/>
          <w:lang w:val="fr-FR"/>
        </w:rPr>
        <w:t xml:space="preserve">Tolucombi 80 mg/12,5 mg </w:t>
      </w:r>
      <w:r>
        <w:rPr>
          <w:noProof/>
          <w:szCs w:val="22"/>
          <w:u w:val="single"/>
          <w:lang w:val="el-GR"/>
        </w:rPr>
        <w:t>δισκία</w:t>
      </w:r>
    </w:p>
    <w:p w:rsidR="0033113C" w:rsidRPr="002210C0" w:rsidRDefault="0033113C" w:rsidP="0033113C">
      <w:pPr>
        <w:widowControl w:val="0"/>
        <w:spacing w:line="240" w:lineRule="auto"/>
        <w:rPr>
          <w:noProof/>
          <w:szCs w:val="22"/>
          <w:lang w:val="fr-FR"/>
        </w:rPr>
      </w:pPr>
      <w:r w:rsidRPr="002210C0">
        <w:rPr>
          <w:noProof/>
          <w:szCs w:val="22"/>
          <w:lang w:val="fr-FR"/>
        </w:rPr>
        <w:t>EU/1/13/821/011</w:t>
      </w:r>
    </w:p>
    <w:p w:rsidR="0033113C" w:rsidRPr="002210C0" w:rsidRDefault="0033113C" w:rsidP="0033113C">
      <w:pPr>
        <w:widowControl w:val="0"/>
        <w:spacing w:line="240" w:lineRule="auto"/>
        <w:rPr>
          <w:noProof/>
          <w:szCs w:val="22"/>
          <w:lang w:val="fr-FR"/>
        </w:rPr>
      </w:pPr>
      <w:r w:rsidRPr="002210C0">
        <w:rPr>
          <w:noProof/>
          <w:szCs w:val="22"/>
          <w:lang w:val="fr-FR"/>
        </w:rPr>
        <w:t>EU/1/13/821/012</w:t>
      </w:r>
    </w:p>
    <w:p w:rsidR="0033113C" w:rsidRPr="002210C0" w:rsidRDefault="0033113C" w:rsidP="0033113C">
      <w:pPr>
        <w:widowControl w:val="0"/>
        <w:spacing w:line="240" w:lineRule="auto"/>
        <w:rPr>
          <w:noProof/>
          <w:szCs w:val="22"/>
          <w:lang w:val="fr-FR"/>
        </w:rPr>
      </w:pPr>
      <w:r w:rsidRPr="002210C0">
        <w:rPr>
          <w:noProof/>
          <w:szCs w:val="22"/>
          <w:lang w:val="fr-FR"/>
        </w:rPr>
        <w:t>EU/1/13/821/013</w:t>
      </w:r>
    </w:p>
    <w:p w:rsidR="0033113C" w:rsidRPr="002210C0" w:rsidRDefault="0033113C" w:rsidP="0033113C">
      <w:pPr>
        <w:widowControl w:val="0"/>
        <w:spacing w:line="240" w:lineRule="auto"/>
        <w:rPr>
          <w:noProof/>
          <w:szCs w:val="22"/>
          <w:lang w:val="fr-FR"/>
        </w:rPr>
      </w:pPr>
      <w:r w:rsidRPr="002210C0">
        <w:rPr>
          <w:noProof/>
          <w:szCs w:val="22"/>
          <w:lang w:val="fr-FR"/>
        </w:rPr>
        <w:t>EU/1/13/821/014</w:t>
      </w:r>
    </w:p>
    <w:p w:rsidR="0033113C" w:rsidRPr="002210C0" w:rsidRDefault="0033113C" w:rsidP="0033113C">
      <w:pPr>
        <w:widowControl w:val="0"/>
        <w:spacing w:line="240" w:lineRule="auto"/>
        <w:rPr>
          <w:noProof/>
          <w:szCs w:val="22"/>
          <w:lang w:val="fr-FR"/>
        </w:rPr>
      </w:pPr>
      <w:r w:rsidRPr="002210C0">
        <w:rPr>
          <w:noProof/>
          <w:szCs w:val="22"/>
          <w:lang w:val="fr-FR"/>
        </w:rPr>
        <w:t>EU/1/13/821/015</w:t>
      </w:r>
    </w:p>
    <w:p w:rsidR="0033113C" w:rsidRPr="002210C0" w:rsidRDefault="0033113C" w:rsidP="0033113C">
      <w:pPr>
        <w:widowControl w:val="0"/>
        <w:spacing w:line="240" w:lineRule="auto"/>
        <w:rPr>
          <w:noProof/>
          <w:szCs w:val="22"/>
          <w:lang w:val="fr-FR"/>
        </w:rPr>
      </w:pPr>
      <w:r w:rsidRPr="002210C0">
        <w:rPr>
          <w:noProof/>
          <w:szCs w:val="22"/>
          <w:lang w:val="fr-FR"/>
        </w:rPr>
        <w:t>EU/1/13/821/016</w:t>
      </w:r>
    </w:p>
    <w:p w:rsidR="0033113C" w:rsidRPr="002210C0" w:rsidRDefault="0033113C" w:rsidP="0033113C">
      <w:pPr>
        <w:widowControl w:val="0"/>
        <w:spacing w:line="240" w:lineRule="auto"/>
        <w:rPr>
          <w:noProof/>
          <w:szCs w:val="22"/>
          <w:lang w:val="fr-FR"/>
        </w:rPr>
      </w:pPr>
      <w:r w:rsidRPr="002210C0">
        <w:rPr>
          <w:noProof/>
          <w:szCs w:val="22"/>
          <w:lang w:val="fr-FR"/>
        </w:rPr>
        <w:t>EU/1/13/821/017</w:t>
      </w:r>
    </w:p>
    <w:p w:rsidR="0033113C" w:rsidRPr="002210C0" w:rsidRDefault="0033113C" w:rsidP="0033113C">
      <w:pPr>
        <w:widowControl w:val="0"/>
        <w:spacing w:line="240" w:lineRule="auto"/>
        <w:rPr>
          <w:noProof/>
          <w:szCs w:val="22"/>
          <w:lang w:val="fr-FR"/>
        </w:rPr>
      </w:pPr>
      <w:r w:rsidRPr="002210C0">
        <w:rPr>
          <w:noProof/>
          <w:szCs w:val="22"/>
          <w:lang w:val="fr-FR"/>
        </w:rPr>
        <w:t>EU/1/13/821/018</w:t>
      </w:r>
    </w:p>
    <w:p w:rsidR="0033113C" w:rsidRPr="002210C0" w:rsidRDefault="0033113C" w:rsidP="0033113C">
      <w:pPr>
        <w:widowControl w:val="0"/>
        <w:spacing w:line="240" w:lineRule="auto"/>
        <w:rPr>
          <w:noProof/>
          <w:szCs w:val="22"/>
          <w:lang w:val="fr-FR"/>
        </w:rPr>
      </w:pPr>
      <w:r w:rsidRPr="002210C0">
        <w:rPr>
          <w:noProof/>
          <w:szCs w:val="22"/>
          <w:lang w:val="fr-FR"/>
        </w:rPr>
        <w:t>EU/1/13/821/019</w:t>
      </w:r>
    </w:p>
    <w:p w:rsidR="0033113C" w:rsidRPr="002210C0" w:rsidRDefault="0033113C" w:rsidP="0033113C">
      <w:pPr>
        <w:widowControl w:val="0"/>
        <w:spacing w:line="240" w:lineRule="auto"/>
        <w:rPr>
          <w:noProof/>
          <w:szCs w:val="22"/>
          <w:lang w:val="fr-FR"/>
        </w:rPr>
      </w:pPr>
      <w:r w:rsidRPr="002210C0">
        <w:rPr>
          <w:noProof/>
          <w:szCs w:val="22"/>
          <w:lang w:val="fr-FR"/>
        </w:rPr>
        <w:t>EU/1/13/821/020</w:t>
      </w:r>
    </w:p>
    <w:p w:rsidR="0033113C" w:rsidRPr="004E5D46" w:rsidRDefault="0033113C" w:rsidP="0033113C">
      <w:pPr>
        <w:widowControl w:val="0"/>
        <w:spacing w:line="240" w:lineRule="auto"/>
        <w:rPr>
          <w:noProof/>
          <w:szCs w:val="22"/>
          <w:lang w:val="fr-FR"/>
        </w:rPr>
      </w:pPr>
      <w:r w:rsidRPr="004E5D46">
        <w:rPr>
          <w:noProof/>
          <w:szCs w:val="22"/>
          <w:lang w:val="fr-FR"/>
        </w:rPr>
        <w:t>EU/1/13/821/032</w:t>
      </w:r>
    </w:p>
    <w:p w:rsidR="00681191" w:rsidRPr="004E5D46" w:rsidRDefault="00681191" w:rsidP="00681191">
      <w:pPr>
        <w:widowControl w:val="0"/>
        <w:spacing w:line="240" w:lineRule="auto"/>
        <w:rPr>
          <w:noProof/>
          <w:szCs w:val="22"/>
          <w:lang w:val="fr-FR"/>
        </w:rPr>
      </w:pPr>
    </w:p>
    <w:p w:rsidR="0033113C" w:rsidRPr="004E5D46" w:rsidRDefault="0033113C" w:rsidP="00681191">
      <w:pPr>
        <w:widowControl w:val="0"/>
        <w:spacing w:line="240" w:lineRule="auto"/>
        <w:rPr>
          <w:noProof/>
          <w:szCs w:val="22"/>
          <w:lang w:val="fr-F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9.</w:t>
      </w:r>
      <w:r w:rsidRPr="00FC2F1F">
        <w:rPr>
          <w:b/>
          <w:noProof/>
          <w:szCs w:val="22"/>
          <w:lang w:val="el-GR"/>
        </w:rPr>
        <w:tab/>
        <w:t>ΗΜΕΡΟΜΗΝΙΑ ΠΡΩΤΗΣ ΕΓΚΡΙΣΗΣ/ΑΝΑΝΕΩΣΗΣ ΤΗΣ ΑΔΕΙΑΣ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 xml:space="preserve">Ημερομηνία πρώτης έγκρισης: 13 </w:t>
      </w:r>
      <w:r w:rsidRPr="00FC2F1F">
        <w:rPr>
          <w:rStyle w:val="hps"/>
          <w:color w:val="333333"/>
          <w:lang w:val="el-GR"/>
        </w:rPr>
        <w:t>Μ</w:t>
      </w:r>
      <w:r w:rsidR="002A3FBD">
        <w:rPr>
          <w:rStyle w:val="hps"/>
          <w:color w:val="333333"/>
          <w:lang w:val="el-GR"/>
        </w:rPr>
        <w:t>αρτίου</w:t>
      </w:r>
      <w:r w:rsidRPr="00FC2F1F">
        <w:rPr>
          <w:noProof/>
          <w:szCs w:val="22"/>
          <w:lang w:val="el-GR"/>
        </w:rPr>
        <w:t xml:space="preserve"> 2013</w:t>
      </w:r>
    </w:p>
    <w:p w:rsidR="00C403BB" w:rsidRDefault="00C403BB" w:rsidP="00C403BB">
      <w:pPr>
        <w:widowControl w:val="0"/>
        <w:spacing w:line="240" w:lineRule="auto"/>
        <w:rPr>
          <w:noProof/>
          <w:szCs w:val="22"/>
          <w:lang w:val="sl-SI"/>
        </w:rPr>
      </w:pPr>
      <w:r>
        <w:rPr>
          <w:noProof/>
          <w:szCs w:val="22"/>
          <w:lang w:val="el-GR"/>
        </w:rPr>
        <w:t>Ημερομηνία τελευταίας ανανέωσης:</w:t>
      </w:r>
      <w:r w:rsidR="00A92047">
        <w:rPr>
          <w:noProof/>
          <w:szCs w:val="22"/>
          <w:lang w:val="el-GR"/>
        </w:rPr>
        <w:t xml:space="preserve"> 8 Ιανουαρίου 2018</w:t>
      </w:r>
    </w:p>
    <w:p w:rsidR="00681191" w:rsidRPr="00C403BB" w:rsidRDefault="00681191" w:rsidP="00C403BB">
      <w:pPr>
        <w:widowControl w:val="0"/>
        <w:tabs>
          <w:tab w:val="clear" w:pos="567"/>
          <w:tab w:val="left" w:pos="1152"/>
        </w:tabs>
        <w:spacing w:line="240" w:lineRule="auto"/>
        <w:rPr>
          <w:b/>
          <w:noProof/>
          <w:szCs w:val="22"/>
          <w:lang w:val="sl-SI"/>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10.</w:t>
      </w:r>
      <w:r w:rsidRPr="00FC2F1F">
        <w:rPr>
          <w:b/>
          <w:noProof/>
          <w:szCs w:val="22"/>
          <w:lang w:val="el-GR"/>
        </w:rPr>
        <w:tab/>
        <w:t>ΗΜΕΡΟΜΗΝΙΑ ΑΝΑΘΕΩΡΗΣΗΣ ΤΟΥ ΚΕΙΜΕΝΟΥ</w:t>
      </w:r>
    </w:p>
    <w:p w:rsidR="00681191" w:rsidRPr="00FC2F1F" w:rsidRDefault="00681191" w:rsidP="00681191">
      <w:pPr>
        <w:widowControl w:val="0"/>
        <w:spacing w:line="240" w:lineRule="auto"/>
        <w:rPr>
          <w:b/>
          <w:noProof/>
          <w:szCs w:val="22"/>
          <w:lang w:val="el-GR"/>
        </w:rPr>
      </w:pPr>
    </w:p>
    <w:p w:rsidR="00681191" w:rsidRDefault="00681191" w:rsidP="00681191">
      <w:pPr>
        <w:widowControl w:val="0"/>
        <w:spacing w:line="240" w:lineRule="auto"/>
        <w:rPr>
          <w:noProof/>
          <w:szCs w:val="22"/>
          <w:lang w:val="sl-SI"/>
        </w:rPr>
      </w:pPr>
    </w:p>
    <w:p w:rsidR="00681191" w:rsidRPr="003704DB" w:rsidRDefault="00681191" w:rsidP="00681191">
      <w:pPr>
        <w:widowControl w:val="0"/>
        <w:spacing w:line="240" w:lineRule="auto"/>
        <w:rPr>
          <w:noProof/>
          <w:szCs w:val="22"/>
          <w:lang w:val="sl-SI"/>
        </w:rPr>
      </w:pPr>
    </w:p>
    <w:p w:rsidR="00681191" w:rsidRPr="00FC2F1F" w:rsidRDefault="00681191" w:rsidP="00681191">
      <w:pPr>
        <w:widowControl w:val="0"/>
        <w:spacing w:line="240" w:lineRule="auto"/>
        <w:jc w:val="both"/>
        <w:rPr>
          <w:noProof/>
          <w:szCs w:val="22"/>
          <w:lang w:val="el-GR"/>
        </w:rPr>
      </w:pPr>
      <w:r w:rsidRPr="00FC2F1F">
        <w:rPr>
          <w:noProof/>
          <w:szCs w:val="22"/>
          <w:lang w:val="el-GR"/>
        </w:rPr>
        <w:t>Λεπτομερ</w:t>
      </w:r>
      <w:r w:rsidR="002A3FBD">
        <w:rPr>
          <w:noProof/>
          <w:szCs w:val="22"/>
          <w:lang w:val="el-GR"/>
        </w:rPr>
        <w:t>είς</w:t>
      </w:r>
      <w:r w:rsidRPr="00FC2F1F">
        <w:rPr>
          <w:noProof/>
          <w:szCs w:val="22"/>
          <w:lang w:val="el-GR"/>
        </w:rPr>
        <w:t xml:space="preserve"> πληροφορ</w:t>
      </w:r>
      <w:r w:rsidR="002A3FBD">
        <w:rPr>
          <w:noProof/>
          <w:szCs w:val="22"/>
          <w:lang w:val="el-GR"/>
        </w:rPr>
        <w:t>ίες</w:t>
      </w:r>
      <w:r w:rsidRPr="00FC2F1F">
        <w:rPr>
          <w:noProof/>
          <w:szCs w:val="22"/>
          <w:lang w:val="el-GR"/>
        </w:rPr>
        <w:t xml:space="preserve"> για το παρόν φαρμακευτικό προϊόν είναι διαθέσιμ</w:t>
      </w:r>
      <w:r w:rsidR="002A3FBD">
        <w:rPr>
          <w:noProof/>
          <w:szCs w:val="22"/>
          <w:lang w:val="el-GR"/>
        </w:rPr>
        <w:t>ες</w:t>
      </w:r>
      <w:r w:rsidRPr="00FC2F1F">
        <w:rPr>
          <w:noProof/>
          <w:szCs w:val="22"/>
          <w:lang w:val="el-GR"/>
        </w:rPr>
        <w:t xml:space="preserve"> στον δικτυακό τόπο του</w:t>
      </w:r>
      <w:r w:rsidRPr="00FC2F1F">
        <w:rPr>
          <w:b/>
          <w:noProof/>
          <w:szCs w:val="22"/>
          <w:lang w:val="el-GR"/>
        </w:rPr>
        <w:t xml:space="preserve"> </w:t>
      </w:r>
      <w:r w:rsidRPr="00FC2F1F">
        <w:rPr>
          <w:noProof/>
          <w:szCs w:val="22"/>
          <w:lang w:val="el-GR"/>
        </w:rPr>
        <w:t xml:space="preserve">Ευρωπαϊκού Οργανισμού Φαρμάκων: </w:t>
      </w:r>
      <w:hyperlink r:id="rId12" w:history="1">
        <w:r w:rsidRPr="003704DB">
          <w:rPr>
            <w:rStyle w:val="Hyperlink"/>
            <w:noProof/>
            <w:szCs w:val="22"/>
            <w:lang w:val="el-GR"/>
          </w:rPr>
          <w:t>http://www.ema.europa.eu</w:t>
        </w:r>
      </w:hyperlink>
      <w:r w:rsidRPr="00FC2F1F">
        <w:rPr>
          <w:noProof/>
          <w:szCs w:val="22"/>
          <w:lang w:val="el-GR"/>
        </w:rPr>
        <w:t>.</w:t>
      </w: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br w:type="page"/>
        <w:t>1.</w:t>
      </w:r>
      <w:r w:rsidRPr="00FC2F1F">
        <w:rPr>
          <w:b/>
          <w:noProof/>
          <w:szCs w:val="22"/>
          <w:lang w:val="el-GR"/>
        </w:rPr>
        <w:tab/>
        <w:t>ΟΝΟΜΑΣΙΑ ΤΟΥ ΦΑΡΜΑΚΕΥΤΙΚΟΥ ΠΡΟΪΟΝΤΟΣ</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Tolucombi 80</w:t>
      </w:r>
      <w:r>
        <w:rPr>
          <w:noProof/>
          <w:szCs w:val="22"/>
          <w:lang w:val="el-GR"/>
        </w:rPr>
        <w:t> mg</w:t>
      </w:r>
      <w:r w:rsidRPr="00FC2F1F">
        <w:rPr>
          <w:noProof/>
          <w:szCs w:val="22"/>
          <w:lang w:val="el-GR"/>
        </w:rPr>
        <w:t>/25</w:t>
      </w:r>
      <w:r>
        <w:rPr>
          <w:noProof/>
          <w:szCs w:val="22"/>
          <w:lang w:val="el-GR"/>
        </w:rPr>
        <w:t> mg</w:t>
      </w:r>
      <w:r w:rsidRPr="00FC2F1F">
        <w:rPr>
          <w:noProof/>
          <w:szCs w:val="22"/>
          <w:lang w:val="el-GR"/>
        </w:rPr>
        <w:t xml:space="preserve"> δισκία</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ΠΟΙΟΤΙΚΗ ΚΑΙ ΠΟΣΟΤΙΚΗ ΣΥΝΘΕΣΗ</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Κάθε δισκίο περιέχει 80</w:t>
      </w:r>
      <w:r>
        <w:rPr>
          <w:noProof/>
          <w:szCs w:val="22"/>
          <w:lang w:val="el-GR"/>
        </w:rPr>
        <w:t> mg</w:t>
      </w:r>
      <w:r w:rsidRPr="00FC2F1F">
        <w:rPr>
          <w:noProof/>
          <w:szCs w:val="22"/>
          <w:lang w:val="el-GR"/>
        </w:rPr>
        <w:t xml:space="preserve"> τελμισαρτάνης και 25</w:t>
      </w:r>
      <w:r>
        <w:rPr>
          <w:noProof/>
          <w:szCs w:val="22"/>
          <w:lang w:val="el-GR"/>
        </w:rPr>
        <w:t> mg</w:t>
      </w:r>
      <w:r w:rsidRPr="00FC2F1F">
        <w:rPr>
          <w:noProof/>
          <w:szCs w:val="22"/>
          <w:lang w:val="el-GR"/>
        </w:rPr>
        <w:t xml:space="preserve"> υδροχλωροθειαζίδης.</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u w:val="single"/>
          <w:lang w:val="el-GR"/>
        </w:rPr>
        <w:t>Έκδοχο(α) με γνωστ</w:t>
      </w:r>
      <w:r w:rsidR="004D2FF9">
        <w:rPr>
          <w:noProof/>
          <w:szCs w:val="22"/>
          <w:u w:val="single"/>
          <w:lang w:val="el-GR"/>
        </w:rPr>
        <w:t>ή</w:t>
      </w:r>
      <w:r w:rsidRPr="00FC2F1F">
        <w:rPr>
          <w:noProof/>
          <w:szCs w:val="22"/>
          <w:u w:val="single"/>
          <w:lang w:val="el-GR"/>
        </w:rPr>
        <w:t xml:space="preserve"> δράσ</w:t>
      </w:r>
      <w:r w:rsidR="004D2FF9">
        <w:rPr>
          <w:noProof/>
          <w:szCs w:val="22"/>
          <w:u w:val="single"/>
          <w:lang w:val="el-GR"/>
        </w:rPr>
        <w:t>η</w:t>
      </w: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Κάθε δισκίο περιέχει 114</w:t>
      </w:r>
      <w:r>
        <w:rPr>
          <w:noProof/>
          <w:szCs w:val="22"/>
          <w:lang w:val="el-GR"/>
        </w:rPr>
        <w:t> mg</w:t>
      </w:r>
      <w:r w:rsidRPr="00FC2F1F">
        <w:rPr>
          <w:noProof/>
          <w:szCs w:val="22"/>
          <w:lang w:val="el-GR"/>
        </w:rPr>
        <w:t xml:space="preserve"> λακτόζης (ως μονοϋδρική) και 294,08</w:t>
      </w:r>
      <w:r>
        <w:rPr>
          <w:noProof/>
          <w:szCs w:val="22"/>
          <w:lang w:val="el-GR"/>
        </w:rPr>
        <w:t> mg</w:t>
      </w:r>
      <w:r w:rsidRPr="00FC2F1F">
        <w:rPr>
          <w:noProof/>
          <w:szCs w:val="22"/>
          <w:lang w:val="el-GR"/>
        </w:rPr>
        <w:t xml:space="preserve"> σορβιτόλης (Ε420).</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Για τον πλήρη κατάλογο των εκδόχων, βλ. παράγραφο 6.1.</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ΦΑΡΜΑΚΟΤΕΧΝΙΚΗ ΜΟΡΦΗ</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Δισκίο.</w:t>
      </w:r>
    </w:p>
    <w:p w:rsidR="004D2FF9" w:rsidRDefault="004D2FF9"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Λευκά έως ελαφρώς κιτρινωπά-λευκά στη μία όψη και κιτρινωπά με νερά μαρμάρου στην αντίθετη όψη του αμφίκυρτου οβάλ δισκίου δύο στρωμάτων, διαστάσεις δισκίου 18 mm x 9 mm.</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ΚΛΙΝΙΚΕΣ ΠΛΗΡΟΦΟΡΙΕΣ</w:t>
      </w:r>
    </w:p>
    <w:p w:rsidR="00681191" w:rsidRPr="00FC2F1F" w:rsidRDefault="00681191" w:rsidP="00681191">
      <w:pPr>
        <w:widowControl w:val="0"/>
        <w:tabs>
          <w:tab w:val="clear" w:pos="567"/>
        </w:tabs>
        <w:spacing w:line="240" w:lineRule="auto"/>
        <w:ind w:left="567" w:hanging="567"/>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4.1</w:t>
      </w:r>
      <w:r w:rsidRPr="00FC2F1F">
        <w:rPr>
          <w:b/>
          <w:noProof/>
          <w:szCs w:val="22"/>
          <w:lang w:val="el-GR"/>
        </w:rPr>
        <w:tab/>
        <w:t>Θεραπευτικές ενδείξεις</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noProof/>
          <w:szCs w:val="22"/>
          <w:lang w:val="el-GR"/>
        </w:rPr>
        <w:t>Θεραπεία της ιδιοπαθούς υπέρτασης.</w:t>
      </w:r>
    </w:p>
    <w:p w:rsidR="00681191" w:rsidRPr="00FC2F1F" w:rsidRDefault="00681191" w:rsidP="00681191">
      <w:pPr>
        <w:widowControl w:val="0"/>
        <w:tabs>
          <w:tab w:val="clear" w:pos="567"/>
        </w:tabs>
        <w:autoSpaceDE w:val="0"/>
        <w:autoSpaceDN w:val="0"/>
        <w:adjustRightInd w:val="0"/>
        <w:spacing w:line="240" w:lineRule="auto"/>
        <w:rPr>
          <w:szCs w:val="22"/>
          <w:lang w:val="el-GR"/>
        </w:rPr>
      </w:pPr>
    </w:p>
    <w:p w:rsidR="00681191" w:rsidRPr="00FC2F1F" w:rsidRDefault="00681191" w:rsidP="00681191">
      <w:pPr>
        <w:widowControl w:val="0"/>
        <w:tabs>
          <w:tab w:val="clear" w:pos="567"/>
        </w:tabs>
        <w:autoSpaceDE w:val="0"/>
        <w:autoSpaceDN w:val="0"/>
        <w:adjustRightInd w:val="0"/>
        <w:spacing w:line="240" w:lineRule="auto"/>
        <w:rPr>
          <w:szCs w:val="22"/>
          <w:lang w:val="el-GR"/>
        </w:rPr>
      </w:pPr>
      <w:r w:rsidRPr="00FC2F1F">
        <w:rPr>
          <w:szCs w:val="22"/>
          <w:lang w:val="el-GR"/>
        </w:rPr>
        <w:t>Ο συνδυασμός σταθερ</w:t>
      </w:r>
      <w:r w:rsidR="00721024">
        <w:rPr>
          <w:szCs w:val="22"/>
          <w:lang w:val="el-GR"/>
        </w:rPr>
        <w:t>ών</w:t>
      </w:r>
      <w:r w:rsidRPr="00FC2F1F">
        <w:rPr>
          <w:szCs w:val="22"/>
          <w:lang w:val="el-GR"/>
        </w:rPr>
        <w:t xml:space="preserve"> δόσεων Tolucombi (80</w:t>
      </w:r>
      <w:r>
        <w:rPr>
          <w:szCs w:val="22"/>
          <w:lang w:val="el-GR"/>
        </w:rPr>
        <w:t> mg</w:t>
      </w:r>
      <w:r w:rsidRPr="00FC2F1F">
        <w:rPr>
          <w:szCs w:val="22"/>
          <w:lang w:val="el-GR"/>
        </w:rPr>
        <w:t xml:space="preserve"> τελμισαρτάνης/25</w:t>
      </w:r>
      <w:r>
        <w:rPr>
          <w:szCs w:val="22"/>
          <w:lang w:val="el-GR"/>
        </w:rPr>
        <w:t> mg</w:t>
      </w:r>
      <w:r w:rsidRPr="00FC2F1F">
        <w:rPr>
          <w:szCs w:val="22"/>
          <w:lang w:val="el-GR"/>
        </w:rPr>
        <w:t xml:space="preserve"> υδροχλωροθειαζίδης) ενδείκνυται σε ενήλικες</w:t>
      </w:r>
      <w:r w:rsidR="00721024">
        <w:rPr>
          <w:szCs w:val="22"/>
          <w:lang w:val="el-GR"/>
        </w:rPr>
        <w:t xml:space="preserve"> </w:t>
      </w:r>
      <w:r w:rsidRPr="00FC2F1F">
        <w:rPr>
          <w:szCs w:val="22"/>
          <w:lang w:val="el-GR"/>
        </w:rPr>
        <w:t>των οποίων η αρτηριακή πίεση δε</w:t>
      </w:r>
      <w:r w:rsidR="00721024">
        <w:rPr>
          <w:szCs w:val="22"/>
          <w:lang w:val="el-GR"/>
        </w:rPr>
        <w:t>ν</w:t>
      </w:r>
      <w:r w:rsidRPr="00FC2F1F">
        <w:rPr>
          <w:szCs w:val="22"/>
          <w:lang w:val="el-GR"/>
        </w:rPr>
        <w:t xml:space="preserve"> ρυθμίζεται επαρκώς με Tolucombi 80</w:t>
      </w:r>
      <w:r>
        <w:rPr>
          <w:szCs w:val="22"/>
          <w:lang w:val="el-GR"/>
        </w:rPr>
        <w:t> mg</w:t>
      </w:r>
      <w:r w:rsidRPr="00FC2F1F">
        <w:rPr>
          <w:szCs w:val="22"/>
          <w:lang w:val="el-GR"/>
        </w:rPr>
        <w:t>/12,5</w:t>
      </w:r>
      <w:r>
        <w:rPr>
          <w:szCs w:val="22"/>
          <w:lang w:val="el-GR"/>
        </w:rPr>
        <w:t> mg</w:t>
      </w:r>
      <w:r w:rsidRPr="00FC2F1F">
        <w:rPr>
          <w:szCs w:val="22"/>
          <w:lang w:val="el-GR"/>
        </w:rPr>
        <w:t xml:space="preserve"> (80</w:t>
      </w:r>
      <w:r>
        <w:rPr>
          <w:szCs w:val="22"/>
          <w:lang w:val="el-GR"/>
        </w:rPr>
        <w:t> mg</w:t>
      </w:r>
      <w:r w:rsidRPr="00FC2F1F">
        <w:rPr>
          <w:szCs w:val="22"/>
          <w:lang w:val="el-GR"/>
        </w:rPr>
        <w:t xml:space="preserve"> τελμισαρτάνης/12,5</w:t>
      </w:r>
      <w:r>
        <w:rPr>
          <w:szCs w:val="22"/>
          <w:lang w:val="el-GR"/>
        </w:rPr>
        <w:t> mg</w:t>
      </w:r>
      <w:r w:rsidRPr="00FC2F1F">
        <w:rPr>
          <w:szCs w:val="22"/>
          <w:lang w:val="el-GR"/>
        </w:rPr>
        <w:t xml:space="preserve"> υδροχλωροθειαζίδης) ή σε ενήλικες που έχουν προηγουμένως σταθεροποιηθεί σε τελμισαρτάνη και υδροχλωρ</w:t>
      </w:r>
      <w:r w:rsidR="0085401F">
        <w:rPr>
          <w:szCs w:val="22"/>
          <w:lang w:val="el-GR"/>
        </w:rPr>
        <w:t>ο</w:t>
      </w:r>
      <w:r w:rsidRPr="00FC2F1F">
        <w:rPr>
          <w:szCs w:val="22"/>
          <w:lang w:val="el-GR"/>
        </w:rPr>
        <w:t>θειαζίδη χορηγού</w:t>
      </w:r>
      <w:r w:rsidR="0085401F">
        <w:rPr>
          <w:szCs w:val="22"/>
          <w:lang w:val="el-GR"/>
        </w:rPr>
        <w:t>μενες</w:t>
      </w:r>
      <w:r w:rsidRPr="00FC2F1F">
        <w:rPr>
          <w:szCs w:val="22"/>
          <w:lang w:val="el-GR"/>
        </w:rPr>
        <w:t xml:space="preserve"> χωριστά.</w:t>
      </w:r>
    </w:p>
    <w:p w:rsidR="00681191" w:rsidRPr="00FC2F1F" w:rsidRDefault="00681191" w:rsidP="00681191">
      <w:pPr>
        <w:widowControl w:val="0"/>
        <w:tabs>
          <w:tab w:val="clear" w:pos="567"/>
        </w:tabs>
        <w:autoSpaceDE w:val="0"/>
        <w:autoSpaceDN w:val="0"/>
        <w:adjustRightInd w:val="0"/>
        <w:spacing w:line="240" w:lineRule="auto"/>
        <w:rPr>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4.2</w:t>
      </w:r>
      <w:r w:rsidRPr="00FC2F1F">
        <w:rPr>
          <w:b/>
          <w:noProof/>
          <w:szCs w:val="22"/>
          <w:lang w:val="el-GR"/>
        </w:rPr>
        <w:tab/>
        <w:t>Δοσολογία και τρόπος χορήγησης</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EB053B" w:rsidRDefault="00681191" w:rsidP="00681191">
      <w:pPr>
        <w:widowControl w:val="0"/>
        <w:tabs>
          <w:tab w:val="clear" w:pos="567"/>
        </w:tabs>
        <w:autoSpaceDE w:val="0"/>
        <w:autoSpaceDN w:val="0"/>
        <w:adjustRightInd w:val="0"/>
        <w:spacing w:line="240" w:lineRule="auto"/>
        <w:rPr>
          <w:szCs w:val="22"/>
          <w:u w:val="single"/>
          <w:lang w:val="el-GR"/>
        </w:rPr>
      </w:pPr>
      <w:r w:rsidRPr="00EB053B">
        <w:rPr>
          <w:noProof/>
          <w:szCs w:val="22"/>
          <w:u w:val="single"/>
          <w:lang w:val="el-GR"/>
        </w:rPr>
        <w:t>Δοσολογία</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Το Tolucombi πρέπει να λαμβάνεται από ασθενείς των οποίων η αρτηριακή πίεση δε</w:t>
      </w:r>
      <w:r w:rsidR="00FE54B2">
        <w:rPr>
          <w:noProof/>
          <w:szCs w:val="22"/>
          <w:lang w:val="el-GR"/>
        </w:rPr>
        <w:t>ν</w:t>
      </w:r>
      <w:r w:rsidRPr="00FC2F1F">
        <w:rPr>
          <w:noProof/>
          <w:szCs w:val="22"/>
          <w:lang w:val="el-GR"/>
        </w:rPr>
        <w:t xml:space="preserve"> ρυθμίζεται επαρκώς με μονοθεραπεία τελμισαρτάνης. </w:t>
      </w:r>
      <w:r w:rsidR="0085401F">
        <w:rPr>
          <w:noProof/>
          <w:szCs w:val="22"/>
          <w:lang w:val="el-GR"/>
        </w:rPr>
        <w:t>Συνιστάται ε</w:t>
      </w:r>
      <w:r w:rsidRPr="00FC2F1F">
        <w:rPr>
          <w:noProof/>
          <w:szCs w:val="22"/>
          <w:lang w:val="el-GR"/>
        </w:rPr>
        <w:t xml:space="preserve">ξατομικευμένη τιτλοποίηση της δόσης με καθένα από τα δύο συστατικά πριν την αλλαγή στο συνδυασμό σταθερών δόσεων. Όταν ενδείκνυται κλινικά, μπορεί να εξετασθεί </w:t>
      </w:r>
      <w:r w:rsidR="00F32E4D">
        <w:rPr>
          <w:noProof/>
          <w:szCs w:val="22"/>
          <w:lang w:val="el-GR"/>
        </w:rPr>
        <w:t xml:space="preserve">το ενδεχόμενο </w:t>
      </w:r>
      <w:r w:rsidRPr="00FC2F1F">
        <w:rPr>
          <w:noProof/>
          <w:szCs w:val="22"/>
          <w:lang w:val="el-GR"/>
        </w:rPr>
        <w:t>απευθείας αλλαγή</w:t>
      </w:r>
      <w:r w:rsidR="00F32E4D">
        <w:rPr>
          <w:noProof/>
          <w:szCs w:val="22"/>
          <w:lang w:val="el-GR"/>
        </w:rPr>
        <w:t>ς</w:t>
      </w:r>
      <w:r w:rsidRPr="00FC2F1F">
        <w:rPr>
          <w:noProof/>
          <w:szCs w:val="22"/>
          <w:lang w:val="el-GR"/>
        </w:rPr>
        <w:t xml:space="preserve"> από τη μονοθεραπεία στο σταθερ</w:t>
      </w:r>
      <w:r w:rsidR="00F32E4D">
        <w:rPr>
          <w:noProof/>
          <w:szCs w:val="22"/>
          <w:lang w:val="el-GR"/>
        </w:rPr>
        <w:t>ό</w:t>
      </w:r>
      <w:r w:rsidRPr="00FC2F1F">
        <w:rPr>
          <w:noProof/>
          <w:szCs w:val="22"/>
          <w:lang w:val="el-GR"/>
        </w:rPr>
        <w:t xml:space="preserve"> συνδυασμ</w:t>
      </w:r>
      <w:r w:rsidR="00F32E4D">
        <w:rPr>
          <w:noProof/>
          <w:szCs w:val="22"/>
          <w:lang w:val="el-GR"/>
        </w:rPr>
        <w:t>ό</w:t>
      </w:r>
      <w:r w:rsidRPr="00FC2F1F">
        <w:rPr>
          <w:noProof/>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4"/>
        </w:numPr>
        <w:tabs>
          <w:tab w:val="clear" w:pos="567"/>
        </w:tabs>
        <w:autoSpaceDE w:val="0"/>
        <w:autoSpaceDN w:val="0"/>
        <w:adjustRightInd w:val="0"/>
        <w:spacing w:line="240" w:lineRule="auto"/>
        <w:ind w:left="540" w:hanging="540"/>
        <w:rPr>
          <w:szCs w:val="22"/>
          <w:lang w:val="el-GR"/>
        </w:rPr>
      </w:pPr>
      <w:r w:rsidRPr="00FC2F1F">
        <w:rPr>
          <w:szCs w:val="22"/>
          <w:lang w:val="el-GR"/>
        </w:rPr>
        <w:t>Το Tolucombi 80</w:t>
      </w:r>
      <w:r>
        <w:rPr>
          <w:szCs w:val="22"/>
          <w:lang w:val="el-GR"/>
        </w:rPr>
        <w:t> mg</w:t>
      </w:r>
      <w:r w:rsidRPr="00FC2F1F">
        <w:rPr>
          <w:szCs w:val="22"/>
          <w:lang w:val="el-GR"/>
        </w:rPr>
        <w:t>/25</w:t>
      </w:r>
      <w:r>
        <w:rPr>
          <w:szCs w:val="22"/>
          <w:lang w:val="el-GR"/>
        </w:rPr>
        <w:t> mg</w:t>
      </w:r>
      <w:r w:rsidRPr="00FC2F1F">
        <w:rPr>
          <w:szCs w:val="22"/>
          <w:lang w:val="el-GR"/>
        </w:rPr>
        <w:t xml:space="preserve"> μπορεί να χορηγηθεί μια φορά την ημέρα σε ασθενείς των οποίων η αρτηριακή πίεση δε</w:t>
      </w:r>
      <w:r w:rsidR="00F32E4D">
        <w:rPr>
          <w:szCs w:val="22"/>
          <w:lang w:val="el-GR"/>
        </w:rPr>
        <w:t>ν</w:t>
      </w:r>
      <w:r w:rsidRPr="00FC2F1F">
        <w:rPr>
          <w:szCs w:val="22"/>
          <w:lang w:val="el-GR"/>
        </w:rPr>
        <w:t xml:space="preserve"> ρυθμίζεται επαρκώς με Tolucombi 80</w:t>
      </w:r>
      <w:r>
        <w:rPr>
          <w:szCs w:val="22"/>
          <w:lang w:val="el-GR"/>
        </w:rPr>
        <w:t> mg</w:t>
      </w:r>
      <w:r w:rsidRPr="00FC2F1F">
        <w:rPr>
          <w:szCs w:val="22"/>
          <w:lang w:val="el-GR"/>
        </w:rPr>
        <w:t>/12,5</w:t>
      </w:r>
      <w:r>
        <w:rPr>
          <w:szCs w:val="22"/>
          <w:lang w:val="el-GR"/>
        </w:rPr>
        <w:t> mg</w:t>
      </w:r>
      <w:r w:rsidRPr="00FC2F1F">
        <w:rPr>
          <w:szCs w:val="22"/>
          <w:lang w:val="el-GR"/>
        </w:rPr>
        <w:t xml:space="preserve"> ή σε ασθενείς που έχουν προηγουμένως σταθεροποιηθεί σε τελμισαρτάνη και υδροχλωριαθειαζίδη χορηγού</w:t>
      </w:r>
      <w:r w:rsidR="00F32E4D">
        <w:rPr>
          <w:szCs w:val="22"/>
          <w:lang w:val="el-GR"/>
        </w:rPr>
        <w:t>μενες</w:t>
      </w:r>
      <w:r w:rsidRPr="00FC2F1F">
        <w:rPr>
          <w:szCs w:val="22"/>
          <w:lang w:val="el-GR"/>
        </w:rPr>
        <w:t xml:space="preserve"> χωριστά.</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autoSpaceDE w:val="0"/>
        <w:autoSpaceDN w:val="0"/>
        <w:adjustRightInd w:val="0"/>
        <w:spacing w:line="240" w:lineRule="auto"/>
        <w:rPr>
          <w:szCs w:val="22"/>
          <w:lang w:val="el-GR"/>
        </w:rPr>
      </w:pPr>
      <w:r w:rsidRPr="00FC2F1F">
        <w:rPr>
          <w:szCs w:val="22"/>
          <w:lang w:val="el-GR"/>
        </w:rPr>
        <w:t>Το Tolucombi διατίθεται επίσης και σε περιεκτικότητες δόσεων 40</w:t>
      </w:r>
      <w:r>
        <w:rPr>
          <w:szCs w:val="22"/>
          <w:lang w:val="el-GR"/>
        </w:rPr>
        <w:t> mg</w:t>
      </w:r>
      <w:r w:rsidRPr="00FC2F1F">
        <w:rPr>
          <w:szCs w:val="22"/>
          <w:lang w:val="el-GR"/>
        </w:rPr>
        <w:t>/12,5</w:t>
      </w:r>
      <w:r>
        <w:rPr>
          <w:szCs w:val="22"/>
          <w:lang w:val="el-GR"/>
        </w:rPr>
        <w:t> mg</w:t>
      </w:r>
      <w:r w:rsidRPr="00FC2F1F">
        <w:rPr>
          <w:szCs w:val="22"/>
          <w:lang w:val="el-GR"/>
        </w:rPr>
        <w:t xml:space="preserve"> και 80</w:t>
      </w:r>
      <w:r>
        <w:rPr>
          <w:szCs w:val="22"/>
          <w:lang w:val="el-GR"/>
        </w:rPr>
        <w:t> mg</w:t>
      </w:r>
      <w:r w:rsidRPr="00FC2F1F">
        <w:rPr>
          <w:szCs w:val="22"/>
          <w:lang w:val="el-GR"/>
        </w:rPr>
        <w:t>/12,5</w:t>
      </w:r>
      <w:r>
        <w:rPr>
          <w:szCs w:val="22"/>
          <w:lang w:val="el-GR"/>
        </w:rPr>
        <w:t> mg</w:t>
      </w:r>
      <w:r w:rsidRPr="00FC2F1F">
        <w:rPr>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B754A1" w:rsidRDefault="00FE54B2" w:rsidP="00681191">
      <w:pPr>
        <w:widowControl w:val="0"/>
        <w:tabs>
          <w:tab w:val="clear" w:pos="567"/>
        </w:tabs>
        <w:autoSpaceDE w:val="0"/>
        <w:autoSpaceDN w:val="0"/>
        <w:adjustRightInd w:val="0"/>
        <w:spacing w:line="240" w:lineRule="auto"/>
        <w:rPr>
          <w:i/>
          <w:snapToGrid/>
          <w:szCs w:val="22"/>
          <w:lang w:val="el-GR"/>
        </w:rPr>
      </w:pPr>
      <w:r>
        <w:rPr>
          <w:i/>
          <w:snapToGrid/>
          <w:szCs w:val="22"/>
          <w:lang w:val="el-GR"/>
        </w:rPr>
        <w:t>Ν</w:t>
      </w:r>
      <w:r w:rsidR="00681191" w:rsidRPr="00B754A1">
        <w:rPr>
          <w:i/>
          <w:snapToGrid/>
          <w:szCs w:val="22"/>
          <w:lang w:val="el-GR"/>
        </w:rPr>
        <w:t>εφρική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p>
    <w:p w:rsidR="00681191" w:rsidRPr="00FC2F1F" w:rsidRDefault="00681191" w:rsidP="00681191">
      <w:pPr>
        <w:widowControl w:val="0"/>
        <w:spacing w:line="240" w:lineRule="auto"/>
        <w:rPr>
          <w:snapToGrid/>
          <w:szCs w:val="22"/>
          <w:lang w:val="el-GR"/>
        </w:rPr>
      </w:pPr>
      <w:r w:rsidRPr="00FC2F1F">
        <w:rPr>
          <w:snapToGrid/>
          <w:szCs w:val="22"/>
          <w:lang w:val="el-GR"/>
        </w:rPr>
        <w:t>Συνιστάται περιοδικός έλεγχος της νεφρικής λειτουργίας (βλ. παράγραφο 4.4).</w:t>
      </w:r>
    </w:p>
    <w:p w:rsidR="00681191" w:rsidRPr="00FC2F1F" w:rsidRDefault="00681191" w:rsidP="00681191">
      <w:pPr>
        <w:widowControl w:val="0"/>
        <w:spacing w:line="240" w:lineRule="auto"/>
        <w:rPr>
          <w:snapToGrid/>
          <w:szCs w:val="22"/>
          <w:lang w:val="el-GR"/>
        </w:rPr>
      </w:pPr>
    </w:p>
    <w:p w:rsidR="00681191" w:rsidRPr="00B754A1" w:rsidRDefault="00FE54B2" w:rsidP="00681191">
      <w:pPr>
        <w:widowControl w:val="0"/>
        <w:tabs>
          <w:tab w:val="clear" w:pos="567"/>
        </w:tabs>
        <w:autoSpaceDE w:val="0"/>
        <w:autoSpaceDN w:val="0"/>
        <w:adjustRightInd w:val="0"/>
        <w:spacing w:line="240" w:lineRule="auto"/>
        <w:rPr>
          <w:i/>
          <w:snapToGrid/>
          <w:szCs w:val="22"/>
          <w:lang w:val="el-GR"/>
        </w:rPr>
      </w:pPr>
      <w:r>
        <w:rPr>
          <w:i/>
          <w:snapToGrid/>
          <w:szCs w:val="22"/>
          <w:lang w:val="el-GR"/>
        </w:rPr>
        <w:t>Η</w:t>
      </w:r>
      <w:r w:rsidR="00681191" w:rsidRPr="00B754A1">
        <w:rPr>
          <w:i/>
          <w:snapToGrid/>
          <w:szCs w:val="22"/>
          <w:lang w:val="el-GR"/>
        </w:rPr>
        <w:t>πατική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ασθενείς με ήπια έως μέτρια</w:t>
      </w:r>
      <w:r w:rsidR="008A5C48">
        <w:rPr>
          <w:snapToGrid/>
          <w:szCs w:val="22"/>
          <w:lang w:val="el-GR"/>
        </w:rPr>
        <w:t>ς βαρύτητας</w:t>
      </w:r>
      <w:r w:rsidRPr="00FC2F1F">
        <w:rPr>
          <w:snapToGrid/>
          <w:szCs w:val="22"/>
          <w:lang w:val="el-GR"/>
        </w:rPr>
        <w:t xml:space="preserve"> ηπατική δυσλειτουργία η δοσολογία δε</w:t>
      </w:r>
      <w:r w:rsidR="008A5C48">
        <w:rPr>
          <w:snapToGrid/>
          <w:szCs w:val="22"/>
          <w:lang w:val="el-GR"/>
        </w:rPr>
        <w:t>ν</w:t>
      </w:r>
      <w:r w:rsidRPr="00FC2F1F">
        <w:rPr>
          <w:snapToGrid/>
          <w:szCs w:val="22"/>
          <w:lang w:val="el-GR"/>
        </w:rPr>
        <w:t xml:space="preserve"> πρέπει να υπερβαίνει το </w:t>
      </w:r>
      <w:r w:rsidRPr="00FC2F1F">
        <w:rPr>
          <w:szCs w:val="22"/>
          <w:lang w:val="el-GR"/>
        </w:rPr>
        <w:t>Tolucombi</w:t>
      </w:r>
      <w:r w:rsidRPr="00FC2F1F">
        <w:rPr>
          <w:snapToGrid/>
          <w:szCs w:val="22"/>
          <w:lang w:val="el-GR"/>
        </w:rPr>
        <w:t xml:space="preserve"> 40</w:t>
      </w:r>
      <w:r>
        <w:rPr>
          <w:snapToGrid/>
          <w:szCs w:val="22"/>
          <w:lang w:val="el-GR"/>
        </w:rPr>
        <w:t> mg</w:t>
      </w:r>
      <w:r w:rsidRPr="00FC2F1F">
        <w:rPr>
          <w:snapToGrid/>
          <w:szCs w:val="22"/>
          <w:lang w:val="el-GR"/>
        </w:rPr>
        <w:t>/12,5</w:t>
      </w:r>
      <w:r>
        <w:rPr>
          <w:snapToGrid/>
          <w:szCs w:val="22"/>
          <w:lang w:val="el-GR"/>
        </w:rPr>
        <w:t> mg</w:t>
      </w:r>
      <w:r w:rsidRPr="00FC2F1F">
        <w:rPr>
          <w:snapToGrid/>
          <w:szCs w:val="22"/>
          <w:lang w:val="el-GR"/>
        </w:rPr>
        <w:t xml:space="preserve"> μία φορά την ημέρα. Το </w:t>
      </w:r>
      <w:r w:rsidRPr="00FC2F1F">
        <w:rPr>
          <w:szCs w:val="22"/>
          <w:lang w:val="el-GR"/>
        </w:rPr>
        <w:t>Tolucombi</w:t>
      </w:r>
      <w:r w:rsidRPr="00FC2F1F">
        <w:rPr>
          <w:snapToGrid/>
          <w:szCs w:val="22"/>
          <w:lang w:val="el-GR"/>
        </w:rPr>
        <w:t xml:space="preserve"> δεν ενδείκνυται σε ασθενείς με σοβαρή ηπατική δυσλειτουργία. Οι θειαζίδες πρέπει να χρησιμοποιούνται με προσοχή σε ασθενείς με διαταραγμένη ηπατική λειτουργία (βλ.παράγραφο 4.4).</w:t>
      </w:r>
    </w:p>
    <w:p w:rsidR="00681191" w:rsidRPr="00FC2F1F" w:rsidRDefault="00681191" w:rsidP="00681191">
      <w:pPr>
        <w:widowControl w:val="0"/>
        <w:spacing w:line="240" w:lineRule="auto"/>
        <w:rPr>
          <w:snapToGrid/>
          <w:szCs w:val="22"/>
          <w:lang w:val="el-GR"/>
        </w:rPr>
      </w:pPr>
    </w:p>
    <w:p w:rsidR="00681191" w:rsidRPr="00B754A1" w:rsidRDefault="00681191" w:rsidP="00681191">
      <w:pPr>
        <w:widowControl w:val="0"/>
        <w:tabs>
          <w:tab w:val="clear" w:pos="567"/>
        </w:tabs>
        <w:autoSpaceDE w:val="0"/>
        <w:autoSpaceDN w:val="0"/>
        <w:adjustRightInd w:val="0"/>
        <w:spacing w:line="240" w:lineRule="auto"/>
        <w:rPr>
          <w:i/>
          <w:snapToGrid/>
          <w:szCs w:val="22"/>
          <w:lang w:val="el-GR"/>
        </w:rPr>
      </w:pPr>
      <w:r w:rsidRPr="00B754A1">
        <w:rPr>
          <w:i/>
          <w:snapToGrid/>
          <w:szCs w:val="22"/>
          <w:lang w:val="el-GR"/>
        </w:rPr>
        <w:t>Ηλικιωμένοι</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Δεν απαιτείται προσαρμογή της δόσης.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B754A1" w:rsidRDefault="00681191" w:rsidP="00681191">
      <w:pPr>
        <w:widowControl w:val="0"/>
        <w:tabs>
          <w:tab w:val="clear" w:pos="567"/>
        </w:tabs>
        <w:autoSpaceDE w:val="0"/>
        <w:autoSpaceDN w:val="0"/>
        <w:adjustRightInd w:val="0"/>
        <w:spacing w:line="240" w:lineRule="auto"/>
        <w:rPr>
          <w:i/>
          <w:snapToGrid/>
          <w:szCs w:val="22"/>
          <w:lang w:val="el-GR"/>
        </w:rPr>
      </w:pPr>
      <w:r w:rsidRPr="00B754A1">
        <w:rPr>
          <w:i/>
          <w:snapToGrid/>
          <w:szCs w:val="22"/>
          <w:lang w:val="el-GR"/>
        </w:rPr>
        <w:t>Παιδιατρικός πληθυσμός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ασφάλεια και </w:t>
      </w:r>
      <w:r w:rsidR="00FE54B2">
        <w:rPr>
          <w:snapToGrid/>
          <w:szCs w:val="22"/>
          <w:lang w:val="el-GR"/>
        </w:rPr>
        <w:t xml:space="preserve">η </w:t>
      </w:r>
      <w:r w:rsidRPr="00FC2F1F">
        <w:rPr>
          <w:snapToGrid/>
          <w:szCs w:val="22"/>
          <w:lang w:val="el-GR"/>
        </w:rPr>
        <w:t xml:space="preserve">αποτελεσματικότητα του </w:t>
      </w:r>
      <w:r w:rsidRPr="00FC2F1F">
        <w:rPr>
          <w:szCs w:val="22"/>
          <w:lang w:val="el-GR"/>
        </w:rPr>
        <w:t>Tolucombi</w:t>
      </w:r>
      <w:r w:rsidRPr="00FC2F1F">
        <w:rPr>
          <w:snapToGrid/>
          <w:szCs w:val="22"/>
          <w:lang w:val="el-GR"/>
        </w:rPr>
        <w:t xml:space="preserve"> σε παιδιά και </w:t>
      </w:r>
      <w:r w:rsidR="008A5C48">
        <w:rPr>
          <w:snapToGrid/>
          <w:szCs w:val="22"/>
          <w:lang w:val="el-GR"/>
        </w:rPr>
        <w:t>ε</w:t>
      </w:r>
      <w:r w:rsidRPr="00FC2F1F">
        <w:rPr>
          <w:snapToGrid/>
          <w:szCs w:val="22"/>
          <w:lang w:val="el-GR"/>
        </w:rPr>
        <w:t>φ</w:t>
      </w:r>
      <w:r w:rsidR="008A5C48">
        <w:rPr>
          <w:snapToGrid/>
          <w:szCs w:val="22"/>
          <w:lang w:val="el-GR"/>
        </w:rPr>
        <w:t>ή</w:t>
      </w:r>
      <w:r w:rsidRPr="00FC2F1F">
        <w:rPr>
          <w:snapToGrid/>
          <w:szCs w:val="22"/>
          <w:lang w:val="el-GR"/>
        </w:rPr>
        <w:t>βους ηλικίας κάτω των 18 ετών δεν έχουν ακόμη τεκμηριωθεί. Δεν υπάρχουν διαθέσιμα δεδομένα.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u w:val="single"/>
          <w:lang w:val="el-GR"/>
        </w:rPr>
      </w:pPr>
      <w:r w:rsidRPr="00FC2F1F">
        <w:rPr>
          <w:noProof/>
          <w:szCs w:val="22"/>
          <w:u w:val="single"/>
          <w:lang w:val="el-GR"/>
        </w:rPr>
        <w:t>Τρόπος χορήγησης</w:t>
      </w:r>
    </w:p>
    <w:p w:rsidR="00681191" w:rsidRPr="00FC2F1F" w:rsidRDefault="00681191" w:rsidP="00681191">
      <w:pPr>
        <w:widowControl w:val="0"/>
        <w:spacing w:line="240" w:lineRule="auto"/>
        <w:rPr>
          <w:noProof/>
          <w:szCs w:val="22"/>
          <w:u w:val="single"/>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Τα δισκία </w:t>
      </w:r>
      <w:r w:rsidRPr="00FC2F1F">
        <w:rPr>
          <w:szCs w:val="22"/>
          <w:lang w:val="el-GR"/>
        </w:rPr>
        <w:t>Tolucombi</w:t>
      </w:r>
      <w:r w:rsidRPr="00FC2F1F">
        <w:rPr>
          <w:snapToGrid/>
          <w:szCs w:val="22"/>
          <w:lang w:val="el-GR"/>
        </w:rPr>
        <w:t xml:space="preserve"> είναι για άπαξ </w:t>
      </w:r>
      <w:r w:rsidR="008A5C48">
        <w:rPr>
          <w:snapToGrid/>
          <w:szCs w:val="22"/>
          <w:lang w:val="el-GR"/>
        </w:rPr>
        <w:t xml:space="preserve">ημερήσια </w:t>
      </w:r>
      <w:r w:rsidRPr="00FC2F1F">
        <w:rPr>
          <w:snapToGrid/>
          <w:szCs w:val="22"/>
          <w:lang w:val="el-GR"/>
        </w:rPr>
        <w:t>χορήγηση από του στόματος και πρέπει να λαμβάνονται με υγρό, με ή χωρίς τροφή.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4.3</w:t>
      </w:r>
      <w:r w:rsidRPr="00FC2F1F">
        <w:rPr>
          <w:b/>
          <w:noProof/>
          <w:szCs w:val="22"/>
          <w:lang w:val="el-GR"/>
        </w:rPr>
        <w:tab/>
        <w:t>Αντενδείξεις</w:t>
      </w:r>
    </w:p>
    <w:p w:rsidR="00681191" w:rsidRPr="00FC2F1F" w:rsidRDefault="00681191" w:rsidP="00681191">
      <w:pPr>
        <w:widowControl w:val="0"/>
        <w:spacing w:line="240" w:lineRule="auto"/>
        <w:rPr>
          <w:noProof/>
          <w:szCs w:val="22"/>
          <w:lang w:val="el-GR"/>
        </w:rPr>
      </w:pPr>
    </w:p>
    <w:p w:rsidR="00681191" w:rsidRPr="00FC2F1F" w:rsidRDefault="00681191" w:rsidP="00681191">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 xml:space="preserve">Υπερευαισθησία στις δραστικές ουσίες ή σε κάποιο από τα έκδοχα </w:t>
      </w:r>
      <w:r w:rsidR="004D2FF9">
        <w:rPr>
          <w:rFonts w:ascii="Times New Roman" w:hAnsi="Times New Roman"/>
          <w:lang w:val="el-GR"/>
        </w:rPr>
        <w:t>που</w:t>
      </w:r>
      <w:r w:rsidRPr="00FC2F1F">
        <w:rPr>
          <w:rFonts w:ascii="Times New Roman" w:hAnsi="Times New Roman"/>
          <w:lang w:val="el-GR"/>
        </w:rPr>
        <w:t xml:space="preserve"> αναφέρονται στην παράγραφο 6.1.</w:t>
      </w:r>
    </w:p>
    <w:p w:rsidR="00681191" w:rsidRPr="00FC2F1F" w:rsidRDefault="00681191" w:rsidP="00681191">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Υπερευαισθησία σε άλλες ουσίες παράγωγα σουλφοναμιδών (</w:t>
      </w:r>
      <w:r w:rsidR="008A5C48">
        <w:rPr>
          <w:rFonts w:ascii="Times New Roman" w:hAnsi="Times New Roman"/>
          <w:lang w:val="el-GR"/>
        </w:rPr>
        <w:t>καθώς</w:t>
      </w:r>
      <w:r w:rsidRPr="00FC2F1F">
        <w:rPr>
          <w:rFonts w:ascii="Times New Roman" w:hAnsi="Times New Roman"/>
          <w:lang w:val="el-GR"/>
        </w:rPr>
        <w:t xml:space="preserve"> η υδροχλωροθειαζίδη είναι </w:t>
      </w:r>
      <w:r w:rsidR="008A5C48">
        <w:rPr>
          <w:rFonts w:ascii="Times New Roman" w:hAnsi="Times New Roman"/>
          <w:lang w:val="el-GR"/>
        </w:rPr>
        <w:t xml:space="preserve">ένα </w:t>
      </w:r>
      <w:r w:rsidRPr="00FC2F1F">
        <w:rPr>
          <w:rFonts w:ascii="Times New Roman" w:hAnsi="Times New Roman"/>
          <w:lang w:val="el-GR"/>
        </w:rPr>
        <w:t>φαρμακευτικό προϊόν παράγωγο σουλφοναμίδης).</w:t>
      </w:r>
    </w:p>
    <w:p w:rsidR="00681191" w:rsidRPr="00FC2F1F" w:rsidRDefault="00681191" w:rsidP="00681191">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Δεύτερο και τρίτο τρίμηνο της κύησης (βλ. παραγράφους 4.4 και 4.6).</w:t>
      </w:r>
    </w:p>
    <w:p w:rsidR="00681191" w:rsidRPr="00FC2F1F" w:rsidRDefault="00681191" w:rsidP="00681191">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Χολόσταση και αποφρακτικές παθήσεις των χοληφόρων.</w:t>
      </w:r>
    </w:p>
    <w:p w:rsidR="00681191" w:rsidRPr="00FC2F1F" w:rsidRDefault="00681191" w:rsidP="00681191">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Σοβαρή ηπατική δυσλειτουργία.</w:t>
      </w:r>
    </w:p>
    <w:p w:rsidR="00681191" w:rsidRPr="00FC2F1F" w:rsidRDefault="00681191" w:rsidP="00681191">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l-GR"/>
        </w:rPr>
      </w:pPr>
      <w:r w:rsidRPr="00FC2F1F">
        <w:rPr>
          <w:rFonts w:ascii="Times New Roman" w:hAnsi="Times New Roman"/>
          <w:lang w:val="el-GR"/>
        </w:rPr>
        <w:t>Σοβαρή νεφρική δυσλειτουργία (κάθαρση κρεατινίνης &lt; 30 ml/min).</w:t>
      </w:r>
    </w:p>
    <w:p w:rsidR="00681191" w:rsidRPr="00FC2F1F" w:rsidRDefault="00B21486" w:rsidP="00681191">
      <w:pPr>
        <w:pStyle w:val="ListParagraph"/>
        <w:widowControl w:val="0"/>
        <w:numPr>
          <w:ilvl w:val="0"/>
          <w:numId w:val="15"/>
        </w:numPr>
        <w:autoSpaceDE w:val="0"/>
        <w:autoSpaceDN w:val="0"/>
        <w:adjustRightInd w:val="0"/>
        <w:spacing w:after="0" w:line="240" w:lineRule="auto"/>
        <w:ind w:left="567" w:hanging="567"/>
        <w:rPr>
          <w:rFonts w:ascii="Times New Roman" w:hAnsi="Times New Roman"/>
          <w:lang w:val="el-GR"/>
        </w:rPr>
      </w:pPr>
      <w:r>
        <w:rPr>
          <w:rFonts w:ascii="Times New Roman" w:hAnsi="Times New Roman"/>
          <w:lang w:val="el-GR"/>
        </w:rPr>
        <w:t>Ανθεκτική στη θεραπεία</w:t>
      </w:r>
      <w:r w:rsidR="00681191" w:rsidRPr="00FC2F1F">
        <w:rPr>
          <w:rFonts w:ascii="Times New Roman" w:hAnsi="Times New Roman"/>
          <w:lang w:val="el-GR"/>
        </w:rPr>
        <w:t xml:space="preserve"> υποκαλιαιμία, υπερασβεστ</w:t>
      </w:r>
      <w:r w:rsidR="008A5C48">
        <w:rPr>
          <w:rFonts w:ascii="Times New Roman" w:hAnsi="Times New Roman"/>
          <w:lang w:val="el-GR"/>
        </w:rPr>
        <w:t>ι</w:t>
      </w:r>
      <w:r w:rsidR="00681191" w:rsidRPr="00FC2F1F">
        <w:rPr>
          <w:rFonts w:ascii="Times New Roman" w:hAnsi="Times New Roman"/>
          <w:lang w:val="el-GR"/>
        </w:rPr>
        <w:t>αιμία.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D76F8A">
        <w:rPr>
          <w:noProof/>
          <w:szCs w:val="22"/>
          <w:lang w:val="el-GR"/>
        </w:rPr>
        <w:t>Η ταυτόχρονη χρήση του Tolucombi με προϊόντα που περιέχουν αλισκιρένη αντενδείκνυται σε ασθενείς με σακχαρώδη διαβήτη ή νεφρική δυσλειτουργία (GFR &lt; 60 ml/m</w:t>
      </w:r>
      <w:r>
        <w:rPr>
          <w:noProof/>
          <w:szCs w:val="22"/>
          <w:lang w:val="el-GR"/>
        </w:rPr>
        <w:t>in/1,73 m</w:t>
      </w:r>
      <w:r w:rsidRPr="002210C0">
        <w:rPr>
          <w:noProof/>
          <w:szCs w:val="22"/>
          <w:vertAlign w:val="superscript"/>
          <w:lang w:val="el-GR"/>
        </w:rPr>
        <w:t>2</w:t>
      </w:r>
      <w:r>
        <w:rPr>
          <w:noProof/>
          <w:szCs w:val="22"/>
          <w:lang w:val="el-GR"/>
        </w:rPr>
        <w:t>) (βλ</w:t>
      </w:r>
      <w:r w:rsidR="004D2FF9">
        <w:rPr>
          <w:noProof/>
          <w:szCs w:val="22"/>
          <w:lang w:val="el-GR"/>
        </w:rPr>
        <w:t>.</w:t>
      </w:r>
      <w:r>
        <w:rPr>
          <w:noProof/>
          <w:szCs w:val="22"/>
          <w:lang w:val="el-GR"/>
        </w:rPr>
        <w:t xml:space="preserve"> παραγράφους </w:t>
      </w:r>
      <w:r w:rsidRPr="00D76F8A">
        <w:rPr>
          <w:noProof/>
          <w:szCs w:val="22"/>
          <w:lang w:val="el-GR"/>
        </w:rPr>
        <w:t>4.5 και 5.1).</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4.4</w:t>
      </w:r>
      <w:r w:rsidRPr="00FC2F1F">
        <w:rPr>
          <w:b/>
          <w:noProof/>
          <w:szCs w:val="22"/>
          <w:lang w:val="el-GR"/>
        </w:rPr>
        <w:tab/>
        <w:t>Ειδικές προειδοποιήσεις και προφυλάξεις κατά τη χρήση</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Κύηση</w:t>
      </w:r>
    </w:p>
    <w:p w:rsidR="00681191" w:rsidRPr="00FC2F1F" w:rsidRDefault="008A5C48" w:rsidP="00681191">
      <w:pPr>
        <w:widowControl w:val="0"/>
        <w:tabs>
          <w:tab w:val="clear" w:pos="567"/>
        </w:tabs>
        <w:autoSpaceDE w:val="0"/>
        <w:autoSpaceDN w:val="0"/>
        <w:adjustRightInd w:val="0"/>
        <w:spacing w:line="240" w:lineRule="auto"/>
        <w:rPr>
          <w:snapToGrid/>
          <w:szCs w:val="22"/>
          <w:lang w:val="el-GR"/>
        </w:rPr>
      </w:pPr>
      <w:r>
        <w:rPr>
          <w:snapToGrid/>
          <w:szCs w:val="22"/>
          <w:lang w:val="el-GR"/>
        </w:rPr>
        <w:t>Η</w:t>
      </w:r>
      <w:r w:rsidR="00681191" w:rsidRPr="00FC2F1F">
        <w:rPr>
          <w:snapToGrid/>
          <w:szCs w:val="22"/>
          <w:lang w:val="el-GR"/>
        </w:rPr>
        <w:t xml:space="preserve"> θεραπεία με ανταγωνιστές των υποδοχέων της αγγειοτενσίνης ΙΙ δε</w:t>
      </w:r>
      <w:r>
        <w:rPr>
          <w:snapToGrid/>
          <w:szCs w:val="22"/>
          <w:lang w:val="el-GR"/>
        </w:rPr>
        <w:t>ν</w:t>
      </w:r>
      <w:r w:rsidR="00681191" w:rsidRPr="00FC2F1F">
        <w:rPr>
          <w:snapToGrid/>
          <w:szCs w:val="22"/>
          <w:lang w:val="el-GR"/>
        </w:rPr>
        <w:t xml:space="preserve"> πρέπει να ξεκινά κατά τη διάρκεια της </w:t>
      </w:r>
      <w:r>
        <w:rPr>
          <w:snapToGrid/>
          <w:szCs w:val="22"/>
          <w:lang w:val="el-GR"/>
        </w:rPr>
        <w:t>κύησης</w:t>
      </w:r>
      <w:r w:rsidR="00681191" w:rsidRPr="00FC2F1F">
        <w:rPr>
          <w:snapToGrid/>
          <w:szCs w:val="22"/>
          <w:lang w:val="el-GR"/>
        </w:rPr>
        <w:t xml:space="preserve">. Εκτός και </w:t>
      </w:r>
      <w:r>
        <w:rPr>
          <w:snapToGrid/>
          <w:szCs w:val="22"/>
          <w:lang w:val="el-GR"/>
        </w:rPr>
        <w:t>εά</w:t>
      </w:r>
      <w:r w:rsidR="00681191" w:rsidRPr="00FC2F1F">
        <w:rPr>
          <w:snapToGrid/>
          <w:szCs w:val="22"/>
          <w:lang w:val="el-GR"/>
        </w:rPr>
        <w:t xml:space="preserve">ν η συνέχιση της αγωγής με ανταγωνιστές των υποδοχέων της αγγειοτενσίνης ΙΙ θεωρείται απαραίτητη, ασθενείς που προγραμματίζουν εγκυμοσύνη θα πρέπει να </w:t>
      </w:r>
      <w:r>
        <w:rPr>
          <w:snapToGrid/>
          <w:szCs w:val="22"/>
          <w:lang w:val="el-GR"/>
        </w:rPr>
        <w:t>μεταβαίνουν</w:t>
      </w:r>
      <w:r w:rsidR="00681191" w:rsidRPr="00FC2F1F">
        <w:rPr>
          <w:snapToGrid/>
          <w:szCs w:val="22"/>
          <w:lang w:val="el-GR"/>
        </w:rPr>
        <w:t xml:space="preserve"> σε εναλλακτικές αντιυπερτασικές αγωγές οι οποίες έχουν αποδεδειγμένο προφίλ ασφαλείας για χρήση κατά τη διάρκεια της κύησης. Όταν διαγνωστεί </w:t>
      </w:r>
      <w:r>
        <w:rPr>
          <w:snapToGrid/>
          <w:szCs w:val="22"/>
          <w:lang w:val="el-GR"/>
        </w:rPr>
        <w:t>κύηση</w:t>
      </w:r>
      <w:r w:rsidR="00681191" w:rsidRPr="00FC2F1F">
        <w:rPr>
          <w:snapToGrid/>
          <w:szCs w:val="22"/>
          <w:lang w:val="el-GR"/>
        </w:rPr>
        <w:t>, η αγωγή με ανταγωνιστές των υποδοχέων της αγγειοτενσίνης ΙΙ θα πρέπει να διακόπτεται αμέσως, και</w:t>
      </w:r>
      <w:r w:rsidR="00E42005">
        <w:rPr>
          <w:snapToGrid/>
          <w:szCs w:val="22"/>
          <w:lang w:val="el-GR"/>
        </w:rPr>
        <w:t>,</w:t>
      </w:r>
      <w:r w:rsidR="00681191" w:rsidRPr="00FC2F1F">
        <w:rPr>
          <w:snapToGrid/>
          <w:szCs w:val="22"/>
          <w:lang w:val="el-GR"/>
        </w:rPr>
        <w:t xml:space="preserve"> εάν θεωρείται απαραίτητο</w:t>
      </w:r>
      <w:r w:rsidR="00E42005">
        <w:rPr>
          <w:snapToGrid/>
          <w:szCs w:val="22"/>
          <w:lang w:val="el-GR"/>
        </w:rPr>
        <w:t>,</w:t>
      </w:r>
      <w:r w:rsidR="00681191" w:rsidRPr="00FC2F1F">
        <w:rPr>
          <w:snapToGrid/>
          <w:szCs w:val="22"/>
          <w:lang w:val="el-GR"/>
        </w:rPr>
        <w:t xml:space="preserve"> θα πρέπει να </w:t>
      </w:r>
      <w:r w:rsidR="00E42005">
        <w:rPr>
          <w:snapToGrid/>
          <w:szCs w:val="22"/>
          <w:lang w:val="el-GR"/>
        </w:rPr>
        <w:t>ξεκινά</w:t>
      </w:r>
      <w:r w:rsidR="00681191" w:rsidRPr="00FC2F1F">
        <w:rPr>
          <w:snapToGrid/>
          <w:szCs w:val="22"/>
          <w:lang w:val="el-GR"/>
        </w:rPr>
        <w:t xml:space="preserve"> εναλλακτική αγωγή (βλ. παραγράφους 4.3 και 4.6).</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Ηπατική δυλειτουργία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 xml:space="preserve">Tolucombi </w:t>
      </w:r>
      <w:r w:rsidRPr="00FC2F1F">
        <w:rPr>
          <w:snapToGrid/>
          <w:szCs w:val="22"/>
          <w:lang w:val="el-GR"/>
        </w:rPr>
        <w:t>δε</w:t>
      </w:r>
      <w:r w:rsidR="00E42005">
        <w:rPr>
          <w:snapToGrid/>
          <w:szCs w:val="22"/>
          <w:lang w:val="el-GR"/>
        </w:rPr>
        <w:t>ν</w:t>
      </w:r>
      <w:r w:rsidRPr="00FC2F1F">
        <w:rPr>
          <w:snapToGrid/>
          <w:szCs w:val="22"/>
          <w:lang w:val="el-GR"/>
        </w:rPr>
        <w:t xml:space="preserve"> θα πρέπει να χορηγείται σε ασθενείς με χολόσταση, αποφρακτικές παθήσεις των χοληφόρων ή σοβαρή ηπατική ανεπάρκεια (βλ. παράγραφο 4.3), </w:t>
      </w:r>
      <w:r w:rsidR="00E42005">
        <w:rPr>
          <w:snapToGrid/>
          <w:szCs w:val="22"/>
          <w:lang w:val="el-GR"/>
        </w:rPr>
        <w:t>καθώς</w:t>
      </w:r>
      <w:r w:rsidRPr="00FC2F1F">
        <w:rPr>
          <w:snapToGrid/>
          <w:szCs w:val="22"/>
          <w:lang w:val="el-GR"/>
        </w:rPr>
        <w:t xml:space="preserve"> η τελμισαρτάνη απεκκρίνεται κυρίως από τη χολή. Αυτοί οι ασθενείς αναμένεται να έχουν μειωμένη </w:t>
      </w:r>
      <w:r w:rsidR="00E42005">
        <w:rPr>
          <w:snapToGrid/>
          <w:szCs w:val="22"/>
          <w:lang w:val="el-GR"/>
        </w:rPr>
        <w:t xml:space="preserve">ηπατική </w:t>
      </w:r>
      <w:r w:rsidRPr="00FC2F1F">
        <w:rPr>
          <w:snapToGrid/>
          <w:szCs w:val="22"/>
          <w:lang w:val="el-GR"/>
        </w:rPr>
        <w:t>κάθαρση για την τελμισαρτάνη.</w:t>
      </w:r>
    </w:p>
    <w:p w:rsidR="004D2FF9" w:rsidRDefault="004D2FF9"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Επιπροσθέτως, το </w:t>
      </w:r>
      <w:r w:rsidRPr="00FC2F1F">
        <w:rPr>
          <w:szCs w:val="22"/>
          <w:lang w:val="el-GR"/>
        </w:rPr>
        <w:t xml:space="preserve">Tolucombi </w:t>
      </w:r>
      <w:r w:rsidRPr="00FC2F1F">
        <w:rPr>
          <w:snapToGrid/>
          <w:szCs w:val="22"/>
          <w:lang w:val="el-GR"/>
        </w:rPr>
        <w:t xml:space="preserve">θα πρέπει να χορηγείται με προσοχή σε ασθενείς με διαταραγμένη ηπατική λειτουργία ή εξελισσόμενη ηπατική νόσο, καθώς μικρές αλλαγές στο ισοζύγιο υγρών και ηλεκτρολυτών μπορεί να προκαλέσουν ηπατικό κώμα. Δεν υπάρχει κλινική εμπειρία με το </w:t>
      </w:r>
      <w:r w:rsidRPr="00FC2F1F">
        <w:rPr>
          <w:szCs w:val="22"/>
          <w:lang w:val="el-GR"/>
        </w:rPr>
        <w:t xml:space="preserve">Tolucombi </w:t>
      </w:r>
      <w:r w:rsidRPr="00FC2F1F">
        <w:rPr>
          <w:snapToGrid/>
          <w:szCs w:val="22"/>
          <w:lang w:val="el-GR"/>
        </w:rPr>
        <w:t>σε ασθενείς με ηπατική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Νεφραγγειακή υπέρταση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Υπάρχει αυξημένος κίνδυνος σοβαρής υπότασης και νεφρικής ανεπάρκειας σε ασθενείς με αμφοτερόπλευρη στένωση της νεφρικής αρτηρίας ή στένωση της αρτηρίας με μονήρη λειτουργικό νεφρό όταν αυτοί υποβάλλονται σε θεραπεία με φαρμακευτικά προϊόντα που επηρεάζουν το σύστημα ρενίνης-αγγειοτενσίνης-αλδοστερόνης.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Νεφρική δυσλειτουργία και μεταμόσχευση νεφρού</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 xml:space="preserve">Tolucombi </w:t>
      </w:r>
      <w:r w:rsidRPr="00FC2F1F">
        <w:rPr>
          <w:snapToGrid/>
          <w:szCs w:val="22"/>
          <w:lang w:val="el-GR"/>
        </w:rPr>
        <w:t>δε</w:t>
      </w:r>
      <w:r w:rsidR="00E42005">
        <w:rPr>
          <w:snapToGrid/>
          <w:szCs w:val="22"/>
          <w:lang w:val="el-GR"/>
        </w:rPr>
        <w:t>ν</w:t>
      </w:r>
      <w:r w:rsidRPr="00FC2F1F">
        <w:rPr>
          <w:snapToGrid/>
          <w:szCs w:val="22"/>
          <w:lang w:val="el-GR"/>
        </w:rPr>
        <w:t xml:space="preserve"> πρέπει να χρησιμοποιείται σε ασθενείς με σοβαρή νεφρική δυσλειτουργία (κάθαρση κρεατινίνης &lt;30 ml/min) (βλ. παράγραφο 4.3). Δεν υπάρχει εμπειρία σχετικά με τη χορήγηση του </w:t>
      </w:r>
      <w:r w:rsidRPr="00FC2F1F">
        <w:rPr>
          <w:szCs w:val="22"/>
          <w:lang w:val="el-GR"/>
        </w:rPr>
        <w:t xml:space="preserve">Tolucombi </w:t>
      </w:r>
      <w:r w:rsidRPr="00FC2F1F">
        <w:rPr>
          <w:snapToGrid/>
          <w:szCs w:val="22"/>
          <w:lang w:val="el-GR"/>
        </w:rPr>
        <w:t xml:space="preserve">σε ασθενείς που υποβλήθηκαν πρόσφατα σε μεταμόσχευση νεφρού. Η εμπειρία με το </w:t>
      </w:r>
      <w:r w:rsidRPr="00FC2F1F">
        <w:rPr>
          <w:szCs w:val="22"/>
          <w:lang w:val="el-GR"/>
        </w:rPr>
        <w:t>Tolucombi ε</w:t>
      </w:r>
      <w:r w:rsidRPr="00FC2F1F">
        <w:rPr>
          <w:snapToGrid/>
          <w:szCs w:val="22"/>
          <w:lang w:val="el-GR"/>
        </w:rPr>
        <w:t xml:space="preserve">ίναι περιορισμένη σε ασθενείς με ήπια </w:t>
      </w:r>
      <w:r w:rsidR="00E42005">
        <w:rPr>
          <w:snapToGrid/>
          <w:szCs w:val="22"/>
          <w:lang w:val="el-GR"/>
        </w:rPr>
        <w:t>έ</w:t>
      </w:r>
      <w:r w:rsidRPr="00FC2F1F">
        <w:rPr>
          <w:snapToGrid/>
          <w:szCs w:val="22"/>
          <w:lang w:val="el-GR"/>
        </w:rPr>
        <w:t>ως μέτρια</w:t>
      </w:r>
      <w:r w:rsidR="00E42005">
        <w:rPr>
          <w:snapToGrid/>
          <w:szCs w:val="22"/>
          <w:lang w:val="el-GR"/>
        </w:rPr>
        <w:t>ς βαρύτητας</w:t>
      </w:r>
      <w:r w:rsidRPr="00FC2F1F">
        <w:rPr>
          <w:snapToGrid/>
          <w:szCs w:val="22"/>
          <w:lang w:val="el-GR"/>
        </w:rPr>
        <w:t xml:space="preserve"> νεφρική δυσλειτουργία</w:t>
      </w:r>
      <w:r w:rsidR="00E42005">
        <w:rPr>
          <w:snapToGrid/>
          <w:szCs w:val="22"/>
          <w:lang w:val="el-GR"/>
        </w:rPr>
        <w:t>,</w:t>
      </w:r>
      <w:r w:rsidRPr="00FC2F1F">
        <w:rPr>
          <w:snapToGrid/>
          <w:szCs w:val="22"/>
          <w:lang w:val="el-GR"/>
        </w:rPr>
        <w:t xml:space="preserve"> ως εκ τούτου, συ</w:t>
      </w:r>
      <w:r w:rsidR="00E42005">
        <w:rPr>
          <w:snapToGrid/>
          <w:szCs w:val="22"/>
          <w:lang w:val="el-GR"/>
        </w:rPr>
        <w:t>νιστά</w:t>
      </w:r>
      <w:r w:rsidRPr="00FC2F1F">
        <w:rPr>
          <w:snapToGrid/>
          <w:szCs w:val="22"/>
          <w:lang w:val="el-GR"/>
        </w:rPr>
        <w:t>ται περιοδικός έλεγχος των επιπέδων καλίου, κρεατινίνης και ουρικού οξέος</w:t>
      </w:r>
      <w:r w:rsidR="00B21486">
        <w:rPr>
          <w:snapToGrid/>
          <w:szCs w:val="22"/>
          <w:lang w:val="el-GR"/>
        </w:rPr>
        <w:t xml:space="preserve"> στον ορό</w:t>
      </w:r>
      <w:r w:rsidRPr="00FC2F1F">
        <w:rPr>
          <w:snapToGrid/>
          <w:szCs w:val="22"/>
          <w:lang w:val="el-GR"/>
        </w:rPr>
        <w:t xml:space="preserve">. Αζωθαιμία σχετιζόμενη με θειαζιδικά διουρητικά μπορεί να εμφανιστεί σε ασθενείς με </w:t>
      </w:r>
      <w:r w:rsidR="00E42005">
        <w:rPr>
          <w:snapToGrid/>
          <w:szCs w:val="22"/>
          <w:lang w:val="el-GR"/>
        </w:rPr>
        <w:t>επηρεασ</w:t>
      </w:r>
      <w:r w:rsidRPr="00FC2F1F">
        <w:rPr>
          <w:snapToGrid/>
          <w:szCs w:val="22"/>
          <w:lang w:val="el-GR"/>
        </w:rPr>
        <w:t>μένη νεφρική 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Ενδαγγειακή υποογκαιμία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Συμπτωματική υπόταση, ιδιαίτερα μετά την πρώτη δόση, μπορεί να εμφανιστεί σε ασθενείς με υποογκαιμία και/ή νατριοπενία που οφείλ</w:t>
      </w:r>
      <w:r w:rsidR="00E42005">
        <w:rPr>
          <w:snapToGrid/>
          <w:szCs w:val="22"/>
          <w:lang w:val="el-GR"/>
        </w:rPr>
        <w:t>ον</w:t>
      </w:r>
      <w:r w:rsidRPr="00FC2F1F">
        <w:rPr>
          <w:snapToGrid/>
          <w:szCs w:val="22"/>
          <w:lang w:val="el-GR"/>
        </w:rPr>
        <w:t xml:space="preserve">ται σε </w:t>
      </w:r>
      <w:r w:rsidR="00E42005">
        <w:rPr>
          <w:snapToGrid/>
          <w:szCs w:val="22"/>
          <w:lang w:val="el-GR"/>
        </w:rPr>
        <w:t>ισχυρή</w:t>
      </w:r>
      <w:r w:rsidRPr="00FC2F1F">
        <w:rPr>
          <w:snapToGrid/>
          <w:szCs w:val="22"/>
          <w:lang w:val="el-GR"/>
        </w:rPr>
        <w:t xml:space="preserve"> διουρητική θεραπεία, διαιτητικό περιορισμό άλατος, διάρροια ή έμετο. Τέτοιες καταστάσεις πρέπει να διορθ</w:t>
      </w:r>
      <w:r w:rsidR="00E42005">
        <w:rPr>
          <w:snapToGrid/>
          <w:szCs w:val="22"/>
          <w:lang w:val="el-GR"/>
        </w:rPr>
        <w:t>ώνονται</w:t>
      </w:r>
      <w:r w:rsidRPr="00FC2F1F">
        <w:rPr>
          <w:snapToGrid/>
          <w:szCs w:val="22"/>
          <w:lang w:val="el-GR"/>
        </w:rPr>
        <w:t xml:space="preserve"> πριν τη χορήγηση του </w:t>
      </w:r>
      <w:r w:rsidRPr="00FC2F1F">
        <w:rPr>
          <w:szCs w:val="22"/>
          <w:lang w:val="el-GR"/>
        </w:rPr>
        <w:t>Tolucombi</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Διπλός αποκλεισμός του συστήματος ρενίνης-αγγειοτενσίνης-αλδοστερόνης</w:t>
      </w:r>
      <w:r>
        <w:rPr>
          <w:snapToGrid/>
          <w:szCs w:val="22"/>
          <w:u w:val="single"/>
          <w:lang w:val="sl-SI"/>
        </w:rPr>
        <w:t xml:space="preserve"> </w:t>
      </w:r>
      <w:r w:rsidRPr="00D76F8A">
        <w:rPr>
          <w:snapToGrid/>
          <w:szCs w:val="22"/>
          <w:u w:val="single"/>
          <w:lang w:val="sl-SI"/>
        </w:rPr>
        <w:t>(RA</w:t>
      </w:r>
      <w:r w:rsidR="007A3DD2">
        <w:rPr>
          <w:snapToGrid/>
          <w:szCs w:val="22"/>
          <w:u w:val="single"/>
          <w:lang w:val="sl-SI"/>
        </w:rPr>
        <w:t>A</w:t>
      </w:r>
      <w:r w:rsidRPr="00D76F8A">
        <w:rPr>
          <w:snapToGrid/>
          <w:szCs w:val="22"/>
          <w:u w:val="single"/>
          <w:lang w:val="sl-SI"/>
        </w:rPr>
        <w:t>S)</w:t>
      </w:r>
    </w:p>
    <w:p w:rsidR="00681191" w:rsidRPr="00D76F8A" w:rsidRDefault="00681191" w:rsidP="00681191">
      <w:pPr>
        <w:widowControl w:val="0"/>
        <w:tabs>
          <w:tab w:val="clear" w:pos="567"/>
        </w:tabs>
        <w:autoSpaceDE w:val="0"/>
        <w:autoSpaceDN w:val="0"/>
        <w:adjustRightInd w:val="0"/>
        <w:spacing w:line="240" w:lineRule="auto"/>
        <w:rPr>
          <w:snapToGrid/>
          <w:szCs w:val="22"/>
          <w:lang w:val="el-GR"/>
        </w:rPr>
      </w:pPr>
      <w:r w:rsidRPr="00D76F8A">
        <w:rPr>
          <w:snapToGrid/>
          <w:szCs w:val="22"/>
          <w:lang w:val="el-GR"/>
        </w:rPr>
        <w:t xml:space="preserve">Υπάρχουν </w:t>
      </w:r>
      <w:r w:rsidR="00463883">
        <w:rPr>
          <w:snapToGrid/>
          <w:szCs w:val="22"/>
          <w:lang w:val="el-GR"/>
        </w:rPr>
        <w:t>εν</w:t>
      </w:r>
      <w:r w:rsidRPr="00D76F8A">
        <w:rPr>
          <w:snapToGrid/>
          <w:szCs w:val="22"/>
          <w:lang w:val="el-GR"/>
        </w:rPr>
        <w:t xml:space="preserve">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 Ως εκ τούτου, </w:t>
      </w:r>
      <w:r w:rsidR="00463883">
        <w:rPr>
          <w:snapToGrid/>
          <w:szCs w:val="22"/>
          <w:lang w:val="el-GR"/>
        </w:rPr>
        <w:t xml:space="preserve">δεν συνιστάται </w:t>
      </w:r>
      <w:r w:rsidRPr="00D76F8A">
        <w:rPr>
          <w:snapToGrid/>
          <w:szCs w:val="22"/>
          <w:lang w:val="el-GR"/>
        </w:rPr>
        <w:t>διπλός αποκλεισμός του συστήματος ρενίνης-αγγειοτενσίνης-αλδοστερόνης (RA</w:t>
      </w:r>
      <w:r w:rsidR="007A3DD2">
        <w:rPr>
          <w:snapToGrid/>
          <w:szCs w:val="22"/>
          <w:lang w:val="en-US"/>
        </w:rPr>
        <w:t>A</w:t>
      </w:r>
      <w:r w:rsidRPr="00D76F8A">
        <w:rPr>
          <w:snapToGrid/>
          <w:szCs w:val="22"/>
          <w:lang w:val="el-GR"/>
        </w:rPr>
        <w:t>S) μέσω της συνδυασμένης χρήσης αναστολέων ΜΕΑ, αποκλειστών των υποδοχέων αγγειοτενσίνης ΙΙ ή αλισκιρένης (βλ. παραγράφους 4.5 και 5.1).</w:t>
      </w:r>
    </w:p>
    <w:p w:rsidR="00681191" w:rsidRPr="00D76F8A" w:rsidRDefault="00681191" w:rsidP="00681191">
      <w:pPr>
        <w:widowControl w:val="0"/>
        <w:tabs>
          <w:tab w:val="clear" w:pos="567"/>
        </w:tabs>
        <w:autoSpaceDE w:val="0"/>
        <w:autoSpaceDN w:val="0"/>
        <w:adjustRightInd w:val="0"/>
        <w:spacing w:line="240" w:lineRule="auto"/>
        <w:rPr>
          <w:snapToGrid/>
          <w:szCs w:val="22"/>
          <w:lang w:val="el-GR"/>
        </w:rPr>
      </w:pPr>
      <w:r w:rsidRPr="00D76F8A">
        <w:rPr>
          <w:snapToGrid/>
          <w:szCs w:val="22"/>
          <w:lang w:val="el-GR"/>
        </w:rPr>
        <w:t>Εάν η θεραπεία διπλού αποκλεισμού θεωρείται απολύτως απαραίτητη, αυτ</w:t>
      </w:r>
      <w:r w:rsidR="00351473">
        <w:rPr>
          <w:snapToGrid/>
          <w:szCs w:val="22"/>
          <w:lang w:val="el-GR"/>
        </w:rPr>
        <w:t>ή</w:t>
      </w:r>
      <w:r w:rsidRPr="00D76F8A">
        <w:rPr>
          <w:snapToGrid/>
          <w:szCs w:val="22"/>
          <w:lang w:val="el-GR"/>
        </w:rPr>
        <w:t xml:space="preserve"> θα πρέπει να λάβει χώρα μόνο </w:t>
      </w:r>
      <w:r w:rsidR="00351473">
        <w:rPr>
          <w:snapToGrid/>
          <w:szCs w:val="22"/>
          <w:lang w:val="el-GR"/>
        </w:rPr>
        <w:t>υ</w:t>
      </w:r>
      <w:r w:rsidRPr="00D76F8A">
        <w:rPr>
          <w:snapToGrid/>
          <w:szCs w:val="22"/>
          <w:lang w:val="el-GR"/>
        </w:rPr>
        <w:t>πό την επίβλεψη ειδικού και με συχνή στενή παρακολούθηση της νεφρικής λειτουργίας, των ηλεκτρολυτών και της αρτηριακής πίεσης.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D76F8A">
        <w:rPr>
          <w:snapToGrid/>
          <w:szCs w:val="22"/>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Άλλες καταστάσεις με διέγερση του συστήματος ρενίνης-αγγειοτενσίνης-αλδοστερόνης</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Σε ασθενείς </w:t>
      </w:r>
      <w:r w:rsidR="00351473">
        <w:rPr>
          <w:snapToGrid/>
          <w:szCs w:val="22"/>
          <w:lang w:val="el-GR"/>
        </w:rPr>
        <w:t>των οποίων</w:t>
      </w:r>
      <w:r w:rsidRPr="00FC2F1F">
        <w:rPr>
          <w:snapToGrid/>
          <w:szCs w:val="22"/>
          <w:lang w:val="el-GR"/>
        </w:rPr>
        <w:t xml:space="preserve"> ο αγγειακός τόνος και η νεφρική λειτουργία εξαρτώνται κυρίως από τη δραστηριότητα του συστήματος ρενίνης-αγγειοτενσίνης-αλδοστερόνης (</w:t>
      </w:r>
      <w:r w:rsidR="00351473">
        <w:rPr>
          <w:snapToGrid/>
          <w:szCs w:val="22"/>
          <w:lang w:val="el-GR"/>
        </w:rPr>
        <w:t>π.χ.</w:t>
      </w:r>
      <w:r w:rsidRPr="00FC2F1F">
        <w:rPr>
          <w:snapToGrid/>
          <w:szCs w:val="22"/>
          <w:lang w:val="el-GR"/>
        </w:rPr>
        <w:t xml:space="preserve"> ασθενείς με βαριά συμφορητική καρδιακή ανεπάρκεια ή υποκε</w:t>
      </w:r>
      <w:r w:rsidR="00351473">
        <w:rPr>
          <w:snapToGrid/>
          <w:szCs w:val="22"/>
          <w:lang w:val="el-GR"/>
        </w:rPr>
        <w:t>ίμενη</w:t>
      </w:r>
      <w:r w:rsidRPr="00FC2F1F">
        <w:rPr>
          <w:snapToGrid/>
          <w:szCs w:val="22"/>
          <w:lang w:val="el-GR"/>
        </w:rPr>
        <w:t xml:space="preserve"> νεφρική νόσο, συμπεριλαμβαν</w:t>
      </w:r>
      <w:r w:rsidR="00351473">
        <w:rPr>
          <w:snapToGrid/>
          <w:szCs w:val="22"/>
          <w:lang w:val="el-GR"/>
        </w:rPr>
        <w:t>ο</w:t>
      </w:r>
      <w:r w:rsidRPr="00FC2F1F">
        <w:rPr>
          <w:snapToGrid/>
          <w:szCs w:val="22"/>
          <w:lang w:val="el-GR"/>
        </w:rPr>
        <w:t>μ</w:t>
      </w:r>
      <w:r w:rsidR="00351473">
        <w:rPr>
          <w:snapToGrid/>
          <w:szCs w:val="22"/>
          <w:lang w:val="el-GR"/>
        </w:rPr>
        <w:t>έ</w:t>
      </w:r>
      <w:r w:rsidRPr="00FC2F1F">
        <w:rPr>
          <w:snapToGrid/>
          <w:szCs w:val="22"/>
          <w:lang w:val="el-GR"/>
        </w:rPr>
        <w:t>νης της στένωσης της νεφρικής αρτηρίας), η θεραπεία με φαρμακευτικά προϊόντα που επηρεάζουν αυτό το σύστημα έχει συσχετισθεί με οξεία υπόταση, υπεραζωθαιμία, ολιγουρία, ή σπάνια με οξεία νεφρική ανεπάρκεια (βλ. παράγραφο 4.8).</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Πρωτοπαθής αλδοστερονισμός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ασθενείς με πρωτοπαθή αλδοστερονισμό γενικά δεν ανταποκρίνονται σε αντιυπερτασικά φαρμακευτικά προϊόντα που δρουν αναστ</w:t>
      </w:r>
      <w:r w:rsidR="00B21486">
        <w:rPr>
          <w:snapToGrid/>
          <w:szCs w:val="22"/>
          <w:lang w:val="el-GR"/>
        </w:rPr>
        <w:t>αλτικά</w:t>
      </w:r>
      <w:r w:rsidRPr="00FC2F1F">
        <w:rPr>
          <w:snapToGrid/>
          <w:szCs w:val="22"/>
          <w:lang w:val="el-GR"/>
        </w:rPr>
        <w:t xml:space="preserve"> </w:t>
      </w:r>
      <w:r w:rsidR="00B21486">
        <w:rPr>
          <w:snapToGrid/>
          <w:szCs w:val="22"/>
          <w:lang w:val="el-GR"/>
        </w:rPr>
        <w:t>σ</w:t>
      </w:r>
      <w:r w:rsidRPr="00FC2F1F">
        <w:rPr>
          <w:snapToGrid/>
          <w:szCs w:val="22"/>
          <w:lang w:val="el-GR"/>
        </w:rPr>
        <w:t>το σ</w:t>
      </w:r>
      <w:r w:rsidR="00B21486">
        <w:rPr>
          <w:snapToGrid/>
          <w:szCs w:val="22"/>
          <w:lang w:val="el-GR"/>
        </w:rPr>
        <w:t>ύ</w:t>
      </w:r>
      <w:r w:rsidRPr="00FC2F1F">
        <w:rPr>
          <w:snapToGrid/>
          <w:szCs w:val="22"/>
          <w:lang w:val="el-GR"/>
        </w:rPr>
        <w:t>στ</w:t>
      </w:r>
      <w:r w:rsidR="00B21486">
        <w:rPr>
          <w:snapToGrid/>
          <w:szCs w:val="22"/>
          <w:lang w:val="el-GR"/>
        </w:rPr>
        <w:t>η</w:t>
      </w:r>
      <w:r w:rsidRPr="00FC2F1F">
        <w:rPr>
          <w:snapToGrid/>
          <w:szCs w:val="22"/>
          <w:lang w:val="el-GR"/>
        </w:rPr>
        <w:t xml:space="preserve">μα ρενίνης-αγγειοτενσίνης. Ως εκ τούτου, η χρήση του </w:t>
      </w:r>
      <w:r w:rsidRPr="00FC2F1F">
        <w:rPr>
          <w:szCs w:val="22"/>
          <w:lang w:val="el-GR"/>
        </w:rPr>
        <w:t>Tolucombi</w:t>
      </w:r>
      <w:r w:rsidRPr="00FC2F1F">
        <w:rPr>
          <w:snapToGrid/>
          <w:szCs w:val="22"/>
          <w:lang w:val="el-GR"/>
        </w:rPr>
        <w:t xml:space="preserve"> δε</w:t>
      </w:r>
      <w:r w:rsidR="00891E82">
        <w:rPr>
          <w:snapToGrid/>
          <w:szCs w:val="22"/>
          <w:lang w:val="el-GR"/>
        </w:rPr>
        <w:t>ν</w:t>
      </w:r>
      <w:r w:rsidRPr="00FC2F1F">
        <w:rPr>
          <w:snapToGrid/>
          <w:szCs w:val="22"/>
          <w:lang w:val="el-GR"/>
        </w:rPr>
        <w:t xml:space="preserve"> συνιστάται.</w:t>
      </w: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p>
    <w:p w:rsidR="00681191" w:rsidRPr="00FC2F1F" w:rsidRDefault="00891E82" w:rsidP="00681191">
      <w:pPr>
        <w:widowControl w:val="0"/>
        <w:tabs>
          <w:tab w:val="clear" w:pos="567"/>
        </w:tabs>
        <w:autoSpaceDE w:val="0"/>
        <w:autoSpaceDN w:val="0"/>
        <w:adjustRightInd w:val="0"/>
        <w:spacing w:line="240" w:lineRule="auto"/>
        <w:rPr>
          <w:snapToGrid/>
          <w:szCs w:val="22"/>
          <w:u w:val="single"/>
          <w:lang w:val="el-GR"/>
        </w:rPr>
      </w:pPr>
      <w:r>
        <w:rPr>
          <w:snapToGrid/>
          <w:szCs w:val="22"/>
          <w:u w:val="single"/>
          <w:lang w:val="el-GR"/>
        </w:rPr>
        <w:t>Στένωση α</w:t>
      </w:r>
      <w:r w:rsidR="00681191" w:rsidRPr="00FC2F1F">
        <w:rPr>
          <w:snapToGrid/>
          <w:szCs w:val="22"/>
          <w:u w:val="single"/>
          <w:lang w:val="el-GR"/>
        </w:rPr>
        <w:t>ορτική</w:t>
      </w:r>
      <w:r>
        <w:rPr>
          <w:snapToGrid/>
          <w:szCs w:val="22"/>
          <w:u w:val="single"/>
          <w:lang w:val="el-GR"/>
        </w:rPr>
        <w:t>ς</w:t>
      </w:r>
      <w:r w:rsidR="00681191" w:rsidRPr="00FC2F1F">
        <w:rPr>
          <w:snapToGrid/>
          <w:szCs w:val="22"/>
          <w:u w:val="single"/>
          <w:lang w:val="el-GR"/>
        </w:rPr>
        <w:t xml:space="preserve"> και μιτροειδ</w:t>
      </w:r>
      <w:r>
        <w:rPr>
          <w:snapToGrid/>
          <w:szCs w:val="22"/>
          <w:u w:val="single"/>
          <w:lang w:val="el-GR"/>
        </w:rPr>
        <w:t>ού</w:t>
      </w:r>
      <w:r w:rsidR="00681191" w:rsidRPr="00FC2F1F">
        <w:rPr>
          <w:snapToGrid/>
          <w:szCs w:val="22"/>
          <w:u w:val="single"/>
          <w:lang w:val="el-GR"/>
        </w:rPr>
        <w:t>ς βαλβ</w:t>
      </w:r>
      <w:r>
        <w:rPr>
          <w:snapToGrid/>
          <w:szCs w:val="22"/>
          <w:u w:val="single"/>
          <w:lang w:val="el-GR"/>
        </w:rPr>
        <w:t>ίδας</w:t>
      </w:r>
      <w:r w:rsidR="00681191" w:rsidRPr="00FC2F1F">
        <w:rPr>
          <w:snapToGrid/>
          <w:szCs w:val="22"/>
          <w:u w:val="single"/>
          <w:lang w:val="el-GR"/>
        </w:rPr>
        <w:t>, υπερτροφική αποφρακτική καρδιομυοπάθεια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Όπως και με άλλους αγγειοδιασταλτικούς παράγοντες, συ</w:t>
      </w:r>
      <w:r w:rsidR="00891E82">
        <w:rPr>
          <w:snapToGrid/>
          <w:szCs w:val="22"/>
          <w:lang w:val="el-GR"/>
        </w:rPr>
        <w:t>νιστά</w:t>
      </w:r>
      <w:r w:rsidRPr="00FC2F1F">
        <w:rPr>
          <w:snapToGrid/>
          <w:szCs w:val="22"/>
          <w:lang w:val="el-GR"/>
        </w:rPr>
        <w:t xml:space="preserve">ται ιδιαίτερη προσοχή σε ασθενείς που πάσχουν από </w:t>
      </w:r>
      <w:r w:rsidR="00891E82">
        <w:rPr>
          <w:snapToGrid/>
          <w:szCs w:val="22"/>
          <w:lang w:val="el-GR"/>
        </w:rPr>
        <w:t xml:space="preserve">στένωση </w:t>
      </w:r>
      <w:r w:rsidRPr="00FC2F1F">
        <w:rPr>
          <w:snapToGrid/>
          <w:szCs w:val="22"/>
          <w:lang w:val="el-GR"/>
        </w:rPr>
        <w:t>αορτική</w:t>
      </w:r>
      <w:r w:rsidR="00891E82">
        <w:rPr>
          <w:snapToGrid/>
          <w:szCs w:val="22"/>
          <w:lang w:val="el-GR"/>
        </w:rPr>
        <w:t>ς</w:t>
      </w:r>
      <w:r w:rsidRPr="00FC2F1F">
        <w:rPr>
          <w:snapToGrid/>
          <w:szCs w:val="22"/>
          <w:lang w:val="el-GR"/>
        </w:rPr>
        <w:t xml:space="preserve"> ή μιτροειδ</w:t>
      </w:r>
      <w:r w:rsidR="00891E82">
        <w:rPr>
          <w:snapToGrid/>
          <w:szCs w:val="22"/>
          <w:lang w:val="el-GR"/>
        </w:rPr>
        <w:t>ούς</w:t>
      </w:r>
      <w:r w:rsidRPr="00FC2F1F">
        <w:rPr>
          <w:snapToGrid/>
          <w:szCs w:val="22"/>
          <w:lang w:val="el-GR"/>
        </w:rPr>
        <w:t xml:space="preserve"> βαλβ</w:t>
      </w:r>
      <w:r w:rsidR="00891E82">
        <w:rPr>
          <w:snapToGrid/>
          <w:szCs w:val="22"/>
          <w:lang w:val="el-GR"/>
        </w:rPr>
        <w:t>ίδας</w:t>
      </w:r>
      <w:r w:rsidRPr="00FC2F1F">
        <w:rPr>
          <w:snapToGrid/>
          <w:szCs w:val="22"/>
          <w:lang w:val="el-GR"/>
        </w:rPr>
        <w:t>, ή υπερτροφική αποφρακτική καρδιομυοπάθεια.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Μεταβολικές και ενδοκρινικές επιδράσεις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θεραπεία με θειαζ</w:t>
      </w:r>
      <w:r w:rsidR="00891E82">
        <w:rPr>
          <w:snapToGrid/>
          <w:szCs w:val="22"/>
          <w:lang w:val="el-GR"/>
        </w:rPr>
        <w:t>ίδες</w:t>
      </w:r>
      <w:r w:rsidRPr="00FC2F1F">
        <w:rPr>
          <w:snapToGrid/>
          <w:szCs w:val="22"/>
          <w:lang w:val="el-GR"/>
        </w:rPr>
        <w:t xml:space="preserve"> μπορεί να επηρεάσει δυσμενώς την ανοχή </w:t>
      </w:r>
      <w:r w:rsidR="00891E82">
        <w:rPr>
          <w:snapToGrid/>
          <w:szCs w:val="22"/>
          <w:lang w:val="el-GR"/>
        </w:rPr>
        <w:t xml:space="preserve">στη </w:t>
      </w:r>
      <w:r w:rsidRPr="00FC2F1F">
        <w:rPr>
          <w:snapToGrid/>
          <w:szCs w:val="22"/>
          <w:lang w:val="el-GR"/>
        </w:rPr>
        <w:t xml:space="preserve">γλυκόζη, ενώ μπορεί να εμφανιστεί υπογλυκαιμία σε διαβητικούς ασθενείς υπό θεραπεία με ινσουλίνη ή αντιδιαβητικά φάρμακα και αγωγή με τελμισαρτάνη. Ως εκ τούτου, σε αυτούς τους ασθενείς θα πρέπει να εξετάζεται </w:t>
      </w:r>
      <w:r w:rsidR="00891E82">
        <w:rPr>
          <w:snapToGrid/>
          <w:szCs w:val="22"/>
          <w:lang w:val="el-GR"/>
        </w:rPr>
        <w:t xml:space="preserve">το ενδεχόμενο </w:t>
      </w:r>
      <w:r w:rsidRPr="00FC2F1F">
        <w:rPr>
          <w:snapToGrid/>
          <w:szCs w:val="22"/>
          <w:lang w:val="el-GR"/>
        </w:rPr>
        <w:t>παρακολούθηση</w:t>
      </w:r>
      <w:r w:rsidR="00891E82">
        <w:rPr>
          <w:snapToGrid/>
          <w:szCs w:val="22"/>
          <w:lang w:val="el-GR"/>
        </w:rPr>
        <w:t>ς</w:t>
      </w:r>
      <w:r w:rsidRPr="00FC2F1F">
        <w:rPr>
          <w:snapToGrid/>
          <w:szCs w:val="22"/>
          <w:lang w:val="el-GR"/>
        </w:rPr>
        <w:t xml:space="preserve"> της γλυκόζης αίματος. Μπορεί να χρειαστεί ρύθμιση της δόσης της ινσουλίνης ή των αντιδιαβητικών</w:t>
      </w:r>
      <w:r w:rsidR="00891E82">
        <w:rPr>
          <w:snapToGrid/>
          <w:szCs w:val="22"/>
          <w:lang w:val="el-GR"/>
        </w:rPr>
        <w:t>,</w:t>
      </w:r>
      <w:r w:rsidRPr="00FC2F1F">
        <w:rPr>
          <w:snapToGrid/>
          <w:szCs w:val="22"/>
          <w:lang w:val="el-GR"/>
        </w:rPr>
        <w:t xml:space="preserve"> όταν ενδείκνυται. Λανθάνων σακχαρώδης διαβήτης μπορεί να </w:t>
      </w:r>
      <w:r w:rsidR="00891E82">
        <w:rPr>
          <w:snapToGrid/>
          <w:szCs w:val="22"/>
          <w:lang w:val="el-GR"/>
        </w:rPr>
        <w:t>εκδηλωθεί</w:t>
      </w:r>
      <w:r w:rsidRPr="00FC2F1F">
        <w:rPr>
          <w:snapToGrid/>
          <w:szCs w:val="22"/>
          <w:lang w:val="el-GR"/>
        </w:rPr>
        <w:t xml:space="preserve"> κατά τη διάρκεια </w:t>
      </w:r>
      <w:r w:rsidR="00891E82">
        <w:rPr>
          <w:snapToGrid/>
          <w:szCs w:val="22"/>
          <w:lang w:val="el-GR"/>
        </w:rPr>
        <w:t xml:space="preserve">της </w:t>
      </w:r>
      <w:r w:rsidRPr="00FC2F1F">
        <w:rPr>
          <w:snapToGrid/>
          <w:szCs w:val="22"/>
          <w:lang w:val="el-GR"/>
        </w:rPr>
        <w:t>θεραπείας με θειαζίδες.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891E82" w:rsidP="00681191">
      <w:pPr>
        <w:widowControl w:val="0"/>
        <w:tabs>
          <w:tab w:val="clear" w:pos="567"/>
        </w:tabs>
        <w:autoSpaceDE w:val="0"/>
        <w:autoSpaceDN w:val="0"/>
        <w:adjustRightInd w:val="0"/>
        <w:spacing w:line="240" w:lineRule="auto"/>
        <w:rPr>
          <w:snapToGrid/>
          <w:szCs w:val="22"/>
          <w:lang w:val="el-GR"/>
        </w:rPr>
      </w:pPr>
      <w:r>
        <w:rPr>
          <w:snapToGrid/>
          <w:szCs w:val="22"/>
          <w:lang w:val="el-GR"/>
        </w:rPr>
        <w:t>Α</w:t>
      </w:r>
      <w:r w:rsidR="00681191" w:rsidRPr="00FC2F1F">
        <w:rPr>
          <w:snapToGrid/>
          <w:szCs w:val="22"/>
          <w:lang w:val="el-GR"/>
        </w:rPr>
        <w:t>ύξηση των επιπέδων χοληστερόλης και τριγλυκεριδίων έχει συσχετισθεί με τη θεραπεία με θειαζιδικά διουρητικά. Εντούτοις, στη δόση των 12,5</w:t>
      </w:r>
      <w:r w:rsidR="00681191">
        <w:rPr>
          <w:snapToGrid/>
          <w:szCs w:val="22"/>
          <w:lang w:val="el-GR"/>
        </w:rPr>
        <w:t> mg</w:t>
      </w:r>
      <w:r w:rsidR="00681191" w:rsidRPr="00FC2F1F">
        <w:rPr>
          <w:snapToGrid/>
          <w:szCs w:val="22"/>
          <w:lang w:val="el-GR"/>
        </w:rPr>
        <w:t xml:space="preserve"> που περιέχεται στο </w:t>
      </w:r>
      <w:r w:rsidR="00681191" w:rsidRPr="00FC2F1F">
        <w:rPr>
          <w:szCs w:val="22"/>
          <w:lang w:val="el-GR"/>
        </w:rPr>
        <w:t>Tolucombi,</w:t>
      </w:r>
      <w:r w:rsidR="00681191" w:rsidRPr="00FC2F1F">
        <w:rPr>
          <w:snapToGrid/>
          <w:szCs w:val="22"/>
          <w:lang w:val="el-GR"/>
        </w:rPr>
        <w:t xml:space="preserve"> έχουν αναφερθεί ελάχιστες ή καθόλου επιδράσεις.Υπερουριχαιμία ή συμπτωματική ουρική αρθρίτιδα μπορεί να προκληθεί σε ορισμένους ασθενείς που λαμβάνουν θεραπεία με θειαζ</w:t>
      </w:r>
      <w:r>
        <w:rPr>
          <w:snapToGrid/>
          <w:szCs w:val="22"/>
          <w:lang w:val="el-GR"/>
        </w:rPr>
        <w:t>ίδες</w:t>
      </w:r>
      <w:r w:rsidR="00681191"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Ηλεκτρολυτικές διαταραχές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Όπως και με οποιοδήποτε ασθενή που λαμβάνει θεραπεία</w:t>
      </w:r>
      <w:r w:rsidR="00891E82">
        <w:rPr>
          <w:snapToGrid/>
          <w:szCs w:val="22"/>
          <w:lang w:val="el-GR"/>
        </w:rPr>
        <w:t xml:space="preserve"> με διουρητικά</w:t>
      </w:r>
      <w:r w:rsidRPr="00FC2F1F">
        <w:rPr>
          <w:snapToGrid/>
          <w:szCs w:val="22"/>
          <w:lang w:val="el-GR"/>
        </w:rPr>
        <w:t>, θα πρέπει να διενεργείται περιοδικός προσδιορισμός των ηλεκτρολυτών ορού σε κατάλληλα χρονικά διαστήματα.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θειαζίδες, περιλαμβανομένης της υδροχλωροθειαζίδης, μπορούν να προκαλέσουν διαταραχ</w:t>
      </w:r>
      <w:r w:rsidR="00952A56">
        <w:rPr>
          <w:snapToGrid/>
          <w:szCs w:val="22"/>
          <w:lang w:val="el-GR"/>
        </w:rPr>
        <w:t>ή</w:t>
      </w:r>
      <w:r w:rsidRPr="00FC2F1F">
        <w:rPr>
          <w:snapToGrid/>
          <w:szCs w:val="22"/>
          <w:lang w:val="el-GR"/>
        </w:rPr>
        <w:t xml:space="preserve"> </w:t>
      </w:r>
      <w:r w:rsidR="00B21486">
        <w:rPr>
          <w:snapToGrid/>
          <w:szCs w:val="22"/>
          <w:lang w:val="el-GR"/>
        </w:rPr>
        <w:t xml:space="preserve">του ισοζυγίου </w:t>
      </w:r>
      <w:r w:rsidR="00952A56">
        <w:rPr>
          <w:snapToGrid/>
          <w:szCs w:val="22"/>
          <w:lang w:val="el-GR"/>
        </w:rPr>
        <w:t>υγρών</w:t>
      </w:r>
      <w:r w:rsidRPr="00FC2F1F">
        <w:rPr>
          <w:snapToGrid/>
          <w:szCs w:val="22"/>
          <w:lang w:val="el-GR"/>
        </w:rPr>
        <w:t xml:space="preserve"> ή ηλεκτρολυτών (περιλαμβανομέν</w:t>
      </w:r>
      <w:r w:rsidR="00952A56">
        <w:rPr>
          <w:snapToGrid/>
          <w:szCs w:val="22"/>
          <w:lang w:val="el-GR"/>
        </w:rPr>
        <w:t>ων</w:t>
      </w:r>
      <w:r w:rsidRPr="00FC2F1F">
        <w:rPr>
          <w:snapToGrid/>
          <w:szCs w:val="22"/>
          <w:lang w:val="el-GR"/>
        </w:rPr>
        <w:t xml:space="preserve"> τ</w:t>
      </w:r>
      <w:r w:rsidR="00952A56">
        <w:rPr>
          <w:snapToGrid/>
          <w:szCs w:val="22"/>
          <w:lang w:val="el-GR"/>
        </w:rPr>
        <w:t>ων</w:t>
      </w:r>
      <w:r w:rsidRPr="00FC2F1F">
        <w:rPr>
          <w:snapToGrid/>
          <w:szCs w:val="22"/>
          <w:lang w:val="el-GR"/>
        </w:rPr>
        <w:t xml:space="preserve"> υποκαλιαιμίας, υπονατριαιμίας και υποχλωραιμικής αλκάλωσης). Προειδοποιητικά σημεία διαταραχ</w:t>
      </w:r>
      <w:r w:rsidR="00952A56">
        <w:rPr>
          <w:snapToGrid/>
          <w:szCs w:val="22"/>
          <w:lang w:val="el-GR"/>
        </w:rPr>
        <w:t>ής</w:t>
      </w:r>
      <w:r w:rsidR="00B21486">
        <w:rPr>
          <w:snapToGrid/>
          <w:szCs w:val="22"/>
          <w:lang w:val="el-GR"/>
        </w:rPr>
        <w:t xml:space="preserve"> του ισοζυγίου</w:t>
      </w:r>
      <w:r w:rsidRPr="00FC2F1F">
        <w:rPr>
          <w:snapToGrid/>
          <w:szCs w:val="22"/>
          <w:lang w:val="el-GR"/>
        </w:rPr>
        <w:t xml:space="preserve"> </w:t>
      </w:r>
      <w:r w:rsidR="00952A56">
        <w:rPr>
          <w:snapToGrid/>
          <w:szCs w:val="22"/>
          <w:lang w:val="el-GR"/>
        </w:rPr>
        <w:t>υγρών</w:t>
      </w:r>
      <w:r w:rsidRPr="00FC2F1F">
        <w:rPr>
          <w:snapToGrid/>
          <w:szCs w:val="22"/>
          <w:lang w:val="el-GR"/>
        </w:rPr>
        <w:t xml:space="preserve"> ή ηλεκτρολυτών είναι ξηροστομία, δίψα, εξασθένηση, λήθαργος, υπνηλία, ευερεθιστότητα, μυαλγίες ή κράμπες, μυϊκή κόπωση, υπόταση, ολιγουρία, ταχυκαρδία, και γαστρεντερικές διαταραχές όπως ναυτία ή έμετος (βλ. παράγραφο 4.8).</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10"/>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Υποκαλιαιμία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 και υποκαλιαιμία μπορεί να αναπτυχθεί με τη χρήση θειαζιδικών διουρητικών, ταυτόχρονη θεραπεία με τελμισαρτάνη μπορεί να μειώσει την επαγόμενη από το διουρητικό υποκαλιαιμία. Ο κίνδυνος υποκαλιαιμίας είναι μεγαλύτερος σε ασθενείς με κίρρωση ήπατος, σε ασθενείς που </w:t>
      </w:r>
      <w:r w:rsidR="00952A56">
        <w:rPr>
          <w:snapToGrid/>
          <w:szCs w:val="22"/>
          <w:lang w:val="el-GR"/>
        </w:rPr>
        <w:t>παρουσιάζουν</w:t>
      </w:r>
      <w:r w:rsidRPr="00FC2F1F">
        <w:rPr>
          <w:snapToGrid/>
          <w:szCs w:val="22"/>
          <w:lang w:val="el-GR"/>
        </w:rPr>
        <w:t xml:space="preserve"> έντονη διούρηση, σε ασθενείς με ανεπαρκή από του στόματος πρόσληψη ηλεκτρολυτών και σε ασθενείς που λαμβάνουν ταυτόχρονη θεραπεία με κορτικοστεροειδή ή Αδρενοκορτικοτρόπο ορμόνη (ACTH) (βλ. παράγραφο 4.5).</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10"/>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Υπερκαλιαιμία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Αντιστρόφως, υπερκαλιαιμία μπορεί να εμφανιστεί λόγω του ανταγωνισμού των υποδοχέων της αγγειοτενσίνης ΙΙ (ΑΤ1) από το συστατικό τελμισαρτάνη του </w:t>
      </w:r>
      <w:r w:rsidRPr="00FC2F1F">
        <w:rPr>
          <w:szCs w:val="22"/>
          <w:lang w:val="el-GR"/>
        </w:rPr>
        <w:t>Tolucombi</w:t>
      </w:r>
      <w:r w:rsidRPr="00FC2F1F">
        <w:rPr>
          <w:snapToGrid/>
          <w:szCs w:val="22"/>
          <w:lang w:val="el-GR"/>
        </w:rPr>
        <w:t xml:space="preserve">. Αν και κλινικά σημαντική υπερκαλιαιμία δεν έχει </w:t>
      </w:r>
      <w:r w:rsidR="00952A56">
        <w:rPr>
          <w:snapToGrid/>
          <w:szCs w:val="22"/>
          <w:lang w:val="el-GR"/>
        </w:rPr>
        <w:t>τεκμηριωθεί</w:t>
      </w:r>
      <w:r w:rsidRPr="00FC2F1F">
        <w:rPr>
          <w:snapToGrid/>
          <w:szCs w:val="22"/>
          <w:lang w:val="el-GR"/>
        </w:rPr>
        <w:t xml:space="preserve"> με το </w:t>
      </w:r>
      <w:r w:rsidRPr="00FC2F1F">
        <w:rPr>
          <w:szCs w:val="22"/>
          <w:lang w:val="el-GR"/>
        </w:rPr>
        <w:t xml:space="preserve">Tolucombi, </w:t>
      </w:r>
      <w:r w:rsidRPr="00FC2F1F">
        <w:rPr>
          <w:snapToGrid/>
          <w:szCs w:val="22"/>
          <w:lang w:val="el-GR"/>
        </w:rPr>
        <w:t xml:space="preserve">παράγοντες κινδύνου για την ανάπτυξη υπερκαλιαιμίας περιλαμβάνουν νεφρική </w:t>
      </w:r>
      <w:r w:rsidR="00952A56">
        <w:rPr>
          <w:snapToGrid/>
          <w:szCs w:val="22"/>
          <w:lang w:val="el-GR"/>
        </w:rPr>
        <w:t>ανεπάρκεια</w:t>
      </w:r>
      <w:r w:rsidRPr="00FC2F1F">
        <w:rPr>
          <w:snapToGrid/>
          <w:szCs w:val="22"/>
          <w:lang w:val="el-GR"/>
        </w:rPr>
        <w:t xml:space="preserve"> και/ή καρδιακή ανεπάρκεια, και σακχαρώδη διαβήτη. Καλιοσυντηρητικά διουρητικά, συμπληρώματα καλίου ή υποκατάστατα άλατος που περιέχουν κάλιο θα πρέπει να συγχορηγούνται με προσοχή με το </w:t>
      </w:r>
      <w:r w:rsidRPr="00FC2F1F">
        <w:rPr>
          <w:szCs w:val="22"/>
          <w:lang w:val="el-GR"/>
        </w:rPr>
        <w:t>Tolucombi</w:t>
      </w:r>
      <w:r w:rsidRPr="00FC2F1F">
        <w:rPr>
          <w:snapToGrid/>
          <w:szCs w:val="22"/>
          <w:lang w:val="el-GR"/>
        </w:rPr>
        <w:t xml:space="preserve"> (βλ. παράγραφο 4.5).</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10"/>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Υπονατριαιμία και υποχλωραιμική αλκάλωση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Δεν υπάρχουν ενδείξεις ότι το </w:t>
      </w:r>
      <w:r w:rsidRPr="00FC2F1F">
        <w:rPr>
          <w:szCs w:val="22"/>
          <w:lang w:val="el-GR"/>
        </w:rPr>
        <w:t>Tolucombi</w:t>
      </w:r>
      <w:r w:rsidRPr="00FC2F1F">
        <w:rPr>
          <w:snapToGrid/>
          <w:szCs w:val="22"/>
          <w:lang w:val="el-GR"/>
        </w:rPr>
        <w:t xml:space="preserve"> θα μείωνε ή θα εμπόδιζε την ανάπτυξη υπονατριαιμίας που οφείλεται σε διουρητικά. Το έλλειμμα χλωρ</w:t>
      </w:r>
      <w:r w:rsidR="00952A56">
        <w:rPr>
          <w:snapToGrid/>
          <w:szCs w:val="22"/>
          <w:lang w:val="el-GR"/>
        </w:rPr>
        <w:t>ιούχων</w:t>
      </w:r>
      <w:r w:rsidRPr="00FC2F1F">
        <w:rPr>
          <w:snapToGrid/>
          <w:szCs w:val="22"/>
          <w:lang w:val="el-GR"/>
        </w:rPr>
        <w:t xml:space="preserve"> είναι γενικά ήπιο και συνήθως δεν απαιτεί θεραπεία.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10"/>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Υπερασβεστ</w:t>
      </w:r>
      <w:r w:rsidR="00952A56">
        <w:rPr>
          <w:snapToGrid/>
          <w:szCs w:val="22"/>
          <w:lang w:val="el-GR"/>
        </w:rPr>
        <w:t>ι</w:t>
      </w:r>
      <w:r w:rsidRPr="00FC2F1F">
        <w:rPr>
          <w:snapToGrid/>
          <w:szCs w:val="22"/>
          <w:lang w:val="el-GR"/>
        </w:rPr>
        <w:t>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θειαζίδες μπορεί να μειώ</w:t>
      </w:r>
      <w:r w:rsidR="00952A56">
        <w:rPr>
          <w:snapToGrid/>
          <w:szCs w:val="22"/>
          <w:lang w:val="el-GR"/>
        </w:rPr>
        <w:t>σ</w:t>
      </w:r>
      <w:r w:rsidRPr="00FC2F1F">
        <w:rPr>
          <w:snapToGrid/>
          <w:szCs w:val="22"/>
          <w:lang w:val="el-GR"/>
        </w:rPr>
        <w:t>ουν τη νεφρική απέκκριση ασβεστίου και να προκαλέσουν ελαφρά και δια</w:t>
      </w:r>
      <w:r w:rsidR="00952A56">
        <w:rPr>
          <w:snapToGrid/>
          <w:szCs w:val="22"/>
          <w:lang w:val="el-GR"/>
        </w:rPr>
        <w:t>λείπουσα</w:t>
      </w:r>
      <w:r w:rsidRPr="00FC2F1F">
        <w:rPr>
          <w:snapToGrid/>
          <w:szCs w:val="22"/>
          <w:lang w:val="el-GR"/>
        </w:rPr>
        <w:t xml:space="preserve"> αύξηση </w:t>
      </w:r>
      <w:r w:rsidR="00952A56">
        <w:rPr>
          <w:snapToGrid/>
          <w:szCs w:val="22"/>
          <w:lang w:val="el-GR"/>
        </w:rPr>
        <w:t xml:space="preserve">του </w:t>
      </w:r>
      <w:r w:rsidRPr="00FC2F1F">
        <w:rPr>
          <w:snapToGrid/>
          <w:szCs w:val="22"/>
          <w:lang w:val="el-GR"/>
        </w:rPr>
        <w:t>ασβεστίου ορού χωρίς την παρουσία γνωστ</w:t>
      </w:r>
      <w:r w:rsidR="00B21486">
        <w:rPr>
          <w:snapToGrid/>
          <w:szCs w:val="22"/>
          <w:lang w:val="el-GR"/>
        </w:rPr>
        <w:t>ών</w:t>
      </w:r>
      <w:r w:rsidRPr="00FC2F1F">
        <w:rPr>
          <w:snapToGrid/>
          <w:szCs w:val="22"/>
          <w:lang w:val="el-GR"/>
        </w:rPr>
        <w:t xml:space="preserve"> μεταβολικ</w:t>
      </w:r>
      <w:r w:rsidR="00B21486">
        <w:rPr>
          <w:snapToGrid/>
          <w:szCs w:val="22"/>
          <w:lang w:val="el-GR"/>
        </w:rPr>
        <w:t>ών</w:t>
      </w:r>
      <w:r w:rsidRPr="00FC2F1F">
        <w:rPr>
          <w:snapToGrid/>
          <w:szCs w:val="22"/>
          <w:lang w:val="el-GR"/>
        </w:rPr>
        <w:t xml:space="preserve"> διαταραχ</w:t>
      </w:r>
      <w:r w:rsidR="00B21486">
        <w:rPr>
          <w:snapToGrid/>
          <w:szCs w:val="22"/>
          <w:lang w:val="el-GR"/>
        </w:rPr>
        <w:t>ών</w:t>
      </w:r>
      <w:r w:rsidRPr="00FC2F1F">
        <w:rPr>
          <w:snapToGrid/>
          <w:szCs w:val="22"/>
          <w:lang w:val="el-GR"/>
        </w:rPr>
        <w:t xml:space="preserve"> του ασβεστίου. Έντονη υπερασβεστ</w:t>
      </w:r>
      <w:r w:rsidR="00952A56">
        <w:rPr>
          <w:snapToGrid/>
          <w:szCs w:val="22"/>
          <w:lang w:val="el-GR"/>
        </w:rPr>
        <w:t>ι</w:t>
      </w:r>
      <w:r w:rsidRPr="00FC2F1F">
        <w:rPr>
          <w:snapToGrid/>
          <w:szCs w:val="22"/>
          <w:lang w:val="el-GR"/>
        </w:rPr>
        <w:t>αιμία μπορεί να είναι ένδειξη λανθάνοντος υπερπαραθυρεοειδισμού. Οι θειαζίδες θα πρέπει να διακόπτονται πριν από την εκτέλεση των δοκιμασιών λειτουργίας των παραθυρεοειδών.</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numPr>
          <w:ilvl w:val="0"/>
          <w:numId w:val="6"/>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Υπομαγνησιαιμία</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Pr>
          <w:snapToGrid/>
          <w:szCs w:val="22"/>
          <w:lang w:val="el-GR"/>
        </w:rPr>
        <w:t>Έχει δειχθεί ότι ο</w:t>
      </w:r>
      <w:r w:rsidRPr="00FC2F1F">
        <w:rPr>
          <w:snapToGrid/>
          <w:szCs w:val="22"/>
          <w:lang w:val="el-GR"/>
        </w:rPr>
        <w:t xml:space="preserve">ι θειαζίδες αυξάνουν τη νεφρική απέκκριση μαγνησίου, </w:t>
      </w:r>
      <w:r>
        <w:rPr>
          <w:snapToGrid/>
          <w:szCs w:val="22"/>
          <w:lang w:val="el-GR"/>
        </w:rPr>
        <w:t>το οποίο</w:t>
      </w:r>
      <w:r w:rsidRPr="00FC2F1F">
        <w:rPr>
          <w:snapToGrid/>
          <w:szCs w:val="22"/>
          <w:lang w:val="el-GR"/>
        </w:rPr>
        <w:t xml:space="preserve"> μπορεί να έχει ως αποτέλεσμα υπομαγνησιαιμία (βλ. παράγραφο 4.5).</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A61F09"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Λακτόζη</w:t>
      </w:r>
      <w:r w:rsidR="00D957A2">
        <w:rPr>
          <w:snapToGrid/>
          <w:szCs w:val="22"/>
          <w:u w:val="single"/>
          <w:lang w:val="el-GR"/>
        </w:rPr>
        <w:t>, σορβιτόλη και νάτριο</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Αυτό το φαρμακευτικό προϊόν περιέχει λακτόζη. </w:t>
      </w:r>
      <w:r w:rsidR="0076610E">
        <w:rPr>
          <w:snapToGrid/>
          <w:szCs w:val="22"/>
          <w:lang w:val="el-GR"/>
        </w:rPr>
        <w:t>Α</w:t>
      </w:r>
      <w:r w:rsidRPr="00FC2F1F">
        <w:rPr>
          <w:snapToGrid/>
          <w:szCs w:val="22"/>
          <w:lang w:val="el-GR"/>
        </w:rPr>
        <w:t xml:space="preserve">σθενείς με σπάνια </w:t>
      </w:r>
      <w:r>
        <w:rPr>
          <w:snapToGrid/>
          <w:szCs w:val="22"/>
          <w:lang w:val="el-GR"/>
        </w:rPr>
        <w:t xml:space="preserve">κληρονομικά </w:t>
      </w:r>
      <w:r w:rsidRPr="00FC2F1F">
        <w:rPr>
          <w:snapToGrid/>
          <w:szCs w:val="22"/>
          <w:lang w:val="el-GR"/>
        </w:rPr>
        <w:t xml:space="preserve">προβλήματα δυσανεξίας στη γαλακτόζη, </w:t>
      </w:r>
      <w:r w:rsidR="0076610E">
        <w:rPr>
          <w:snapToGrid/>
          <w:szCs w:val="22"/>
          <w:lang w:val="el-GR"/>
        </w:rPr>
        <w:t xml:space="preserve">πλήρη </w:t>
      </w:r>
      <w:r w:rsidRPr="00FC2F1F">
        <w:rPr>
          <w:snapToGrid/>
          <w:szCs w:val="22"/>
          <w:lang w:val="el-GR"/>
        </w:rPr>
        <w:t xml:space="preserve">ανεπάρκεια λακτάσης ή </w:t>
      </w:r>
      <w:r w:rsidR="0076610E">
        <w:rPr>
          <w:snapToGrid/>
          <w:szCs w:val="22"/>
          <w:lang w:val="el-GR"/>
        </w:rPr>
        <w:t xml:space="preserve">κακή </w:t>
      </w:r>
      <w:r w:rsidRPr="00FC2F1F">
        <w:rPr>
          <w:snapToGrid/>
          <w:szCs w:val="22"/>
          <w:lang w:val="el-GR"/>
        </w:rPr>
        <w:t>απορρόφηση γλυκόζης – γαλακτόζης δε</w:t>
      </w:r>
      <w:r>
        <w:rPr>
          <w:snapToGrid/>
          <w:szCs w:val="22"/>
          <w:lang w:val="el-GR"/>
        </w:rPr>
        <w:t>ν</w:t>
      </w:r>
      <w:r w:rsidRPr="00FC2F1F">
        <w:rPr>
          <w:snapToGrid/>
          <w:szCs w:val="22"/>
          <w:lang w:val="el-GR"/>
        </w:rPr>
        <w:t xml:space="preserve"> πρέπει να λαμβάνουν αυτό το φάρμακο.</w:t>
      </w:r>
    </w:p>
    <w:p w:rsidR="007A3DD2" w:rsidRDefault="007A3DD2" w:rsidP="007A3DD2">
      <w:pPr>
        <w:widowControl w:val="0"/>
        <w:tabs>
          <w:tab w:val="clear" w:pos="567"/>
        </w:tabs>
        <w:autoSpaceDE w:val="0"/>
        <w:autoSpaceDN w:val="0"/>
        <w:adjustRightInd w:val="0"/>
        <w:spacing w:line="240" w:lineRule="auto"/>
        <w:rPr>
          <w:snapToGrid/>
          <w:szCs w:val="22"/>
          <w:lang w:val="el-GR"/>
        </w:rPr>
      </w:pPr>
    </w:p>
    <w:p w:rsidR="007A3DD2" w:rsidRPr="00F41A29" w:rsidRDefault="007A3DD2" w:rsidP="007A3DD2">
      <w:pPr>
        <w:widowControl w:val="0"/>
        <w:tabs>
          <w:tab w:val="clear" w:pos="567"/>
        </w:tabs>
        <w:autoSpaceDE w:val="0"/>
        <w:autoSpaceDN w:val="0"/>
        <w:adjustRightInd w:val="0"/>
        <w:spacing w:line="240" w:lineRule="auto"/>
        <w:rPr>
          <w:szCs w:val="22"/>
          <w:lang w:val="el-GR"/>
        </w:rPr>
      </w:pPr>
      <w:r>
        <w:rPr>
          <w:snapToGrid/>
          <w:szCs w:val="22"/>
          <w:lang w:val="el-GR"/>
        </w:rPr>
        <w:t>Το</w:t>
      </w:r>
      <w:r w:rsidRPr="0017281A">
        <w:rPr>
          <w:snapToGrid/>
          <w:szCs w:val="22"/>
          <w:lang w:val="el-GR"/>
        </w:rPr>
        <w:t xml:space="preserve"> </w:t>
      </w:r>
      <w:r w:rsidR="0076610E">
        <w:rPr>
          <w:szCs w:val="22"/>
          <w:lang w:val="el-GR"/>
        </w:rPr>
        <w:t>φάρμακο αυτό</w:t>
      </w:r>
      <w:r w:rsidRPr="0017281A">
        <w:rPr>
          <w:szCs w:val="22"/>
          <w:lang w:val="el-GR"/>
        </w:rPr>
        <w:t xml:space="preserve"> </w:t>
      </w:r>
      <w:r>
        <w:rPr>
          <w:szCs w:val="22"/>
          <w:lang w:val="el-GR"/>
        </w:rPr>
        <w:t xml:space="preserve">περιέχει 294,08 </w:t>
      </w:r>
      <w:r>
        <w:rPr>
          <w:szCs w:val="22"/>
          <w:lang w:val="en-US"/>
        </w:rPr>
        <w:t>mg</w:t>
      </w:r>
      <w:r>
        <w:rPr>
          <w:szCs w:val="22"/>
          <w:lang w:val="el-GR"/>
        </w:rPr>
        <w:t xml:space="preserve"> σορβιτόλης σε κάθε δισκίο</w:t>
      </w:r>
      <w:r w:rsidRPr="00F41A29">
        <w:rPr>
          <w:szCs w:val="22"/>
          <w:lang w:val="el-GR"/>
        </w:rPr>
        <w:t>,</w:t>
      </w:r>
      <w:r w:rsidRPr="005B4A59">
        <w:rPr>
          <w:szCs w:val="22"/>
          <w:lang w:val="el-GR"/>
        </w:rPr>
        <w:t xml:space="preserve"> </w:t>
      </w:r>
      <w:r>
        <w:rPr>
          <w:szCs w:val="22"/>
          <w:lang w:val="el-GR"/>
        </w:rPr>
        <w:t xml:space="preserve">το οποίο ισοδυναμεί με 5 </w:t>
      </w:r>
      <w:r>
        <w:rPr>
          <w:szCs w:val="22"/>
          <w:lang w:val="en-US"/>
        </w:rPr>
        <w:t>mg</w:t>
      </w:r>
      <w:r w:rsidRPr="00F41A29">
        <w:rPr>
          <w:szCs w:val="22"/>
          <w:lang w:val="el-GR"/>
        </w:rPr>
        <w:t>/</w:t>
      </w:r>
      <w:r>
        <w:rPr>
          <w:szCs w:val="22"/>
          <w:lang w:val="en-US"/>
        </w:rPr>
        <w:t>kg</w:t>
      </w:r>
      <w:r w:rsidRPr="00F41A29">
        <w:rPr>
          <w:szCs w:val="22"/>
          <w:lang w:val="el-GR"/>
        </w:rPr>
        <w:t>/</w:t>
      </w:r>
      <w:r>
        <w:rPr>
          <w:szCs w:val="22"/>
          <w:lang w:val="el-GR"/>
        </w:rPr>
        <w:t>ημέρα, εάν το σωματικό βάρος είναι 58,8</w:t>
      </w:r>
      <w:r w:rsidRPr="00F41A29">
        <w:rPr>
          <w:szCs w:val="22"/>
          <w:lang w:val="el-GR"/>
        </w:rPr>
        <w:t xml:space="preserve"> </w:t>
      </w:r>
      <w:r>
        <w:rPr>
          <w:szCs w:val="22"/>
          <w:lang w:val="en-US"/>
        </w:rPr>
        <w:t>kg</w:t>
      </w:r>
      <w:r>
        <w:rPr>
          <w:szCs w:val="22"/>
          <w:lang w:val="el-GR"/>
        </w:rPr>
        <w:t xml:space="preserve">. </w:t>
      </w:r>
      <w:r w:rsidRPr="00F41A29">
        <w:rPr>
          <w:snapToGrid/>
          <w:szCs w:val="22"/>
          <w:lang w:val="el-GR"/>
        </w:rPr>
        <w:t>Η αθροιστική επίδραση της ταυτόχρονης χορήγησης προϊόντων που περιέχουν σορβιτόλη (ή φρουκτόζη) και η με την διατροφή λήψη σορβιτόλης (ή φρουκτόζης) πρέπει να λαμβάνονται υπόψη.</w:t>
      </w:r>
      <w:r>
        <w:rPr>
          <w:szCs w:val="22"/>
          <w:lang w:val="el-GR"/>
        </w:rPr>
        <w:t xml:space="preserve"> </w:t>
      </w:r>
      <w:r w:rsidRPr="00F41A29">
        <w:rPr>
          <w:snapToGrid/>
          <w:szCs w:val="22"/>
          <w:lang w:val="el-GR"/>
        </w:rPr>
        <w:t>Η ποσότητα της σορβιτόλης στα από στόματος φαρμακευτικά προϊόντα μπορεί να επηρεάσει τη βιοδιαθεσιμότητα άλλων από στόματος φαρμακευτικών προϊόντων που χορηγούνται ταυτόχρονα.</w:t>
      </w:r>
      <w:r>
        <w:rPr>
          <w:snapToGrid/>
          <w:szCs w:val="22"/>
          <w:lang w:val="el-GR"/>
        </w:rPr>
        <w:t xml:space="preserve"> Ασθενείς που ζυγίζουν 58,8 </w:t>
      </w:r>
      <w:r>
        <w:rPr>
          <w:snapToGrid/>
          <w:szCs w:val="22"/>
          <w:lang w:val="en-US"/>
        </w:rPr>
        <w:t>kg</w:t>
      </w:r>
      <w:r>
        <w:rPr>
          <w:snapToGrid/>
          <w:szCs w:val="22"/>
          <w:lang w:val="el-GR"/>
        </w:rPr>
        <w:t xml:space="preserve"> ή λιγότερο με κληρονομική δυσανεξία στη φρουκτόζη (</w:t>
      </w:r>
      <w:r>
        <w:rPr>
          <w:snapToGrid/>
          <w:szCs w:val="22"/>
          <w:lang w:val="en-US"/>
        </w:rPr>
        <w:t>HFI</w:t>
      </w:r>
      <w:r w:rsidRPr="00F41A29">
        <w:rPr>
          <w:snapToGrid/>
          <w:szCs w:val="22"/>
          <w:lang w:val="el-GR"/>
        </w:rPr>
        <w:t xml:space="preserve">) </w:t>
      </w:r>
      <w:r>
        <w:rPr>
          <w:snapToGrid/>
          <w:szCs w:val="22"/>
          <w:lang w:val="el-GR"/>
        </w:rPr>
        <w:t>δεν πρέπει να πάρουν αυτό το φαρμακευτικό προϊόν.</w:t>
      </w:r>
    </w:p>
    <w:p w:rsidR="007A3DD2" w:rsidRDefault="007A3DD2" w:rsidP="007A3DD2">
      <w:pPr>
        <w:widowControl w:val="0"/>
        <w:tabs>
          <w:tab w:val="clear" w:pos="567"/>
        </w:tabs>
        <w:autoSpaceDE w:val="0"/>
        <w:autoSpaceDN w:val="0"/>
        <w:adjustRightInd w:val="0"/>
        <w:spacing w:line="240" w:lineRule="auto"/>
        <w:rPr>
          <w:snapToGrid/>
          <w:szCs w:val="22"/>
          <w:lang w:val="el-GR"/>
        </w:rPr>
      </w:pPr>
    </w:p>
    <w:p w:rsidR="007A3DD2" w:rsidRPr="00F41A29" w:rsidRDefault="007A3DD2" w:rsidP="007A3DD2">
      <w:pPr>
        <w:widowControl w:val="0"/>
        <w:tabs>
          <w:tab w:val="clear" w:pos="567"/>
        </w:tabs>
        <w:autoSpaceDE w:val="0"/>
        <w:autoSpaceDN w:val="0"/>
        <w:adjustRightInd w:val="0"/>
        <w:spacing w:line="240" w:lineRule="auto"/>
        <w:rPr>
          <w:snapToGrid/>
          <w:szCs w:val="22"/>
          <w:lang w:val="el-GR"/>
        </w:rPr>
      </w:pPr>
      <w:r w:rsidRPr="00F41A29">
        <w:rPr>
          <w:snapToGrid/>
          <w:szCs w:val="22"/>
          <w:lang w:val="el-GR"/>
        </w:rPr>
        <w:t xml:space="preserve">Το φάρμακο αυτό περιέχει λιγότερο από 1 </w:t>
      </w:r>
      <w:r w:rsidRPr="00F41A29">
        <w:rPr>
          <w:snapToGrid/>
          <w:szCs w:val="22"/>
          <w:lang w:val="en-US"/>
        </w:rPr>
        <w:t>mmol</w:t>
      </w:r>
      <w:r>
        <w:rPr>
          <w:snapToGrid/>
          <w:szCs w:val="22"/>
          <w:lang w:val="el-GR"/>
        </w:rPr>
        <w:t xml:space="preserve"> </w:t>
      </w:r>
      <w:r w:rsidRPr="00F41A29">
        <w:rPr>
          <w:snapToGrid/>
          <w:szCs w:val="22"/>
          <w:lang w:val="el-GR"/>
        </w:rPr>
        <w:t xml:space="preserve">νατρίου (23 </w:t>
      </w:r>
      <w:r w:rsidRPr="00F41A29">
        <w:rPr>
          <w:snapToGrid/>
          <w:szCs w:val="22"/>
          <w:lang w:val="en-US"/>
        </w:rPr>
        <w:t>mg</w:t>
      </w:r>
      <w:r w:rsidRPr="00F41A29">
        <w:rPr>
          <w:snapToGrid/>
          <w:szCs w:val="22"/>
          <w:lang w:val="el-GR"/>
        </w:rPr>
        <w:t xml:space="preserve">) ανά </w:t>
      </w:r>
      <w:r>
        <w:rPr>
          <w:snapToGrid/>
          <w:szCs w:val="22"/>
          <w:lang w:val="el-GR"/>
        </w:rPr>
        <w:t>δισκίο</w:t>
      </w:r>
      <w:r w:rsidRPr="00F41A29">
        <w:rPr>
          <w:snapToGrid/>
          <w:szCs w:val="22"/>
          <w:lang w:val="el-GR"/>
        </w:rPr>
        <w:t>, είναι αυτό που ονομάζουμε «ελεύθερο</w:t>
      </w:r>
      <w:r>
        <w:rPr>
          <w:snapToGrid/>
          <w:szCs w:val="22"/>
          <w:lang w:val="el-GR"/>
        </w:rPr>
        <w:t xml:space="preserve"> </w:t>
      </w:r>
      <w:r w:rsidRPr="00F41A29">
        <w:rPr>
          <w:snapToGrid/>
          <w:szCs w:val="22"/>
          <w:lang w:val="el-GR"/>
        </w:rPr>
        <w:t>νατρίου».</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Εθν</w:t>
      </w:r>
      <w:r>
        <w:rPr>
          <w:snapToGrid/>
          <w:szCs w:val="22"/>
          <w:u w:val="single"/>
          <w:lang w:val="el-GR"/>
        </w:rPr>
        <w:t>οτ</w:t>
      </w:r>
      <w:r w:rsidRPr="00FC2F1F">
        <w:rPr>
          <w:snapToGrid/>
          <w:szCs w:val="22"/>
          <w:u w:val="single"/>
          <w:lang w:val="el-GR"/>
        </w:rPr>
        <w:t>ικές διαφορές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Όπως και με όλους τους άλλους ανταγωνιστές των υποδοχέων της αγγειοτενσίνης ΙΙ</w:t>
      </w:r>
      <w:r w:rsidR="007A3DD2" w:rsidRPr="00A61F09">
        <w:rPr>
          <w:snapToGrid/>
          <w:szCs w:val="22"/>
          <w:lang w:val="el-GR"/>
        </w:rPr>
        <w:t>,</w:t>
      </w:r>
      <w:r w:rsidRPr="00FC2F1F">
        <w:rPr>
          <w:snapToGrid/>
          <w:szCs w:val="22"/>
          <w:lang w:val="el-GR"/>
        </w:rPr>
        <w:t xml:space="preserve"> η τελμισαρτάνη φαίνεται να είναι λιγότερο αποτελεσματική στη </w:t>
      </w:r>
      <w:r>
        <w:rPr>
          <w:snapToGrid/>
          <w:szCs w:val="22"/>
          <w:lang w:val="el-GR"/>
        </w:rPr>
        <w:t>μείωση</w:t>
      </w:r>
      <w:r w:rsidRPr="00FC2F1F">
        <w:rPr>
          <w:snapToGrid/>
          <w:szCs w:val="22"/>
          <w:lang w:val="el-GR"/>
        </w:rPr>
        <w:t xml:space="preserve"> της αρτηριακής πίεσης σε </w:t>
      </w:r>
      <w:r>
        <w:rPr>
          <w:snapToGrid/>
          <w:szCs w:val="22"/>
          <w:lang w:val="el-GR"/>
        </w:rPr>
        <w:t>έγχρωμους ασθενείς</w:t>
      </w:r>
      <w:r w:rsidRPr="00FC2F1F">
        <w:rPr>
          <w:snapToGrid/>
          <w:szCs w:val="22"/>
          <w:lang w:val="el-GR"/>
        </w:rPr>
        <w:t xml:space="preserve"> </w:t>
      </w:r>
      <w:r w:rsidRPr="00416C8E">
        <w:rPr>
          <w:snapToGrid/>
          <w:szCs w:val="22"/>
          <w:lang w:val="el-GR"/>
        </w:rPr>
        <w:t xml:space="preserve">από ότι σε μη </w:t>
      </w:r>
      <w:r w:rsidRPr="002210C0">
        <w:rPr>
          <w:snapToGrid/>
          <w:szCs w:val="22"/>
          <w:lang w:val="el-GR"/>
        </w:rPr>
        <w:t>έγχρωμους</w:t>
      </w:r>
      <w:r w:rsidRPr="00416C8E">
        <w:rPr>
          <w:snapToGrid/>
          <w:szCs w:val="22"/>
          <w:lang w:val="el-GR"/>
        </w:rPr>
        <w:t>,</w:t>
      </w:r>
      <w:r w:rsidRPr="00FC2F1F">
        <w:rPr>
          <w:snapToGrid/>
          <w:szCs w:val="22"/>
          <w:lang w:val="el-GR"/>
        </w:rPr>
        <w:t xml:space="preserve"> πιθανώς λόγω </w:t>
      </w:r>
      <w:r>
        <w:rPr>
          <w:snapToGrid/>
          <w:szCs w:val="22"/>
          <w:lang w:val="el-GR"/>
        </w:rPr>
        <w:t>του υψηλότερου επιπολασμού</w:t>
      </w:r>
      <w:r w:rsidRPr="00FC2F1F">
        <w:rPr>
          <w:snapToGrid/>
          <w:szCs w:val="22"/>
          <w:lang w:val="el-GR"/>
        </w:rPr>
        <w:t xml:space="preserve"> των χαμηλ</w:t>
      </w:r>
      <w:r>
        <w:rPr>
          <w:snapToGrid/>
          <w:szCs w:val="22"/>
          <w:lang w:val="el-GR"/>
        </w:rPr>
        <w:t>ών</w:t>
      </w:r>
      <w:r w:rsidRPr="00FC2F1F">
        <w:rPr>
          <w:snapToGrid/>
          <w:szCs w:val="22"/>
          <w:lang w:val="el-GR"/>
        </w:rPr>
        <w:t xml:space="preserve"> </w:t>
      </w:r>
      <w:r>
        <w:rPr>
          <w:snapToGrid/>
          <w:szCs w:val="22"/>
          <w:lang w:val="el-GR"/>
        </w:rPr>
        <w:t xml:space="preserve">επιπέδων </w:t>
      </w:r>
      <w:r w:rsidRPr="00FC2F1F">
        <w:rPr>
          <w:snapToGrid/>
          <w:szCs w:val="22"/>
          <w:lang w:val="el-GR"/>
        </w:rPr>
        <w:t xml:space="preserve">ρενίνης στον </w:t>
      </w:r>
      <w:r>
        <w:rPr>
          <w:snapToGrid/>
          <w:szCs w:val="22"/>
          <w:lang w:val="el-GR"/>
        </w:rPr>
        <w:t xml:space="preserve">έγχρωμο </w:t>
      </w:r>
      <w:r w:rsidRPr="00FC2F1F">
        <w:rPr>
          <w:snapToGrid/>
          <w:szCs w:val="22"/>
          <w:lang w:val="el-GR"/>
        </w:rPr>
        <w:t>υπερτασικό πληθυσμό.</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Άλλα</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Όπως και με οποιοδήποτε άλλο αντιυπερτασικό παράγοντα, η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w:t>
      </w:r>
      <w:r>
        <w:rPr>
          <w:snapToGrid/>
          <w:szCs w:val="22"/>
          <w:lang w:val="el-GR"/>
        </w:rPr>
        <w:t xml:space="preserve">αγγειακό </w:t>
      </w:r>
      <w:r w:rsidRPr="00FC2F1F">
        <w:rPr>
          <w:snapToGrid/>
          <w:szCs w:val="22"/>
          <w:lang w:val="el-GR"/>
        </w:rPr>
        <w:t>εγκεφαλικό επεισόδιο.</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Γενικά</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Αντιδράσεις υπερευαισθησίας στην υδροχλωροθειαζίδη μπορεί να εμφανιστούν σε ασθενείς με ή χωρίς ιστορικό αλλεργίας ή βρογχικού άσθματος, αλλά είναι πιθανότερες σε ασθενείς με τέτοιο ιστορικό. </w:t>
      </w:r>
      <w:r>
        <w:rPr>
          <w:snapToGrid/>
          <w:szCs w:val="22"/>
          <w:lang w:val="el-GR"/>
        </w:rPr>
        <w:t>Παρόξυνση</w:t>
      </w:r>
      <w:r w:rsidRPr="00FC2F1F">
        <w:rPr>
          <w:snapToGrid/>
          <w:szCs w:val="22"/>
          <w:lang w:val="el-GR"/>
        </w:rPr>
        <w:t xml:space="preserve"> ή ενεργοποίηση συστηματικού ερυθηματώδους λύκου έχει αναφερθεί με τη χρήση θειαζιδικών διουρητικών, συμπεριλαμβανομένης της υδροχλωροθειαζίδης.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Περιπτώσεις αντιδράσεων φωτοευαισθησίας έχουν αναφερθεί με τα θειαζιδικά διουρητικά (βλ.</w:t>
      </w:r>
      <w:r>
        <w:rPr>
          <w:snapToGrid/>
          <w:szCs w:val="22"/>
          <w:lang w:val="el-GR"/>
        </w:rPr>
        <w:t xml:space="preserve"> </w:t>
      </w:r>
      <w:r w:rsidRPr="00FC2F1F">
        <w:rPr>
          <w:snapToGrid/>
          <w:szCs w:val="22"/>
          <w:lang w:val="el-GR"/>
        </w:rPr>
        <w:t>παράγραφο 4.8). Εάν μια αντίδραση φωτοευαισθησίας παρουσιαστεί κατά τη διάρκεια της θεραπείας, συνιστάται διακοπή της θεραπείας. Εάν η επαναχορήγηση του διουρητικού κριθεί απαραίτητη, συνιστάται προστασία των εκτεθειμένων</w:t>
      </w:r>
      <w:r>
        <w:rPr>
          <w:snapToGrid/>
          <w:szCs w:val="22"/>
          <w:lang w:val="el-GR"/>
        </w:rPr>
        <w:t xml:space="preserve"> </w:t>
      </w:r>
      <w:r w:rsidRPr="00FC2F1F">
        <w:rPr>
          <w:snapToGrid/>
          <w:szCs w:val="22"/>
          <w:lang w:val="el-GR"/>
        </w:rPr>
        <w:t xml:space="preserve">περιοχών </w:t>
      </w:r>
      <w:r>
        <w:rPr>
          <w:snapToGrid/>
          <w:szCs w:val="22"/>
          <w:lang w:val="el-GR"/>
        </w:rPr>
        <w:t xml:space="preserve">στο ηλιακό φως </w:t>
      </w:r>
      <w:r w:rsidRPr="00FC2F1F">
        <w:rPr>
          <w:snapToGrid/>
          <w:szCs w:val="22"/>
          <w:lang w:val="el-GR"/>
        </w:rPr>
        <w:t>ή σ</w:t>
      </w:r>
      <w:r>
        <w:rPr>
          <w:snapToGrid/>
          <w:szCs w:val="22"/>
          <w:lang w:val="el-GR"/>
        </w:rPr>
        <w:t>ε</w:t>
      </w:r>
      <w:r w:rsidRPr="00FC2F1F">
        <w:rPr>
          <w:snapToGrid/>
          <w:szCs w:val="22"/>
          <w:lang w:val="el-GR"/>
        </w:rPr>
        <w:t xml:space="preserve"> τεχνητ</w:t>
      </w:r>
      <w:r>
        <w:rPr>
          <w:snapToGrid/>
          <w:szCs w:val="22"/>
          <w:lang w:val="el-GR"/>
        </w:rPr>
        <w:t>ή</w:t>
      </w:r>
      <w:r w:rsidRPr="00FC2F1F">
        <w:rPr>
          <w:snapToGrid/>
          <w:szCs w:val="22"/>
          <w:lang w:val="el-GR"/>
        </w:rPr>
        <w:t xml:space="preserve"> ακτ</w:t>
      </w:r>
      <w:r>
        <w:rPr>
          <w:snapToGrid/>
          <w:szCs w:val="22"/>
          <w:lang w:val="el-GR"/>
        </w:rPr>
        <w:t>ινοβολία</w:t>
      </w:r>
      <w:r w:rsidRPr="00FC2F1F">
        <w:rPr>
          <w:snapToGrid/>
          <w:szCs w:val="22"/>
          <w:lang w:val="el-GR"/>
        </w:rPr>
        <w:t xml:space="preserve"> UVA.</w:t>
      </w:r>
    </w:p>
    <w:p w:rsidR="00714685" w:rsidRPr="00FC2F1F" w:rsidRDefault="00714685" w:rsidP="00714685">
      <w:pPr>
        <w:widowControl w:val="0"/>
        <w:spacing w:line="240" w:lineRule="auto"/>
        <w:rPr>
          <w:noProof/>
          <w:szCs w:val="22"/>
          <w:lang w:val="el-GR"/>
        </w:rPr>
      </w:pPr>
    </w:p>
    <w:p w:rsidR="00714685" w:rsidRPr="00FC2F1F" w:rsidRDefault="00B21486" w:rsidP="00714685">
      <w:pPr>
        <w:widowControl w:val="0"/>
        <w:spacing w:line="240" w:lineRule="auto"/>
        <w:rPr>
          <w:szCs w:val="22"/>
          <w:u w:val="single"/>
          <w:lang w:val="el-GR"/>
        </w:rPr>
      </w:pPr>
      <w:r>
        <w:rPr>
          <w:u w:val="single"/>
          <w:shd w:val="clear" w:color="auto" w:fill="FFFFFF"/>
          <w:lang w:val="el-GR"/>
        </w:rPr>
        <w:t xml:space="preserve">Αποκόλληση του Χοριοειδούς, </w:t>
      </w:r>
      <w:r w:rsidR="00714685" w:rsidRPr="00FC2F1F">
        <w:rPr>
          <w:szCs w:val="22"/>
          <w:u w:val="single"/>
          <w:lang w:val="el-GR"/>
        </w:rPr>
        <w:t xml:space="preserve">Οξεία </w:t>
      </w:r>
      <w:r w:rsidR="00714685">
        <w:rPr>
          <w:szCs w:val="22"/>
          <w:u w:val="single"/>
          <w:lang w:val="el-GR"/>
        </w:rPr>
        <w:t>Μ</w:t>
      </w:r>
      <w:r w:rsidR="00714685" w:rsidRPr="00FC2F1F">
        <w:rPr>
          <w:szCs w:val="22"/>
          <w:u w:val="single"/>
          <w:lang w:val="el-GR"/>
        </w:rPr>
        <w:t>υωπία και Γλαύκωμα Κλειστής Γωνίας</w:t>
      </w:r>
    </w:p>
    <w:p w:rsidR="00714685" w:rsidRPr="00FC2F1F" w:rsidRDefault="00714685" w:rsidP="00714685">
      <w:pPr>
        <w:widowControl w:val="0"/>
        <w:spacing w:line="240" w:lineRule="auto"/>
        <w:rPr>
          <w:szCs w:val="22"/>
          <w:lang w:val="el-GR"/>
        </w:rPr>
      </w:pPr>
      <w:r w:rsidRPr="00FC2F1F">
        <w:rPr>
          <w:szCs w:val="22"/>
          <w:lang w:val="el-GR"/>
        </w:rPr>
        <w:t xml:space="preserve">Η υδροχλωροθειαζίδη, </w:t>
      </w:r>
      <w:r>
        <w:rPr>
          <w:szCs w:val="22"/>
          <w:lang w:val="el-GR"/>
        </w:rPr>
        <w:t>μια</w:t>
      </w:r>
      <w:r w:rsidRPr="00FC2F1F">
        <w:rPr>
          <w:szCs w:val="22"/>
          <w:lang w:val="el-GR"/>
        </w:rPr>
        <w:t xml:space="preserve"> σουλφοναμίδ</w:t>
      </w:r>
      <w:r>
        <w:rPr>
          <w:szCs w:val="22"/>
          <w:lang w:val="el-GR"/>
        </w:rPr>
        <w:t>η</w:t>
      </w:r>
      <w:r w:rsidRPr="00FC2F1F">
        <w:rPr>
          <w:szCs w:val="22"/>
          <w:lang w:val="el-GR"/>
        </w:rPr>
        <w:t>, μπορεί να προκαλέσει μια ιδιοσυγκρασιακ</w:t>
      </w:r>
      <w:r w:rsidR="00B21486">
        <w:rPr>
          <w:szCs w:val="22"/>
          <w:lang w:val="el-GR"/>
        </w:rPr>
        <w:t>ού</w:t>
      </w:r>
      <w:r w:rsidRPr="00FC2F1F">
        <w:rPr>
          <w:szCs w:val="22"/>
          <w:lang w:val="el-GR"/>
        </w:rPr>
        <w:t xml:space="preserve"> </w:t>
      </w:r>
      <w:r w:rsidR="00B21486">
        <w:rPr>
          <w:szCs w:val="22"/>
          <w:lang w:val="el-GR"/>
        </w:rPr>
        <w:t xml:space="preserve">τύπου </w:t>
      </w:r>
      <w:r w:rsidRPr="00FC2F1F">
        <w:rPr>
          <w:szCs w:val="22"/>
          <w:lang w:val="el-GR"/>
        </w:rPr>
        <w:t xml:space="preserve">αντίδραση, </w:t>
      </w:r>
      <w:r w:rsidR="00B21486">
        <w:rPr>
          <w:szCs w:val="22"/>
          <w:lang w:val="el-GR"/>
        </w:rPr>
        <w:t xml:space="preserve">η οποία οδηγεί σε </w:t>
      </w:r>
      <w:r w:rsidR="00B21486">
        <w:rPr>
          <w:shd w:val="clear" w:color="auto" w:fill="FFFFFF"/>
          <w:lang w:val="el-GR"/>
        </w:rPr>
        <w:t>αποκόλληση του χοριοειδούς με βλάβη του οπτικού πεδίου</w:t>
      </w:r>
      <w:r w:rsidR="00927783">
        <w:rPr>
          <w:szCs w:val="22"/>
          <w:lang w:val="el-GR"/>
        </w:rPr>
        <w:t>,</w:t>
      </w:r>
      <w:r w:rsidRPr="00FC2F1F">
        <w:rPr>
          <w:szCs w:val="22"/>
          <w:lang w:val="el-GR"/>
        </w:rPr>
        <w:t xml:space="preserve"> οξεία παροδική μυωπία και οξύ γλαύκωμα κλειστής γωνίας. Τα συμπτώματα περιλαμβάνουν οξεία έναρξη μείωσης της οπτικής οξύτητας </w:t>
      </w:r>
      <w:r>
        <w:rPr>
          <w:szCs w:val="22"/>
          <w:lang w:val="el-GR"/>
        </w:rPr>
        <w:t xml:space="preserve">ή οφθαλμικό πόνο </w:t>
      </w:r>
      <w:r w:rsidRPr="00FC2F1F">
        <w:rPr>
          <w:szCs w:val="22"/>
          <w:lang w:val="el-GR"/>
        </w:rPr>
        <w:t xml:space="preserve">και συνήθως παρουσιάζονται εντός ωρών </w:t>
      </w:r>
      <w:r>
        <w:rPr>
          <w:szCs w:val="22"/>
          <w:lang w:val="el-GR"/>
        </w:rPr>
        <w:t>έως</w:t>
      </w:r>
      <w:r w:rsidRPr="00FC2F1F">
        <w:rPr>
          <w:szCs w:val="22"/>
          <w:lang w:val="el-GR"/>
        </w:rPr>
        <w:t xml:space="preserve"> εβδομάδων από την έναρξη </w:t>
      </w:r>
      <w:r>
        <w:rPr>
          <w:szCs w:val="22"/>
          <w:lang w:val="el-GR"/>
        </w:rPr>
        <w:t xml:space="preserve">χορήγησης </w:t>
      </w:r>
      <w:r w:rsidRPr="00FC2F1F">
        <w:rPr>
          <w:szCs w:val="22"/>
          <w:lang w:val="el-GR"/>
        </w:rPr>
        <w:t xml:space="preserve">του </w:t>
      </w:r>
      <w:r>
        <w:rPr>
          <w:szCs w:val="22"/>
          <w:lang w:val="el-GR"/>
        </w:rPr>
        <w:t>φαρμακευτικού προϊόντος</w:t>
      </w:r>
      <w:r w:rsidRPr="00FC2F1F">
        <w:rPr>
          <w:szCs w:val="22"/>
          <w:lang w:val="el-GR"/>
        </w:rPr>
        <w:t xml:space="preserve">. Το </w:t>
      </w:r>
      <w:r>
        <w:rPr>
          <w:szCs w:val="22"/>
          <w:lang w:val="el-GR"/>
        </w:rPr>
        <w:t xml:space="preserve">οξύ </w:t>
      </w:r>
      <w:r w:rsidRPr="00FC2F1F">
        <w:rPr>
          <w:szCs w:val="22"/>
          <w:lang w:val="el-GR"/>
        </w:rPr>
        <w:t xml:space="preserve">γλαύκωμα κλειστής γωνίας </w:t>
      </w:r>
      <w:r w:rsidRPr="00A33332">
        <w:rPr>
          <w:szCs w:val="22"/>
          <w:lang w:val="el-GR"/>
        </w:rPr>
        <w:t xml:space="preserve">το οποίο δεν </w:t>
      </w:r>
      <w:r>
        <w:rPr>
          <w:szCs w:val="22"/>
          <w:lang w:val="el-GR"/>
        </w:rPr>
        <w:t>έχει αντιμετωπιστεί με</w:t>
      </w:r>
      <w:r w:rsidRPr="00A33332">
        <w:rPr>
          <w:szCs w:val="22"/>
          <w:lang w:val="el-GR"/>
        </w:rPr>
        <w:t xml:space="preserve"> θεραπε</w:t>
      </w:r>
      <w:r>
        <w:rPr>
          <w:szCs w:val="22"/>
          <w:lang w:val="el-GR"/>
        </w:rPr>
        <w:t>υτική αγωγή</w:t>
      </w:r>
      <w:r w:rsidRPr="00FC2F1F">
        <w:rPr>
          <w:szCs w:val="22"/>
          <w:lang w:val="el-GR"/>
        </w:rPr>
        <w:t xml:space="preserve"> μπορεί να οδηγήσει σε μόνιμη απώλεια όρασης. Η </w:t>
      </w:r>
      <w:r>
        <w:rPr>
          <w:szCs w:val="22"/>
          <w:lang w:val="el-GR"/>
        </w:rPr>
        <w:t>κύρια</w:t>
      </w:r>
      <w:r w:rsidRPr="00FC2F1F">
        <w:rPr>
          <w:szCs w:val="22"/>
          <w:lang w:val="el-GR"/>
        </w:rPr>
        <w:t xml:space="preserve"> αντιμετώπιση είναι η διακοπή της υδροχλωροθειαζίδης το ταχύτερο δυνατό. Μπορεί να </w:t>
      </w:r>
      <w:r>
        <w:rPr>
          <w:szCs w:val="22"/>
          <w:lang w:val="el-GR"/>
        </w:rPr>
        <w:t xml:space="preserve">χρειαστεί να </w:t>
      </w:r>
      <w:r w:rsidRPr="00FC2F1F">
        <w:rPr>
          <w:szCs w:val="22"/>
          <w:lang w:val="el-GR"/>
        </w:rPr>
        <w:t xml:space="preserve">εξετασθεί </w:t>
      </w:r>
      <w:r>
        <w:rPr>
          <w:szCs w:val="22"/>
          <w:lang w:val="el-GR"/>
        </w:rPr>
        <w:t xml:space="preserve">το ενδεχόμενο </w:t>
      </w:r>
      <w:r w:rsidRPr="00FC2F1F">
        <w:rPr>
          <w:szCs w:val="22"/>
          <w:lang w:val="el-GR"/>
        </w:rPr>
        <w:t>άμεση</w:t>
      </w:r>
      <w:r>
        <w:rPr>
          <w:szCs w:val="22"/>
          <w:lang w:val="el-GR"/>
        </w:rPr>
        <w:t>ς</w:t>
      </w:r>
      <w:r w:rsidRPr="00FC2F1F">
        <w:rPr>
          <w:szCs w:val="22"/>
          <w:lang w:val="el-GR"/>
        </w:rPr>
        <w:t xml:space="preserve"> ιατρική</w:t>
      </w:r>
      <w:r>
        <w:rPr>
          <w:szCs w:val="22"/>
          <w:lang w:val="el-GR"/>
        </w:rPr>
        <w:t>ς</w:t>
      </w:r>
      <w:r w:rsidRPr="00FC2F1F">
        <w:rPr>
          <w:szCs w:val="22"/>
          <w:lang w:val="el-GR"/>
        </w:rPr>
        <w:t xml:space="preserve"> ή χειρουργική</w:t>
      </w:r>
      <w:r>
        <w:rPr>
          <w:szCs w:val="22"/>
          <w:lang w:val="el-GR"/>
        </w:rPr>
        <w:t>ς</w:t>
      </w:r>
      <w:r w:rsidRPr="00FC2F1F">
        <w:rPr>
          <w:szCs w:val="22"/>
          <w:lang w:val="el-GR"/>
        </w:rPr>
        <w:t xml:space="preserve"> αγωγή</w:t>
      </w:r>
      <w:r>
        <w:rPr>
          <w:szCs w:val="22"/>
          <w:lang w:val="el-GR"/>
        </w:rPr>
        <w:t>ς</w:t>
      </w:r>
      <w:r w:rsidRPr="00FC2F1F">
        <w:rPr>
          <w:szCs w:val="22"/>
          <w:lang w:val="el-GR"/>
        </w:rPr>
        <w:t xml:space="preserve"> εάν η ενδοφθ</w:t>
      </w:r>
      <w:r>
        <w:rPr>
          <w:szCs w:val="22"/>
          <w:lang w:val="el-GR"/>
        </w:rPr>
        <w:t>ά</w:t>
      </w:r>
      <w:r w:rsidRPr="00FC2F1F">
        <w:rPr>
          <w:szCs w:val="22"/>
          <w:lang w:val="el-GR"/>
        </w:rPr>
        <w:t>λμι</w:t>
      </w:r>
      <w:r>
        <w:rPr>
          <w:szCs w:val="22"/>
          <w:lang w:val="el-GR"/>
        </w:rPr>
        <w:t>α</w:t>
      </w:r>
      <w:r w:rsidRPr="00FC2F1F">
        <w:rPr>
          <w:szCs w:val="22"/>
          <w:lang w:val="el-GR"/>
        </w:rPr>
        <w:t xml:space="preserve"> πίεση παραμένει μη ελεγχόμενη. Οι παράγοντες κινδύνου για την ανάπτυξη </w:t>
      </w:r>
      <w:r>
        <w:rPr>
          <w:szCs w:val="22"/>
          <w:lang w:val="el-GR"/>
        </w:rPr>
        <w:t xml:space="preserve">οξέος </w:t>
      </w:r>
      <w:r w:rsidRPr="00FC2F1F">
        <w:rPr>
          <w:szCs w:val="22"/>
          <w:lang w:val="el-GR"/>
        </w:rPr>
        <w:t>γλαυκώματος κλειστής γωνίας μπορεί να περιλαμβάνουν ιστορικό αλλεργίας στις σουλφοναμίδες ή στην πενικιλλίνη.</w:t>
      </w:r>
    </w:p>
    <w:p w:rsidR="00D957A2" w:rsidRDefault="00D957A2" w:rsidP="00D957A2">
      <w:pPr>
        <w:widowControl w:val="0"/>
        <w:tabs>
          <w:tab w:val="clear" w:pos="567"/>
        </w:tabs>
        <w:spacing w:line="240" w:lineRule="auto"/>
        <w:rPr>
          <w:snapToGrid/>
          <w:szCs w:val="22"/>
          <w:u w:val="single"/>
          <w:lang w:val="sl-SI" w:eastAsia="sl-SI"/>
        </w:rPr>
      </w:pPr>
    </w:p>
    <w:p w:rsidR="00D957A2" w:rsidRPr="00601465" w:rsidRDefault="00D957A2" w:rsidP="00D957A2">
      <w:pPr>
        <w:widowControl w:val="0"/>
        <w:tabs>
          <w:tab w:val="clear" w:pos="567"/>
        </w:tabs>
        <w:spacing w:line="240" w:lineRule="auto"/>
        <w:rPr>
          <w:snapToGrid/>
          <w:szCs w:val="22"/>
          <w:u w:val="single"/>
          <w:lang w:val="sl-SI" w:eastAsia="sl-SI"/>
        </w:rPr>
      </w:pPr>
      <w:r w:rsidRPr="00601465">
        <w:rPr>
          <w:snapToGrid/>
          <w:szCs w:val="22"/>
          <w:u w:val="single"/>
          <w:lang w:val="sl-SI" w:eastAsia="sl-SI"/>
        </w:rPr>
        <w:t>Μη μελανωματικός καρκίνος του δέρματος</w:t>
      </w:r>
    </w:p>
    <w:p w:rsidR="00D957A2" w:rsidRPr="00601465" w:rsidRDefault="00D957A2" w:rsidP="00D957A2">
      <w:pPr>
        <w:widowControl w:val="0"/>
        <w:tabs>
          <w:tab w:val="clear" w:pos="567"/>
        </w:tabs>
        <w:spacing w:line="240" w:lineRule="auto"/>
        <w:rPr>
          <w:snapToGrid/>
          <w:szCs w:val="22"/>
          <w:lang w:val="sl-SI" w:eastAsia="sl-SI"/>
        </w:rPr>
      </w:pPr>
      <w:r w:rsidRPr="00601465">
        <w:rPr>
          <w:snapToGrid/>
          <w:szCs w:val="22"/>
          <w:lang w:val="sl-SI" w:eastAsia="sl-SI"/>
        </w:rPr>
        <w:t>Σε δύο επιδημιολογικές μελέτες οι οποίες διενεργήθηκαν βάσει του Δανικού Εθνικού Μητρώου για τον Καρκίνο παρατηρήθηκε αυξημένος κίνδυνος εμφάνισης μη μελανωματικού καρκίνου του δέρματος (NMSC) [βασικοκυτταρικό καρκίνωμα (BCC) και καρκίνωμα του πλακώδους επιθηλίου (SCC)] σε περίπτωση έκθεσης σε αυξανόμενη αθροιστική δόση υδροχλωροθειαζίδης.</w:t>
      </w:r>
    </w:p>
    <w:p w:rsidR="00D957A2" w:rsidRPr="00601465" w:rsidRDefault="00D957A2" w:rsidP="00D957A2">
      <w:pPr>
        <w:widowControl w:val="0"/>
        <w:tabs>
          <w:tab w:val="clear" w:pos="567"/>
        </w:tabs>
        <w:spacing w:line="240" w:lineRule="auto"/>
        <w:rPr>
          <w:snapToGrid/>
          <w:szCs w:val="22"/>
          <w:lang w:val="sl-SI" w:eastAsia="sl-SI"/>
        </w:rPr>
      </w:pPr>
      <w:r w:rsidRPr="00601465">
        <w:rPr>
          <w:snapToGrid/>
          <w:szCs w:val="22"/>
          <w:lang w:val="sl-SI" w:eastAsia="sl-SI"/>
        </w:rPr>
        <w:t>Η φωτοευαισθητοποιός δράση της υδροχλωροθειαζίδης θα μπορούσε να δρα ως πιθανός μηχανισμός για την εμφάνιση μη μελανωματικού καρκίνου του δέρματος.</w:t>
      </w:r>
    </w:p>
    <w:p w:rsidR="00D957A2" w:rsidRPr="00601465" w:rsidRDefault="00D957A2" w:rsidP="00D957A2">
      <w:pPr>
        <w:widowControl w:val="0"/>
        <w:tabs>
          <w:tab w:val="clear" w:pos="567"/>
        </w:tabs>
        <w:spacing w:line="240" w:lineRule="auto"/>
        <w:rPr>
          <w:snapToGrid/>
          <w:szCs w:val="22"/>
          <w:lang w:val="sl-SI" w:eastAsia="sl-SI"/>
        </w:rPr>
      </w:pPr>
    </w:p>
    <w:p w:rsidR="00D957A2" w:rsidRPr="00601465" w:rsidRDefault="00D957A2" w:rsidP="00D957A2">
      <w:pPr>
        <w:widowControl w:val="0"/>
        <w:tabs>
          <w:tab w:val="clear" w:pos="567"/>
        </w:tabs>
        <w:spacing w:line="240" w:lineRule="auto"/>
        <w:rPr>
          <w:snapToGrid/>
          <w:szCs w:val="22"/>
          <w:lang w:val="sl-SI" w:eastAsia="sl-SI"/>
        </w:rPr>
      </w:pPr>
      <w:r w:rsidRPr="00601465">
        <w:rPr>
          <w:snapToGrid/>
          <w:szCs w:val="22"/>
          <w:lang w:val="sl-SI" w:eastAsia="sl-SI"/>
        </w:rPr>
        <w:t xml:space="preserve">Οι ασθενείς που λαμβάνουν υδροχλωροθειαζίδη πρέπει να ενημερώνονται για τον κίνδυνο μη μελανωματικού καρκίνου του δέρματος και να λαμβάνουν συστάσεις ώστε να ελέγχουν </w:t>
      </w:r>
      <w:r w:rsidRPr="00601465">
        <w:rPr>
          <w:snapToGrid/>
          <w:szCs w:val="22"/>
          <w:lang w:val="el-GR" w:eastAsia="sl-SI"/>
        </w:rPr>
        <w:t xml:space="preserve">σε τακτική βάση </w:t>
      </w:r>
      <w:r w:rsidRPr="00601465">
        <w:rPr>
          <w:snapToGrid/>
          <w:szCs w:val="22"/>
          <w:lang w:val="sl-SI" w:eastAsia="sl-SI"/>
        </w:rPr>
        <w:t xml:space="preserve">το δέρμα τους για τυχόν νέες βλάβες και να αναφέρουν άμεσα οποιεσδήποτε ύποπτες δερματικές βλάβες. Στους ασθενείς πρέπει να συνιστάται η λήψη πιθανών προληπτικών μέτρων όπως περιορισμένη έκθεση στην ηλιακή και στην υπεριώδη ακτινοβολία και, σε περίπτωση έκθεσης, η χρήση κατάλληλης προστασίας για την ελαχιστοποίηση του κινδύνου εμφάνισης καρκίνου του δέρματος. Οι ύποπτες δερματικές βλάβες πρέπει να υποβάλλονται άμεσα σε εξέταση, συμπεριλαμβανομένης </w:t>
      </w:r>
      <w:r w:rsidRPr="00601465">
        <w:rPr>
          <w:snapToGrid/>
          <w:szCs w:val="22"/>
          <w:lang w:val="el-GR" w:eastAsia="sl-SI"/>
        </w:rPr>
        <w:t>ενδεχομένως</w:t>
      </w:r>
      <w:r w:rsidRPr="00601465">
        <w:rPr>
          <w:snapToGrid/>
          <w:szCs w:val="22"/>
          <w:lang w:val="sl-SI" w:eastAsia="sl-SI"/>
        </w:rPr>
        <w:t xml:space="preserve"> της ιστολογικής εξέτασης βιοψίας. Σε ασθενείς που έχουν εμφανίσει μη μελανωματικό καρκίνο του δέρματος στο παρελθόν θα πρέπει ενδεχομένως να επανεξεταστεί η χρήση της υδροχλωροθειαζίδης (βλ. επίσης παράγραφο 4.8).</w:t>
      </w:r>
    </w:p>
    <w:p w:rsidR="00714685" w:rsidRPr="00A61F09" w:rsidRDefault="00714685" w:rsidP="00714685">
      <w:pPr>
        <w:widowControl w:val="0"/>
        <w:spacing w:line="240" w:lineRule="auto"/>
        <w:rPr>
          <w:noProof/>
          <w:szCs w:val="22"/>
          <w:lang w:val="sl-SI"/>
        </w:rPr>
      </w:pPr>
    </w:p>
    <w:p w:rsidR="00714685" w:rsidRPr="00FC2F1F" w:rsidRDefault="00714685" w:rsidP="00714685">
      <w:pPr>
        <w:widowControl w:val="0"/>
        <w:tabs>
          <w:tab w:val="clear" w:pos="567"/>
        </w:tabs>
        <w:spacing w:line="240" w:lineRule="auto"/>
        <w:ind w:left="567" w:hanging="567"/>
        <w:rPr>
          <w:b/>
          <w:noProof/>
          <w:szCs w:val="22"/>
          <w:lang w:val="el-GR"/>
        </w:rPr>
      </w:pPr>
      <w:r w:rsidRPr="00FC2F1F">
        <w:rPr>
          <w:b/>
          <w:noProof/>
          <w:szCs w:val="22"/>
          <w:lang w:val="el-GR"/>
        </w:rPr>
        <w:t>4.5</w:t>
      </w:r>
      <w:r w:rsidRPr="00FC2F1F">
        <w:rPr>
          <w:b/>
          <w:noProof/>
          <w:szCs w:val="22"/>
          <w:lang w:val="el-GR"/>
        </w:rPr>
        <w:tab/>
        <w:t>Αλληλεπιδράσεις με άλλα φαρμακευτικά προϊόντα και άλλες μορφές αλληλεπίδρασης</w:t>
      </w:r>
    </w:p>
    <w:p w:rsidR="00714685" w:rsidRPr="00FC2F1F" w:rsidRDefault="00714685" w:rsidP="00714685">
      <w:pPr>
        <w:widowControl w:val="0"/>
        <w:spacing w:line="240" w:lineRule="auto"/>
        <w:rPr>
          <w:noProof/>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Λίθιο</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Κατά τη συγχορήγηση λιθίου με αναστολείς του μετατρεπτικού ενζύμου της αγγειοτενσίνης έχουν αναφερθεί αναστρέψιμες αυξήσεις στις συγκεντρώσεις λιθίου στον ορό και τοξικότητα. Σπάνιες περιπτώσεις έχουν επίσης αναφερθεί με ανταγωνιστές των υποδοχέων της αγγειοτενσίνης ΙΙ (περιλαμβανομένου και του </w:t>
      </w:r>
      <w:r w:rsidRPr="00FC2F1F">
        <w:rPr>
          <w:szCs w:val="22"/>
          <w:lang w:val="el-GR"/>
        </w:rPr>
        <w:t>Tolucombi</w:t>
      </w:r>
      <w:r w:rsidRPr="00FC2F1F">
        <w:rPr>
          <w:snapToGrid/>
          <w:szCs w:val="22"/>
          <w:lang w:val="el-GR"/>
        </w:rPr>
        <w:t xml:space="preserve">). Η συγχορήγηση λιθίου και </w:t>
      </w:r>
      <w:r w:rsidRPr="00FC2F1F">
        <w:rPr>
          <w:szCs w:val="22"/>
          <w:lang w:val="el-GR"/>
        </w:rPr>
        <w:t>Tolucombi</w:t>
      </w:r>
      <w:r w:rsidRPr="00FC2F1F">
        <w:rPr>
          <w:snapToGrid/>
          <w:szCs w:val="22"/>
          <w:lang w:val="el-GR"/>
        </w:rPr>
        <w:t xml:space="preserve"> δε</w:t>
      </w:r>
      <w:r>
        <w:rPr>
          <w:snapToGrid/>
          <w:szCs w:val="22"/>
          <w:lang w:val="el-GR"/>
        </w:rPr>
        <w:t>ν</w:t>
      </w:r>
      <w:r w:rsidRPr="00FC2F1F">
        <w:rPr>
          <w:snapToGrid/>
          <w:szCs w:val="22"/>
          <w:lang w:val="el-GR"/>
        </w:rPr>
        <w:t xml:space="preserve"> συνιστάται (βλ. παράγραφο 4.4). Εάν αυτός ο συνδυασμός αποδειχθεί απαραίτητος, συ</w:t>
      </w:r>
      <w:r>
        <w:rPr>
          <w:snapToGrid/>
          <w:szCs w:val="22"/>
          <w:lang w:val="el-GR"/>
        </w:rPr>
        <w:t>νιστά</w:t>
      </w:r>
      <w:r w:rsidRPr="00FC2F1F">
        <w:rPr>
          <w:snapToGrid/>
          <w:szCs w:val="22"/>
          <w:lang w:val="el-GR"/>
        </w:rPr>
        <w:t>ται προσεκτική παρακολούθηση των επιπέδων λιθίου στο</w:t>
      </w:r>
      <w:r>
        <w:rPr>
          <w:snapToGrid/>
          <w:szCs w:val="22"/>
          <w:lang w:val="el-GR"/>
        </w:rPr>
        <w:t>ν</w:t>
      </w:r>
      <w:r w:rsidRPr="00FC2F1F">
        <w:rPr>
          <w:snapToGrid/>
          <w:szCs w:val="22"/>
          <w:lang w:val="el-GR"/>
        </w:rPr>
        <w:t xml:space="preserve"> </w:t>
      </w:r>
      <w:r>
        <w:rPr>
          <w:snapToGrid/>
          <w:szCs w:val="22"/>
          <w:lang w:val="el-GR"/>
        </w:rPr>
        <w:t>ορό</w:t>
      </w:r>
      <w:r w:rsidRPr="00FC2F1F">
        <w:rPr>
          <w:snapToGrid/>
          <w:szCs w:val="22"/>
          <w:lang w:val="el-GR"/>
        </w:rPr>
        <w:t xml:space="preserve"> κατά τη διάρκεια της ταυτόχρονης χρήσης.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Φαρμακευτικά προϊόντα που σχετίζονται με απ</w:t>
      </w:r>
      <w:r w:rsidR="00927783">
        <w:rPr>
          <w:snapToGrid/>
          <w:szCs w:val="22"/>
          <w:u w:val="single"/>
          <w:lang w:val="el-GR"/>
        </w:rPr>
        <w:t>ώλεια</w:t>
      </w:r>
      <w:r w:rsidRPr="00FC2F1F">
        <w:rPr>
          <w:snapToGrid/>
          <w:szCs w:val="22"/>
          <w:u w:val="single"/>
          <w:lang w:val="el-GR"/>
        </w:rPr>
        <w:t xml:space="preserve"> καλίου και υποκαλιαιμία</w:t>
      </w:r>
      <w:r w:rsidRPr="00FC2F1F">
        <w:rPr>
          <w:snapToGrid/>
          <w:szCs w:val="22"/>
          <w:lang w:val="el-GR"/>
        </w:rPr>
        <w:t xml:space="preserve"> (π.χ. άλλα καλιουρητικά διουρητικά, καθαρτικά, κορτικοστεροειδή, ACTH, αμφοτερικίνη, καρβενοξολόνη, νατριούχος πενικιλλίνη G, σαλικυλικό οξύ και παράγωγα).</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Εάν οι ουσίες αυτές συνταγογραφηθούν με το συνδυασμό υδροχλωροθειαζίδης-τελμισαρτάνης</w:t>
      </w:r>
      <w:r>
        <w:rPr>
          <w:snapToGrid/>
          <w:szCs w:val="22"/>
          <w:lang w:val="el-GR"/>
        </w:rPr>
        <w:t>,</w:t>
      </w:r>
      <w:r w:rsidRPr="00FC2F1F">
        <w:rPr>
          <w:snapToGrid/>
          <w:szCs w:val="22"/>
          <w:lang w:val="el-GR"/>
        </w:rPr>
        <w:t xml:space="preserve"> συ</w:t>
      </w:r>
      <w:r>
        <w:rPr>
          <w:snapToGrid/>
          <w:szCs w:val="22"/>
          <w:lang w:val="el-GR"/>
        </w:rPr>
        <w:t>νιστά</w:t>
      </w:r>
      <w:r w:rsidRPr="00FC2F1F">
        <w:rPr>
          <w:snapToGrid/>
          <w:szCs w:val="22"/>
          <w:lang w:val="el-GR"/>
        </w:rPr>
        <w:t>ται παρακολούθηση των επιπέδων καλίου στο πλάσμα. Αυτά τα φαρμακευτικά προϊόντα μπορεί να ενισχύσουν τη δράση της υδροχλωροθειαζίδης στα επίπεδα καλίου του ορού (βλ. παράγραφο 4.4).</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Φαρμακευτικά προϊόντα που μπορεί να αυξήσουν τα επίπεδα καλίου ή να προκαλέσουν υπερκαλιαιμία</w:t>
      </w:r>
      <w:r w:rsidRPr="00FC2F1F">
        <w:rPr>
          <w:snapToGrid/>
          <w:szCs w:val="22"/>
          <w:lang w:val="el-GR"/>
        </w:rPr>
        <w:t xml:space="preserve"> (π.χ. αναστολείς ΜΕΑ, καλιοσυντηρητικά διουρητικά, συμπληρώματα καλίου, υποκατάστατα άλατος που περιέχουν κάλιο, κυκλοσπορίνη ή άλλα φαρμακευτικά προϊόντα όπως η νατριούχος ηπαρίνη)</w:t>
      </w:r>
      <w:r>
        <w:rPr>
          <w:snapToGrid/>
          <w:szCs w:val="22"/>
          <w:lang w:val="el-GR"/>
        </w:rPr>
        <w:t>.</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Εάν </w:t>
      </w:r>
      <w:r>
        <w:rPr>
          <w:snapToGrid/>
          <w:szCs w:val="22"/>
          <w:lang w:val="el-GR"/>
        </w:rPr>
        <w:t xml:space="preserve">αυτά τα φαρμακευτικά προϊόντα </w:t>
      </w:r>
      <w:r w:rsidRPr="00FC2F1F">
        <w:rPr>
          <w:snapToGrid/>
          <w:szCs w:val="22"/>
          <w:lang w:val="el-GR"/>
        </w:rPr>
        <w:t>συνταγογραφηθούν με το συνδυασμό υδροχλωροθειαζίδης-τελμισαρτάνης, συ</w:t>
      </w:r>
      <w:r>
        <w:rPr>
          <w:snapToGrid/>
          <w:szCs w:val="22"/>
          <w:lang w:val="el-GR"/>
        </w:rPr>
        <w:t>νιστά</w:t>
      </w:r>
      <w:r w:rsidRPr="00FC2F1F">
        <w:rPr>
          <w:snapToGrid/>
          <w:szCs w:val="22"/>
          <w:lang w:val="el-GR"/>
        </w:rPr>
        <w:t xml:space="preserve">ται παρακολούθηση των επιπέδων καλίου στο πλάσμα. Βάσει της εμπειρίας από τη χρήση άλλων φαρμακευτικών προϊόντων που επιβραδύνουν το σύστημα ρενίνης – αγγειοτενσίνης, </w:t>
      </w:r>
      <w:r>
        <w:rPr>
          <w:snapToGrid/>
          <w:szCs w:val="22"/>
          <w:lang w:val="el-GR"/>
        </w:rPr>
        <w:t xml:space="preserve">η </w:t>
      </w:r>
      <w:r w:rsidRPr="00FC2F1F">
        <w:rPr>
          <w:snapToGrid/>
          <w:szCs w:val="22"/>
          <w:lang w:val="el-GR"/>
        </w:rPr>
        <w:t>συγχορήγηση των παραπάνω φαρμακευτικών προϊόντων μπορεί να οδηγήσει σε αύξηση στα επίπεδα καλίου του ορού και</w:t>
      </w:r>
      <w:r>
        <w:rPr>
          <w:snapToGrid/>
          <w:szCs w:val="22"/>
          <w:lang w:val="el-GR"/>
        </w:rPr>
        <w:t>, συνεπώς,</w:t>
      </w:r>
      <w:r w:rsidRPr="00FC2F1F">
        <w:rPr>
          <w:snapToGrid/>
          <w:szCs w:val="22"/>
          <w:lang w:val="el-GR"/>
        </w:rPr>
        <w:t xml:space="preserve"> δε</w:t>
      </w:r>
      <w:r>
        <w:rPr>
          <w:snapToGrid/>
          <w:szCs w:val="22"/>
          <w:lang w:val="el-GR"/>
        </w:rPr>
        <w:t>ν</w:t>
      </w:r>
      <w:r w:rsidRPr="00FC2F1F">
        <w:rPr>
          <w:snapToGrid/>
          <w:szCs w:val="22"/>
          <w:lang w:val="el-GR"/>
        </w:rPr>
        <w:t xml:space="preserve"> συνιστ</w:t>
      </w:r>
      <w:r>
        <w:rPr>
          <w:snapToGrid/>
          <w:szCs w:val="22"/>
          <w:lang w:val="el-GR"/>
        </w:rPr>
        <w:t>ά</w:t>
      </w:r>
      <w:r w:rsidRPr="00FC2F1F">
        <w:rPr>
          <w:snapToGrid/>
          <w:szCs w:val="22"/>
          <w:lang w:val="el-GR"/>
        </w:rPr>
        <w:t>ται (βλ.</w:t>
      </w:r>
      <w:r>
        <w:rPr>
          <w:snapToGrid/>
          <w:szCs w:val="22"/>
          <w:lang w:val="el-GR"/>
        </w:rPr>
        <w:t xml:space="preserve"> </w:t>
      </w:r>
      <w:r w:rsidRPr="00FC2F1F">
        <w:rPr>
          <w:snapToGrid/>
          <w:szCs w:val="22"/>
          <w:lang w:val="el-GR"/>
        </w:rPr>
        <w:t>παράγραφο 4.4).</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Φαρμακευτικά προϊόντα που επηρεάζονται από τις διαταραχές καλίου του ορού</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Pr>
          <w:snapToGrid/>
          <w:szCs w:val="22"/>
          <w:lang w:val="el-GR"/>
        </w:rPr>
        <w:t>Συνιστώνται</w:t>
      </w:r>
      <w:r w:rsidRPr="00FC2F1F">
        <w:rPr>
          <w:snapToGrid/>
          <w:szCs w:val="22"/>
          <w:lang w:val="el-GR"/>
        </w:rPr>
        <w:t xml:space="preserve"> περιοδικός έλεγχος του καλίου ορού και ΗΚΓ όταν το </w:t>
      </w:r>
      <w:r w:rsidRPr="00FC2F1F">
        <w:rPr>
          <w:szCs w:val="22"/>
          <w:lang w:val="el-GR"/>
        </w:rPr>
        <w:t xml:space="preserve">Tolucombi </w:t>
      </w:r>
      <w:r w:rsidRPr="00FC2F1F">
        <w:rPr>
          <w:snapToGrid/>
          <w:szCs w:val="22"/>
          <w:lang w:val="el-GR"/>
        </w:rPr>
        <w:t xml:space="preserve">χορηγείται με φαρμακευτικά προϊόντα που επηρεάζονται από τις διαταραχές καλίου του ορού (π.χ. καρδιακές γλυκοσίδες, αντιαρρυθμικά) και </w:t>
      </w:r>
      <w:r>
        <w:rPr>
          <w:snapToGrid/>
          <w:szCs w:val="22"/>
          <w:lang w:val="el-GR"/>
        </w:rPr>
        <w:t xml:space="preserve">με </w:t>
      </w:r>
      <w:r w:rsidRPr="00FC2F1F">
        <w:rPr>
          <w:snapToGrid/>
          <w:szCs w:val="22"/>
          <w:lang w:val="el-GR"/>
        </w:rPr>
        <w:t xml:space="preserve">τα ακόλουθα φαρμακευτικά προϊόντα που </w:t>
      </w:r>
      <w:r w:rsidRPr="000151B8">
        <w:rPr>
          <w:color w:val="000000"/>
          <w:szCs w:val="22"/>
          <w:lang w:val="el-GR"/>
        </w:rPr>
        <w:t xml:space="preserve">επάγουν </w:t>
      </w:r>
      <w:r w:rsidRPr="00FC2F1F">
        <w:rPr>
          <w:snapToGrid/>
          <w:szCs w:val="22"/>
          <w:lang w:val="el-GR"/>
        </w:rPr>
        <w:t xml:space="preserve">πολύμορφη κοιλιακή ταχυκαρδία (τα οποία περιλαμβάνουν ορισμένα αντιαρρυθμικά), </w:t>
      </w:r>
      <w:r>
        <w:rPr>
          <w:snapToGrid/>
          <w:szCs w:val="22"/>
          <w:lang w:val="el-GR"/>
        </w:rPr>
        <w:t xml:space="preserve">όντας </w:t>
      </w:r>
      <w:r w:rsidRPr="00FC2F1F">
        <w:rPr>
          <w:snapToGrid/>
          <w:szCs w:val="22"/>
          <w:lang w:val="el-GR"/>
        </w:rPr>
        <w:t>η υποκαλιαιμία ένας προδιαθεσικός παράγοντας για πολύμορφη κοιλιακή ταχυκαρδία.</w:t>
      </w:r>
    </w:p>
    <w:p w:rsidR="00714685" w:rsidRPr="00FC2F1F" w:rsidRDefault="00714685" w:rsidP="00714685">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κατηγορία</w:t>
      </w:r>
      <w:r w:rsidR="00927783">
        <w:rPr>
          <w:snapToGrid/>
          <w:szCs w:val="22"/>
          <w:lang w:val="el-GR"/>
        </w:rPr>
        <w:t>ς</w:t>
      </w:r>
      <w:r w:rsidRPr="00FC2F1F">
        <w:rPr>
          <w:snapToGrid/>
          <w:szCs w:val="22"/>
          <w:lang w:val="el-GR"/>
        </w:rPr>
        <w:t xml:space="preserve"> Ια αντιαρρυθμικ</w:t>
      </w:r>
      <w:r w:rsidR="00927783">
        <w:rPr>
          <w:snapToGrid/>
          <w:szCs w:val="22"/>
          <w:lang w:val="el-GR"/>
        </w:rPr>
        <w:t>ά</w:t>
      </w:r>
      <w:r w:rsidRPr="00FC2F1F">
        <w:rPr>
          <w:snapToGrid/>
          <w:szCs w:val="22"/>
          <w:lang w:val="el-GR"/>
        </w:rPr>
        <w:t xml:space="preserve"> (π.χ. κινιδίνη, </w:t>
      </w:r>
      <w:r w:rsidRPr="00FC2F1F">
        <w:rPr>
          <w:bCs/>
          <w:snapToGrid/>
          <w:szCs w:val="22"/>
          <w:lang w:val="el-GR"/>
        </w:rPr>
        <w:t>υδροκινιδίνη</w:t>
      </w:r>
      <w:r w:rsidRPr="00FC2F1F">
        <w:rPr>
          <w:snapToGrid/>
          <w:szCs w:val="22"/>
          <w:lang w:val="el-GR"/>
        </w:rPr>
        <w:t>, δισοπυραμίδη)</w:t>
      </w:r>
    </w:p>
    <w:p w:rsidR="00714685" w:rsidRPr="00FC2F1F" w:rsidRDefault="00714685" w:rsidP="00714685">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κατηγορία</w:t>
      </w:r>
      <w:r w:rsidR="00927783">
        <w:rPr>
          <w:snapToGrid/>
          <w:szCs w:val="22"/>
          <w:lang w:val="el-GR"/>
        </w:rPr>
        <w:t>ς</w:t>
      </w:r>
      <w:r w:rsidRPr="00FC2F1F">
        <w:rPr>
          <w:snapToGrid/>
          <w:szCs w:val="22"/>
          <w:lang w:val="el-GR"/>
        </w:rPr>
        <w:t xml:space="preserve"> ΙΙΙ αντιαρρυθμικ</w:t>
      </w:r>
      <w:r w:rsidR="00927783">
        <w:rPr>
          <w:snapToGrid/>
          <w:szCs w:val="22"/>
          <w:lang w:val="el-GR"/>
        </w:rPr>
        <w:t>ά</w:t>
      </w:r>
      <w:r w:rsidRPr="00FC2F1F">
        <w:rPr>
          <w:snapToGrid/>
          <w:szCs w:val="22"/>
          <w:lang w:val="el-GR"/>
        </w:rPr>
        <w:t xml:space="preserve"> (π.χ. αμι</w:t>
      </w:r>
      <w:r w:rsidR="0074577B">
        <w:rPr>
          <w:snapToGrid/>
          <w:szCs w:val="22"/>
          <w:lang w:val="el-GR"/>
        </w:rPr>
        <w:t>ω</w:t>
      </w:r>
      <w:r w:rsidRPr="00FC2F1F">
        <w:rPr>
          <w:snapToGrid/>
          <w:szCs w:val="22"/>
          <w:lang w:val="el-GR"/>
        </w:rPr>
        <w:t xml:space="preserve">δαρόνη, </w:t>
      </w:r>
      <w:r w:rsidRPr="00FC2F1F">
        <w:rPr>
          <w:bCs/>
          <w:snapToGrid/>
          <w:szCs w:val="22"/>
          <w:lang w:val="el-GR"/>
        </w:rPr>
        <w:t>σοταλόλη</w:t>
      </w:r>
      <w:r w:rsidRPr="00FC2F1F">
        <w:rPr>
          <w:snapToGrid/>
          <w:szCs w:val="22"/>
          <w:lang w:val="el-GR"/>
        </w:rPr>
        <w:t>, δοφετιλίδη, ιμπουτιλίδη)</w:t>
      </w:r>
    </w:p>
    <w:p w:rsidR="00714685" w:rsidRPr="00FC2F1F" w:rsidRDefault="00714685" w:rsidP="00714685">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μερικά αντιψυχωσικά (π.χ. θειοριδαζίνη, χλωροπρομαζίνη,</w:t>
      </w:r>
      <w:r w:rsidRPr="00FC2F1F">
        <w:rPr>
          <w:szCs w:val="22"/>
          <w:lang w:val="el-GR"/>
        </w:rPr>
        <w:t xml:space="preserve"> </w:t>
      </w:r>
      <w:r w:rsidRPr="00FC2F1F">
        <w:rPr>
          <w:snapToGrid/>
          <w:szCs w:val="22"/>
          <w:lang w:val="el-GR"/>
        </w:rPr>
        <w:t>λεβομεπρομαζίνη, τριφλουοπεραζίνη, κυαμεμαζίνη, σουλπιρίδη, σουλτοπρίδη, αμισουλπρίδη, τιαπρίδη, πιμοζίδη, αλοπεριδόλη, δροπεριδόλη)</w:t>
      </w:r>
    </w:p>
    <w:p w:rsidR="00714685" w:rsidRPr="00FC2F1F" w:rsidRDefault="00714685" w:rsidP="00714685">
      <w:pPr>
        <w:widowControl w:val="0"/>
        <w:numPr>
          <w:ilvl w:val="0"/>
          <w:numId w:val="7"/>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άλλα (π.χ. βεπριδίλη, σιζαπρίδη, διφεμανίλη, ερυθρομυκίνη IV, αλοφαντρίνη, μιζολαστίνη, πενταμιδίνη, σπαρφλοξασίνη, τερφεναδίνη, βινκαμίνη IV)</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Καρδιακές γλυκοσίδες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Υποκαλιαιμία επαγόμενη από θειαζίδες ή υπομαγνησιαιμία ευνοούν τη ανάπτυξη αρρυθμιών που προκαλούνται από τις καρδιακές γλυκοσίδες (βλ. παράγραφο 4.4).</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Διγοξίνη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Όταν η τελμισαρτάνη συγχορηγήθηκε με διγοξίνη, παρατηρήθηκαν διάμεσες αυξήσεις στη μέγιστη συγκέντρωση</w:t>
      </w:r>
      <w:r>
        <w:rPr>
          <w:snapToGrid/>
          <w:szCs w:val="22"/>
          <w:lang w:val="el-GR"/>
        </w:rPr>
        <w:t xml:space="preserve"> (49%)</w:t>
      </w:r>
      <w:r w:rsidRPr="00FC2F1F">
        <w:rPr>
          <w:snapToGrid/>
          <w:szCs w:val="22"/>
          <w:lang w:val="el-GR"/>
        </w:rPr>
        <w:t xml:space="preserve"> της διγοξίνης </w:t>
      </w:r>
      <w:r>
        <w:rPr>
          <w:snapToGrid/>
          <w:szCs w:val="22"/>
          <w:lang w:val="el-GR"/>
        </w:rPr>
        <w:t>στο πλάσμα</w:t>
      </w:r>
      <w:r w:rsidRPr="00FC2F1F">
        <w:rPr>
          <w:snapToGrid/>
          <w:szCs w:val="22"/>
          <w:lang w:val="el-GR"/>
        </w:rPr>
        <w:t xml:space="preserve"> και στην κατώτερη συγκέντρωση (20%). Κατά την έναρξη, </w:t>
      </w:r>
      <w:r>
        <w:rPr>
          <w:snapToGrid/>
          <w:szCs w:val="22"/>
          <w:lang w:val="el-GR"/>
        </w:rPr>
        <w:t xml:space="preserve">την </w:t>
      </w:r>
      <w:r w:rsidRPr="00FC2F1F">
        <w:rPr>
          <w:snapToGrid/>
          <w:szCs w:val="22"/>
          <w:lang w:val="el-GR"/>
        </w:rPr>
        <w:t xml:space="preserve">προσαρμογή και </w:t>
      </w:r>
      <w:r>
        <w:rPr>
          <w:snapToGrid/>
          <w:szCs w:val="22"/>
          <w:lang w:val="el-GR"/>
        </w:rPr>
        <w:t xml:space="preserve">τη </w:t>
      </w:r>
      <w:r w:rsidRPr="00FC2F1F">
        <w:rPr>
          <w:snapToGrid/>
          <w:szCs w:val="22"/>
          <w:lang w:val="el-GR"/>
        </w:rPr>
        <w:t>διακοπή της τελμισαρτάνης, συ</w:t>
      </w:r>
      <w:r>
        <w:rPr>
          <w:snapToGrid/>
          <w:szCs w:val="22"/>
          <w:lang w:val="el-GR"/>
        </w:rPr>
        <w:t>νιστά</w:t>
      </w:r>
      <w:r w:rsidRPr="00FC2F1F">
        <w:rPr>
          <w:snapToGrid/>
          <w:szCs w:val="22"/>
          <w:lang w:val="el-GR"/>
        </w:rPr>
        <w:t>ται παρακολούθηση των επιπέδων διγοξίνης προκειμένου να διατηρηθούν τα επίπεδα εντός του θεραπευτικού εύρους.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Άλλοι αντιυπερτασικοί παράγοντες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τελμισαρτάνη μπορεί να αυξήσει την υποτασική δράση άλλων αντιυπερτασικών παραγόντων.</w:t>
      </w:r>
    </w:p>
    <w:p w:rsidR="00714685" w:rsidRDefault="00714685" w:rsidP="00714685">
      <w:pPr>
        <w:widowControl w:val="0"/>
        <w:tabs>
          <w:tab w:val="clear" w:pos="567"/>
        </w:tabs>
        <w:autoSpaceDE w:val="0"/>
        <w:autoSpaceDN w:val="0"/>
        <w:adjustRightInd w:val="0"/>
        <w:spacing w:line="240" w:lineRule="auto"/>
        <w:rPr>
          <w:snapToGrid/>
          <w:szCs w:val="22"/>
          <w:lang w:val="sl-SI"/>
        </w:rPr>
      </w:pPr>
    </w:p>
    <w:p w:rsidR="00714685" w:rsidRDefault="00714685" w:rsidP="00714685">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 xml:space="preserve">Τα δεδομένα από κλινικές </w:t>
      </w:r>
      <w:r>
        <w:rPr>
          <w:snapToGrid/>
          <w:szCs w:val="22"/>
          <w:lang w:val="el-GR"/>
        </w:rPr>
        <w:t>δοκιμές</w:t>
      </w:r>
      <w:r w:rsidRPr="00D76F8A">
        <w:rPr>
          <w:snapToGrid/>
          <w:szCs w:val="22"/>
          <w:lang w:val="sl-SI"/>
        </w:rPr>
        <w:t xml:space="preserve"> έχουν δείξει ότι ο διπλός αποκλεισμός του συστήματος ρενίνης-αγγειοτενσίνης-αλδοστερόνης (RAAS) μέσω της συνδυασμένης χρήσης αναστολέων ΜΕΑ, αποκλειστών των υποδοχεών αγγειοτενσίνης ΙΙ ή αλισκιρένης συσχετίζεται με υψηλότερη συχνότητα </w:t>
      </w:r>
      <w:r>
        <w:rPr>
          <w:snapToGrid/>
          <w:szCs w:val="22"/>
          <w:lang w:val="el-GR"/>
        </w:rPr>
        <w:t xml:space="preserve">εμφάνισης </w:t>
      </w:r>
      <w:r w:rsidRPr="00D76F8A">
        <w:rPr>
          <w:snapToGrid/>
          <w:szCs w:val="22"/>
          <w:lang w:val="sl-SI"/>
        </w:rPr>
        <w:t>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(RAAS) (βλ. παραγράφους 4.3, 4.4 και 5.1).</w:t>
      </w:r>
    </w:p>
    <w:p w:rsidR="00714685" w:rsidRPr="00311F0B" w:rsidRDefault="00714685" w:rsidP="00714685">
      <w:pPr>
        <w:widowControl w:val="0"/>
        <w:tabs>
          <w:tab w:val="clear" w:pos="567"/>
        </w:tabs>
        <w:autoSpaceDE w:val="0"/>
        <w:autoSpaceDN w:val="0"/>
        <w:adjustRightInd w:val="0"/>
        <w:spacing w:line="240" w:lineRule="auto"/>
        <w:rPr>
          <w:snapToGrid/>
          <w:szCs w:val="22"/>
          <w:lang w:val="sl-SI"/>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Αντιδιαβητικά φαρμακευτικά προϊόντα (από του στόματος </w:t>
      </w:r>
      <w:r>
        <w:rPr>
          <w:snapToGrid/>
          <w:szCs w:val="22"/>
          <w:u w:val="single"/>
          <w:lang w:val="el-GR"/>
        </w:rPr>
        <w:t xml:space="preserve">παράγοντες </w:t>
      </w:r>
      <w:r w:rsidRPr="00FC2F1F">
        <w:rPr>
          <w:snapToGrid/>
          <w:szCs w:val="22"/>
          <w:u w:val="single"/>
          <w:lang w:val="el-GR"/>
        </w:rPr>
        <w:t>και ινσουλίνη)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Μπορεί να απαιτηθεί προσαρμογή της δόσης των αντιδιαβητικών φαρμακευτικών προϊόντων (βλ. παράγραφο 4.4).</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Μετφορμίνη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μετφορμίνη θα πρέπει να χρησιμοποιείται με προσοχή: υπάρχει κίνδυνος γαλακτικής οξέωσης από πιθανή λειτουργική νεφρική ανεπάρκεια σχετιζόμενη με την υδροχλωροθειαζίδη.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Χολεστυραμίνη και ρητίνες </w:t>
      </w:r>
      <w:r>
        <w:rPr>
          <w:snapToGrid/>
          <w:szCs w:val="22"/>
          <w:u w:val="single"/>
          <w:lang w:val="el-GR"/>
        </w:rPr>
        <w:t>κ</w:t>
      </w:r>
      <w:r w:rsidRPr="00FC2F1F">
        <w:rPr>
          <w:snapToGrid/>
          <w:szCs w:val="22"/>
          <w:u w:val="single"/>
          <w:lang w:val="el-GR"/>
        </w:rPr>
        <w:t>ολεστιπόλης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απορρόφηση της υδροχλωροθειαζίδης μειώνεται παρουσία ρητινών ανταλλαγής ανιόντων.</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2F47A5"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Μη στεροειδή αντιφλεγμονώδη φαρμακευτικά προϊόντα</w:t>
      </w:r>
      <w:r w:rsidRPr="00B754A1">
        <w:rPr>
          <w:snapToGrid/>
          <w:szCs w:val="22"/>
          <w:u w:val="single"/>
          <w:lang w:val="el-GR"/>
        </w:rPr>
        <w:t xml:space="preserve"> (</w:t>
      </w:r>
      <w:r>
        <w:rPr>
          <w:snapToGrid/>
          <w:szCs w:val="22"/>
          <w:u w:val="single"/>
          <w:lang w:val="el-GR"/>
        </w:rPr>
        <w:t>ΜΣΑΦ)</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Τα ΜΣΑΦ (δηλ. ακετυλοσαλικυλικό οξύ σε δοσολογικά σχήματα ως αντιφλεγμονώδες, αναστολείς της COX-2 και μη εκλεκτικά ΜΣΑΦ) μπορεί να ελαττώσουν τις διουρητικές, νατριουρητικές και αντιυπερτασικές δράσεις των θειαζιδικών διουρητικών και τις αντιυπερτασικές δράσεις των ανταγωνιστών των υποδοχέων της αγγειοτενσίνης ΙΙ.</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Σε κάποιους ασθενείς με επιβαρυμένη νεφρική λειτουργία (π.χ. αφυδατωμένοι ασθενείς ή ηλικιωμένοι ασθενείς με επιβαρυμένη νεφρική λειτουργία) η συγχορήγηση ανταγωνιστών των υποδοχέων της αγγειοτενσίνης ΙΙ και παραγόντων που αναστέλλουν την κυκλοξυγενάση μπορεί να έχει ως αποτέλεσμα περαιτέρω επιδείνωση της νεφρικής λειτουργίας, περιλαμβανομένης και πιθανής οξείας νεφρικής ανεπάρκειας, η οποία είναι συνήθως αναστρέψιμη. Οπότε ο συνδυασμός θα πρέπει να χορηγείται με προσοχή, κυρίως στους ηλικιωμένους. Οι ασθενείς θα πρέπει να </w:t>
      </w:r>
      <w:r>
        <w:rPr>
          <w:snapToGrid/>
          <w:szCs w:val="22"/>
          <w:lang w:val="el-GR"/>
        </w:rPr>
        <w:t>ενυδατώνονται επαρκώς</w:t>
      </w:r>
      <w:r w:rsidRPr="00FC2F1F">
        <w:rPr>
          <w:snapToGrid/>
          <w:szCs w:val="22"/>
          <w:lang w:val="el-GR"/>
        </w:rPr>
        <w:t xml:space="preserve"> και </w:t>
      </w:r>
      <w:r>
        <w:rPr>
          <w:snapToGrid/>
          <w:szCs w:val="22"/>
          <w:lang w:val="el-GR"/>
        </w:rPr>
        <w:t>να δίνεται προσοχή στην</w:t>
      </w:r>
      <w:r w:rsidRPr="00FC2F1F">
        <w:rPr>
          <w:snapToGrid/>
          <w:szCs w:val="22"/>
          <w:lang w:val="el-GR"/>
        </w:rPr>
        <w:t xml:space="preserve"> παρακολούθηση της νεφρικής λειτουργίας μετά την έναρξη της συγχορηγούμενης αγωγής και στη συνέχεια κατά περιόδους.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μια μελέτη η συγχορήγηση τελμισαρτάνης και ραμιπρίλης οδήγησε σε μια αύξηση έως 2,5 φορές στην AUC</w:t>
      </w:r>
      <w:r w:rsidRPr="00FC2F1F">
        <w:rPr>
          <w:snapToGrid/>
          <w:szCs w:val="22"/>
          <w:vertAlign w:val="subscript"/>
          <w:lang w:val="el-GR"/>
        </w:rPr>
        <w:t xml:space="preserve">0-24 </w:t>
      </w:r>
      <w:r w:rsidRPr="00FC2F1F">
        <w:rPr>
          <w:snapToGrid/>
          <w:szCs w:val="22"/>
          <w:lang w:val="el-GR"/>
        </w:rPr>
        <w:t>και C</w:t>
      </w:r>
      <w:r w:rsidRPr="00FC2F1F">
        <w:rPr>
          <w:snapToGrid/>
          <w:szCs w:val="22"/>
          <w:vertAlign w:val="subscript"/>
          <w:lang w:val="el-GR"/>
        </w:rPr>
        <w:t>max</w:t>
      </w:r>
      <w:r w:rsidRPr="00FC2F1F">
        <w:rPr>
          <w:snapToGrid/>
          <w:szCs w:val="22"/>
          <w:lang w:val="el-GR"/>
        </w:rPr>
        <w:t xml:space="preserve"> της ραμιπρίλης και της ραμιπριλάτης. Η κλινική σημασία αυτής της παρατήρησης δεν είναι γνωστή.</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Αγγειοσυσπαστικές αμίνες (π.χ. νοραδρεναλίνη)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επίδραση των αγγειοσυσπαστικών αμινών μπορεί να ελαττωθεί.</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Μη αποπολωτικά χαλαρωτικά των σκελετικών μυών (π.χ. τουβοκουραρίνη)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επίδραση των μη αποπολωτικών χαλαρωτικών των σκελετικών μυών μπορεί να ενισχυθεί από την υδροχλωροθειαζίδη.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B754A1"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Φαρμακευτικά προϊόντα που χρησιμοποιούνται για τη θεραπεία της ουρικής </w:t>
      </w:r>
      <w:r w:rsidRPr="009C3DFF">
        <w:rPr>
          <w:snapToGrid/>
          <w:szCs w:val="22"/>
          <w:u w:val="single"/>
          <w:lang w:val="el-GR"/>
        </w:rPr>
        <w:t>αρθρίτιδας</w:t>
      </w:r>
      <w:r w:rsidRPr="00B754A1">
        <w:rPr>
          <w:snapToGrid/>
          <w:szCs w:val="22"/>
          <w:u w:val="single"/>
          <w:lang w:val="el-GR"/>
        </w:rPr>
        <w:t xml:space="preserve"> (π.χ. προβενεσίδη, σουλφ</w:t>
      </w:r>
      <w:r>
        <w:rPr>
          <w:snapToGrid/>
          <w:szCs w:val="22"/>
          <w:u w:val="single"/>
          <w:lang w:val="el-GR"/>
        </w:rPr>
        <w:t>ιν</w:t>
      </w:r>
      <w:r w:rsidRPr="00B754A1">
        <w:rPr>
          <w:snapToGrid/>
          <w:szCs w:val="22"/>
          <w:u w:val="single"/>
          <w:lang w:val="el-GR"/>
        </w:rPr>
        <w:t>πυραζόνη και αλλοπουρινόλη)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προσαρμογή της δοσολογίας των ουρικοζουρικών </w:t>
      </w:r>
      <w:r>
        <w:rPr>
          <w:snapToGrid/>
          <w:szCs w:val="22"/>
          <w:lang w:val="el-GR"/>
        </w:rPr>
        <w:t>φαρμακευτικών προϊόντων</w:t>
      </w:r>
      <w:r w:rsidRPr="00FC2F1F">
        <w:rPr>
          <w:snapToGrid/>
          <w:szCs w:val="22"/>
          <w:lang w:val="el-GR"/>
        </w:rPr>
        <w:t xml:space="preserve"> μπορεί να είναι απαραίτητη καθώς η υδροχλωροθειαζίδη μπορεί να αυξήσει τα επίπεδα του ουρικού οξέος στον ορό. Μπορεί να απαιτηθεί αύξηση της δοσολογίας της προβενεσίδης ή της σουλφ</w:t>
      </w:r>
      <w:r>
        <w:rPr>
          <w:snapToGrid/>
          <w:szCs w:val="22"/>
          <w:lang w:val="el-GR"/>
        </w:rPr>
        <w:t>ιν</w:t>
      </w:r>
      <w:r w:rsidRPr="00FC2F1F">
        <w:rPr>
          <w:snapToGrid/>
          <w:szCs w:val="22"/>
          <w:lang w:val="el-GR"/>
        </w:rPr>
        <w:t xml:space="preserve">πυραζόνης. Η συγχορήγηση θειαζιδικού διουρητικού μπορεί να αυξήσει τη συχνότητα </w:t>
      </w:r>
      <w:r>
        <w:rPr>
          <w:snapToGrid/>
          <w:szCs w:val="22"/>
          <w:lang w:val="el-GR"/>
        </w:rPr>
        <w:t xml:space="preserve">εμφάνισης </w:t>
      </w:r>
      <w:r w:rsidRPr="00FC2F1F">
        <w:rPr>
          <w:snapToGrid/>
          <w:szCs w:val="22"/>
          <w:lang w:val="el-GR"/>
        </w:rPr>
        <w:t>αντιδράσεων υπερευαισθησίας στην αλλοπουρινόλη.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Άλατα ασβεστίου</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Τα θειαζιδικά διουρητικά μπορεί να αυξήσουν τα επίπεδα ασβεστίου ορού λόγω </w:t>
      </w:r>
      <w:r>
        <w:rPr>
          <w:snapToGrid/>
          <w:szCs w:val="22"/>
          <w:lang w:val="el-GR"/>
        </w:rPr>
        <w:t>μει</w:t>
      </w:r>
      <w:r w:rsidRPr="00FC2F1F">
        <w:rPr>
          <w:snapToGrid/>
          <w:szCs w:val="22"/>
          <w:lang w:val="el-GR"/>
        </w:rPr>
        <w:t>ωμένης απέκκρισης. Εάν πρέπει να χορηγηθούν συμπληρώματα ασβεστίου</w:t>
      </w:r>
      <w:r w:rsidRPr="009C3DFF">
        <w:rPr>
          <w:snapToGrid/>
          <w:lang w:val="el-GR"/>
        </w:rPr>
        <w:t xml:space="preserve"> </w:t>
      </w:r>
      <w:r w:rsidRPr="009C3DFF">
        <w:rPr>
          <w:snapToGrid/>
          <w:szCs w:val="22"/>
          <w:lang w:val="el-GR"/>
        </w:rPr>
        <w:t>ή ασβέστιο-προστατευτικά φαρμακευτικά προϊόντα (π.χ. θεραπεία με βιταμίνη</w:t>
      </w:r>
      <w:r>
        <w:rPr>
          <w:snapToGrid/>
          <w:szCs w:val="22"/>
          <w:lang w:val="el-GR"/>
        </w:rPr>
        <w:t xml:space="preserve"> </w:t>
      </w:r>
      <w:r w:rsidRPr="009C3DFF">
        <w:rPr>
          <w:snapToGrid/>
          <w:szCs w:val="22"/>
          <w:lang w:val="el-GR"/>
        </w:rPr>
        <w:t>D)</w:t>
      </w:r>
      <w:r w:rsidRPr="00FC2F1F">
        <w:rPr>
          <w:snapToGrid/>
          <w:szCs w:val="22"/>
          <w:lang w:val="el-GR"/>
        </w:rPr>
        <w:t>, τα επίπεδα ασβεστίου ορού θα πρέπει να παρακολουθούνται και η δοσολογία ασβεστίου να προσαρμόζεται ανάλογα.</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Βήτα-αποκλειστές και διαζοξίδη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υπεργλυκαιμική επίδραση των β-αποκλειστών και της διαζοξίδης μπορεί να ενισχυθεί από τις θειαζίδες.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Αντιχολινεργικοί παράγοντες</w:t>
      </w:r>
      <w:r w:rsidRPr="00FC2F1F">
        <w:rPr>
          <w:snapToGrid/>
          <w:szCs w:val="22"/>
          <w:lang w:val="el-GR"/>
        </w:rPr>
        <w:t xml:space="preserve"> (π.χ. ατροπίνη, βιπεριδ</w:t>
      </w:r>
      <w:r w:rsidR="00927783">
        <w:rPr>
          <w:snapToGrid/>
          <w:szCs w:val="22"/>
          <w:lang w:val="el-GR"/>
        </w:rPr>
        <w:t>έ</w:t>
      </w:r>
      <w:r w:rsidRPr="00FC2F1F">
        <w:rPr>
          <w:snapToGrid/>
          <w:szCs w:val="22"/>
          <w:lang w:val="el-GR"/>
        </w:rPr>
        <w:t>νη) μπορεί να αυξήσουν τη βιοδιαθεσιμότητα των θειαζιδικού τύπου διουρητικών μέσω ελάττωσης της γαστρεντερικής κινητικότητας και της ταχύτητας κένωσης του στομάχου.</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Αμανταδίνη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Οι θειαζίδες μπορεί να αυξήσουν τον κίνδυνο ανάπτυξης ανεπιθύμητων </w:t>
      </w:r>
      <w:r>
        <w:rPr>
          <w:snapToGrid/>
          <w:szCs w:val="22"/>
          <w:lang w:val="el-GR"/>
        </w:rPr>
        <w:t>αντιδράσεων</w:t>
      </w:r>
      <w:r w:rsidRPr="00FC2F1F">
        <w:rPr>
          <w:snapToGrid/>
          <w:szCs w:val="22"/>
          <w:lang w:val="el-GR"/>
        </w:rPr>
        <w:t xml:space="preserve"> της αμανταδίνης.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Κυτταροτοξικ</w:t>
      </w:r>
      <w:r>
        <w:rPr>
          <w:snapToGrid/>
          <w:szCs w:val="22"/>
          <w:u w:val="single"/>
          <w:lang w:val="el-GR"/>
        </w:rPr>
        <w:t>οί</w:t>
      </w:r>
      <w:r w:rsidRPr="00FC2F1F">
        <w:rPr>
          <w:snapToGrid/>
          <w:szCs w:val="22"/>
          <w:u w:val="single"/>
          <w:lang w:val="el-GR"/>
        </w:rPr>
        <w:t xml:space="preserve"> </w:t>
      </w:r>
      <w:r>
        <w:rPr>
          <w:snapToGrid/>
          <w:szCs w:val="22"/>
          <w:u w:val="single"/>
          <w:lang w:val="el-GR"/>
        </w:rPr>
        <w:t>παράγοντες</w:t>
      </w:r>
      <w:r w:rsidRPr="00FC2F1F">
        <w:rPr>
          <w:snapToGrid/>
          <w:szCs w:val="22"/>
          <w:u w:val="single"/>
          <w:lang w:val="el-GR"/>
        </w:rPr>
        <w:t xml:space="preserve"> (π.χ. κυκλοφωσφαμίδη, μεθοτρεξάτη)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θειαζίδες μπορεί να μειώσουν τη νεφρική απέκκριση κυτταροτοξικών φαρμακευτικών προϊόντων και να ενισχύσουν τις μυελοκατασταλτικές επιδράσεις τους.</w:t>
      </w:r>
    </w:p>
    <w:p w:rsidR="00714685"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Με βάση τα φαρμακολογικά τους χαρακτηριστικά θα πρέπει να αναμένεται ότι τα παρακάτω φαρμακευτικά προϊόντα μπορεί να ενισχύσουν τις υποτασικές δράσεις όλων των αντιυπερτασικών, συμπεριλαμβανομέν</w:t>
      </w:r>
      <w:r>
        <w:rPr>
          <w:snapToGrid/>
          <w:szCs w:val="22"/>
          <w:lang w:val="el-GR"/>
        </w:rPr>
        <w:t>ης</w:t>
      </w:r>
      <w:r w:rsidRPr="00FC2F1F">
        <w:rPr>
          <w:snapToGrid/>
          <w:szCs w:val="22"/>
          <w:lang w:val="el-GR"/>
        </w:rPr>
        <w:t xml:space="preserve"> της τελμισαρτάνης: Βακλοφένη, αμιφοστίνη.</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Επίσης, η ορθοστατική υπόταση μπορεί να επιδεινωθεί από τη χρήση </w:t>
      </w:r>
      <w:r>
        <w:rPr>
          <w:snapToGrid/>
          <w:szCs w:val="22"/>
          <w:lang w:val="el-GR"/>
        </w:rPr>
        <w:t>οινοπνευματωδών</w:t>
      </w:r>
      <w:r w:rsidRPr="00FC2F1F">
        <w:rPr>
          <w:snapToGrid/>
          <w:szCs w:val="22"/>
          <w:lang w:val="el-GR"/>
        </w:rPr>
        <w:t>, βαρβιτουρικών, ναρκωτικών</w:t>
      </w:r>
      <w:r>
        <w:rPr>
          <w:snapToGrid/>
          <w:szCs w:val="22"/>
          <w:lang w:val="el-GR"/>
        </w:rPr>
        <w:t xml:space="preserve"> ουσιών</w:t>
      </w:r>
      <w:r w:rsidRPr="00FC2F1F">
        <w:rPr>
          <w:snapToGrid/>
          <w:szCs w:val="22"/>
          <w:lang w:val="el-GR"/>
        </w:rPr>
        <w:t xml:space="preserve"> ή αντικαταθλιπτικών.</w:t>
      </w:r>
    </w:p>
    <w:p w:rsidR="00714685" w:rsidRPr="00FC2F1F" w:rsidRDefault="00714685" w:rsidP="00714685">
      <w:pPr>
        <w:widowControl w:val="0"/>
        <w:spacing w:line="240" w:lineRule="auto"/>
        <w:rPr>
          <w:noProof/>
          <w:szCs w:val="22"/>
          <w:lang w:val="el-GR"/>
        </w:rPr>
      </w:pPr>
    </w:p>
    <w:p w:rsidR="00714685" w:rsidRPr="00FC2F1F" w:rsidRDefault="00714685" w:rsidP="00714685">
      <w:pPr>
        <w:widowControl w:val="0"/>
        <w:tabs>
          <w:tab w:val="clear" w:pos="567"/>
        </w:tabs>
        <w:spacing w:line="240" w:lineRule="auto"/>
        <w:ind w:left="567" w:hanging="567"/>
        <w:rPr>
          <w:b/>
          <w:noProof/>
          <w:szCs w:val="22"/>
          <w:lang w:val="el-GR"/>
        </w:rPr>
      </w:pPr>
      <w:r w:rsidRPr="00FC2F1F">
        <w:rPr>
          <w:b/>
          <w:noProof/>
          <w:szCs w:val="22"/>
          <w:lang w:val="el-GR"/>
        </w:rPr>
        <w:t>4.6</w:t>
      </w:r>
      <w:r w:rsidRPr="00FC2F1F">
        <w:rPr>
          <w:b/>
          <w:noProof/>
          <w:szCs w:val="22"/>
          <w:lang w:val="el-GR"/>
        </w:rPr>
        <w:tab/>
        <w:t>Γονιμότητα, κύηση και γαλουχία</w:t>
      </w:r>
    </w:p>
    <w:p w:rsidR="00714685" w:rsidRPr="00FC2F1F" w:rsidRDefault="00714685" w:rsidP="00714685">
      <w:pPr>
        <w:widowControl w:val="0"/>
        <w:spacing w:line="240" w:lineRule="auto"/>
        <w:rPr>
          <w:noProof/>
          <w:szCs w:val="22"/>
          <w:lang w:val="el-GR"/>
        </w:rPr>
      </w:pPr>
    </w:p>
    <w:p w:rsidR="00714685" w:rsidRPr="00FC2F1F" w:rsidRDefault="00714685" w:rsidP="00714685">
      <w:pPr>
        <w:widowControl w:val="0"/>
        <w:spacing w:line="240" w:lineRule="auto"/>
        <w:rPr>
          <w:noProof/>
          <w:szCs w:val="22"/>
          <w:lang w:val="el-GR"/>
        </w:rPr>
      </w:pPr>
      <w:r>
        <w:rPr>
          <w:szCs w:val="22"/>
          <w:u w:val="single"/>
          <w:lang w:val="el-GR"/>
        </w:rPr>
        <w:t>Κύηση</w:t>
      </w:r>
    </w:p>
    <w:p w:rsidR="00714685" w:rsidRPr="00FC2F1F" w:rsidRDefault="00714685" w:rsidP="00714685">
      <w:pPr>
        <w:widowControl w:val="0"/>
        <w:spacing w:line="240" w:lineRule="auto"/>
        <w:rPr>
          <w:noProof/>
          <w:szCs w:val="22"/>
          <w:lang w:val="el-GR"/>
        </w:rPr>
      </w:pPr>
    </w:p>
    <w:p w:rsidR="00714685" w:rsidRPr="00FC2F1F" w:rsidRDefault="00714685" w:rsidP="00714685">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snapToGrid/>
          <w:szCs w:val="22"/>
          <w:lang w:val="el-GR"/>
        </w:rPr>
      </w:pPr>
      <w:r w:rsidRPr="00FC2F1F">
        <w:rPr>
          <w:snapToGrid/>
          <w:szCs w:val="22"/>
          <w:lang w:val="el-GR"/>
        </w:rPr>
        <w:t>Η χρήση των ανταγωνιστών των υποδοχέων της αγγειοτενσίνης ΙΙ δε</w:t>
      </w:r>
      <w:r>
        <w:rPr>
          <w:snapToGrid/>
          <w:szCs w:val="22"/>
          <w:lang w:val="el-GR"/>
        </w:rPr>
        <w:t>ν</w:t>
      </w:r>
      <w:r w:rsidRPr="00FC2F1F">
        <w:rPr>
          <w:snapToGrid/>
          <w:szCs w:val="22"/>
          <w:lang w:val="el-GR"/>
        </w:rPr>
        <w:t xml:space="preserve"> συνιστάται κατά τη διάρκεια του πρώτου τριμήνου της κύησης (βλ. παράγραφο 4.4). Η χρήση των ανταγωνιστών των υποδοχέων της αγγειοτενσίνης ΙΙ αντενδείκνυται κατά τη διάρκεια του δεύτερου και τρίτου τριμήνου της κύησης (βλ. παραγράφους 4.3 και 4.4).</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Δεν υπάρχουν επαρκή </w:t>
      </w:r>
      <w:r>
        <w:rPr>
          <w:snapToGrid/>
          <w:szCs w:val="22"/>
          <w:lang w:val="el-GR"/>
        </w:rPr>
        <w:t>δεδομένα</w:t>
      </w:r>
      <w:r w:rsidRPr="00FC2F1F">
        <w:rPr>
          <w:snapToGrid/>
          <w:szCs w:val="22"/>
          <w:lang w:val="el-GR"/>
        </w:rPr>
        <w:t xml:space="preserve"> από τη χρήση του </w:t>
      </w:r>
      <w:r w:rsidRPr="00FC2F1F">
        <w:rPr>
          <w:szCs w:val="22"/>
          <w:lang w:val="el-GR"/>
        </w:rPr>
        <w:t>Tolucombi</w:t>
      </w:r>
      <w:r w:rsidRPr="00FC2F1F">
        <w:rPr>
          <w:snapToGrid/>
          <w:szCs w:val="22"/>
          <w:lang w:val="el-GR"/>
        </w:rPr>
        <w:t xml:space="preserve"> σε έγκυες γυναίκες. Μελέτες σε ζώα κατέδειξαν τοξικότητα στην αναπαραγωγική ικανότητα (βλ. παράγραφο 5.3).</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Επιδημιολογικά στοιχεία αναφορικά με τον κίνδυνο τερατογένεσης μετά από έκθεση σε αναστολείς του ΜΕΑ κατά τη διάρκεια του πρώτου τριμήνου της κύησης δεν έδωσαν σαφή συμπεράσματα, παρ’ όλα αυτά </w:t>
      </w:r>
      <w:r w:rsidRPr="007E477B">
        <w:rPr>
          <w:snapToGrid/>
          <w:szCs w:val="22"/>
          <w:lang w:val="el-GR"/>
        </w:rPr>
        <w:t xml:space="preserve">δεν μπορεί να αποκλεισθεί </w:t>
      </w:r>
      <w:r w:rsidRPr="00FC2F1F">
        <w:rPr>
          <w:snapToGrid/>
          <w:szCs w:val="22"/>
          <w:lang w:val="el-GR"/>
        </w:rPr>
        <w:t xml:space="preserve">μικρή αύξηση του κινδύνου. </w:t>
      </w:r>
      <w:r>
        <w:rPr>
          <w:snapToGrid/>
          <w:szCs w:val="22"/>
          <w:lang w:val="el-GR"/>
        </w:rPr>
        <w:t>Ενώ</w:t>
      </w:r>
      <w:r w:rsidRPr="00FC2F1F">
        <w:rPr>
          <w:snapToGrid/>
          <w:szCs w:val="22"/>
          <w:lang w:val="el-GR"/>
        </w:rPr>
        <w:t xml:space="preserve"> δεν υπάρχουν ελεγχόμενα επιδημιολογικά δεδομένα όσον αφορά στον κίνδυνο με ανταγωνιστές των υποδοχέων της αγγειοτενσίνης ΙΙ, </w:t>
      </w:r>
      <w:r w:rsidRPr="007E477B">
        <w:rPr>
          <w:snapToGrid/>
          <w:szCs w:val="22"/>
          <w:lang w:val="el-GR"/>
        </w:rPr>
        <w:t xml:space="preserve">μπορεί να υπάρχει </w:t>
      </w:r>
      <w:r w:rsidRPr="00FC2F1F">
        <w:rPr>
          <w:snapToGrid/>
          <w:szCs w:val="22"/>
          <w:lang w:val="el-GR"/>
        </w:rPr>
        <w:t xml:space="preserve">παρόμοιος κίνδυνος για αυτή τη θεραπευτική κατηγορία φαρμάκων. Εκτός και αν η συνέχιση της αγωγής με ανταγωνιστές των υποδοχέων της αγγειοτενσίνης ΙΙ θεωρείται απαραίτητη, ασθενείς που προγραμματίζουν εγκυμοσύνη θα πρέπει να </w:t>
      </w:r>
      <w:r>
        <w:rPr>
          <w:snapToGrid/>
          <w:szCs w:val="22"/>
          <w:lang w:val="el-GR"/>
        </w:rPr>
        <w:t>μεταβαίνουν</w:t>
      </w:r>
      <w:r w:rsidRPr="00FC2F1F">
        <w:rPr>
          <w:snapToGrid/>
          <w:szCs w:val="22"/>
          <w:lang w:val="el-GR"/>
        </w:rPr>
        <w:t xml:space="preserve"> σε εναλλακτικές αντιυπερτασικές αγωγές οι οποίες έχουν </w:t>
      </w:r>
      <w:r>
        <w:rPr>
          <w:snapToGrid/>
          <w:szCs w:val="22"/>
          <w:lang w:val="el-GR"/>
        </w:rPr>
        <w:t>αποδεδειγ</w:t>
      </w:r>
      <w:r w:rsidRPr="00FC2F1F">
        <w:rPr>
          <w:snapToGrid/>
          <w:szCs w:val="22"/>
          <w:lang w:val="el-GR"/>
        </w:rPr>
        <w:t xml:space="preserve">μένο προφίλ ασφαλείας για χρήση κατά τη διάρκεια της κύησης. Όταν διαγνωστεί </w:t>
      </w:r>
      <w:r>
        <w:rPr>
          <w:snapToGrid/>
          <w:szCs w:val="22"/>
          <w:lang w:val="el-GR"/>
        </w:rPr>
        <w:t>κύηση</w:t>
      </w:r>
      <w:r w:rsidRPr="00FC2F1F">
        <w:rPr>
          <w:snapToGrid/>
          <w:szCs w:val="22"/>
          <w:lang w:val="el-GR"/>
        </w:rPr>
        <w:t>, η αγωγή με ανταγωνιστές των υποδοχέων της αγγειοτενσίνης ΙΙ θα πρέπει να διακόπτεται αμέσως, και</w:t>
      </w:r>
      <w:r>
        <w:rPr>
          <w:snapToGrid/>
          <w:szCs w:val="22"/>
          <w:lang w:val="el-GR"/>
        </w:rPr>
        <w:t>,</w:t>
      </w:r>
      <w:r w:rsidRPr="00FC2F1F">
        <w:rPr>
          <w:snapToGrid/>
          <w:szCs w:val="22"/>
          <w:lang w:val="el-GR"/>
        </w:rPr>
        <w:t xml:space="preserve"> εάν θεωρείται απαραίτητο</w:t>
      </w:r>
      <w:r>
        <w:rPr>
          <w:snapToGrid/>
          <w:szCs w:val="22"/>
          <w:lang w:val="el-GR"/>
        </w:rPr>
        <w:t>,</w:t>
      </w:r>
      <w:r w:rsidRPr="00FC2F1F">
        <w:rPr>
          <w:snapToGrid/>
          <w:szCs w:val="22"/>
          <w:lang w:val="el-GR"/>
        </w:rPr>
        <w:t xml:space="preserve"> πρέπει να </w:t>
      </w:r>
      <w:r>
        <w:rPr>
          <w:snapToGrid/>
          <w:szCs w:val="22"/>
          <w:lang w:val="el-GR"/>
        </w:rPr>
        <w:t>ξεκινά</w:t>
      </w:r>
      <w:r w:rsidRPr="00FC2F1F">
        <w:rPr>
          <w:snapToGrid/>
          <w:szCs w:val="22"/>
          <w:lang w:val="el-GR"/>
        </w:rPr>
        <w:t xml:space="preserve"> εναλλακτική αγωγή.</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Έκθεση σε αγωγή με ανταγωνιστές των υποδοχέων της αγγειοτενσίνης ΙΙ κατά τη διάρκεια του δεύτερου και τρίτου τριμήνου της κύησης είναι γνωστό ότι προκαλεί εμβρυοτοξικότητα </w:t>
      </w:r>
      <w:r>
        <w:rPr>
          <w:snapToGrid/>
          <w:szCs w:val="22"/>
          <w:lang w:val="el-GR"/>
        </w:rPr>
        <w:t xml:space="preserve">στον άνθρωπο </w:t>
      </w:r>
      <w:r w:rsidRPr="00FC2F1F">
        <w:rPr>
          <w:snapToGrid/>
          <w:szCs w:val="22"/>
          <w:lang w:val="el-GR"/>
        </w:rPr>
        <w:t>(μειωμένη νεφρική λειτουργία, ολιγο</w:t>
      </w:r>
      <w:r>
        <w:rPr>
          <w:snapToGrid/>
          <w:szCs w:val="22"/>
          <w:lang w:val="el-GR"/>
        </w:rPr>
        <w:t>ϋ</w:t>
      </w:r>
      <w:r w:rsidRPr="00FC2F1F">
        <w:rPr>
          <w:snapToGrid/>
          <w:szCs w:val="22"/>
          <w:lang w:val="el-GR"/>
        </w:rPr>
        <w:t xml:space="preserve">δράμνιο, επιβράδυνση οστέωσης του κρανίου) και </w:t>
      </w:r>
      <w:r w:rsidR="00927783">
        <w:rPr>
          <w:snapToGrid/>
          <w:szCs w:val="22"/>
          <w:lang w:val="el-GR"/>
        </w:rPr>
        <w:t xml:space="preserve">νεογνική </w:t>
      </w:r>
      <w:r w:rsidRPr="00FC2F1F">
        <w:rPr>
          <w:snapToGrid/>
          <w:szCs w:val="22"/>
          <w:lang w:val="el-GR"/>
        </w:rPr>
        <w:t xml:space="preserve">τοξικότητα (νεφρική ανεπάρκεια, υπόταση, υπερκαλιαιμία) (Βλ. παράγραφο 5.3). Εάν η έκθεση σε ανταγωνιστές των υποδοχέων της αγγειοτενσίνης ΙΙ έχει γίνει </w:t>
      </w:r>
      <w:r>
        <w:rPr>
          <w:snapToGrid/>
          <w:szCs w:val="22"/>
          <w:lang w:val="el-GR"/>
        </w:rPr>
        <w:t xml:space="preserve">από </w:t>
      </w:r>
      <w:r w:rsidRPr="00FC2F1F">
        <w:rPr>
          <w:snapToGrid/>
          <w:szCs w:val="22"/>
          <w:lang w:val="el-GR"/>
        </w:rPr>
        <w:t xml:space="preserve">το δεύτερο τρίμηνο της κύησης, συνιστάται </w:t>
      </w:r>
      <w:r w:rsidRPr="000151B8">
        <w:rPr>
          <w:szCs w:val="22"/>
          <w:lang w:val="el-GR"/>
        </w:rPr>
        <w:t>υπερηχογραφικός</w:t>
      </w:r>
      <w:r w:rsidRPr="00FC2F1F">
        <w:rPr>
          <w:snapToGrid/>
          <w:szCs w:val="22"/>
          <w:lang w:val="el-GR"/>
        </w:rPr>
        <w:t xml:space="preserve"> έλεγχος τη</w:t>
      </w:r>
      <w:r>
        <w:rPr>
          <w:snapToGrid/>
          <w:szCs w:val="22"/>
          <w:lang w:val="el-GR"/>
        </w:rPr>
        <w:t>ς</w:t>
      </w:r>
      <w:r w:rsidRPr="00FC2F1F">
        <w:rPr>
          <w:snapToGrid/>
          <w:szCs w:val="22"/>
          <w:lang w:val="el-GR"/>
        </w:rPr>
        <w:t xml:space="preserve"> νεφρική</w:t>
      </w:r>
      <w:r>
        <w:rPr>
          <w:snapToGrid/>
          <w:szCs w:val="22"/>
          <w:lang w:val="el-GR"/>
        </w:rPr>
        <w:t>ς</w:t>
      </w:r>
      <w:r w:rsidRPr="00FC2F1F">
        <w:rPr>
          <w:snapToGrid/>
          <w:szCs w:val="22"/>
          <w:lang w:val="el-GR"/>
        </w:rPr>
        <w:t xml:space="preserve"> λειτουργία</w:t>
      </w:r>
      <w:r>
        <w:rPr>
          <w:snapToGrid/>
          <w:szCs w:val="22"/>
          <w:lang w:val="el-GR"/>
        </w:rPr>
        <w:t>ς</w:t>
      </w:r>
      <w:r w:rsidRPr="00FC2F1F">
        <w:rPr>
          <w:snapToGrid/>
          <w:szCs w:val="22"/>
          <w:lang w:val="el-GR"/>
        </w:rPr>
        <w:t xml:space="preserve"> και το</w:t>
      </w:r>
      <w:r>
        <w:rPr>
          <w:snapToGrid/>
          <w:szCs w:val="22"/>
          <w:lang w:val="el-GR"/>
        </w:rPr>
        <w:t>υ</w:t>
      </w:r>
      <w:r w:rsidRPr="00FC2F1F">
        <w:rPr>
          <w:snapToGrid/>
          <w:szCs w:val="22"/>
          <w:lang w:val="el-GR"/>
        </w:rPr>
        <w:t xml:space="preserve"> κρανίο</w:t>
      </w:r>
      <w:r>
        <w:rPr>
          <w:snapToGrid/>
          <w:szCs w:val="22"/>
          <w:lang w:val="el-GR"/>
        </w:rPr>
        <w:t>υ</w:t>
      </w:r>
      <w:r w:rsidRPr="00FC2F1F">
        <w:rPr>
          <w:snapToGrid/>
          <w:szCs w:val="22"/>
          <w:lang w:val="el-GR"/>
        </w:rPr>
        <w:t>.</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Pr>
          <w:snapToGrid/>
          <w:szCs w:val="22"/>
          <w:lang w:val="el-GR"/>
        </w:rPr>
        <w:t>Βρέφη</w:t>
      </w:r>
      <w:r w:rsidRPr="00FC2F1F">
        <w:rPr>
          <w:snapToGrid/>
          <w:szCs w:val="22"/>
          <w:lang w:val="el-GR"/>
        </w:rPr>
        <w:t xml:space="preserve"> των οποίων οι μητέρες έχουν λάβει ανταγωνιστές των υποδοχέων της αγγειοτενσίνης ΙΙ πρέπει να παρακολουθούνται στενά για υπόταση (βλ. παραγράφους 4.3 και 4.4).</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Υπάρχει περιορισμένη εμπειρία με την υδροχλωροθειαζίδη κατά την κύηση, ειδικά κατά το πρώτο τρίμηνο. Οι μελέτες σε ζώα είναι ανεπαρκείς. Η υδροχλωροθειαζίδη διαπερνά τον πλακούντα. Με βάση το φαρμακολογικό μηχανισμό δράσης της υδροχλωροθειαζίδης</w:t>
      </w:r>
      <w:r w:rsidR="00AA1EA3">
        <w:rPr>
          <w:snapToGrid/>
          <w:szCs w:val="22"/>
          <w:lang w:val="el-GR"/>
        </w:rPr>
        <w:t>,</w:t>
      </w:r>
      <w:r w:rsidRPr="00FC2F1F">
        <w:rPr>
          <w:snapToGrid/>
          <w:szCs w:val="22"/>
          <w:lang w:val="el-GR"/>
        </w:rPr>
        <w:t xml:space="preserve"> η χρήση της κατά το δεύτερο και τρίτο τρίμηνο μπορεί να επηρεάσει την εμβρυο-πλακουντική αιμάτωση και μπορεί να προκαλέσει επιδράσεις στο έμβρυο και το νεογνό όπως ίκτερο, διαταραχή της ηλεκτρολυτικής ισορροπίας και θρομβοπενία.</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δε</w:t>
      </w:r>
      <w:r>
        <w:rPr>
          <w:snapToGrid/>
          <w:szCs w:val="22"/>
          <w:lang w:val="el-GR"/>
        </w:rPr>
        <w:t>ν</w:t>
      </w:r>
      <w:r w:rsidRPr="00FC2F1F">
        <w:rPr>
          <w:snapToGrid/>
          <w:szCs w:val="22"/>
          <w:lang w:val="el-GR"/>
        </w:rPr>
        <w:t xml:space="preserve"> θα πρέπει να χρησιμοποιείται σε οίδημα κατά την κύηση, υπέρταση κυήσεως ή προεκλαμψία εξαιτίας του κινδύνου μειωμένου όγκου του πλάσματος και πλακουντική</w:t>
      </w:r>
      <w:r>
        <w:rPr>
          <w:snapToGrid/>
          <w:szCs w:val="22"/>
          <w:lang w:val="el-GR"/>
        </w:rPr>
        <w:t>ς</w:t>
      </w:r>
      <w:r w:rsidRPr="00FC2F1F">
        <w:rPr>
          <w:snapToGrid/>
          <w:szCs w:val="22"/>
          <w:lang w:val="el-GR"/>
        </w:rPr>
        <w:t xml:space="preserve"> υποαιμάτωση</w:t>
      </w:r>
      <w:r>
        <w:rPr>
          <w:snapToGrid/>
          <w:szCs w:val="22"/>
          <w:lang w:val="el-GR"/>
        </w:rPr>
        <w:t>ς</w:t>
      </w:r>
      <w:r w:rsidRPr="00FC2F1F">
        <w:rPr>
          <w:snapToGrid/>
          <w:szCs w:val="22"/>
          <w:lang w:val="el-GR"/>
        </w:rPr>
        <w:t>, χωρίς ωφέλιμη επίδραση στην πορεία της νόσου.</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δε</w:t>
      </w:r>
      <w:r>
        <w:rPr>
          <w:snapToGrid/>
          <w:szCs w:val="22"/>
          <w:lang w:val="el-GR"/>
        </w:rPr>
        <w:t>ν</w:t>
      </w:r>
      <w:r w:rsidRPr="00FC2F1F">
        <w:rPr>
          <w:snapToGrid/>
          <w:szCs w:val="22"/>
          <w:lang w:val="el-GR"/>
        </w:rPr>
        <w:t xml:space="preserve"> θα πρέπει να χρησιμοποιείται για ιδιοπαθή υπέρταση σε έγκυες γυναίκες εκτός σπάνιων περιπτώσεων όπου δεν μπορεί να χρησιμοποιηθεί άλλη αγωγή.</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Θηλασμός</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Καθώς δεν υπάρχουν διαθέσιμα </w:t>
      </w:r>
      <w:r>
        <w:rPr>
          <w:snapToGrid/>
          <w:szCs w:val="22"/>
          <w:lang w:val="el-GR"/>
        </w:rPr>
        <w:t>δεδομένα</w:t>
      </w:r>
      <w:r w:rsidRPr="00FC2F1F">
        <w:rPr>
          <w:snapToGrid/>
          <w:szCs w:val="22"/>
          <w:lang w:val="el-GR"/>
        </w:rPr>
        <w:t xml:space="preserve"> σχετικά με τη χρήση του </w:t>
      </w:r>
      <w:r w:rsidRPr="00FC2F1F">
        <w:rPr>
          <w:szCs w:val="22"/>
          <w:lang w:val="el-GR"/>
        </w:rPr>
        <w:t>Tolucombi</w:t>
      </w:r>
      <w:r w:rsidRPr="00FC2F1F">
        <w:rPr>
          <w:snapToGrid/>
          <w:szCs w:val="22"/>
          <w:lang w:val="el-GR"/>
        </w:rPr>
        <w:t xml:space="preserve"> κατά τη διάρκεια του θηλασμού, το </w:t>
      </w:r>
      <w:r w:rsidRPr="00FC2F1F">
        <w:rPr>
          <w:szCs w:val="22"/>
          <w:lang w:val="el-GR"/>
        </w:rPr>
        <w:t>Tolucombi</w:t>
      </w:r>
      <w:r w:rsidRPr="00FC2F1F">
        <w:rPr>
          <w:snapToGrid/>
          <w:szCs w:val="22"/>
          <w:lang w:val="el-GR"/>
        </w:rPr>
        <w:t xml:space="preserve"> δε</w:t>
      </w:r>
      <w:r>
        <w:rPr>
          <w:snapToGrid/>
          <w:szCs w:val="22"/>
          <w:lang w:val="el-GR"/>
        </w:rPr>
        <w:t>ν</w:t>
      </w:r>
      <w:r w:rsidRPr="00FC2F1F">
        <w:rPr>
          <w:snapToGrid/>
          <w:szCs w:val="22"/>
          <w:lang w:val="el-GR"/>
        </w:rPr>
        <w:t xml:space="preserve"> συνιστάται και είναι προτιμητέες εναλλακτικές θεραπείες με καλύτερα αποδεδειγμένα προφίλ ασφαλείας κατά τη διάρκεια του θηλασμού, ιδιαίτερα κατά το θηλασμό νεογνών ή πρόωρ</w:t>
      </w:r>
      <w:r>
        <w:rPr>
          <w:snapToGrid/>
          <w:szCs w:val="22"/>
          <w:lang w:val="el-GR"/>
        </w:rPr>
        <w:t>ων</w:t>
      </w:r>
      <w:r w:rsidRPr="00FC2F1F">
        <w:rPr>
          <w:snapToGrid/>
          <w:szCs w:val="22"/>
          <w:lang w:val="el-GR"/>
        </w:rPr>
        <w:t xml:space="preserve"> βρεφών.</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υδροχλωροθειαζίδη </w:t>
      </w:r>
      <w:r>
        <w:rPr>
          <w:snapToGrid/>
          <w:szCs w:val="22"/>
          <w:lang w:val="el-GR"/>
        </w:rPr>
        <w:t>απ</w:t>
      </w:r>
      <w:r w:rsidRPr="00FC2F1F">
        <w:rPr>
          <w:snapToGrid/>
          <w:szCs w:val="22"/>
          <w:lang w:val="el-GR"/>
        </w:rPr>
        <w:t xml:space="preserve">εκκρίνεται στο ανθρώπινο γάλα σε μικρές ποσότητες. Οι θειαζίδες σε μεγάλες δόσεις που προκαλούν έντονη διούρηση μπορεί να αναστείλλουν την παραγωγή γάλακτος. Η χρήση του </w:t>
      </w:r>
      <w:r w:rsidRPr="00FC2F1F">
        <w:rPr>
          <w:szCs w:val="22"/>
          <w:lang w:val="el-GR"/>
        </w:rPr>
        <w:t>Tolucombi</w:t>
      </w:r>
      <w:r w:rsidRPr="00FC2F1F">
        <w:rPr>
          <w:snapToGrid/>
          <w:szCs w:val="22"/>
          <w:lang w:val="el-GR"/>
        </w:rPr>
        <w:t xml:space="preserve"> κατά το θηλασμό δε</w:t>
      </w:r>
      <w:r>
        <w:rPr>
          <w:snapToGrid/>
          <w:szCs w:val="22"/>
          <w:lang w:val="el-GR"/>
        </w:rPr>
        <w:t>ν</w:t>
      </w:r>
      <w:r w:rsidRPr="00FC2F1F">
        <w:rPr>
          <w:snapToGrid/>
          <w:szCs w:val="22"/>
          <w:lang w:val="el-GR"/>
        </w:rPr>
        <w:t xml:space="preserve"> συνιστάται. Εάν το </w:t>
      </w:r>
      <w:r w:rsidRPr="00FC2F1F">
        <w:rPr>
          <w:szCs w:val="22"/>
          <w:lang w:val="el-GR"/>
        </w:rPr>
        <w:t>Tolucombi</w:t>
      </w:r>
      <w:r w:rsidRPr="00FC2F1F">
        <w:rPr>
          <w:snapToGrid/>
          <w:szCs w:val="22"/>
          <w:lang w:val="el-GR"/>
        </w:rPr>
        <w:t xml:space="preserve"> χρησιμοποιείται κατά το θηλασμό, οι δόσεις πρέπει να διατηρούνται όσο πιο χαμηλές γίνεται.</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Γονιμότητα</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προκλινικές μελέτες, δεν παρατηρήθηκαν επιδράσεις της τελμισαρτάνης και της υδροχλωροθειαζίδης στην ανδρική και γυναικεία γονιμότητα.</w:t>
      </w:r>
    </w:p>
    <w:p w:rsidR="00714685" w:rsidRPr="00FC2F1F" w:rsidRDefault="00714685" w:rsidP="00714685">
      <w:pPr>
        <w:widowControl w:val="0"/>
        <w:tabs>
          <w:tab w:val="clear" w:pos="567"/>
        </w:tabs>
        <w:autoSpaceDE w:val="0"/>
        <w:autoSpaceDN w:val="0"/>
        <w:adjustRightInd w:val="0"/>
        <w:spacing w:line="240" w:lineRule="auto"/>
        <w:rPr>
          <w:snapToGrid/>
          <w:szCs w:val="22"/>
          <w:lang w:val="el-GR"/>
        </w:rPr>
      </w:pPr>
    </w:p>
    <w:p w:rsidR="00714685" w:rsidRPr="00FC2F1F" w:rsidRDefault="00714685" w:rsidP="00714685">
      <w:pPr>
        <w:widowControl w:val="0"/>
        <w:tabs>
          <w:tab w:val="clear" w:pos="567"/>
        </w:tabs>
        <w:spacing w:line="240" w:lineRule="auto"/>
        <w:ind w:left="567" w:hanging="567"/>
        <w:rPr>
          <w:b/>
          <w:noProof/>
          <w:szCs w:val="22"/>
          <w:lang w:val="el-GR"/>
        </w:rPr>
      </w:pPr>
      <w:r w:rsidRPr="00FC2F1F">
        <w:rPr>
          <w:b/>
          <w:noProof/>
          <w:szCs w:val="22"/>
          <w:lang w:val="el-GR"/>
        </w:rPr>
        <w:t>4.7</w:t>
      </w:r>
      <w:r w:rsidRPr="00FC2F1F">
        <w:rPr>
          <w:b/>
          <w:noProof/>
          <w:szCs w:val="22"/>
          <w:lang w:val="el-GR"/>
        </w:rPr>
        <w:tab/>
        <w:t>Επιδράσεις στην ικανότητα οδήγησης και χειρισμού μηχαν</w:t>
      </w:r>
      <w:r>
        <w:rPr>
          <w:b/>
          <w:noProof/>
          <w:szCs w:val="22"/>
          <w:lang w:val="el-GR"/>
        </w:rPr>
        <w:t>ημάτων</w:t>
      </w:r>
    </w:p>
    <w:p w:rsidR="00714685" w:rsidRPr="00FC2F1F" w:rsidRDefault="00714685" w:rsidP="00714685">
      <w:pPr>
        <w:widowControl w:val="0"/>
        <w:spacing w:line="240" w:lineRule="auto"/>
        <w:rPr>
          <w:noProof/>
          <w:szCs w:val="22"/>
          <w:lang w:val="el-GR"/>
        </w:rPr>
      </w:pPr>
    </w:p>
    <w:p w:rsidR="00714685" w:rsidRDefault="00714685" w:rsidP="00714685">
      <w:pPr>
        <w:widowControl w:val="0"/>
        <w:spacing w:line="240" w:lineRule="auto"/>
        <w:rPr>
          <w:noProof/>
          <w:szCs w:val="22"/>
          <w:lang w:val="el-GR"/>
        </w:rPr>
      </w:pPr>
      <w:r>
        <w:rPr>
          <w:snapToGrid/>
          <w:szCs w:val="22"/>
          <w:lang w:val="el-GR"/>
        </w:rPr>
        <w:t xml:space="preserve">Το </w:t>
      </w:r>
      <w:r>
        <w:rPr>
          <w:snapToGrid/>
          <w:szCs w:val="22"/>
          <w:lang w:val="en-US"/>
        </w:rPr>
        <w:t>Tolucombi</w:t>
      </w:r>
      <w:r w:rsidRPr="002210C0">
        <w:rPr>
          <w:snapToGrid/>
          <w:szCs w:val="22"/>
          <w:lang w:val="el-GR"/>
        </w:rPr>
        <w:t xml:space="preserve"> </w:t>
      </w:r>
      <w:r w:rsidRPr="001078FC">
        <w:rPr>
          <w:snapToGrid/>
          <w:szCs w:val="22"/>
          <w:lang w:val="el-GR"/>
        </w:rPr>
        <w:t xml:space="preserve">μπορεί να </w:t>
      </w:r>
      <w:r>
        <w:rPr>
          <w:snapToGrid/>
          <w:szCs w:val="22"/>
          <w:lang w:val="el-GR"/>
        </w:rPr>
        <w:t>έχει επίδραση σ</w:t>
      </w:r>
      <w:r w:rsidRPr="001078FC">
        <w:rPr>
          <w:snapToGrid/>
          <w:szCs w:val="22"/>
          <w:lang w:val="el-GR"/>
        </w:rPr>
        <w:t xml:space="preserve">την ικανότητα οδήγησης και χειρισμού μηχανημάτων. Μπορεί να εμφανιστούν περιστασιακά ζάλη ή </w:t>
      </w:r>
      <w:r>
        <w:rPr>
          <w:snapToGrid/>
          <w:szCs w:val="22"/>
          <w:lang w:val="el-GR"/>
        </w:rPr>
        <w:t>υπνηλία</w:t>
      </w:r>
      <w:r w:rsidRPr="001078FC">
        <w:rPr>
          <w:snapToGrid/>
          <w:szCs w:val="22"/>
          <w:lang w:val="el-GR"/>
        </w:rPr>
        <w:t xml:space="preserve"> </w:t>
      </w:r>
      <w:r>
        <w:rPr>
          <w:snapToGrid/>
          <w:szCs w:val="22"/>
          <w:lang w:val="el-GR"/>
        </w:rPr>
        <w:t xml:space="preserve">κατά τη λήψη του </w:t>
      </w:r>
      <w:r>
        <w:rPr>
          <w:snapToGrid/>
          <w:szCs w:val="22"/>
          <w:lang w:val="en-US"/>
        </w:rPr>
        <w:t>Tolucombi</w:t>
      </w:r>
      <w:r w:rsidRPr="002210C0">
        <w:rPr>
          <w:snapToGrid/>
          <w:szCs w:val="22"/>
          <w:lang w:val="el-GR"/>
        </w:rPr>
        <w:t>.</w:t>
      </w:r>
    </w:p>
    <w:p w:rsidR="00714685" w:rsidRPr="00FC2F1F" w:rsidRDefault="00714685" w:rsidP="00714685">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4.8</w:t>
      </w:r>
      <w:r w:rsidRPr="00FC2F1F">
        <w:rPr>
          <w:b/>
          <w:noProof/>
          <w:szCs w:val="22"/>
          <w:lang w:val="el-GR"/>
        </w:rPr>
        <w:tab/>
        <w:t>Ανεπιθύμητες ενέργειες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iCs/>
          <w:snapToGrid/>
          <w:szCs w:val="22"/>
          <w:u w:val="single"/>
          <w:lang w:val="el-GR"/>
        </w:rPr>
      </w:pPr>
      <w:r w:rsidRPr="00FC2F1F">
        <w:rPr>
          <w:iCs/>
          <w:snapToGrid/>
          <w:szCs w:val="22"/>
          <w:u w:val="single"/>
          <w:lang w:val="el-GR"/>
        </w:rPr>
        <w:t>Περίληψη του προφίλ ασφαλείας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πιο συχνά αναφερθείσα ανεπιθύμητη ενέργεια είναι η ζάλη. Σπάνια μπορεί να συμβεί σοβαρό αγγειοοίδημα (≥1/10.000 έως &lt;1/1.000).</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Default="00681191" w:rsidP="00681191">
      <w:pPr>
        <w:widowControl w:val="0"/>
        <w:tabs>
          <w:tab w:val="clear" w:pos="567"/>
        </w:tabs>
        <w:autoSpaceDE w:val="0"/>
        <w:autoSpaceDN w:val="0"/>
        <w:adjustRightInd w:val="0"/>
        <w:spacing w:line="240" w:lineRule="auto"/>
        <w:rPr>
          <w:snapToGrid/>
          <w:szCs w:val="22"/>
          <w:lang w:val="sl-SI"/>
        </w:rPr>
      </w:pPr>
      <w:r w:rsidRPr="00FA6326">
        <w:rPr>
          <w:snapToGrid/>
          <w:szCs w:val="22"/>
          <w:lang w:val="el-GR"/>
        </w:rPr>
        <w:t xml:space="preserve">Η συνολική συχνότητα </w:t>
      </w:r>
      <w:r w:rsidR="005A280F">
        <w:rPr>
          <w:snapToGrid/>
          <w:szCs w:val="22"/>
          <w:lang w:val="el-GR"/>
        </w:rPr>
        <w:t xml:space="preserve">εμφάνισης </w:t>
      </w:r>
      <w:r w:rsidRPr="00FA6326">
        <w:rPr>
          <w:snapToGrid/>
          <w:szCs w:val="22"/>
          <w:lang w:val="el-GR"/>
        </w:rPr>
        <w:t xml:space="preserve">και το είδος των ανεπιθύμητων ενεργειών που αναφέρθηκαν με το </w:t>
      </w:r>
      <w:r w:rsidR="005A280F">
        <w:rPr>
          <w:snapToGrid/>
          <w:szCs w:val="22"/>
          <w:lang w:val="el-GR"/>
        </w:rPr>
        <w:t xml:space="preserve">συνδυασμό </w:t>
      </w:r>
      <w:r w:rsidRPr="00B109D5">
        <w:rPr>
          <w:lang w:val="el-GR"/>
        </w:rPr>
        <w:t>τελμισαρτάνη</w:t>
      </w:r>
      <w:r w:rsidR="005A280F">
        <w:rPr>
          <w:lang w:val="el-GR"/>
        </w:rPr>
        <w:t>ς</w:t>
      </w:r>
      <w:r w:rsidRPr="00B109D5">
        <w:rPr>
          <w:lang w:val="el-GR"/>
        </w:rPr>
        <w:t>/υδροχλωροθειαζίδη</w:t>
      </w:r>
      <w:r w:rsidR="005A280F">
        <w:rPr>
          <w:lang w:val="el-GR"/>
        </w:rPr>
        <w:t>ς</w:t>
      </w:r>
      <w:r w:rsidRPr="00B109D5">
        <w:rPr>
          <w:lang w:val="el-GR"/>
        </w:rPr>
        <w:t xml:space="preserve"> </w:t>
      </w:r>
      <w:r w:rsidRPr="00FA6326">
        <w:rPr>
          <w:snapToGrid/>
          <w:szCs w:val="22"/>
          <w:lang w:val="el-GR"/>
        </w:rPr>
        <w:t xml:space="preserve">80 </w:t>
      </w:r>
      <w:r w:rsidRPr="00FA6326">
        <w:rPr>
          <w:snapToGrid/>
          <w:szCs w:val="22"/>
          <w:lang w:val="en-US"/>
        </w:rPr>
        <w:t>mg</w:t>
      </w:r>
      <w:r w:rsidRPr="00FA6326">
        <w:rPr>
          <w:snapToGrid/>
          <w:szCs w:val="22"/>
          <w:lang w:val="el-GR"/>
        </w:rPr>
        <w:t xml:space="preserve">/25 </w:t>
      </w:r>
      <w:r w:rsidRPr="00FA6326">
        <w:rPr>
          <w:snapToGrid/>
          <w:szCs w:val="22"/>
          <w:lang w:val="en-US"/>
        </w:rPr>
        <w:t>mg</w:t>
      </w:r>
      <w:r w:rsidRPr="00FA6326">
        <w:rPr>
          <w:snapToGrid/>
          <w:szCs w:val="22"/>
          <w:lang w:val="el-GR"/>
        </w:rPr>
        <w:t xml:space="preserve"> ήταν συγκρίσιμα με το </w:t>
      </w:r>
      <w:r w:rsidR="005A280F">
        <w:rPr>
          <w:snapToGrid/>
          <w:szCs w:val="22"/>
          <w:lang w:val="el-GR"/>
        </w:rPr>
        <w:t xml:space="preserve">συνδυασμό </w:t>
      </w:r>
      <w:r w:rsidRPr="00B109D5">
        <w:rPr>
          <w:lang w:val="el-GR"/>
        </w:rPr>
        <w:t>τελμισαρτάνη</w:t>
      </w:r>
      <w:r w:rsidR="005A280F">
        <w:rPr>
          <w:lang w:val="el-GR"/>
        </w:rPr>
        <w:t>ς</w:t>
      </w:r>
      <w:r w:rsidRPr="00B109D5">
        <w:rPr>
          <w:lang w:val="el-GR"/>
        </w:rPr>
        <w:t>/υδροχλωροθειαζίδη</w:t>
      </w:r>
      <w:r w:rsidR="005A280F">
        <w:rPr>
          <w:lang w:val="el-GR"/>
        </w:rPr>
        <w:t>ς</w:t>
      </w:r>
      <w:r w:rsidRPr="00B109D5">
        <w:rPr>
          <w:lang w:val="el-GR"/>
        </w:rPr>
        <w:t xml:space="preserve"> </w:t>
      </w:r>
      <w:r w:rsidRPr="00FA6326">
        <w:rPr>
          <w:snapToGrid/>
          <w:szCs w:val="22"/>
          <w:lang w:val="el-GR"/>
        </w:rPr>
        <w:t xml:space="preserve">80 </w:t>
      </w:r>
      <w:r w:rsidRPr="00FA6326">
        <w:rPr>
          <w:snapToGrid/>
          <w:szCs w:val="22"/>
          <w:lang w:val="en-US"/>
        </w:rPr>
        <w:t>mg</w:t>
      </w:r>
      <w:r w:rsidRPr="00FA6326">
        <w:rPr>
          <w:snapToGrid/>
          <w:szCs w:val="22"/>
          <w:lang w:val="el-GR"/>
        </w:rPr>
        <w:t>/12</w:t>
      </w:r>
      <w:r>
        <w:rPr>
          <w:snapToGrid/>
          <w:szCs w:val="22"/>
          <w:lang w:val="sl-SI"/>
        </w:rPr>
        <w:t>,</w:t>
      </w:r>
      <w:r w:rsidRPr="00FA6326">
        <w:rPr>
          <w:snapToGrid/>
          <w:szCs w:val="22"/>
          <w:lang w:val="el-GR"/>
        </w:rPr>
        <w:t xml:space="preserve">5 </w:t>
      </w:r>
      <w:r w:rsidRPr="00FA6326">
        <w:rPr>
          <w:snapToGrid/>
          <w:szCs w:val="22"/>
          <w:lang w:val="en-US"/>
        </w:rPr>
        <w:t>mg</w:t>
      </w:r>
      <w:r w:rsidRPr="00FA6326">
        <w:rPr>
          <w:snapToGrid/>
          <w:szCs w:val="22"/>
          <w:lang w:val="el-GR"/>
        </w:rPr>
        <w:t>. Συσχέτιση δόσης και ανεπιθύμητων ενεργειών δεν αποδείχθηκε και οι ανεπιθύμητες ενέργειες δεν παρουσίασαν συσχέτιση με το φύλο, την ηλικία ή τη φυλή των ασθενών.</w:t>
      </w:r>
    </w:p>
    <w:p w:rsidR="00681191" w:rsidRPr="00B109D5" w:rsidRDefault="00681191" w:rsidP="00681191">
      <w:pPr>
        <w:widowControl w:val="0"/>
        <w:tabs>
          <w:tab w:val="clear" w:pos="567"/>
        </w:tabs>
        <w:autoSpaceDE w:val="0"/>
        <w:autoSpaceDN w:val="0"/>
        <w:adjustRightInd w:val="0"/>
        <w:spacing w:line="240" w:lineRule="auto"/>
        <w:rPr>
          <w:snapToGrid/>
          <w:szCs w:val="22"/>
          <w:lang w:val="sl-SI"/>
        </w:rPr>
      </w:pPr>
    </w:p>
    <w:p w:rsidR="00681191" w:rsidRPr="00FC2F1F" w:rsidRDefault="008B38A2" w:rsidP="00681191">
      <w:pPr>
        <w:widowControl w:val="0"/>
        <w:tabs>
          <w:tab w:val="clear" w:pos="567"/>
        </w:tabs>
        <w:autoSpaceDE w:val="0"/>
        <w:autoSpaceDN w:val="0"/>
        <w:adjustRightInd w:val="0"/>
        <w:spacing w:line="240" w:lineRule="auto"/>
        <w:rPr>
          <w:iCs/>
          <w:snapToGrid/>
          <w:szCs w:val="22"/>
          <w:u w:val="single"/>
          <w:lang w:val="el-GR"/>
        </w:rPr>
      </w:pPr>
      <w:r>
        <w:rPr>
          <w:iCs/>
          <w:snapToGrid/>
          <w:szCs w:val="22"/>
          <w:u w:val="single"/>
          <w:lang w:val="el-GR"/>
        </w:rPr>
        <w:t>Κατάλογος</w:t>
      </w:r>
      <w:r w:rsidR="00681191" w:rsidRPr="00FC2F1F">
        <w:rPr>
          <w:iCs/>
          <w:snapToGrid/>
          <w:szCs w:val="22"/>
          <w:u w:val="single"/>
          <w:lang w:val="el-GR"/>
        </w:rPr>
        <w:t xml:space="preserve"> των ανεπιθύμητων ενεργειών σε μορφή πίνακα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ανεπιθύμητες ενέργειες που αναφέρθηκαν σε όλες τις κλινικές δοκιμές και παρουσιάζονται πιο συχνά (p </w:t>
      </w:r>
      <w:r w:rsidRPr="00FC2F1F">
        <w:rPr>
          <w:szCs w:val="22"/>
          <w:lang w:val="el-GR"/>
        </w:rPr>
        <w:t>≤</w:t>
      </w:r>
      <w:r w:rsidRPr="00FC2F1F">
        <w:rPr>
          <w:snapToGrid/>
          <w:szCs w:val="22"/>
          <w:lang w:val="el-GR"/>
        </w:rPr>
        <w:t xml:space="preserve">0,05) με τελμισαρτάνη μαζί με υδροχλωροθειαζίδη παρά με το εικονικό φάρμακο αναγράφονται παρακάτω ανάλογα με το οργανικό σύστημα. Οι ανεπιθύμητες ενέργειες που είναι γνωστό ότι εμφανίζονται με κάθε δραστικό συστατικό όταν χορηγείται ως μονοθεραπεία αλλά οι οποίες δεν έχουν αναφερθεί σε κλινικές δοκιμές μπορεί να εμφανιστούν κατά τη θεραπεία με </w:t>
      </w:r>
      <w:r w:rsidRPr="00FC2F1F">
        <w:rPr>
          <w:szCs w:val="22"/>
          <w:lang w:val="el-GR"/>
        </w:rPr>
        <w:t>Tolucombi</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ανεπιθύμητες ενέργειες έχουν ταξινομηθεί σε κατηγορίες συχνότητας χρησιμοποιώντας την ακόλουθη συνθήκη: πολύ συχνές (</w:t>
      </w:r>
      <w:r w:rsidRPr="00FC2F1F">
        <w:rPr>
          <w:szCs w:val="22"/>
          <w:lang w:val="el-GR"/>
        </w:rPr>
        <w:t>≥</w:t>
      </w:r>
      <w:r w:rsidRPr="00FC2F1F">
        <w:rPr>
          <w:snapToGrid/>
          <w:szCs w:val="22"/>
          <w:lang w:val="el-GR"/>
        </w:rPr>
        <w:t>1/10), συχνές (</w:t>
      </w:r>
      <w:r w:rsidRPr="00FC2F1F">
        <w:rPr>
          <w:szCs w:val="22"/>
          <w:lang w:val="el-GR"/>
        </w:rPr>
        <w:t>≥</w:t>
      </w:r>
      <w:r w:rsidRPr="00FC2F1F">
        <w:rPr>
          <w:snapToGrid/>
          <w:szCs w:val="22"/>
          <w:lang w:val="el-GR"/>
        </w:rPr>
        <w:t>1/100 έως &lt;1/10), όχι συχνές (</w:t>
      </w:r>
      <w:r w:rsidRPr="00FC2F1F">
        <w:rPr>
          <w:szCs w:val="22"/>
          <w:lang w:val="el-GR"/>
        </w:rPr>
        <w:t>≥</w:t>
      </w:r>
      <w:r w:rsidRPr="00FC2F1F">
        <w:rPr>
          <w:snapToGrid/>
          <w:szCs w:val="22"/>
          <w:lang w:val="el-GR"/>
        </w:rPr>
        <w:t>1/1.000 έως &lt;1/100), σπάνιες (</w:t>
      </w:r>
      <w:r w:rsidRPr="00FC2F1F">
        <w:rPr>
          <w:szCs w:val="22"/>
          <w:lang w:val="el-GR"/>
        </w:rPr>
        <w:t>≥</w:t>
      </w:r>
      <w:r w:rsidRPr="00FC2F1F">
        <w:rPr>
          <w:snapToGrid/>
          <w:szCs w:val="22"/>
          <w:lang w:val="el-GR"/>
        </w:rPr>
        <w:t>1/10.000 έως &lt;1/1.000), πολύ σπάνιες (&lt;1/10.000), μη γνωστές (δεν μπορούν να εκτιμηθούν με βάση τα διαθέσιμα δεδομένα).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Εντός κάθε κατηγορίας συχνότητας εμφάνισης, οι ανεπιθύμητες ενέργειες παρατίθενται κατά σειρά </w:t>
      </w:r>
      <w:r w:rsidR="00C00DCA">
        <w:rPr>
          <w:snapToGrid/>
          <w:szCs w:val="22"/>
          <w:lang w:val="el-GR"/>
        </w:rPr>
        <w:t xml:space="preserve">φθίνουσας </w:t>
      </w:r>
      <w:r w:rsidRPr="00FC2F1F">
        <w:rPr>
          <w:snapToGrid/>
          <w:szCs w:val="22"/>
          <w:lang w:val="el-GR"/>
        </w:rPr>
        <w:t>σοβαρότητας.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Λοιμώξεις και παρασιτώσεις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Βρογχίτιδα, φαρυγγίτιδα, παραρρινοκολπίτιδα</w:t>
      </w:r>
    </w:p>
    <w:p w:rsidR="00681191" w:rsidRPr="00EB053B" w:rsidRDefault="00681191" w:rsidP="00681191">
      <w:pPr>
        <w:widowControl w:val="0"/>
        <w:tabs>
          <w:tab w:val="clear" w:pos="567"/>
          <w:tab w:val="left" w:pos="2127"/>
          <w:tab w:val="left" w:pos="297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ανοσοποιητικού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Παρόξυνση ή ενεργοποίηση συστηματικού ερυθηματώδους λύκου</w:t>
      </w:r>
      <w:r w:rsidRPr="00FC2F1F">
        <w:rPr>
          <w:snapToGrid/>
          <w:szCs w:val="22"/>
          <w:vertAlign w:val="superscript"/>
          <w:lang w:val="el-GR"/>
        </w:rPr>
        <w:t>1</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μεταβολισμού και της θρέψης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Υποκαλιαιμία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Υπερουριχαιμία, υπονατριαιμία</w:t>
      </w:r>
    </w:p>
    <w:p w:rsidR="00681191" w:rsidRPr="00EB053B" w:rsidRDefault="00681191" w:rsidP="00681191">
      <w:pPr>
        <w:widowControl w:val="0"/>
        <w:tabs>
          <w:tab w:val="clear" w:pos="567"/>
          <w:tab w:val="left" w:pos="2127"/>
          <w:tab w:val="left" w:pos="2977"/>
        </w:tabs>
        <w:autoSpaceDE w:val="0"/>
        <w:autoSpaceDN w:val="0"/>
        <w:adjustRightInd w:val="0"/>
        <w:spacing w:line="240" w:lineRule="auto"/>
        <w:rPr>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Ψυχιατρικές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Άγχος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Κατάθλιψη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νευρικού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Συχνές: </w:t>
      </w:r>
      <w:r w:rsidRPr="00FC2F1F">
        <w:rPr>
          <w:snapToGrid/>
          <w:szCs w:val="22"/>
          <w:lang w:val="el-GR"/>
        </w:rPr>
        <w:tab/>
        <w:t>Ζάλη</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Συγκοπή, παραισθησία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Αϋπνία, διαταραχές ύπνου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Οφθαλμικές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Οπτική διαταραχή, θάμβος οράσεως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ωτός και του λαβυρίνθου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Ίλιγγος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Καρδιακές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Ταχυκαρδία, αρρυθμίες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Αγγειακές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Υπόταση, ορθοστατική υπόταση</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αναπνευστικού συστήματος, του θώρακα και του μεσοθωρ</w:t>
      </w:r>
      <w:r w:rsidR="008B38A2">
        <w:rPr>
          <w:snapToGrid/>
          <w:szCs w:val="22"/>
          <w:lang w:val="el-GR"/>
        </w:rPr>
        <w:t>ά</w:t>
      </w:r>
      <w:r w:rsidRPr="00FC2F1F">
        <w:rPr>
          <w:snapToGrid/>
          <w:szCs w:val="22"/>
          <w:lang w:val="el-GR"/>
        </w:rPr>
        <w:t>κ</w:t>
      </w:r>
      <w:r w:rsidR="008B38A2">
        <w:rPr>
          <w:snapToGrid/>
          <w:szCs w:val="22"/>
          <w:lang w:val="el-GR"/>
        </w:rPr>
        <w:t>ι</w:t>
      </w:r>
      <w:r w:rsidRPr="00FC2F1F">
        <w:rPr>
          <w:snapToGrid/>
          <w:szCs w:val="22"/>
          <w:lang w:val="el-GR"/>
        </w:rPr>
        <w:t>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Δύσπνοια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6" w:hanging="1275"/>
        <w:rPr>
          <w:snapToGrid/>
          <w:szCs w:val="22"/>
          <w:lang w:val="el-GR"/>
        </w:rPr>
      </w:pPr>
      <w:r w:rsidRPr="00FC2F1F">
        <w:rPr>
          <w:snapToGrid/>
          <w:szCs w:val="22"/>
          <w:lang w:val="el-GR"/>
        </w:rPr>
        <w:t xml:space="preserve">Σπάνιες: </w:t>
      </w:r>
      <w:r w:rsidRPr="00FC2F1F">
        <w:rPr>
          <w:snapToGrid/>
          <w:szCs w:val="22"/>
          <w:lang w:val="el-GR"/>
        </w:rPr>
        <w:tab/>
        <w:t>Αναπνευστική δυσχέρεια (περιλαμβανομένων πνευμονίτιδας και πνευμονικού οιδήματος)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γαστρεντερικού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Διάρροια, ξηροστομία, μετεωρισμός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Κοιλιακός πόνος, δυσκοιλιότητα, δυσπεψία, έμετος, γαστρίτιδα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ήπατος και των χοληφόρων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r>
      <w:r w:rsidR="00C00DCA">
        <w:rPr>
          <w:snapToGrid/>
          <w:szCs w:val="22"/>
          <w:lang w:val="el-GR"/>
        </w:rPr>
        <w:t>Μη φυσι</w:t>
      </w:r>
      <w:r w:rsidRPr="00FC2F1F">
        <w:rPr>
          <w:snapToGrid/>
          <w:szCs w:val="22"/>
          <w:lang w:val="el-GR"/>
        </w:rPr>
        <w:t>ολογική ηπατική λειτουργία/ηπατική διαταραχή</w:t>
      </w:r>
      <w:r w:rsidRPr="00FC2F1F">
        <w:rPr>
          <w:snapToGrid/>
          <w:szCs w:val="22"/>
          <w:vertAlign w:val="superscript"/>
          <w:lang w:val="el-GR"/>
        </w:rPr>
        <w:t>2</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δέρματος και του υποδόριου ιστού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6" w:hanging="1275"/>
        <w:rPr>
          <w:snapToGrid/>
          <w:szCs w:val="22"/>
          <w:lang w:val="el-GR"/>
        </w:rPr>
      </w:pPr>
      <w:r w:rsidRPr="00FC2F1F">
        <w:rPr>
          <w:snapToGrid/>
          <w:szCs w:val="22"/>
          <w:lang w:val="el-GR"/>
        </w:rPr>
        <w:t xml:space="preserve">Σπάνιες: </w:t>
      </w:r>
      <w:r w:rsidRPr="00FC2F1F">
        <w:rPr>
          <w:snapToGrid/>
          <w:szCs w:val="22"/>
          <w:lang w:val="el-GR"/>
        </w:rPr>
        <w:tab/>
        <w:t>Αγγειοοίδημα (ακόμη και με θανατηφόρα έκβαση), ερύθημα, κνησμός, εξάνθημα, υπεριδρωσία, κνίδωση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μυοσκελετικού συστήματος, του συνδετικού ιστού και των οστών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Οσφυαλγία, μυϊκοί σπασμοί, μυαλγία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Αρθραλγία, μυϊκές κράμπες, πόνος σε άκρο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αναπαραγωγικού συστήματος και του μαστού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Στυτική δυσλειτουργία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Γενικές διαταραχές και καταστάσεις της οδού χορήγησης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Θωρακικός πόνος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Γριππώδης συνδρομή, πόνος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Παρακλινικές εξετάσεις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Αυξημένο ουρικό οξύ αίματος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 xml:space="preserve">Σπάνιες: </w:t>
      </w:r>
      <w:r w:rsidRPr="00FC2F1F">
        <w:rPr>
          <w:snapToGrid/>
          <w:szCs w:val="22"/>
          <w:lang w:val="el-GR"/>
        </w:rPr>
        <w:tab/>
        <w:t>Αυξημένη κρεατινίνη αίματος, αυξημένη κρεα</w:t>
      </w:r>
      <w:r>
        <w:rPr>
          <w:snapToGrid/>
          <w:szCs w:val="22"/>
          <w:lang w:val="el-GR"/>
        </w:rPr>
        <w:t>τινοφωσφοκινάση αίματος, αύξηση</w:t>
      </w:r>
      <w:r w:rsidRPr="00FC2F1F">
        <w:rPr>
          <w:snapToGrid/>
          <w:szCs w:val="22"/>
          <w:lang w:val="el-GR"/>
        </w:rPr>
        <w:t xml:space="preserve"> ηπατικού ενζύμου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1: Με βάση την εμπειρία </w:t>
      </w:r>
      <w:r w:rsidR="00C00DCA">
        <w:rPr>
          <w:snapToGrid/>
          <w:szCs w:val="22"/>
          <w:lang w:val="el-GR"/>
        </w:rPr>
        <w:t xml:space="preserve">από τη </w:t>
      </w:r>
      <w:r w:rsidRPr="00FC2F1F">
        <w:rPr>
          <w:snapToGrid/>
          <w:szCs w:val="22"/>
          <w:lang w:val="el-GR"/>
        </w:rPr>
        <w:t>μετά την κυκλοφορία</w:t>
      </w:r>
      <w:r w:rsidR="00C00DCA">
        <w:rPr>
          <w:snapToGrid/>
          <w:szCs w:val="22"/>
          <w:lang w:val="el-GR"/>
        </w:rPr>
        <w:t xml:space="preserve"> του προϊόντος</w:t>
      </w: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r w:rsidRPr="00FC2F1F">
        <w:rPr>
          <w:snapToGrid/>
          <w:szCs w:val="22"/>
          <w:lang w:val="el-GR"/>
        </w:rPr>
        <w:t>2: Για περαιτέρω περιγραφή, δείτε την υπο-παράγραφο “</w:t>
      </w:r>
      <w:r w:rsidRPr="00FC2F1F">
        <w:rPr>
          <w:i/>
          <w:iCs/>
          <w:snapToGrid/>
          <w:szCs w:val="22"/>
          <w:lang w:val="el-GR"/>
        </w:rPr>
        <w:t>Περιγραφή επιλεγμένων ανεπιθύμητων ενεργειών”.</w:t>
      </w: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r w:rsidRPr="00FC2F1F">
        <w:rPr>
          <w:i/>
          <w:iCs/>
          <w:snapToGrid/>
          <w:szCs w:val="22"/>
          <w:lang w:val="el-GR"/>
        </w:rPr>
        <w:t>Eπιπρόσθετες πληροφορίες για τα μεμονωμένα συστατικά</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Ανεπιθύμητες ενέργειες που έχουν αναφερθεί προηγουμένως για κάποιο από τα μεμονωμένα συστατικά μπορεί να αποτελούν πιθανές ανεπιθύμητες ενέργειες για το </w:t>
      </w:r>
      <w:r w:rsidRPr="00FC2F1F">
        <w:rPr>
          <w:szCs w:val="22"/>
          <w:lang w:val="el-GR"/>
        </w:rPr>
        <w:t>Tolucombi</w:t>
      </w:r>
      <w:r w:rsidRPr="00FC2F1F">
        <w:rPr>
          <w:snapToGrid/>
          <w:szCs w:val="22"/>
          <w:lang w:val="el-GR"/>
        </w:rPr>
        <w:t>, ακόμη και εάν δεν παρατηρήθηκαν στις κλινικές δοκιμές με αυτό το προϊόν.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Τελμισαρτάνη: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Aνεπιθύμητες ενέργειες εμφανίσθηκαν με παρόμοια συχνότητα σε ασθενείς που έλαβαν εικονικό φάρμακο και τελμισαρτάνη.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συνολική συχνότητα εμφάνισης ανεπιθύμητων ενεργειών που αναφέρθηκ</w:t>
      </w:r>
      <w:r w:rsidR="00AA1EA3">
        <w:rPr>
          <w:snapToGrid/>
          <w:szCs w:val="22"/>
          <w:lang w:val="el-GR"/>
        </w:rPr>
        <w:t>αν</w:t>
      </w:r>
      <w:r w:rsidRPr="00FC2F1F">
        <w:rPr>
          <w:snapToGrid/>
          <w:szCs w:val="22"/>
          <w:lang w:val="el-GR"/>
        </w:rPr>
        <w:t xml:space="preserve"> με την τελμισαρτάνη (41,4</w:t>
      </w:r>
      <w:r w:rsidR="00101989">
        <w:rPr>
          <w:snapToGrid/>
          <w:szCs w:val="22"/>
          <w:lang w:val="el-GR"/>
        </w:rPr>
        <w:t> </w:t>
      </w:r>
      <w:r w:rsidRPr="00FC2F1F">
        <w:rPr>
          <w:snapToGrid/>
          <w:szCs w:val="22"/>
          <w:lang w:val="el-GR"/>
        </w:rPr>
        <w:t>%) ήταν συνήθως συγκρίσιμη με το εικονικό φάρμακο (43,9</w:t>
      </w:r>
      <w:r w:rsidR="00101989">
        <w:rPr>
          <w:snapToGrid/>
          <w:szCs w:val="22"/>
          <w:lang w:val="el-GR"/>
        </w:rPr>
        <w:t> </w:t>
      </w:r>
      <w:r w:rsidRPr="00FC2F1F">
        <w:rPr>
          <w:snapToGrid/>
          <w:szCs w:val="22"/>
          <w:lang w:val="el-GR"/>
        </w:rPr>
        <w:t xml:space="preserve">%) σε δοκιμές ελεγχόμενες με εικονικό φάρμακο. Οι ακόλουθες ανεπιθύμητες ενέργειες που </w:t>
      </w:r>
      <w:r w:rsidR="00C00DCA">
        <w:rPr>
          <w:snapToGrid/>
          <w:szCs w:val="22"/>
          <w:lang w:val="el-GR"/>
        </w:rPr>
        <w:t>παρατίθενται</w:t>
      </w:r>
      <w:r w:rsidRPr="00FC2F1F">
        <w:rPr>
          <w:snapToGrid/>
          <w:szCs w:val="22"/>
          <w:lang w:val="el-GR"/>
        </w:rPr>
        <w:t xml:space="preserve"> παρακάτω έχουν </w:t>
      </w:r>
      <w:r w:rsidR="00C00DCA">
        <w:rPr>
          <w:snapToGrid/>
          <w:szCs w:val="22"/>
          <w:lang w:val="el-GR"/>
        </w:rPr>
        <w:t>συγκεντρωθεί</w:t>
      </w:r>
      <w:r w:rsidRPr="00FC2F1F">
        <w:rPr>
          <w:snapToGrid/>
          <w:szCs w:val="22"/>
          <w:lang w:val="el-GR"/>
        </w:rPr>
        <w:t xml:space="preserve"> από όλες τις κλινικές δοκιμές σε ασθενείς που έλαβαν αγωγή με τελμισαρτάνη για υπέρταση ή σε ασθενείς </w:t>
      </w:r>
      <w:r w:rsidR="00C00DCA">
        <w:rPr>
          <w:snapToGrid/>
          <w:szCs w:val="22"/>
          <w:lang w:val="el-GR"/>
        </w:rPr>
        <w:t xml:space="preserve">ηλικίας </w:t>
      </w:r>
      <w:r w:rsidRPr="00FC2F1F">
        <w:rPr>
          <w:snapToGrid/>
          <w:szCs w:val="22"/>
          <w:lang w:val="el-GR"/>
        </w:rPr>
        <w:t>50 ετών ή μεγαλύτερους σε υψηλό κίνδυνο καρδιαγγειακών επεισοδίων.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Λοιμώξεις και παρασιτώσεις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 xml:space="preserve">Όχι συχνές: </w:t>
      </w:r>
      <w:r w:rsidRPr="00FC2F1F">
        <w:rPr>
          <w:snapToGrid/>
          <w:szCs w:val="22"/>
          <w:lang w:val="el-GR"/>
        </w:rPr>
        <w:tab/>
        <w:t>Λοίμωξη του ανώτερου αναπνευστικού συστήματος, ουρολοίμωξη</w:t>
      </w:r>
      <w:r>
        <w:rPr>
          <w:snapToGrid/>
          <w:szCs w:val="22"/>
          <w:lang w:val="sl-SI"/>
        </w:rPr>
        <w:t xml:space="preserve"> </w:t>
      </w:r>
      <w:r w:rsidRPr="00FC2F1F">
        <w:rPr>
          <w:snapToGrid/>
          <w:szCs w:val="22"/>
          <w:lang w:val="el-GR"/>
        </w:rPr>
        <w:t>συμπεριλαμβανομένης της κυστίτιδας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Σήψη συμπεριλαμβανομένης θανατηφόρας έκβασης</w:t>
      </w:r>
      <w:r w:rsidRPr="00FC2F1F">
        <w:rPr>
          <w:snapToGrid/>
          <w:szCs w:val="22"/>
          <w:vertAlign w:val="superscript"/>
          <w:lang w:val="el-GR"/>
        </w:rPr>
        <w:t>3</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αιμοποιητικού και του λεμφικού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Αναιμία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Ηωσινοφιλία, θρομβοπενία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ανοσοποιητικού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Υπερευαισθησία, αναφυλακτικές αντιδράσεις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μεταβολισμού και της θρέψης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Υπερκαλιαιμία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Υπογλυκαιμία (σε διαβητικούς ασθενείς)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Καρδιακές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Βραδυκαρδία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Διαταραχές </w:t>
      </w:r>
      <w:r w:rsidR="00101989">
        <w:rPr>
          <w:snapToGrid/>
          <w:szCs w:val="22"/>
          <w:lang w:val="el-GR"/>
        </w:rPr>
        <w:t xml:space="preserve">του </w:t>
      </w:r>
      <w:r w:rsidRPr="00FC2F1F">
        <w:rPr>
          <w:snapToGrid/>
          <w:szCs w:val="22"/>
          <w:lang w:val="el-GR"/>
        </w:rPr>
        <w:t>νευρικού συστήματος</w:t>
      </w:r>
    </w:p>
    <w:p w:rsidR="00681191" w:rsidRPr="00FC2F1F" w:rsidRDefault="00681191" w:rsidP="00681191">
      <w:pPr>
        <w:widowControl w:val="0"/>
        <w:tabs>
          <w:tab w:val="clear" w:pos="567"/>
          <w:tab w:val="left" w:pos="2127"/>
        </w:tabs>
        <w:autoSpaceDE w:val="0"/>
        <w:autoSpaceDN w:val="0"/>
        <w:adjustRightInd w:val="0"/>
        <w:spacing w:line="240" w:lineRule="auto"/>
        <w:ind w:left="851"/>
        <w:rPr>
          <w:snapToGrid/>
          <w:szCs w:val="22"/>
          <w:lang w:val="el-GR"/>
        </w:rPr>
      </w:pPr>
      <w:r w:rsidRPr="00FC2F1F">
        <w:rPr>
          <w:snapToGrid/>
          <w:szCs w:val="22"/>
          <w:lang w:val="el-GR"/>
        </w:rPr>
        <w:t>Σπάνιες:</w:t>
      </w:r>
      <w:r w:rsidRPr="00FC2F1F">
        <w:rPr>
          <w:snapToGrid/>
          <w:szCs w:val="22"/>
          <w:lang w:val="el-GR"/>
        </w:rPr>
        <w:tab/>
        <w:t>Υπνηλία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8B38A2" w:rsidRPr="008B38A2" w:rsidRDefault="008B38A2" w:rsidP="008B38A2">
      <w:pPr>
        <w:widowControl w:val="0"/>
        <w:tabs>
          <w:tab w:val="clear" w:pos="567"/>
        </w:tabs>
        <w:autoSpaceDE w:val="0"/>
        <w:autoSpaceDN w:val="0"/>
        <w:adjustRightInd w:val="0"/>
        <w:spacing w:line="240" w:lineRule="auto"/>
        <w:rPr>
          <w:snapToGrid/>
          <w:szCs w:val="22"/>
          <w:lang w:val="el-GR"/>
        </w:rPr>
      </w:pPr>
      <w:r w:rsidRPr="008B38A2">
        <w:rPr>
          <w:snapToGrid/>
          <w:szCs w:val="22"/>
          <w:lang w:val="el-GR"/>
        </w:rPr>
        <w:t>Διαταραχές του αναπνευστικού συστήματος, του θώρακα και του μεσοθωράκιου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Bήχας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Πολύ σπάνιες: Διάμεση πνευμονοπάθεια</w:t>
      </w:r>
      <w:r w:rsidRPr="00FC2F1F">
        <w:rPr>
          <w:snapToGrid/>
          <w:szCs w:val="22"/>
          <w:vertAlign w:val="superscript"/>
          <w:lang w:val="el-GR"/>
        </w:rPr>
        <w:t>3</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γαστρεντερικού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Δυσφορία στομάχου</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δέρματος και του υποδόριου ιστού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Έκζεμα, φαρμακευτικό εξάνθημα, τοξικό εξάνθημα δέρματος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Διαταραχές του μυοσκελετικού συστήματος, του συνδετικού ιστού και </w:t>
      </w:r>
      <w:r w:rsidR="006438BA">
        <w:rPr>
          <w:snapToGrid/>
          <w:szCs w:val="22"/>
          <w:lang w:val="el-GR"/>
        </w:rPr>
        <w:t xml:space="preserve">των </w:t>
      </w:r>
      <w:r w:rsidRPr="00FC2F1F">
        <w:rPr>
          <w:snapToGrid/>
          <w:szCs w:val="22"/>
          <w:lang w:val="el-GR"/>
        </w:rPr>
        <w:t>οστ</w:t>
      </w:r>
      <w:r w:rsidR="006438BA">
        <w:rPr>
          <w:snapToGrid/>
          <w:szCs w:val="22"/>
          <w:lang w:val="el-GR"/>
        </w:rPr>
        <w:t>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Πάθηση των αρθρώσεων, άλγος τ</w:t>
      </w:r>
      <w:r w:rsidR="006438BA">
        <w:rPr>
          <w:snapToGrid/>
          <w:szCs w:val="22"/>
          <w:lang w:val="el-GR"/>
        </w:rPr>
        <w:t>έ</w:t>
      </w:r>
      <w:r w:rsidRPr="00FC2F1F">
        <w:rPr>
          <w:snapToGrid/>
          <w:szCs w:val="22"/>
          <w:lang w:val="el-GR"/>
        </w:rPr>
        <w:t>ν</w:t>
      </w:r>
      <w:r w:rsidR="006438BA">
        <w:rPr>
          <w:snapToGrid/>
          <w:szCs w:val="22"/>
          <w:lang w:val="el-GR"/>
        </w:rPr>
        <w:t>ο</w:t>
      </w:r>
      <w:r w:rsidRPr="00FC2F1F">
        <w:rPr>
          <w:snapToGrid/>
          <w:szCs w:val="22"/>
          <w:lang w:val="el-GR"/>
        </w:rPr>
        <w:t>ντ</w:t>
      </w:r>
      <w:r w:rsidR="006438BA">
        <w:rPr>
          <w:snapToGrid/>
          <w:szCs w:val="22"/>
          <w:lang w:val="el-GR"/>
        </w:rPr>
        <w:t>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των νεφρών και των ουροφόρων οδών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Νεφρική δυσλειτουργία (περιλαμβανομένης οξείας νεφρικής ανεπάρκειας)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Γενικές διαταραχές και καταστάσεις της οδού χορήγησης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Όχι συχνές: </w:t>
      </w:r>
      <w:r w:rsidRPr="00FC2F1F">
        <w:rPr>
          <w:snapToGrid/>
          <w:szCs w:val="22"/>
          <w:lang w:val="el-GR"/>
        </w:rPr>
        <w:tab/>
        <w:t>Εξασθένιση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Παρακλινικές εξετάσεις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Σπάνιες: </w:t>
      </w:r>
      <w:r w:rsidRPr="00FC2F1F">
        <w:rPr>
          <w:snapToGrid/>
          <w:szCs w:val="22"/>
          <w:lang w:val="el-GR"/>
        </w:rPr>
        <w:tab/>
        <w:t>Μειωμένη αιμοσφαιρίνη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r w:rsidRPr="00FC2F1F">
        <w:rPr>
          <w:snapToGrid/>
          <w:szCs w:val="22"/>
          <w:lang w:val="el-GR"/>
        </w:rPr>
        <w:t>3: Για περαιτέρω περιγραφή, δείτε την υπο-παράγραφο “</w:t>
      </w:r>
      <w:r w:rsidRPr="00FC2F1F">
        <w:rPr>
          <w:i/>
          <w:iCs/>
          <w:snapToGrid/>
          <w:szCs w:val="22"/>
          <w:lang w:val="el-GR"/>
        </w:rPr>
        <w:t>Περιγραφή επιλεγμένων ανεπιθύμητων ενεργειών”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Υδροχλωροθειαζίδη: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υδροχλωροθειαζίδη μπορεί να προκαλέσει ή να επιτείνει </w:t>
      </w:r>
      <w:r w:rsidR="006438BA">
        <w:rPr>
          <w:snapToGrid/>
          <w:szCs w:val="22"/>
          <w:lang w:val="el-GR"/>
        </w:rPr>
        <w:t xml:space="preserve">την </w:t>
      </w:r>
      <w:r w:rsidRPr="00FC2F1F">
        <w:rPr>
          <w:snapToGrid/>
          <w:szCs w:val="22"/>
          <w:lang w:val="el-GR"/>
        </w:rPr>
        <w:t>υποογκαιμία, που μπορεί να οδηγήσει σε απορ</w:t>
      </w:r>
      <w:r w:rsidR="006438BA">
        <w:rPr>
          <w:snapToGrid/>
          <w:szCs w:val="22"/>
          <w:lang w:val="el-GR"/>
        </w:rPr>
        <w:t>ρ</w:t>
      </w:r>
      <w:r w:rsidRPr="00FC2F1F">
        <w:rPr>
          <w:snapToGrid/>
          <w:szCs w:val="22"/>
          <w:lang w:val="el-GR"/>
        </w:rPr>
        <w:t>ύθμιση ηλεκτρολυτών (βλ. παράγραφο 4.4).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Ανεπιθύμητες ενέργειες με μη γνωστή συχνότητα που έχουν αναφερθεί με τη χρήση υδροχλωροθειαζίδης ως μονοθεραπεία περιλαμβάνουν: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Λοιμώξεις και παρασιτώσεις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Μη γνωστές: Σιελαδενίτιδα</w:t>
      </w:r>
    </w:p>
    <w:p w:rsidR="00681191" w:rsidRDefault="00681191" w:rsidP="00681191">
      <w:pPr>
        <w:widowControl w:val="0"/>
        <w:tabs>
          <w:tab w:val="clear" w:pos="567"/>
        </w:tabs>
        <w:autoSpaceDE w:val="0"/>
        <w:autoSpaceDN w:val="0"/>
        <w:adjustRightInd w:val="0"/>
        <w:spacing w:line="240" w:lineRule="auto"/>
        <w:rPr>
          <w:snapToGrid/>
          <w:szCs w:val="22"/>
          <w:lang w:val="el-GR"/>
        </w:rPr>
      </w:pPr>
    </w:p>
    <w:p w:rsidR="00261A8A" w:rsidRPr="00F41A29" w:rsidRDefault="00261A8A" w:rsidP="00261A8A">
      <w:pPr>
        <w:widowControl w:val="0"/>
        <w:tabs>
          <w:tab w:val="clear" w:pos="567"/>
        </w:tabs>
        <w:autoSpaceDE w:val="0"/>
        <w:autoSpaceDN w:val="0"/>
        <w:adjustRightInd w:val="0"/>
        <w:spacing w:line="240" w:lineRule="auto"/>
        <w:rPr>
          <w:snapToGrid/>
          <w:szCs w:val="22"/>
          <w:lang w:val="el-GR"/>
        </w:rPr>
      </w:pPr>
      <w:r w:rsidRPr="00F41A29">
        <w:rPr>
          <w:snapToGrid/>
          <w:szCs w:val="22"/>
          <w:lang w:val="el-GR"/>
        </w:rPr>
        <w:t>Νεοπλάσματα καλοήθη, κακοήθη και μη καθορισμένα (περιλαμβάνονται κύστεις και πολύποδες)</w:t>
      </w:r>
    </w:p>
    <w:p w:rsidR="00261A8A" w:rsidRPr="007704EE" w:rsidRDefault="00261A8A" w:rsidP="00261A8A">
      <w:pPr>
        <w:widowControl w:val="0"/>
        <w:tabs>
          <w:tab w:val="clear" w:pos="567"/>
        </w:tabs>
        <w:autoSpaceDE w:val="0"/>
        <w:autoSpaceDN w:val="0"/>
        <w:adjustRightInd w:val="0"/>
        <w:spacing w:line="240" w:lineRule="auto"/>
        <w:ind w:left="2160" w:hanging="1350"/>
        <w:rPr>
          <w:snapToGrid/>
          <w:szCs w:val="22"/>
          <w:lang w:val="el-GR"/>
        </w:rPr>
      </w:pPr>
      <w:r>
        <w:rPr>
          <w:snapToGrid/>
          <w:szCs w:val="22"/>
          <w:lang w:val="el-GR"/>
        </w:rPr>
        <w:t>Μη γνωστές:</w:t>
      </w:r>
      <w:r>
        <w:rPr>
          <w:snapToGrid/>
          <w:szCs w:val="22"/>
          <w:lang w:val="el-GR"/>
        </w:rPr>
        <w:tab/>
      </w:r>
      <w:r w:rsidRPr="00F41A29">
        <w:rPr>
          <w:snapToGrid/>
          <w:szCs w:val="22"/>
          <w:lang w:val="el-GR"/>
        </w:rPr>
        <w:t>Μη μελανωματικός καρκίνος του δέρματος (βασικοκυτταρικό καρκίνωμα και καρκίνωμα του πλακώδους επιθηλίου)</w:t>
      </w:r>
    </w:p>
    <w:p w:rsidR="00261A8A" w:rsidRPr="00FC2F1F" w:rsidRDefault="00261A8A"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αιμοποιητικού και του λεμφικού συστήματος</w:t>
      </w:r>
    </w:p>
    <w:p w:rsidR="00101989" w:rsidRDefault="00101989"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Pr>
          <w:snapToGrid/>
          <w:szCs w:val="22"/>
          <w:lang w:val="el-GR"/>
        </w:rPr>
        <w:t>Σπάνιες:</w:t>
      </w:r>
      <w:r>
        <w:rPr>
          <w:snapToGrid/>
          <w:szCs w:val="22"/>
          <w:lang w:val="el-GR"/>
        </w:rPr>
        <w:tab/>
        <w:t>Θρομβοπενία (ορισμένες φορές με πορφύρα)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Μη γνωστές:</w:t>
      </w:r>
      <w:r w:rsidR="00101989">
        <w:rPr>
          <w:snapToGrid/>
          <w:szCs w:val="22"/>
          <w:lang w:val="el-GR"/>
        </w:rPr>
        <w:tab/>
      </w:r>
      <w:r w:rsidRPr="00FC2F1F">
        <w:rPr>
          <w:snapToGrid/>
          <w:szCs w:val="22"/>
          <w:lang w:val="el-GR"/>
        </w:rPr>
        <w:t>Απλαστική αναιμία, αιμολυτική αναιμία, ανεπάρκεια του μυελού των οστών,</w:t>
      </w:r>
      <w:r>
        <w:rPr>
          <w:snapToGrid/>
          <w:szCs w:val="22"/>
          <w:lang w:val="sl-SI"/>
        </w:rPr>
        <w:t xml:space="preserve"> </w:t>
      </w:r>
      <w:r w:rsidRPr="00FC2F1F">
        <w:rPr>
          <w:snapToGrid/>
          <w:szCs w:val="22"/>
          <w:lang w:val="el-GR"/>
        </w:rPr>
        <w:t>λευκοπενία, ουδετεροπενία, ακοκκιοκυτταραιμία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ανοσοποιητικού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Αναφυλακτικές αντιδράσεις, υπερευαισθησία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101989" w:rsidP="00681191">
      <w:pPr>
        <w:widowControl w:val="0"/>
        <w:tabs>
          <w:tab w:val="clear" w:pos="567"/>
        </w:tabs>
        <w:autoSpaceDE w:val="0"/>
        <w:autoSpaceDN w:val="0"/>
        <w:adjustRightInd w:val="0"/>
        <w:spacing w:line="240" w:lineRule="auto"/>
        <w:rPr>
          <w:snapToGrid/>
          <w:szCs w:val="22"/>
          <w:lang w:val="el-GR"/>
        </w:rPr>
      </w:pPr>
      <w:r>
        <w:rPr>
          <w:snapToGrid/>
          <w:szCs w:val="22"/>
          <w:lang w:val="el-GR"/>
        </w:rPr>
        <w:t>Διαταραχές του ενδοκρινικού συστήματος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Ανεπαρκής ρύθμιση σακχαρώδους διαβήτη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μεταβολισμού και της θρέψης</w:t>
      </w:r>
    </w:p>
    <w:p w:rsidR="00101989" w:rsidRPr="00101989" w:rsidRDefault="00101989" w:rsidP="00101989">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101989">
        <w:rPr>
          <w:snapToGrid/>
          <w:szCs w:val="22"/>
          <w:lang w:val="el-GR"/>
        </w:rPr>
        <w:t>Συχνές:</w:t>
      </w:r>
      <w:r w:rsidRPr="00101989">
        <w:rPr>
          <w:snapToGrid/>
          <w:szCs w:val="22"/>
          <w:lang w:val="el-GR"/>
        </w:rPr>
        <w:tab/>
        <w:t>Υπομαγνησιαιμία</w:t>
      </w:r>
    </w:p>
    <w:p w:rsidR="00101989" w:rsidRPr="00101989" w:rsidRDefault="00101989" w:rsidP="00101989">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101989">
        <w:rPr>
          <w:snapToGrid/>
          <w:szCs w:val="22"/>
          <w:lang w:val="el-GR"/>
        </w:rPr>
        <w:t>Σπάνιες:</w:t>
      </w:r>
      <w:r w:rsidRPr="00101989">
        <w:rPr>
          <w:snapToGrid/>
          <w:szCs w:val="22"/>
          <w:lang w:val="el-GR"/>
        </w:rPr>
        <w:tab/>
        <w:t>Υπερασβεστιαιμία</w:t>
      </w:r>
    </w:p>
    <w:p w:rsidR="00101989" w:rsidRPr="00101989" w:rsidRDefault="00101989" w:rsidP="00101989">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101989">
        <w:rPr>
          <w:snapToGrid/>
          <w:szCs w:val="22"/>
          <w:lang w:val="el-GR"/>
        </w:rPr>
        <w:t>Πολύ</w:t>
      </w:r>
    </w:p>
    <w:p w:rsidR="00101989" w:rsidRPr="00101989" w:rsidRDefault="00101989" w:rsidP="00101989">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101989">
        <w:rPr>
          <w:snapToGrid/>
          <w:szCs w:val="22"/>
          <w:lang w:val="el-GR"/>
        </w:rPr>
        <w:t>σπάνιες:</w:t>
      </w:r>
      <w:r w:rsidRPr="00101989">
        <w:rPr>
          <w:snapToGrid/>
          <w:szCs w:val="22"/>
          <w:lang w:val="el-GR"/>
        </w:rPr>
        <w:tab/>
        <w:t>Υποχλωραιμική αλκάλωση</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 xml:space="preserve">Μη γνωστές: </w:t>
      </w:r>
      <w:r w:rsidRPr="00FC2F1F">
        <w:rPr>
          <w:snapToGrid/>
          <w:szCs w:val="22"/>
          <w:lang w:val="el-GR"/>
        </w:rPr>
        <w:tab/>
        <w:t>Ανορεξία, όρεξη μειωμένη, ηλεκτρολυτικές διαταραχές, υπερχοληστερολαιμία,</w:t>
      </w:r>
      <w:r>
        <w:rPr>
          <w:snapToGrid/>
          <w:szCs w:val="22"/>
          <w:lang w:val="sl-SI"/>
        </w:rPr>
        <w:t xml:space="preserve"> </w:t>
      </w:r>
      <w:r w:rsidRPr="00FC2F1F">
        <w:rPr>
          <w:snapToGrid/>
          <w:szCs w:val="22"/>
          <w:lang w:val="el-GR"/>
        </w:rPr>
        <w:t>υπεργλυκαιμία, υποογκαιμία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Ψυχιατρικές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Ανησυχία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νευρικού συστήματος</w:t>
      </w:r>
    </w:p>
    <w:p w:rsidR="006438BA" w:rsidRDefault="006438BA"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Pr>
          <w:snapToGrid/>
          <w:szCs w:val="22"/>
          <w:lang w:val="el-GR"/>
        </w:rPr>
        <w:t>Σπάνιες: Κεφαλαλγία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Αίσθημα ζάλης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Οφθαλμικές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 xml:space="preserve">Ξανθοψία, </w:t>
      </w:r>
      <w:r w:rsidR="00C84AD9">
        <w:rPr>
          <w:szCs w:val="22"/>
          <w:shd w:val="clear" w:color="auto" w:fill="FFFFFF"/>
          <w:lang w:val="el-GR"/>
        </w:rPr>
        <w:t xml:space="preserve">αποκόλληση του χοριοειδούς, </w:t>
      </w:r>
      <w:r w:rsidRPr="00FC2F1F">
        <w:rPr>
          <w:snapToGrid/>
          <w:szCs w:val="22"/>
          <w:lang w:val="el-GR"/>
        </w:rPr>
        <w:t>οξεία μυωπία, οξύ γλαύκωμα κλειστής γωνίας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Αγγειακές διαταραχές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Nεκρωτική αγγειίτιδα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γαστρεντερικού</w:t>
      </w:r>
    </w:p>
    <w:p w:rsidR="00101989" w:rsidRDefault="00101989"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Pr>
          <w:snapToGrid/>
          <w:szCs w:val="22"/>
          <w:lang w:val="el-GR"/>
        </w:rPr>
        <w:t>Συχνές:</w:t>
      </w:r>
      <w:r>
        <w:rPr>
          <w:snapToGrid/>
          <w:szCs w:val="22"/>
          <w:lang w:val="el-GR"/>
        </w:rPr>
        <w:tab/>
        <w:t>Ναυτία</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Πα</w:t>
      </w:r>
      <w:r w:rsidR="006438BA">
        <w:rPr>
          <w:snapToGrid/>
          <w:szCs w:val="22"/>
          <w:lang w:val="el-GR"/>
        </w:rPr>
        <w:t>γ</w:t>
      </w:r>
      <w:r w:rsidRPr="00FC2F1F">
        <w:rPr>
          <w:snapToGrid/>
          <w:szCs w:val="22"/>
          <w:lang w:val="el-GR"/>
        </w:rPr>
        <w:t>κρεατίτιδα, δυσφορία στομάχου</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ήπατος και των χοληφόρων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Ίκτερος ηπατοκυτταρικός, ίκτερος χολοστατικός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δέρματος και του υποδόριου ιστού</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2127" w:hanging="1276"/>
        <w:rPr>
          <w:snapToGrid/>
          <w:szCs w:val="22"/>
          <w:lang w:val="el-GR"/>
        </w:rPr>
      </w:pPr>
      <w:r w:rsidRPr="00FC2F1F">
        <w:rPr>
          <w:snapToGrid/>
          <w:szCs w:val="22"/>
          <w:lang w:val="el-GR"/>
        </w:rPr>
        <w:t xml:space="preserve">Μη γνωστές: </w:t>
      </w:r>
      <w:r w:rsidRPr="00FC2F1F">
        <w:rPr>
          <w:snapToGrid/>
          <w:szCs w:val="22"/>
          <w:lang w:val="el-GR"/>
        </w:rPr>
        <w:tab/>
        <w:t>Σύνδρομο προσομοιάζον με λύκο, αντιδράσεις φωτοευαισθησίας, δερματική</w:t>
      </w:r>
      <w:r>
        <w:rPr>
          <w:snapToGrid/>
          <w:szCs w:val="22"/>
          <w:lang w:val="sl-SI"/>
        </w:rPr>
        <w:t xml:space="preserve"> </w:t>
      </w:r>
      <w:r w:rsidRPr="00FC2F1F">
        <w:rPr>
          <w:snapToGrid/>
          <w:szCs w:val="22"/>
          <w:lang w:val="el-GR"/>
        </w:rPr>
        <w:t>αγγειίτιδα, τοξική επιδερμική νεκρόλυση</w:t>
      </w:r>
      <w:r w:rsidR="006438BA">
        <w:rPr>
          <w:snapToGrid/>
          <w:szCs w:val="22"/>
          <w:lang w:val="el-GR"/>
        </w:rPr>
        <w:t>, πολύμορφο ερύθημα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του μυοσκελετικού συστήματος, του συνδετικού ιστού και των οστών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Αδυναμία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Διαταραχές των νεφρών και των ουροφόρων οδών</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Διάμεση νεφρίτιδα, νεφρική δυσλειτουργία, γλυκοζουρία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Γενικές διαταραχές και καταστάσεις της οδού χορήγησης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Πυρεξία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Παρακλινικές εξετάσεις</w:t>
      </w:r>
    </w:p>
    <w:p w:rsidR="00681191" w:rsidRPr="00FC2F1F" w:rsidRDefault="00681191" w:rsidP="00681191">
      <w:pPr>
        <w:widowControl w:val="0"/>
        <w:tabs>
          <w:tab w:val="clear" w:pos="567"/>
          <w:tab w:val="left" w:pos="2127"/>
          <w:tab w:val="left" w:pos="2977"/>
        </w:tabs>
        <w:autoSpaceDE w:val="0"/>
        <w:autoSpaceDN w:val="0"/>
        <w:adjustRightInd w:val="0"/>
        <w:spacing w:line="240" w:lineRule="auto"/>
        <w:ind w:left="851"/>
        <w:rPr>
          <w:snapToGrid/>
          <w:szCs w:val="22"/>
          <w:lang w:val="el-GR"/>
        </w:rPr>
      </w:pPr>
      <w:r w:rsidRPr="00FC2F1F">
        <w:rPr>
          <w:snapToGrid/>
          <w:szCs w:val="22"/>
          <w:lang w:val="el-GR"/>
        </w:rPr>
        <w:t xml:space="preserve">Μη γνωστές: </w:t>
      </w:r>
      <w:r w:rsidRPr="00FC2F1F">
        <w:rPr>
          <w:snapToGrid/>
          <w:szCs w:val="22"/>
          <w:lang w:val="el-GR"/>
        </w:rPr>
        <w:tab/>
        <w:t>Αυξημένα τριγλυκερίδια</w:t>
      </w:r>
    </w:p>
    <w:p w:rsidR="00681191" w:rsidRPr="00FC2F1F" w:rsidRDefault="00681191" w:rsidP="00681191">
      <w:pPr>
        <w:widowControl w:val="0"/>
        <w:tabs>
          <w:tab w:val="clear" w:pos="567"/>
        </w:tabs>
        <w:autoSpaceDE w:val="0"/>
        <w:autoSpaceDN w:val="0"/>
        <w:adjustRightInd w:val="0"/>
        <w:spacing w:line="240" w:lineRule="auto"/>
        <w:rPr>
          <w:i/>
          <w:iCs/>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iCs/>
          <w:snapToGrid/>
          <w:szCs w:val="22"/>
          <w:u w:val="single"/>
          <w:lang w:val="el-GR"/>
        </w:rPr>
      </w:pPr>
      <w:r w:rsidRPr="00FC2F1F">
        <w:rPr>
          <w:iCs/>
          <w:snapToGrid/>
          <w:szCs w:val="22"/>
          <w:u w:val="single"/>
          <w:lang w:val="el-GR"/>
        </w:rPr>
        <w:t>Περιγραφή επιλεγμένων ανεπιθύμητων ενεργειών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Μη φυσιολογική ηπατική λειτουργία</w:t>
      </w:r>
      <w:r>
        <w:rPr>
          <w:snapToGrid/>
          <w:szCs w:val="22"/>
          <w:u w:val="single"/>
          <w:lang w:val="el-GR"/>
        </w:rPr>
        <w:t xml:space="preserve"> </w:t>
      </w:r>
      <w:r w:rsidRPr="00FC2F1F">
        <w:rPr>
          <w:snapToGrid/>
          <w:szCs w:val="22"/>
          <w:u w:val="single"/>
          <w:lang w:val="el-GR"/>
        </w:rPr>
        <w:t>/ διαταραχή του ήπατος</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περισσότερες περιπτώσεις μη φυσιολογικής ηπατικής λειτουργίας</w:t>
      </w:r>
      <w:r>
        <w:rPr>
          <w:snapToGrid/>
          <w:szCs w:val="22"/>
          <w:lang w:val="el-GR"/>
        </w:rPr>
        <w:t xml:space="preserve"> </w:t>
      </w:r>
      <w:r w:rsidRPr="00FC2F1F">
        <w:rPr>
          <w:snapToGrid/>
          <w:szCs w:val="22"/>
          <w:lang w:val="el-GR"/>
        </w:rPr>
        <w:t>/</w:t>
      </w:r>
      <w:r>
        <w:rPr>
          <w:snapToGrid/>
          <w:szCs w:val="22"/>
          <w:lang w:val="el-GR"/>
        </w:rPr>
        <w:t xml:space="preserve"> </w:t>
      </w:r>
      <w:r w:rsidRPr="00FC2F1F">
        <w:rPr>
          <w:snapToGrid/>
          <w:szCs w:val="22"/>
          <w:lang w:val="el-GR"/>
        </w:rPr>
        <w:t xml:space="preserve">διαταραχής του ήπατος </w:t>
      </w:r>
      <w:r>
        <w:rPr>
          <w:snapToGrid/>
          <w:szCs w:val="22"/>
          <w:lang w:val="el-GR"/>
        </w:rPr>
        <w:t>βάσει της</w:t>
      </w:r>
      <w:r w:rsidRPr="00FC2F1F">
        <w:rPr>
          <w:snapToGrid/>
          <w:szCs w:val="22"/>
          <w:lang w:val="el-GR"/>
        </w:rPr>
        <w:t xml:space="preserve"> εμπειρία</w:t>
      </w:r>
      <w:r>
        <w:rPr>
          <w:snapToGrid/>
          <w:szCs w:val="22"/>
          <w:lang w:val="el-GR"/>
        </w:rPr>
        <w:t>ς</w:t>
      </w:r>
      <w:r w:rsidRPr="00FC2F1F">
        <w:rPr>
          <w:snapToGrid/>
          <w:szCs w:val="22"/>
          <w:lang w:val="el-GR"/>
        </w:rPr>
        <w:t xml:space="preserve"> </w:t>
      </w:r>
      <w:r>
        <w:rPr>
          <w:snapToGrid/>
          <w:szCs w:val="22"/>
          <w:lang w:val="el-GR"/>
        </w:rPr>
        <w:t xml:space="preserve">από τη </w:t>
      </w:r>
      <w:r w:rsidRPr="00FC2F1F">
        <w:rPr>
          <w:snapToGrid/>
          <w:szCs w:val="22"/>
          <w:lang w:val="el-GR"/>
        </w:rPr>
        <w:t xml:space="preserve">μετά την κυκλοφορία με τελμισαρτάνη συνέβησαν σε </w:t>
      </w:r>
      <w:r>
        <w:rPr>
          <w:snapToGrid/>
          <w:szCs w:val="22"/>
          <w:lang w:val="el-GR"/>
        </w:rPr>
        <w:t>Ιάπωνες</w:t>
      </w:r>
      <w:r w:rsidRPr="00FC2F1F">
        <w:rPr>
          <w:snapToGrid/>
          <w:szCs w:val="22"/>
          <w:lang w:val="el-GR"/>
        </w:rPr>
        <w:t xml:space="preserve"> ασθενείς. Οι </w:t>
      </w:r>
      <w:r>
        <w:rPr>
          <w:snapToGrid/>
          <w:szCs w:val="22"/>
          <w:lang w:val="el-GR"/>
        </w:rPr>
        <w:t>Ιάπωνες</w:t>
      </w:r>
      <w:r w:rsidRPr="00FC2F1F">
        <w:rPr>
          <w:snapToGrid/>
          <w:szCs w:val="22"/>
          <w:lang w:val="el-GR"/>
        </w:rPr>
        <w:t xml:space="preserve"> ασθενείς είναι πιο πιθανό να παρουσιάσουν αυτές τις ανεπιθύμητες ενέργειες.</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Σήψη</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Στη δ</w:t>
      </w:r>
      <w:r>
        <w:rPr>
          <w:snapToGrid/>
          <w:szCs w:val="22"/>
          <w:lang w:val="el-GR"/>
        </w:rPr>
        <w:t>οκιμή</w:t>
      </w:r>
      <w:r w:rsidRPr="00FC2F1F">
        <w:rPr>
          <w:snapToGrid/>
          <w:szCs w:val="22"/>
          <w:lang w:val="el-GR"/>
        </w:rPr>
        <w:t xml:space="preserve"> PRoFESS, παρατηρήθηκε αυξημένη επίπτωση σήψης με τελμισαρτάνη σε σύγκριση με εικονικό φάρμακο. Το συμβάν μπορεί να είναι τυχαίο εύρημα ή να σχετίζεται με μηχανισμό προς το παρόν άγνωστο (βλ. παράγραφο 5.1).</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 xml:space="preserve">Διάμεση </w:t>
      </w:r>
      <w:r>
        <w:rPr>
          <w:snapToGrid/>
          <w:szCs w:val="22"/>
          <w:u w:val="single"/>
          <w:lang w:val="el-GR"/>
        </w:rPr>
        <w:t>π</w:t>
      </w:r>
      <w:r w:rsidRPr="00FC2F1F">
        <w:rPr>
          <w:snapToGrid/>
          <w:szCs w:val="22"/>
          <w:u w:val="single"/>
          <w:lang w:val="el-GR"/>
        </w:rPr>
        <w:t>νευμονοπάθεια</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Έχουν αναφερθεί περιστατικά διάμεσης πνευ</w:t>
      </w:r>
      <w:r>
        <w:rPr>
          <w:snapToGrid/>
          <w:szCs w:val="22"/>
          <w:lang w:val="el-GR"/>
        </w:rPr>
        <w:t>μ</w:t>
      </w:r>
      <w:r w:rsidRPr="00FC2F1F">
        <w:rPr>
          <w:snapToGrid/>
          <w:szCs w:val="22"/>
          <w:lang w:val="el-GR"/>
        </w:rPr>
        <w:t xml:space="preserve">ονοπάθειας κατά την εμπειρία </w:t>
      </w:r>
      <w:r>
        <w:rPr>
          <w:snapToGrid/>
          <w:szCs w:val="22"/>
          <w:lang w:val="el-GR"/>
        </w:rPr>
        <w:t xml:space="preserve">από τη </w:t>
      </w:r>
      <w:r w:rsidRPr="00FC2F1F">
        <w:rPr>
          <w:snapToGrid/>
          <w:szCs w:val="22"/>
          <w:lang w:val="el-GR"/>
        </w:rPr>
        <w:t>μετά τη</w:t>
      </w:r>
      <w:r>
        <w:rPr>
          <w:snapToGrid/>
          <w:szCs w:val="22"/>
          <w:lang w:val="el-GR"/>
        </w:rPr>
        <w:t>ν κυκλοφορία</w:t>
      </w:r>
      <w:r w:rsidRPr="00FC2F1F">
        <w:rPr>
          <w:snapToGrid/>
          <w:szCs w:val="22"/>
          <w:lang w:val="el-GR"/>
        </w:rPr>
        <w:t xml:space="preserve"> σε χρονική συσχέτιση με </w:t>
      </w:r>
      <w:r>
        <w:rPr>
          <w:snapToGrid/>
          <w:szCs w:val="22"/>
          <w:lang w:val="el-GR"/>
        </w:rPr>
        <w:t xml:space="preserve">τη </w:t>
      </w:r>
      <w:r w:rsidRPr="00FC2F1F">
        <w:rPr>
          <w:snapToGrid/>
          <w:szCs w:val="22"/>
          <w:lang w:val="el-GR"/>
        </w:rPr>
        <w:t>λήψη τελμισαρτάνης. Ωστόσο, δεν έχει τεκμηριωθεί αιτιολογική συσχέτιση.</w:t>
      </w:r>
    </w:p>
    <w:p w:rsidR="00261A8A" w:rsidRDefault="00261A8A" w:rsidP="00261A8A">
      <w:pPr>
        <w:widowControl w:val="0"/>
        <w:tabs>
          <w:tab w:val="clear" w:pos="567"/>
        </w:tabs>
        <w:spacing w:line="240" w:lineRule="auto"/>
        <w:rPr>
          <w:snapToGrid/>
          <w:szCs w:val="22"/>
          <w:u w:val="single"/>
          <w:lang w:val="sl-SI" w:eastAsia="sl-SI"/>
        </w:rPr>
      </w:pPr>
    </w:p>
    <w:p w:rsidR="00261A8A" w:rsidRPr="00F41A29" w:rsidRDefault="00261A8A" w:rsidP="00261A8A">
      <w:pPr>
        <w:widowControl w:val="0"/>
        <w:tabs>
          <w:tab w:val="clear" w:pos="567"/>
        </w:tabs>
        <w:spacing w:line="240" w:lineRule="auto"/>
        <w:rPr>
          <w:snapToGrid/>
          <w:szCs w:val="22"/>
          <w:u w:val="single"/>
          <w:lang w:val="sl-SI" w:eastAsia="sl-SI"/>
        </w:rPr>
      </w:pPr>
      <w:r w:rsidRPr="00F41A29">
        <w:rPr>
          <w:snapToGrid/>
          <w:szCs w:val="22"/>
          <w:u w:val="single"/>
          <w:lang w:val="sl-SI" w:eastAsia="sl-SI"/>
        </w:rPr>
        <w:t>Μη μελανωματικός καρκίνος του δέρματος</w:t>
      </w:r>
    </w:p>
    <w:p w:rsidR="00261A8A" w:rsidRPr="00311B75" w:rsidRDefault="00261A8A" w:rsidP="00261A8A">
      <w:pPr>
        <w:widowControl w:val="0"/>
        <w:tabs>
          <w:tab w:val="clear" w:pos="567"/>
        </w:tabs>
        <w:spacing w:line="240" w:lineRule="auto"/>
        <w:rPr>
          <w:rFonts w:eastAsia="Arial Unicode MS"/>
          <w:iCs/>
          <w:snapToGrid/>
          <w:szCs w:val="22"/>
          <w:vertAlign w:val="superscript"/>
          <w:lang w:val="el-GR" w:eastAsia="de-DE"/>
        </w:rPr>
      </w:pPr>
      <w:r w:rsidRPr="00311B75">
        <w:rPr>
          <w:snapToGrid/>
          <w:szCs w:val="22"/>
          <w:lang w:val="sl-SI" w:eastAsia="sl-SI"/>
        </w:rPr>
        <w:t>Βάσει των διαθέσιμων δεδομένων από επιδημιολογικές μελέτες έχει παρατηρηθεί συσχέτιση μεταξύ υδροχλωροθειαζίδης και μη μελανωματικού καρκίνου του δέρματος εξαρτώμενη από αθροιστική δόση υδροχλωροθειαζίδης (βλ. επίσης παραγράφους 4.4 και 5.1).</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autoSpaceDE w:val="0"/>
        <w:autoSpaceDN w:val="0"/>
        <w:adjustRightInd w:val="0"/>
        <w:jc w:val="both"/>
        <w:rPr>
          <w:szCs w:val="22"/>
          <w:u w:val="single"/>
          <w:lang w:val="el-GR"/>
        </w:rPr>
      </w:pPr>
      <w:r w:rsidRPr="00FC2F1F">
        <w:rPr>
          <w:noProof/>
          <w:szCs w:val="22"/>
          <w:u w:val="single"/>
          <w:lang w:val="el-GR"/>
        </w:rPr>
        <w:t>Αναφορά πιθανολογούμενων ανεπιθύμητων ενεργειών</w:t>
      </w:r>
    </w:p>
    <w:p w:rsidR="000E0C34" w:rsidRPr="00FC2F1F" w:rsidRDefault="000E0C34" w:rsidP="000E0C34">
      <w:pPr>
        <w:widowControl w:val="0"/>
        <w:tabs>
          <w:tab w:val="clear" w:pos="567"/>
        </w:tabs>
        <w:autoSpaceDE w:val="0"/>
        <w:autoSpaceDN w:val="0"/>
        <w:adjustRightInd w:val="0"/>
        <w:spacing w:line="240" w:lineRule="auto"/>
        <w:rPr>
          <w:szCs w:val="22"/>
          <w:lang w:val="el-GR"/>
        </w:rPr>
      </w:pPr>
      <w:r w:rsidRPr="00FC2F1F">
        <w:rPr>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FC2F1F">
        <w:rPr>
          <w:noProof/>
          <w:szCs w:val="22"/>
          <w:lang w:val="el-GR"/>
        </w:rPr>
        <w:t>.</w:t>
      </w:r>
      <w:r w:rsidRPr="00FC2F1F">
        <w:rPr>
          <w:szCs w:val="22"/>
          <w:lang w:val="el-GR"/>
        </w:rPr>
        <w:t xml:space="preserve"> Επιτρέπει τη συνεχή παρακολούθηση της σχέσης οφέλους-κινδύνου του φαρμακευτικού προϊόντος</w:t>
      </w:r>
      <w:r w:rsidRPr="00FC2F1F">
        <w:rPr>
          <w:noProof/>
          <w:szCs w:val="22"/>
          <w:lang w:val="el-GR"/>
        </w:rPr>
        <w:t>.</w:t>
      </w:r>
      <w:r w:rsidRPr="00FC2F1F">
        <w:rPr>
          <w:szCs w:val="22"/>
          <w:lang w:val="el-GR"/>
        </w:rPr>
        <w:t xml:space="preserve"> Ζητείται από τους επαγγελματίες </w:t>
      </w:r>
      <w:r>
        <w:rPr>
          <w:szCs w:val="22"/>
          <w:lang w:val="el-GR"/>
        </w:rPr>
        <w:t xml:space="preserve">υγείας </w:t>
      </w:r>
      <w:r w:rsidRPr="00FC2F1F">
        <w:rPr>
          <w:szCs w:val="22"/>
          <w:lang w:val="el-GR"/>
        </w:rPr>
        <w:t xml:space="preserve">να αναφέρουν οποιεσδήποτε πιθανολογούμενες ανεπιθύμητες ενέργειες </w:t>
      </w:r>
      <w:r w:rsidRPr="00FC2F1F">
        <w:rPr>
          <w:szCs w:val="22"/>
          <w:highlight w:val="lightGray"/>
          <w:lang w:val="el-GR"/>
        </w:rPr>
        <w:t xml:space="preserve">μέσω του εθνικού συστήματος αναφοράς που αναγράφεται στο </w:t>
      </w:r>
      <w:hyperlink r:id="rId13" w:history="1">
        <w:r w:rsidRPr="00FC2F1F">
          <w:rPr>
            <w:rStyle w:val="Hyperlink"/>
            <w:highlight w:val="lightGray"/>
            <w:lang w:val="el-GR"/>
          </w:rPr>
          <w:t>Παράρτημα V</w:t>
        </w:r>
      </w:hyperlink>
      <w:r w:rsidRPr="00FC2F1F">
        <w:rPr>
          <w:szCs w:val="22"/>
          <w:lang w:val="el-GR"/>
        </w:rPr>
        <w:t>.</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spacing w:line="240" w:lineRule="auto"/>
        <w:ind w:left="567" w:hanging="567"/>
        <w:rPr>
          <w:b/>
          <w:noProof/>
          <w:szCs w:val="22"/>
          <w:lang w:val="el-GR"/>
        </w:rPr>
      </w:pPr>
      <w:r w:rsidRPr="00FC2F1F">
        <w:rPr>
          <w:b/>
          <w:noProof/>
          <w:szCs w:val="22"/>
          <w:lang w:val="el-GR"/>
        </w:rPr>
        <w:t>4.9</w:t>
      </w:r>
      <w:r w:rsidRPr="00FC2F1F">
        <w:rPr>
          <w:b/>
          <w:noProof/>
          <w:szCs w:val="22"/>
          <w:lang w:val="el-GR"/>
        </w:rPr>
        <w:tab/>
        <w:t>Υπερδοσολογία</w:t>
      </w:r>
    </w:p>
    <w:p w:rsidR="000E0C34" w:rsidRPr="00FC2F1F" w:rsidRDefault="000E0C34" w:rsidP="000E0C34">
      <w:pPr>
        <w:widowControl w:val="0"/>
        <w:spacing w:line="240" w:lineRule="auto"/>
        <w:rPr>
          <w:noProof/>
          <w:szCs w:val="22"/>
          <w:lang w:val="el-GR"/>
        </w:rPr>
      </w:pPr>
    </w:p>
    <w:p w:rsidR="000E0C34" w:rsidRPr="00FC2F1F" w:rsidRDefault="000E0C34" w:rsidP="000E0C34">
      <w:pPr>
        <w:widowControl w:val="0"/>
        <w:spacing w:line="240" w:lineRule="auto"/>
        <w:rPr>
          <w:snapToGrid/>
          <w:szCs w:val="22"/>
          <w:lang w:val="el-GR"/>
        </w:rPr>
      </w:pPr>
      <w:r w:rsidRPr="00FC2F1F">
        <w:rPr>
          <w:snapToGrid/>
          <w:szCs w:val="22"/>
          <w:lang w:val="el-GR"/>
        </w:rPr>
        <w:t xml:space="preserve">Υπάρχει περιορισμένος αριθμός διαθέσιμων </w:t>
      </w:r>
      <w:r>
        <w:rPr>
          <w:snapToGrid/>
          <w:szCs w:val="22"/>
          <w:lang w:val="el-GR"/>
        </w:rPr>
        <w:t xml:space="preserve">πληροφοριών </w:t>
      </w:r>
      <w:r w:rsidRPr="00FC2F1F">
        <w:rPr>
          <w:snapToGrid/>
          <w:szCs w:val="22"/>
          <w:lang w:val="el-GR"/>
        </w:rPr>
        <w:t xml:space="preserve">για την τελμισαρτάνη σχετικά με την υπερδοσολογία σε ανθρώπους. Δεν έχει τεκμηριωθεί ο βαθμός </w:t>
      </w:r>
      <w:r>
        <w:rPr>
          <w:snapToGrid/>
          <w:szCs w:val="22"/>
          <w:lang w:val="el-GR"/>
        </w:rPr>
        <w:t>σ</w:t>
      </w:r>
      <w:r w:rsidRPr="00FC2F1F">
        <w:rPr>
          <w:snapToGrid/>
          <w:szCs w:val="22"/>
          <w:lang w:val="el-GR"/>
        </w:rPr>
        <w:t>τον οποίο η υδροχλωροθειαζίδη απομακρύνεται με</w:t>
      </w:r>
      <w:r>
        <w:rPr>
          <w:snapToGrid/>
          <w:szCs w:val="22"/>
          <w:lang w:val="sl-SI"/>
        </w:rPr>
        <w:t xml:space="preserve"> </w:t>
      </w:r>
      <w:r w:rsidRPr="00FC2F1F">
        <w:rPr>
          <w:snapToGrid/>
          <w:szCs w:val="22"/>
          <w:lang w:val="el-GR"/>
        </w:rPr>
        <w:t>αιμοκάθαρση.</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Συμπτώματα</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Οι πιο σημαντικές εκδηλώσεις υπερδοσολογίας με τελμισαρτάνη </w:t>
      </w:r>
      <w:r>
        <w:rPr>
          <w:snapToGrid/>
          <w:szCs w:val="22"/>
          <w:lang w:val="el-GR"/>
        </w:rPr>
        <w:t>ήταν</w:t>
      </w:r>
      <w:r w:rsidRPr="00FC2F1F">
        <w:rPr>
          <w:snapToGrid/>
          <w:szCs w:val="22"/>
          <w:lang w:val="el-GR"/>
        </w:rPr>
        <w:t xml:space="preserve"> υπόταση και ταχυκαρδία</w:t>
      </w:r>
      <w:r>
        <w:rPr>
          <w:snapToGrid/>
          <w:szCs w:val="22"/>
          <w:lang w:val="el-GR"/>
        </w:rPr>
        <w:t xml:space="preserve">. Έχουν επίσης αναφερθεί </w:t>
      </w:r>
      <w:r w:rsidRPr="00FC2F1F">
        <w:rPr>
          <w:snapToGrid/>
          <w:szCs w:val="22"/>
          <w:lang w:val="el-GR"/>
        </w:rPr>
        <w:t xml:space="preserve">βραδυκαρδία, ζάλη, έμετος, αύξηση της κρεατινίνης ορού, και οξεία νεφρική ανεπάρκεια. Υπερδοσολογία με υδροχλωροθειαζίδη σχετίζεται με ένδεια ηλεκτρολυτών (υποκαλιαιμία, υποχλωραιμία) και υποογκαιμία ως αποτέλεσμα υπερβολικής διούρησης. Τα πιο συνήθη σημεία και συμπτώματα υπερδοσολογίας είναι ναυτία και υπνηλία. Η υποκαλιαιμία μπορεί να προκαλέσει μυϊκούς σπασμούς και/ή να επιτείνει </w:t>
      </w:r>
      <w:r>
        <w:rPr>
          <w:snapToGrid/>
          <w:szCs w:val="22"/>
          <w:lang w:val="el-GR"/>
        </w:rPr>
        <w:t xml:space="preserve">την </w:t>
      </w:r>
      <w:r w:rsidRPr="00FC2F1F">
        <w:rPr>
          <w:snapToGrid/>
          <w:szCs w:val="22"/>
          <w:lang w:val="el-GR"/>
        </w:rPr>
        <w:t>αρρυθμία που σχετίζεται με την ταυτόχρονη χρήση καρδιακών γλυκοσιδών ή συγκεκριμένων αντιαρρυθμικών φαρμακευτικών προϊόντων.</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u w:val="single"/>
          <w:lang w:val="el-GR"/>
        </w:rPr>
      </w:pPr>
      <w:r>
        <w:rPr>
          <w:snapToGrid/>
          <w:szCs w:val="22"/>
          <w:u w:val="single"/>
          <w:lang w:val="el-GR"/>
        </w:rPr>
        <w:t>Αντιμετώπιση</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τελμισαρτάνη δεν απομακρύνεται με αιμοκάθαρση. Ο ασθενής θα πρέπει να παρακολουθείται στενά, και η αγωγή θα πρέπει να είναι συμπτωματική και υποστηρικτική. Η αντιμετώπιση εξαρτάται από το χρονικό διάστημα που μεσολάβησε από τη λήψη και από τη βαρύτητα των συμπτωμάτων. Προτεινόμενα μέτρα περιλαμβάνουν πρόκληση εμ</w:t>
      </w:r>
      <w:r>
        <w:rPr>
          <w:snapToGrid/>
          <w:szCs w:val="22"/>
          <w:lang w:val="el-GR"/>
        </w:rPr>
        <w:t>έ</w:t>
      </w:r>
      <w:r w:rsidRPr="00FC2F1F">
        <w:rPr>
          <w:snapToGrid/>
          <w:szCs w:val="22"/>
          <w:lang w:val="el-GR"/>
        </w:rPr>
        <w:t>το</w:t>
      </w:r>
      <w:r>
        <w:rPr>
          <w:snapToGrid/>
          <w:szCs w:val="22"/>
          <w:lang w:val="el-GR"/>
        </w:rPr>
        <w:t>υ</w:t>
      </w:r>
      <w:r w:rsidRPr="00FC2F1F">
        <w:rPr>
          <w:snapToGrid/>
          <w:szCs w:val="22"/>
          <w:lang w:val="el-GR"/>
        </w:rPr>
        <w:t xml:space="preserve"> και/ή πλύση στομάχου. Ο ενεργός άνθρακας μπορεί να είναι χρήσιμος στη</w:t>
      </w:r>
      <w:r>
        <w:rPr>
          <w:snapToGrid/>
          <w:szCs w:val="22"/>
          <w:lang w:val="el-GR"/>
        </w:rPr>
        <w:t>ν αντιμετώπιση</w:t>
      </w:r>
      <w:r w:rsidRPr="00FC2F1F">
        <w:rPr>
          <w:snapToGrid/>
          <w:szCs w:val="22"/>
          <w:lang w:val="el-GR"/>
        </w:rPr>
        <w:t xml:space="preserve"> </w:t>
      </w:r>
      <w:r>
        <w:rPr>
          <w:snapToGrid/>
          <w:szCs w:val="22"/>
          <w:lang w:val="el-GR"/>
        </w:rPr>
        <w:t xml:space="preserve">της </w:t>
      </w:r>
      <w:r w:rsidRPr="00FC2F1F">
        <w:rPr>
          <w:snapToGrid/>
          <w:szCs w:val="22"/>
          <w:lang w:val="el-GR"/>
        </w:rPr>
        <w:t>υπερδοσολογία</w:t>
      </w:r>
      <w:r>
        <w:rPr>
          <w:snapToGrid/>
          <w:szCs w:val="22"/>
          <w:lang w:val="el-GR"/>
        </w:rPr>
        <w:t>ς</w:t>
      </w:r>
      <w:r w:rsidRPr="00FC2F1F">
        <w:rPr>
          <w:snapToGrid/>
          <w:szCs w:val="22"/>
          <w:lang w:val="el-GR"/>
        </w:rPr>
        <w:t>. Οι ηλεκτρολύτες και η κρεατινίνη ορού θα πρέπει να παρακολουθούνται συχνά. Εάν εμφανιστεί υπόταση, ο ασθενής θα πρέπει να τοποθετηθεί σε ύπτια θέση και να χορηγηθούν ταχέως υποκατάστατα υγρών και ηλεκτρολυτών.</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ΦΑΡΜΑΚΟΛΟΓΙΚΕΣ ΙΔΙΟΤΗΤΕΣ</w:t>
      </w:r>
    </w:p>
    <w:p w:rsidR="000E0C34" w:rsidRPr="00FC2F1F" w:rsidRDefault="000E0C34" w:rsidP="000E0C34">
      <w:pPr>
        <w:widowControl w:val="0"/>
        <w:tabs>
          <w:tab w:val="clear" w:pos="567"/>
        </w:tabs>
        <w:spacing w:line="240" w:lineRule="auto"/>
        <w:ind w:left="567" w:hanging="567"/>
        <w:rPr>
          <w:b/>
          <w:noProof/>
          <w:szCs w:val="22"/>
          <w:lang w:val="el-GR"/>
        </w:rPr>
      </w:pPr>
    </w:p>
    <w:p w:rsidR="000E0C34" w:rsidRPr="00FC2F1F" w:rsidRDefault="000E0C34" w:rsidP="000E0C34">
      <w:pPr>
        <w:widowControl w:val="0"/>
        <w:tabs>
          <w:tab w:val="clear" w:pos="567"/>
        </w:tabs>
        <w:spacing w:line="240" w:lineRule="auto"/>
        <w:ind w:left="567" w:hanging="567"/>
        <w:rPr>
          <w:b/>
          <w:noProof/>
          <w:szCs w:val="22"/>
          <w:lang w:val="el-GR"/>
        </w:rPr>
      </w:pPr>
      <w:r w:rsidRPr="00FC2F1F">
        <w:rPr>
          <w:b/>
          <w:noProof/>
          <w:szCs w:val="22"/>
          <w:lang w:val="el-GR"/>
        </w:rPr>
        <w:t>5.1</w:t>
      </w:r>
      <w:r w:rsidRPr="00FC2F1F">
        <w:rPr>
          <w:b/>
          <w:noProof/>
          <w:szCs w:val="22"/>
          <w:lang w:val="el-GR"/>
        </w:rPr>
        <w:tab/>
        <w:t>Φαρμακοδυναμικές ιδιότητες</w:t>
      </w:r>
    </w:p>
    <w:p w:rsidR="000E0C34" w:rsidRPr="00FC2F1F" w:rsidRDefault="000E0C34" w:rsidP="000E0C34">
      <w:pPr>
        <w:widowControl w:val="0"/>
        <w:tabs>
          <w:tab w:val="clear" w:pos="567"/>
        </w:tabs>
        <w:spacing w:line="240" w:lineRule="auto"/>
        <w:ind w:left="567" w:hanging="567"/>
        <w:rPr>
          <w:b/>
          <w:noProof/>
          <w:szCs w:val="22"/>
          <w:lang w:val="el-GR"/>
        </w:rPr>
      </w:pPr>
    </w:p>
    <w:p w:rsidR="000E0C34" w:rsidRPr="00FC2F1F" w:rsidRDefault="000E0C34" w:rsidP="000E0C34">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Φαρμακοθεραπευτική κατηγορία: </w:t>
      </w:r>
      <w:r>
        <w:rPr>
          <w:snapToGrid/>
          <w:szCs w:val="22"/>
          <w:lang w:val="el-GR"/>
        </w:rPr>
        <w:t>Παράγοντες δρώντες στο σύστημα ρενίνης-αγγειοτενσίνης, α</w:t>
      </w:r>
      <w:r w:rsidRPr="00FC2F1F">
        <w:rPr>
          <w:snapToGrid/>
          <w:szCs w:val="22"/>
          <w:lang w:val="el-GR"/>
        </w:rPr>
        <w:t xml:space="preserve">νταγωνιστές της </w:t>
      </w:r>
      <w:r>
        <w:rPr>
          <w:snapToGrid/>
          <w:szCs w:val="22"/>
          <w:lang w:val="el-GR"/>
        </w:rPr>
        <w:t>α</w:t>
      </w:r>
      <w:r w:rsidRPr="00FC2F1F">
        <w:rPr>
          <w:snapToGrid/>
          <w:szCs w:val="22"/>
          <w:lang w:val="el-GR"/>
        </w:rPr>
        <w:t>γγειοτενσίνης ΙΙ και διουρητικά, κωδικός ATC: C09DA07</w:t>
      </w:r>
      <w:r>
        <w:rPr>
          <w:snapToGrid/>
          <w:szCs w:val="22"/>
          <w:lang w:val="el-GR"/>
        </w:rPr>
        <w:t>.</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Tolucombi</w:t>
      </w:r>
      <w:r w:rsidRPr="00FC2F1F">
        <w:rPr>
          <w:snapToGrid/>
          <w:szCs w:val="22"/>
          <w:lang w:val="el-GR"/>
        </w:rPr>
        <w:t xml:space="preserve"> είναι συνδυασμός ενός ανταγωνιστή των υποδοχέων</w:t>
      </w:r>
      <w:r>
        <w:rPr>
          <w:snapToGrid/>
          <w:szCs w:val="22"/>
          <w:lang w:val="el-GR"/>
        </w:rPr>
        <w:t xml:space="preserve"> της</w:t>
      </w:r>
      <w:r w:rsidRPr="00FC2F1F">
        <w:rPr>
          <w:snapToGrid/>
          <w:szCs w:val="22"/>
          <w:lang w:val="el-GR"/>
        </w:rPr>
        <w:t xml:space="preserve"> αγγειοτενσίνης ΙΙ, της τελμισαρτάνης</w:t>
      </w:r>
      <w:r>
        <w:rPr>
          <w:snapToGrid/>
          <w:szCs w:val="22"/>
          <w:lang w:val="el-GR"/>
        </w:rPr>
        <w:t>,</w:t>
      </w:r>
      <w:r w:rsidRPr="00FC2F1F">
        <w:rPr>
          <w:snapToGrid/>
          <w:szCs w:val="22"/>
          <w:lang w:val="el-GR"/>
        </w:rPr>
        <w:t xml:space="preserve"> και ενός θειαζιδικού διουρητικού, της υδροχλωροθειαζίδης. Ο συνδυασμός αυτών των </w:t>
      </w:r>
      <w:r>
        <w:rPr>
          <w:snapToGrid/>
          <w:szCs w:val="22"/>
          <w:lang w:val="el-GR"/>
        </w:rPr>
        <w:t>συστατικών</w:t>
      </w:r>
      <w:r w:rsidRPr="00FC2F1F">
        <w:rPr>
          <w:snapToGrid/>
          <w:szCs w:val="22"/>
          <w:lang w:val="el-GR"/>
        </w:rPr>
        <w:t xml:space="preserve"> έχει </w:t>
      </w:r>
      <w:r>
        <w:rPr>
          <w:snapToGrid/>
          <w:szCs w:val="22"/>
          <w:lang w:val="el-GR"/>
        </w:rPr>
        <w:t xml:space="preserve">μια </w:t>
      </w:r>
      <w:r w:rsidRPr="00FC2F1F">
        <w:rPr>
          <w:snapToGrid/>
          <w:szCs w:val="22"/>
          <w:lang w:val="el-GR"/>
        </w:rPr>
        <w:t>αθροιστικ</w:t>
      </w:r>
      <w:r>
        <w:rPr>
          <w:snapToGrid/>
          <w:szCs w:val="22"/>
          <w:lang w:val="el-GR"/>
        </w:rPr>
        <w:t>ή</w:t>
      </w:r>
      <w:r w:rsidRPr="00FC2F1F">
        <w:rPr>
          <w:snapToGrid/>
          <w:szCs w:val="22"/>
          <w:lang w:val="el-GR"/>
        </w:rPr>
        <w:t xml:space="preserve"> αντιυπερτασικ</w:t>
      </w:r>
      <w:r>
        <w:rPr>
          <w:snapToGrid/>
          <w:szCs w:val="22"/>
          <w:lang w:val="el-GR"/>
        </w:rPr>
        <w:t>ή</w:t>
      </w:r>
      <w:r w:rsidRPr="00FC2F1F">
        <w:rPr>
          <w:snapToGrid/>
          <w:szCs w:val="22"/>
          <w:lang w:val="el-GR"/>
        </w:rPr>
        <w:t xml:space="preserve"> </w:t>
      </w:r>
      <w:r>
        <w:rPr>
          <w:snapToGrid/>
          <w:szCs w:val="22"/>
          <w:lang w:val="el-GR"/>
        </w:rPr>
        <w:t>δράση</w:t>
      </w:r>
      <w:r w:rsidRPr="00FC2F1F">
        <w:rPr>
          <w:snapToGrid/>
          <w:szCs w:val="22"/>
          <w:lang w:val="el-GR"/>
        </w:rPr>
        <w:t xml:space="preserve">, </w:t>
      </w:r>
      <w:r>
        <w:rPr>
          <w:snapToGrid/>
          <w:szCs w:val="22"/>
          <w:lang w:val="el-GR"/>
        </w:rPr>
        <w:t>που μειώνει</w:t>
      </w:r>
      <w:r w:rsidRPr="00FC2F1F">
        <w:rPr>
          <w:snapToGrid/>
          <w:szCs w:val="22"/>
          <w:lang w:val="el-GR"/>
        </w:rPr>
        <w:t xml:space="preserve"> την αρτηριακή πίεση σε μεγαλύτερο βαθμό από ότι το κάθε συστατικό χωριστά. Το </w:t>
      </w:r>
      <w:r w:rsidRPr="00FC2F1F">
        <w:rPr>
          <w:szCs w:val="22"/>
          <w:lang w:val="el-GR"/>
        </w:rPr>
        <w:t>Tolucombi</w:t>
      </w:r>
      <w:r w:rsidRPr="00FC2F1F">
        <w:rPr>
          <w:snapToGrid/>
          <w:szCs w:val="22"/>
          <w:lang w:val="el-GR"/>
        </w:rPr>
        <w:t xml:space="preserve"> χορηγούμενο μία φορά την ημέρα προκαλεί αποτελεσματική και ομαλή </w:t>
      </w:r>
      <w:r>
        <w:rPr>
          <w:snapToGrid/>
          <w:szCs w:val="22"/>
          <w:lang w:val="el-GR"/>
        </w:rPr>
        <w:t>μείωση</w:t>
      </w:r>
      <w:r w:rsidRPr="00FC2F1F">
        <w:rPr>
          <w:snapToGrid/>
          <w:szCs w:val="22"/>
          <w:lang w:val="el-GR"/>
        </w:rPr>
        <w:t xml:space="preserve"> της αρτηριακής πίεσης σε όλο το θεραπευτικό εύρος</w:t>
      </w:r>
      <w:r>
        <w:rPr>
          <w:snapToGrid/>
          <w:szCs w:val="22"/>
          <w:lang w:val="el-GR"/>
        </w:rPr>
        <w:t xml:space="preserve"> δόσης</w:t>
      </w:r>
      <w:r w:rsidRPr="00FC2F1F">
        <w:rPr>
          <w:snapToGrid/>
          <w:szCs w:val="22"/>
          <w:lang w:val="el-GR"/>
        </w:rPr>
        <w:t>.</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2210C0" w:rsidRDefault="000E0C34" w:rsidP="000E0C34">
      <w:pPr>
        <w:widowControl w:val="0"/>
        <w:tabs>
          <w:tab w:val="clear" w:pos="567"/>
        </w:tabs>
        <w:autoSpaceDE w:val="0"/>
        <w:autoSpaceDN w:val="0"/>
        <w:adjustRightInd w:val="0"/>
        <w:spacing w:line="240" w:lineRule="auto"/>
        <w:rPr>
          <w:snapToGrid/>
          <w:szCs w:val="22"/>
          <w:u w:val="single"/>
          <w:lang w:val="el-GR"/>
        </w:rPr>
      </w:pPr>
      <w:r w:rsidRPr="002210C0">
        <w:rPr>
          <w:snapToGrid/>
          <w:szCs w:val="22"/>
          <w:u w:val="single"/>
          <w:lang w:val="el-GR"/>
        </w:rPr>
        <w:t>Μηχανισμό</w:t>
      </w:r>
      <w:r>
        <w:rPr>
          <w:snapToGrid/>
          <w:szCs w:val="22"/>
          <w:u w:val="single"/>
          <w:lang w:val="el-GR"/>
        </w:rPr>
        <w:t>ς</w:t>
      </w:r>
      <w:r w:rsidRPr="002210C0">
        <w:rPr>
          <w:snapToGrid/>
          <w:szCs w:val="22"/>
          <w:u w:val="single"/>
          <w:lang w:val="el-GR"/>
        </w:rPr>
        <w:t xml:space="preserve"> δράσης</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τελμισαρτάνη είναι </w:t>
      </w:r>
      <w:r>
        <w:rPr>
          <w:snapToGrid/>
          <w:szCs w:val="22"/>
          <w:lang w:val="el-GR"/>
        </w:rPr>
        <w:t xml:space="preserve">ένας </w:t>
      </w:r>
      <w:r w:rsidRPr="00FC2F1F">
        <w:rPr>
          <w:snapToGrid/>
          <w:szCs w:val="22"/>
          <w:lang w:val="el-GR"/>
        </w:rPr>
        <w:t>αποτελεσματικός και ειδικός ανταγωνιστής των υποδοχέων υποτύπου 1 (τύπου AT</w:t>
      </w:r>
      <w:r w:rsidRPr="00FC2F1F">
        <w:rPr>
          <w:snapToGrid/>
          <w:szCs w:val="22"/>
          <w:vertAlign w:val="subscript"/>
          <w:lang w:val="el-GR"/>
        </w:rPr>
        <w:t>1</w:t>
      </w:r>
      <w:r w:rsidRPr="00FC2F1F">
        <w:rPr>
          <w:snapToGrid/>
          <w:szCs w:val="22"/>
          <w:lang w:val="el-GR"/>
        </w:rPr>
        <w:t>) της αγγειοτενσίνης ΙΙ για από του στόματος λήψη. Η τελμισαρτάνη εκτοπίζει την αγγειοτενσίνη ΙΙ με πολύ ισχυρή χημική συγγένεια από τη θέση σ</w:t>
      </w:r>
      <w:r>
        <w:rPr>
          <w:snapToGrid/>
          <w:szCs w:val="22"/>
          <w:lang w:val="el-GR"/>
        </w:rPr>
        <w:t>ύ</w:t>
      </w:r>
      <w:r w:rsidRPr="00FC2F1F">
        <w:rPr>
          <w:snapToGrid/>
          <w:szCs w:val="22"/>
          <w:lang w:val="el-GR"/>
        </w:rPr>
        <w:t>νδ</w:t>
      </w:r>
      <w:r>
        <w:rPr>
          <w:snapToGrid/>
          <w:szCs w:val="22"/>
          <w:lang w:val="el-GR"/>
        </w:rPr>
        <w:t>ε</w:t>
      </w:r>
      <w:r w:rsidRPr="00FC2F1F">
        <w:rPr>
          <w:snapToGrid/>
          <w:szCs w:val="22"/>
          <w:lang w:val="el-GR"/>
        </w:rPr>
        <w:t>σ</w:t>
      </w:r>
      <w:r>
        <w:rPr>
          <w:snapToGrid/>
          <w:szCs w:val="22"/>
          <w:lang w:val="el-GR"/>
        </w:rPr>
        <w:t>ή</w:t>
      </w:r>
      <w:r w:rsidRPr="00FC2F1F">
        <w:rPr>
          <w:snapToGrid/>
          <w:szCs w:val="22"/>
          <w:lang w:val="el-GR"/>
        </w:rPr>
        <w:t>ς της στον υπότυπο AT</w:t>
      </w:r>
      <w:r w:rsidRPr="00FC2F1F">
        <w:rPr>
          <w:snapToGrid/>
          <w:szCs w:val="22"/>
          <w:vertAlign w:val="subscript"/>
          <w:lang w:val="el-GR"/>
        </w:rPr>
        <w:t>1</w:t>
      </w:r>
      <w:r w:rsidRPr="00FC2F1F">
        <w:rPr>
          <w:snapToGrid/>
          <w:szCs w:val="22"/>
          <w:lang w:val="el-GR"/>
        </w:rPr>
        <w:t xml:space="preserve"> του υποδοχέα, ο οποίος είναι υπεύθυνος για τις γνωστές δράσεις της αγγειοτενσίνης ΙΙ. Η τελμισαρτάνη δεν επιδεικνύει καμία δραστηριότητα μερικού αγωνιστή στον υποδοχέα AT</w:t>
      </w:r>
      <w:r w:rsidRPr="00FC2F1F">
        <w:rPr>
          <w:snapToGrid/>
          <w:szCs w:val="22"/>
          <w:vertAlign w:val="subscript"/>
          <w:lang w:val="el-GR"/>
        </w:rPr>
        <w:t>1</w:t>
      </w:r>
      <w:r w:rsidRPr="00FC2F1F">
        <w:rPr>
          <w:snapToGrid/>
          <w:szCs w:val="22"/>
          <w:lang w:val="el-GR"/>
        </w:rPr>
        <w:t>. Η τελμισαρτάνη συνδέεται εκλεκτικά με τον AT</w:t>
      </w:r>
      <w:r w:rsidRPr="00FC2F1F">
        <w:rPr>
          <w:snapToGrid/>
          <w:szCs w:val="22"/>
          <w:vertAlign w:val="subscript"/>
          <w:lang w:val="el-GR"/>
        </w:rPr>
        <w:t>1</w:t>
      </w:r>
      <w:r w:rsidRPr="00FC2F1F">
        <w:rPr>
          <w:snapToGrid/>
          <w:szCs w:val="22"/>
          <w:lang w:val="el-GR"/>
        </w:rPr>
        <w:t xml:space="preserve"> υποδοχέα. Η σύνδεση αυτή διαρκεί για μεγάλο χρονικό διάστημα. Η τελμισαρτάνη δεν έχει χημική συγγένεια με άλλους υποδοχείς, περιλαμβ</w:t>
      </w:r>
      <w:r>
        <w:rPr>
          <w:snapToGrid/>
          <w:szCs w:val="22"/>
          <w:lang w:val="el-GR"/>
        </w:rPr>
        <w:t>ανομένων</w:t>
      </w:r>
      <w:r w:rsidRPr="00FC2F1F">
        <w:rPr>
          <w:snapToGrid/>
          <w:szCs w:val="22"/>
          <w:lang w:val="el-GR"/>
        </w:rPr>
        <w:t xml:space="preserve"> τ</w:t>
      </w:r>
      <w:r>
        <w:rPr>
          <w:snapToGrid/>
          <w:szCs w:val="22"/>
          <w:lang w:val="el-GR"/>
        </w:rPr>
        <w:t>ων</w:t>
      </w:r>
      <w:r w:rsidRPr="00FC2F1F">
        <w:rPr>
          <w:snapToGrid/>
          <w:szCs w:val="22"/>
          <w:lang w:val="el-GR"/>
        </w:rPr>
        <w:t xml:space="preserve"> AT</w:t>
      </w:r>
      <w:r w:rsidRPr="00FC2F1F">
        <w:rPr>
          <w:snapToGrid/>
          <w:szCs w:val="22"/>
          <w:vertAlign w:val="subscript"/>
          <w:lang w:val="el-GR"/>
        </w:rPr>
        <w:t>2</w:t>
      </w:r>
      <w:r w:rsidRPr="00FC2F1F">
        <w:rPr>
          <w:snapToGrid/>
          <w:szCs w:val="22"/>
          <w:lang w:val="el-GR"/>
        </w:rPr>
        <w:t xml:space="preserve"> και άλλ</w:t>
      </w:r>
      <w:r>
        <w:rPr>
          <w:snapToGrid/>
          <w:szCs w:val="22"/>
          <w:lang w:val="el-GR"/>
        </w:rPr>
        <w:t>ων</w:t>
      </w:r>
      <w:r w:rsidRPr="00FC2F1F">
        <w:rPr>
          <w:snapToGrid/>
          <w:szCs w:val="22"/>
          <w:lang w:val="el-GR"/>
        </w:rPr>
        <w:t xml:space="preserve"> λιγότερο χαρακτηρισμέν</w:t>
      </w:r>
      <w:r>
        <w:rPr>
          <w:snapToGrid/>
          <w:szCs w:val="22"/>
          <w:lang w:val="el-GR"/>
        </w:rPr>
        <w:t>ων</w:t>
      </w:r>
      <w:r w:rsidRPr="00FC2F1F">
        <w:rPr>
          <w:snapToGrid/>
          <w:szCs w:val="22"/>
          <w:lang w:val="el-GR"/>
        </w:rPr>
        <w:t xml:space="preserve"> ΑΤ υποδοχ</w:t>
      </w:r>
      <w:r>
        <w:rPr>
          <w:snapToGrid/>
          <w:szCs w:val="22"/>
          <w:lang w:val="el-GR"/>
        </w:rPr>
        <w:t>έων</w:t>
      </w:r>
      <w:r w:rsidRPr="00FC2F1F">
        <w:rPr>
          <w:snapToGrid/>
          <w:szCs w:val="22"/>
          <w:lang w:val="el-GR"/>
        </w:rPr>
        <w:t>. Ο λειτουργικός ρόλος αυτών των υποδοχέων δεν είναι γνωστός</w:t>
      </w:r>
      <w:r>
        <w:rPr>
          <w:snapToGrid/>
          <w:szCs w:val="22"/>
          <w:lang w:val="el-GR"/>
        </w:rPr>
        <w:t>,</w:t>
      </w:r>
      <w:r w:rsidRPr="00FC2F1F">
        <w:rPr>
          <w:snapToGrid/>
          <w:szCs w:val="22"/>
          <w:lang w:val="el-GR"/>
        </w:rPr>
        <w:t xml:space="preserve"> αλλά ούτε και το αποτέλεσμα πιθανής υπερδιέγερσής τους από την αγγειοτενσίνη ΙΙ, τα επίπεδα της οποίας αυξάνονται από την τελμισαρτάνη. Τα επίπεδα αλδοστερόνης </w:t>
      </w:r>
      <w:r>
        <w:rPr>
          <w:snapToGrid/>
          <w:szCs w:val="22"/>
          <w:lang w:val="el-GR"/>
        </w:rPr>
        <w:t>σ</w:t>
      </w:r>
      <w:r w:rsidRPr="00FC2F1F">
        <w:rPr>
          <w:snapToGrid/>
          <w:szCs w:val="22"/>
          <w:lang w:val="el-GR"/>
        </w:rPr>
        <w:t>το πλάσμα μειώνονται από τη</w:t>
      </w:r>
      <w:r>
        <w:rPr>
          <w:snapToGrid/>
          <w:szCs w:val="22"/>
          <w:lang w:val="el-GR"/>
        </w:rPr>
        <w:t>ν</w:t>
      </w:r>
      <w:r w:rsidRPr="00FC2F1F">
        <w:rPr>
          <w:snapToGrid/>
          <w:szCs w:val="22"/>
          <w:lang w:val="el-GR"/>
        </w:rPr>
        <w:t xml:space="preserve"> τελμισαρτάνη. Η τελμισαρτάνη δεν αναστέλλει την ανθρώπινη ρενίνη πλάσματος και δεν αποκλείει τους διαύλους ιόντων. Η τελμισαρτάνη δεν αναστέλλει το μετατρεπτικό ένζυμο της αγγειοτενσίνης (κινινάση ΙΙ), το ένζυμο που διασπά επίσης τη βραδυκινίνη. Ως εκ τούτου, δεν αναμέν</w:t>
      </w:r>
      <w:r>
        <w:rPr>
          <w:snapToGrid/>
          <w:szCs w:val="22"/>
          <w:lang w:val="el-GR"/>
        </w:rPr>
        <w:t>εται</w:t>
      </w:r>
      <w:r w:rsidRPr="00FC2F1F">
        <w:rPr>
          <w:snapToGrid/>
          <w:szCs w:val="22"/>
          <w:lang w:val="el-GR"/>
        </w:rPr>
        <w:t xml:space="preserve"> </w:t>
      </w:r>
      <w:r>
        <w:rPr>
          <w:snapToGrid/>
          <w:szCs w:val="22"/>
          <w:lang w:val="el-GR"/>
        </w:rPr>
        <w:t xml:space="preserve">ενίσχυση των διαμεσολαβούμενων από τη βραδυκινίνη </w:t>
      </w:r>
      <w:r w:rsidRPr="00FC2F1F">
        <w:rPr>
          <w:snapToGrid/>
          <w:szCs w:val="22"/>
          <w:lang w:val="el-GR"/>
        </w:rPr>
        <w:t>ανεπιθύμητ</w:t>
      </w:r>
      <w:r>
        <w:rPr>
          <w:snapToGrid/>
          <w:szCs w:val="22"/>
          <w:lang w:val="el-GR"/>
        </w:rPr>
        <w:t>ων</w:t>
      </w:r>
      <w:r w:rsidRPr="00FC2F1F">
        <w:rPr>
          <w:snapToGrid/>
          <w:szCs w:val="22"/>
          <w:lang w:val="el-GR"/>
        </w:rPr>
        <w:t xml:space="preserve"> εν</w:t>
      </w:r>
      <w:r>
        <w:rPr>
          <w:snapToGrid/>
          <w:szCs w:val="22"/>
          <w:lang w:val="el-GR"/>
        </w:rPr>
        <w:t>ε</w:t>
      </w:r>
      <w:r w:rsidRPr="00FC2F1F">
        <w:rPr>
          <w:snapToGrid/>
          <w:szCs w:val="22"/>
          <w:lang w:val="el-GR"/>
        </w:rPr>
        <w:t>ργει</w:t>
      </w:r>
      <w:r>
        <w:rPr>
          <w:snapToGrid/>
          <w:szCs w:val="22"/>
          <w:lang w:val="el-GR"/>
        </w:rPr>
        <w:t>ών</w:t>
      </w:r>
      <w:r w:rsidRPr="00FC2F1F">
        <w:rPr>
          <w:snapToGrid/>
          <w:szCs w:val="22"/>
          <w:lang w:val="el-GR"/>
        </w:rPr>
        <w:t>.</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δόση 80</w:t>
      </w:r>
      <w:r>
        <w:rPr>
          <w:snapToGrid/>
          <w:szCs w:val="22"/>
          <w:lang w:val="el-GR"/>
        </w:rPr>
        <w:t> mg</w:t>
      </w:r>
      <w:r w:rsidRPr="00FC2F1F">
        <w:rPr>
          <w:snapToGrid/>
          <w:szCs w:val="22"/>
          <w:lang w:val="el-GR"/>
        </w:rPr>
        <w:t xml:space="preserve"> τελμισαρτάνης χορηγούμενη σε υγιείς εθελοντές αναστέλλει σχεδόν εξ’ ολοκλήρου την αύξηση της </w:t>
      </w:r>
      <w:r>
        <w:rPr>
          <w:snapToGrid/>
          <w:szCs w:val="22"/>
          <w:lang w:val="el-GR"/>
        </w:rPr>
        <w:t xml:space="preserve">αρτηριακής </w:t>
      </w:r>
      <w:r w:rsidRPr="00FC2F1F">
        <w:rPr>
          <w:snapToGrid/>
          <w:szCs w:val="22"/>
          <w:lang w:val="el-GR"/>
        </w:rPr>
        <w:t>πίεσης που προκαλείται από την αγγειοτενσίνη ΙΙ. Αυτή η ανασταλτική δράση διατηρείται για 24 ώρες και είναι ανιχνεύσιμη μέχρι 48 ώρες.</w:t>
      </w:r>
    </w:p>
    <w:p w:rsidR="000E0C34" w:rsidRDefault="000E0C34" w:rsidP="000E0C34">
      <w:pPr>
        <w:widowControl w:val="0"/>
        <w:tabs>
          <w:tab w:val="clear" w:pos="567"/>
        </w:tabs>
        <w:autoSpaceDE w:val="0"/>
        <w:autoSpaceDN w:val="0"/>
        <w:adjustRightInd w:val="0"/>
        <w:spacing w:line="240" w:lineRule="auto"/>
        <w:rPr>
          <w:snapToGrid/>
          <w:szCs w:val="22"/>
          <w:lang w:val="el-GR"/>
        </w:rPr>
      </w:pPr>
    </w:p>
    <w:p w:rsidR="000E0C34" w:rsidRPr="003269AF" w:rsidRDefault="000E0C34" w:rsidP="000E0C34">
      <w:pPr>
        <w:widowControl w:val="0"/>
        <w:tabs>
          <w:tab w:val="clear" w:pos="567"/>
        </w:tabs>
        <w:autoSpaceDE w:val="0"/>
        <w:autoSpaceDN w:val="0"/>
        <w:adjustRightInd w:val="0"/>
        <w:spacing w:line="240" w:lineRule="auto"/>
        <w:rPr>
          <w:snapToGrid/>
          <w:szCs w:val="22"/>
          <w:lang w:val="el-GR"/>
        </w:rPr>
      </w:pPr>
      <w:r w:rsidRPr="003269AF">
        <w:rPr>
          <w:snapToGrid/>
          <w:szCs w:val="22"/>
          <w:lang w:val="el-GR"/>
        </w:rPr>
        <w:t>Η υδροχλωροθειαζίδη είναι ένα θειαζιδικό διουρητικό. Ο μηχανισμός της αντιυπερτασικής δράσης των θειαζιδικών διουρητικών δεν είναι πλήρως γνωστός. Οι θειαζίδες επηρεάζουν τους μηχανισμούς επαναρρόφησης ηλεκτρολυτών στα νεφρικά σωληνάρια, αυξάνοντας άμεσα την απέκκριση νατρίου και χλωρίου σε περίπου ισοδύναμ</w:t>
      </w:r>
      <w:r>
        <w:rPr>
          <w:snapToGrid/>
          <w:szCs w:val="22"/>
          <w:lang w:val="el-GR"/>
        </w:rPr>
        <w:t>ες</w:t>
      </w:r>
      <w:r w:rsidRPr="003269AF">
        <w:rPr>
          <w:snapToGrid/>
          <w:szCs w:val="22"/>
          <w:lang w:val="el-GR"/>
        </w:rPr>
        <w:t xml:space="preserve"> ποσ</w:t>
      </w:r>
      <w:r>
        <w:rPr>
          <w:snapToGrid/>
          <w:szCs w:val="22"/>
          <w:lang w:val="el-GR"/>
        </w:rPr>
        <w:t>ότητες</w:t>
      </w:r>
      <w:r w:rsidRPr="003269AF">
        <w:rPr>
          <w:snapToGrid/>
          <w:szCs w:val="22"/>
          <w:lang w:val="el-GR"/>
        </w:rPr>
        <w:t xml:space="preserve">. Η διουρητική δράση της υδροχλωροθειαζίδης </w:t>
      </w:r>
      <w:r>
        <w:rPr>
          <w:snapToGrid/>
          <w:szCs w:val="22"/>
          <w:lang w:val="el-GR"/>
        </w:rPr>
        <w:t>συνίσταται σ</w:t>
      </w:r>
      <w:r w:rsidRPr="003269AF">
        <w:rPr>
          <w:snapToGrid/>
          <w:szCs w:val="22"/>
          <w:lang w:val="el-GR"/>
        </w:rPr>
        <w:t xml:space="preserve">τη μείωση του όγκου του πλάσματος, </w:t>
      </w:r>
      <w:r>
        <w:rPr>
          <w:snapToGrid/>
          <w:szCs w:val="22"/>
          <w:lang w:val="el-GR"/>
        </w:rPr>
        <w:t>σ</w:t>
      </w:r>
      <w:r w:rsidRPr="003269AF">
        <w:rPr>
          <w:snapToGrid/>
          <w:szCs w:val="22"/>
          <w:lang w:val="el-GR"/>
        </w:rPr>
        <w:t>την αύξηση της δραστ</w:t>
      </w:r>
      <w:r>
        <w:rPr>
          <w:snapToGrid/>
          <w:szCs w:val="22"/>
          <w:lang w:val="el-GR"/>
        </w:rPr>
        <w:t>ικ</w:t>
      </w:r>
      <w:r w:rsidRPr="003269AF">
        <w:rPr>
          <w:snapToGrid/>
          <w:szCs w:val="22"/>
          <w:lang w:val="el-GR"/>
        </w:rPr>
        <w:t xml:space="preserve">ότητας ρενίνης πλάσματος, </w:t>
      </w:r>
      <w:r>
        <w:rPr>
          <w:snapToGrid/>
          <w:szCs w:val="22"/>
          <w:lang w:val="el-GR"/>
        </w:rPr>
        <w:t xml:space="preserve">στην </w:t>
      </w:r>
      <w:r w:rsidRPr="003269AF">
        <w:rPr>
          <w:snapToGrid/>
          <w:szCs w:val="22"/>
          <w:lang w:val="el-GR"/>
        </w:rPr>
        <w:t xml:space="preserve">αύξηση της έκκρισης αλδοστερόνης, με </w:t>
      </w:r>
      <w:r>
        <w:rPr>
          <w:snapToGrid/>
          <w:szCs w:val="22"/>
          <w:lang w:val="el-GR"/>
        </w:rPr>
        <w:t xml:space="preserve">επακόλουθες </w:t>
      </w:r>
      <w:r w:rsidRPr="003269AF">
        <w:rPr>
          <w:snapToGrid/>
          <w:szCs w:val="22"/>
          <w:lang w:val="el-GR"/>
        </w:rPr>
        <w:t>α</w:t>
      </w:r>
      <w:r>
        <w:rPr>
          <w:snapToGrid/>
          <w:szCs w:val="22"/>
          <w:lang w:val="el-GR"/>
        </w:rPr>
        <w:t>υξήσεις</w:t>
      </w:r>
      <w:r w:rsidRPr="003269AF">
        <w:rPr>
          <w:snapToGrid/>
          <w:szCs w:val="22"/>
          <w:lang w:val="el-GR"/>
        </w:rPr>
        <w:t xml:space="preserve"> της δια των ούρων απ</w:t>
      </w:r>
      <w:r>
        <w:rPr>
          <w:snapToGrid/>
          <w:szCs w:val="22"/>
          <w:lang w:val="el-GR"/>
        </w:rPr>
        <w:t>ώλειας</w:t>
      </w:r>
      <w:r w:rsidRPr="003269AF">
        <w:rPr>
          <w:snapToGrid/>
          <w:szCs w:val="22"/>
          <w:lang w:val="el-GR"/>
        </w:rPr>
        <w:t xml:space="preserve"> καλίου και διττανθρακικών, και με</w:t>
      </w:r>
      <w:r>
        <w:rPr>
          <w:snapToGrid/>
          <w:szCs w:val="22"/>
          <w:lang w:val="el-GR"/>
        </w:rPr>
        <w:t xml:space="preserve">ιώσεις </w:t>
      </w:r>
      <w:r w:rsidRPr="003269AF">
        <w:rPr>
          <w:snapToGrid/>
          <w:szCs w:val="22"/>
          <w:lang w:val="el-GR"/>
        </w:rPr>
        <w:t>του καλίου ορού. Πιθανώς μέσω του αποκλεισμού του συστήματος ρενίνης – αγγειοτενσίνης –</w:t>
      </w:r>
      <w:r>
        <w:rPr>
          <w:snapToGrid/>
          <w:szCs w:val="22"/>
          <w:lang w:val="el-GR"/>
        </w:rPr>
        <w:t xml:space="preserve"> α</w:t>
      </w:r>
      <w:r w:rsidRPr="003269AF">
        <w:rPr>
          <w:snapToGrid/>
          <w:szCs w:val="22"/>
          <w:lang w:val="el-GR"/>
        </w:rPr>
        <w:t>λδοστερόνης, η συγχορήγηση τελμισαρτάνης τείνει να αν</w:t>
      </w:r>
      <w:r>
        <w:rPr>
          <w:snapToGrid/>
          <w:szCs w:val="22"/>
          <w:lang w:val="el-GR"/>
        </w:rPr>
        <w:t>α</w:t>
      </w:r>
      <w:r w:rsidRPr="003269AF">
        <w:rPr>
          <w:snapToGrid/>
          <w:szCs w:val="22"/>
          <w:lang w:val="el-GR"/>
        </w:rPr>
        <w:t>στρέψει την απώλεια καλίου που σχετίζεται με αυτά τα διουρητικά. Με τ</w:t>
      </w:r>
      <w:r>
        <w:rPr>
          <w:snapToGrid/>
          <w:szCs w:val="22"/>
          <w:lang w:val="el-GR"/>
        </w:rPr>
        <w:t>ην</w:t>
      </w:r>
      <w:r w:rsidRPr="003269AF">
        <w:rPr>
          <w:snapToGrid/>
          <w:szCs w:val="22"/>
          <w:lang w:val="el-GR"/>
        </w:rPr>
        <w:t xml:space="preserve"> υδροχλωροθειαζίδ</w:t>
      </w:r>
      <w:r>
        <w:rPr>
          <w:snapToGrid/>
          <w:szCs w:val="22"/>
          <w:lang w:val="el-GR"/>
        </w:rPr>
        <w:t>η</w:t>
      </w:r>
      <w:r w:rsidRPr="003269AF">
        <w:rPr>
          <w:snapToGrid/>
          <w:szCs w:val="22"/>
          <w:lang w:val="el-GR"/>
        </w:rPr>
        <w:t xml:space="preserve">, η έναρξη της διούρησης </w:t>
      </w:r>
      <w:r>
        <w:rPr>
          <w:snapToGrid/>
          <w:szCs w:val="22"/>
          <w:lang w:val="el-GR"/>
        </w:rPr>
        <w:t>λαμβάνει χώρα</w:t>
      </w:r>
      <w:r w:rsidRPr="003269AF">
        <w:rPr>
          <w:snapToGrid/>
          <w:szCs w:val="22"/>
          <w:lang w:val="el-GR"/>
        </w:rPr>
        <w:t xml:space="preserve"> σε 2 ώρες, και το μέγιστο αποτέλεσμα εμφανίζεται περίπου στις 4 ώρες, ενώ η δράση</w:t>
      </w:r>
      <w:r>
        <w:rPr>
          <w:snapToGrid/>
          <w:szCs w:val="22"/>
          <w:lang w:val="el-GR"/>
        </w:rPr>
        <w:t xml:space="preserve"> διατηρείται για</w:t>
      </w:r>
      <w:r w:rsidRPr="003269AF">
        <w:rPr>
          <w:snapToGrid/>
          <w:szCs w:val="22"/>
          <w:lang w:val="el-GR"/>
        </w:rPr>
        <w:t xml:space="preserve"> περίπου 6-12 ώρες.</w:t>
      </w:r>
    </w:p>
    <w:p w:rsidR="000E0C34" w:rsidRDefault="000E0C34" w:rsidP="000E0C34">
      <w:pPr>
        <w:widowControl w:val="0"/>
        <w:tabs>
          <w:tab w:val="clear" w:pos="567"/>
        </w:tabs>
        <w:autoSpaceDE w:val="0"/>
        <w:autoSpaceDN w:val="0"/>
        <w:adjustRightInd w:val="0"/>
        <w:spacing w:line="240" w:lineRule="auto"/>
        <w:rPr>
          <w:snapToGrid/>
          <w:szCs w:val="22"/>
          <w:lang w:val="el-GR"/>
        </w:rPr>
      </w:pPr>
    </w:p>
    <w:p w:rsidR="000E0C34" w:rsidRPr="002210C0" w:rsidRDefault="000E0C34" w:rsidP="000E0C34">
      <w:pPr>
        <w:widowControl w:val="0"/>
        <w:tabs>
          <w:tab w:val="clear" w:pos="567"/>
        </w:tabs>
        <w:autoSpaceDE w:val="0"/>
        <w:autoSpaceDN w:val="0"/>
        <w:adjustRightInd w:val="0"/>
        <w:spacing w:line="240" w:lineRule="auto"/>
        <w:rPr>
          <w:snapToGrid/>
          <w:szCs w:val="22"/>
          <w:u w:val="single"/>
          <w:lang w:val="el-GR"/>
        </w:rPr>
      </w:pPr>
      <w:r w:rsidRPr="002210C0">
        <w:rPr>
          <w:snapToGrid/>
          <w:szCs w:val="22"/>
          <w:u w:val="single"/>
          <w:lang w:val="el-GR"/>
        </w:rPr>
        <w:t>Κλινική αποτελεσματικότητα και ασφάλεια</w:t>
      </w:r>
    </w:p>
    <w:p w:rsidR="000E0C34" w:rsidRDefault="000E0C34" w:rsidP="000E0C34">
      <w:pPr>
        <w:widowControl w:val="0"/>
        <w:tabs>
          <w:tab w:val="clear" w:pos="567"/>
        </w:tabs>
        <w:autoSpaceDE w:val="0"/>
        <w:autoSpaceDN w:val="0"/>
        <w:adjustRightInd w:val="0"/>
        <w:spacing w:line="240" w:lineRule="auto"/>
        <w:rPr>
          <w:snapToGrid/>
          <w:szCs w:val="22"/>
          <w:lang w:val="el-GR"/>
        </w:rPr>
      </w:pPr>
    </w:p>
    <w:p w:rsidR="000E0C34" w:rsidRPr="002210C0" w:rsidRDefault="000E0C34" w:rsidP="000E0C34">
      <w:pPr>
        <w:widowControl w:val="0"/>
        <w:tabs>
          <w:tab w:val="clear" w:pos="567"/>
        </w:tabs>
        <w:autoSpaceDE w:val="0"/>
        <w:autoSpaceDN w:val="0"/>
        <w:adjustRightInd w:val="0"/>
        <w:spacing w:line="240" w:lineRule="auto"/>
        <w:rPr>
          <w:snapToGrid/>
          <w:szCs w:val="22"/>
          <w:u w:val="single"/>
          <w:lang w:val="el-GR"/>
        </w:rPr>
      </w:pPr>
      <w:r w:rsidRPr="002210C0">
        <w:rPr>
          <w:snapToGrid/>
          <w:szCs w:val="22"/>
          <w:u w:val="single"/>
          <w:lang w:val="el-GR"/>
        </w:rPr>
        <w:t>Θεραπεία της ιδιοπαθούς υπέρτασης</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Μετά τη χορήγηση της πρώτης δόσης της τελμισαρτάνης, η αντιυπερτασική δραστηριότητα αρχίζει σταδιακά εντός 3 ωρών. Η μέγιστη μείωση της αρτηριακής πίεσης </w:t>
      </w:r>
      <w:r>
        <w:rPr>
          <w:snapToGrid/>
          <w:szCs w:val="22"/>
          <w:lang w:val="el-GR"/>
        </w:rPr>
        <w:t>επιτυγχάνεται</w:t>
      </w:r>
      <w:r w:rsidRPr="00FC2F1F">
        <w:rPr>
          <w:snapToGrid/>
          <w:szCs w:val="22"/>
          <w:lang w:val="el-GR"/>
        </w:rPr>
        <w:t xml:space="preserve"> γενικά 4 - 8 εβδομάδες μετά την έναρξη της </w:t>
      </w:r>
      <w:r>
        <w:rPr>
          <w:snapToGrid/>
          <w:szCs w:val="22"/>
          <w:lang w:val="el-GR"/>
        </w:rPr>
        <w:t>αγωγής</w:t>
      </w:r>
      <w:r w:rsidRPr="00FC2F1F">
        <w:rPr>
          <w:snapToGrid/>
          <w:szCs w:val="22"/>
          <w:lang w:val="el-GR"/>
        </w:rPr>
        <w:t xml:space="preserve"> και διατηρείται κατά τη διάρκεια μακροχρόνιας θεραπείας. Το αντιυπερτασικό αποτέλεσμα διατηρείται </w:t>
      </w:r>
      <w:r>
        <w:rPr>
          <w:snapToGrid/>
          <w:szCs w:val="22"/>
          <w:lang w:val="el-GR"/>
        </w:rPr>
        <w:t>σταθερά</w:t>
      </w:r>
      <w:r w:rsidRPr="00FC2F1F">
        <w:rPr>
          <w:snapToGrid/>
          <w:szCs w:val="22"/>
          <w:lang w:val="el-GR"/>
        </w:rPr>
        <w:t xml:space="preserve"> για 24 ώρες μετά τη λήψη και περιλαμβάνει τις τελευταίες 4 ώρες πριν την επόμενη χορήγηση όπως </w:t>
      </w:r>
      <w:r>
        <w:rPr>
          <w:snapToGrid/>
          <w:szCs w:val="22"/>
          <w:lang w:val="el-GR"/>
        </w:rPr>
        <w:t>δεικνύεται</w:t>
      </w:r>
      <w:r w:rsidRPr="00FC2F1F">
        <w:rPr>
          <w:snapToGrid/>
          <w:szCs w:val="22"/>
          <w:lang w:val="el-GR"/>
        </w:rPr>
        <w:t xml:space="preserve"> από μετρήσεις της αρτηριακής πίεσης περιπατητικών ασθενών. Αυτό επιβεβαι</w:t>
      </w:r>
      <w:r>
        <w:rPr>
          <w:snapToGrid/>
          <w:szCs w:val="22"/>
          <w:lang w:val="el-GR"/>
        </w:rPr>
        <w:t>ώνεται</w:t>
      </w:r>
      <w:r w:rsidRPr="00FC2F1F">
        <w:rPr>
          <w:snapToGrid/>
          <w:szCs w:val="22"/>
          <w:lang w:val="el-GR"/>
        </w:rPr>
        <w:t xml:space="preserve"> από μετρήσεις που έγιναν στο χρονικό σημείο μέγιστης επίδρασης και ακριβώς πριν από τη χορήγηση της επόμενης δόσης (στις ελεγχόμενες με εικονικό φάρμακο κλινικές μελέτες ο λόγος βάσεως προς κορυφή ήταν </w:t>
      </w:r>
      <w:r>
        <w:rPr>
          <w:snapToGrid/>
          <w:szCs w:val="22"/>
          <w:lang w:val="el-GR"/>
        </w:rPr>
        <w:t>σταθερά</w:t>
      </w:r>
      <w:r w:rsidRPr="00FC2F1F">
        <w:rPr>
          <w:snapToGrid/>
          <w:szCs w:val="22"/>
          <w:lang w:val="el-GR"/>
        </w:rPr>
        <w:t xml:space="preserve"> άνω του 80</w:t>
      </w:r>
      <w:r>
        <w:rPr>
          <w:snapToGrid/>
          <w:szCs w:val="22"/>
          <w:lang w:val="el-GR"/>
        </w:rPr>
        <w:t> </w:t>
      </w:r>
      <w:r w:rsidRPr="00FC2F1F">
        <w:rPr>
          <w:snapToGrid/>
          <w:szCs w:val="22"/>
          <w:lang w:val="el-GR"/>
        </w:rPr>
        <w:t>% μετά από χορήγηση δόσεων 40 και 80</w:t>
      </w:r>
      <w:r>
        <w:rPr>
          <w:snapToGrid/>
          <w:szCs w:val="22"/>
          <w:lang w:val="el-GR"/>
        </w:rPr>
        <w:t> mg</w:t>
      </w:r>
      <w:r w:rsidRPr="00FC2F1F">
        <w:rPr>
          <w:snapToGrid/>
          <w:szCs w:val="22"/>
          <w:lang w:val="el-GR"/>
        </w:rPr>
        <w:t xml:space="preserve"> τελμισαρτάνης).</w:t>
      </w: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p>
    <w:p w:rsidR="000E0C34" w:rsidRPr="00FC2F1F" w:rsidRDefault="000E0C34" w:rsidP="000E0C34">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Σε ασθενείς με υπέρταση η τελμισαρτάνη ελαττώνει τόσο τη συστολική όσο και τη διαστολική αρτηριακή πίεση χωρίς να επηρεάζει τη συχνότητα παλμών. Η αντιυπερτασική αποτελεσματικότητα της τελμισαρτάνης είναι συγκρίσιμη με </w:t>
      </w:r>
      <w:r>
        <w:rPr>
          <w:snapToGrid/>
          <w:szCs w:val="22"/>
          <w:lang w:val="el-GR"/>
        </w:rPr>
        <w:t>εκείνη των</w:t>
      </w:r>
      <w:r w:rsidRPr="00FC2F1F">
        <w:rPr>
          <w:snapToGrid/>
          <w:szCs w:val="22"/>
          <w:lang w:val="el-GR"/>
        </w:rPr>
        <w:t xml:space="preserve"> αντιπροσωπευτικών ουσιών από άλλες κατηγορίες αντιυπερτασικών φαρμακευτικών προϊόντων (αυτό αποδείχθηκε σε κλινικές δοκιμές που συνέκριναν την τελμισαρτάνη με αμλοδιπίνη, ατενολόλη, εναλαπρίλη, υδροχλωροθειαζίδη, και λισινοπρίλη).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μία διπλ</w:t>
      </w:r>
      <w:r w:rsidR="00AC2E8B">
        <w:rPr>
          <w:snapToGrid/>
          <w:szCs w:val="22"/>
          <w:lang w:val="el-GR"/>
        </w:rPr>
        <w:t>ά</w:t>
      </w:r>
      <w:r w:rsidRPr="00FC2F1F">
        <w:rPr>
          <w:snapToGrid/>
          <w:szCs w:val="22"/>
          <w:lang w:val="el-GR"/>
        </w:rPr>
        <w:t xml:space="preserve"> τυφλή ελεγχόμενη κλινική δοκιμή (n=687 ασθενείς στους οποίους εξετάστηκε η αποτελεσματικότητα) αυτοί που δεν ανταποκρίθηκαν στο συνδυασμό 80</w:t>
      </w:r>
      <w:r>
        <w:rPr>
          <w:snapToGrid/>
          <w:szCs w:val="22"/>
          <w:lang w:val="el-GR"/>
        </w:rPr>
        <w:t> mg</w:t>
      </w:r>
      <w:r w:rsidRPr="00FC2F1F">
        <w:rPr>
          <w:snapToGrid/>
          <w:szCs w:val="22"/>
          <w:lang w:val="el-GR"/>
        </w:rPr>
        <w:t>/12,5</w:t>
      </w:r>
      <w:r>
        <w:rPr>
          <w:snapToGrid/>
          <w:szCs w:val="22"/>
          <w:lang w:val="el-GR"/>
        </w:rPr>
        <w:t> mg</w:t>
      </w:r>
      <w:r w:rsidRPr="00FC2F1F">
        <w:rPr>
          <w:snapToGrid/>
          <w:szCs w:val="22"/>
          <w:lang w:val="el-GR"/>
        </w:rPr>
        <w:t>, παρουσίασαν μία αυξητική δράση μείωσης της αρτηριακής πίεσης με το συνδυασμό των 80</w:t>
      </w:r>
      <w:r>
        <w:rPr>
          <w:snapToGrid/>
          <w:szCs w:val="22"/>
          <w:lang w:val="el-GR"/>
        </w:rPr>
        <w:t> mg</w:t>
      </w:r>
      <w:r w:rsidRPr="00FC2F1F">
        <w:rPr>
          <w:snapToGrid/>
          <w:szCs w:val="22"/>
          <w:lang w:val="el-GR"/>
        </w:rPr>
        <w:t>/25</w:t>
      </w:r>
      <w:r>
        <w:rPr>
          <w:snapToGrid/>
          <w:szCs w:val="22"/>
          <w:lang w:val="el-GR"/>
        </w:rPr>
        <w:t> mg</w:t>
      </w:r>
      <w:r w:rsidRPr="00FC2F1F">
        <w:rPr>
          <w:snapToGrid/>
          <w:szCs w:val="22"/>
          <w:lang w:val="el-GR"/>
        </w:rPr>
        <w:t xml:space="preserve"> σε σύγκριση με τη συνεχιζόμενη αγωγή με το συνδυασμό των 80</w:t>
      </w:r>
      <w:r>
        <w:rPr>
          <w:snapToGrid/>
          <w:szCs w:val="22"/>
          <w:lang w:val="el-GR"/>
        </w:rPr>
        <w:t> mg</w:t>
      </w:r>
      <w:r w:rsidRPr="00FC2F1F">
        <w:rPr>
          <w:snapToGrid/>
          <w:szCs w:val="22"/>
          <w:lang w:val="el-GR"/>
        </w:rPr>
        <w:t>/12,5</w:t>
      </w:r>
      <w:r>
        <w:rPr>
          <w:snapToGrid/>
          <w:szCs w:val="22"/>
          <w:lang w:val="el-GR"/>
        </w:rPr>
        <w:t> mg</w:t>
      </w:r>
      <w:r w:rsidRPr="00FC2F1F">
        <w:rPr>
          <w:snapToGrid/>
          <w:szCs w:val="22"/>
          <w:lang w:val="el-GR"/>
        </w:rPr>
        <w:t xml:space="preserve"> κατά 2,7/1,6 </w:t>
      </w:r>
      <w:r>
        <w:rPr>
          <w:snapToGrid/>
          <w:szCs w:val="22"/>
          <w:lang w:val="el-GR"/>
        </w:rPr>
        <w:t>mmHg</w:t>
      </w:r>
      <w:r w:rsidRPr="00FC2F1F">
        <w:rPr>
          <w:snapToGrid/>
          <w:szCs w:val="22"/>
          <w:lang w:val="el-GR"/>
        </w:rPr>
        <w:t xml:space="preserve"> (ΣΠΑ/ΔΠΑ) (διαφορά μετά από προσαρμογή των μέσων τιμών των μεταβολών από τις αρχικές τιμές). Σε μια δοκιμή </w:t>
      </w:r>
      <w:r w:rsidR="001C2277">
        <w:rPr>
          <w:snapToGrid/>
          <w:szCs w:val="22"/>
          <w:lang w:val="el-GR"/>
        </w:rPr>
        <w:t xml:space="preserve">παρακολούθησης </w:t>
      </w:r>
      <w:r w:rsidRPr="00FC2F1F">
        <w:rPr>
          <w:snapToGrid/>
          <w:szCs w:val="22"/>
          <w:lang w:val="el-GR"/>
        </w:rPr>
        <w:t>με το συνδυασμό των 80</w:t>
      </w:r>
      <w:r>
        <w:rPr>
          <w:snapToGrid/>
          <w:szCs w:val="22"/>
          <w:lang w:val="el-GR"/>
        </w:rPr>
        <w:t> mg</w:t>
      </w:r>
      <w:r w:rsidRPr="00FC2F1F">
        <w:rPr>
          <w:snapToGrid/>
          <w:szCs w:val="22"/>
          <w:lang w:val="el-GR"/>
        </w:rPr>
        <w:t>/25</w:t>
      </w:r>
      <w:r>
        <w:rPr>
          <w:snapToGrid/>
          <w:szCs w:val="22"/>
          <w:lang w:val="el-GR"/>
        </w:rPr>
        <w:t> mg</w:t>
      </w:r>
      <w:r w:rsidRPr="00FC2F1F">
        <w:rPr>
          <w:snapToGrid/>
          <w:szCs w:val="22"/>
          <w:lang w:val="el-GR"/>
        </w:rPr>
        <w:t>, η αρτηριακή πίεση μειώθηκε περαιτέρω (με αποτ</w:t>
      </w:r>
      <w:r>
        <w:rPr>
          <w:snapToGrid/>
          <w:szCs w:val="22"/>
          <w:lang w:val="el-GR"/>
        </w:rPr>
        <w:t>έλεσμα συνολική μείωση 11,5/</w:t>
      </w:r>
      <w:r w:rsidRPr="00FC2F1F">
        <w:rPr>
          <w:snapToGrid/>
          <w:szCs w:val="22"/>
          <w:lang w:val="el-GR"/>
        </w:rPr>
        <w:t xml:space="preserve">9,9 </w:t>
      </w:r>
      <w:r>
        <w:rPr>
          <w:snapToGrid/>
          <w:szCs w:val="22"/>
          <w:lang w:val="el-GR"/>
        </w:rPr>
        <w:t>mmHg</w:t>
      </w:r>
      <w:r w:rsidRPr="00FC2F1F">
        <w:rPr>
          <w:snapToGrid/>
          <w:szCs w:val="22"/>
          <w:lang w:val="el-GR"/>
        </w:rPr>
        <w:t xml:space="preserve"> (ΣΠΑ/ΔΠΑ).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μία συ</w:t>
      </w:r>
      <w:r w:rsidR="001C2277">
        <w:rPr>
          <w:snapToGrid/>
          <w:szCs w:val="22"/>
          <w:lang w:val="el-GR"/>
        </w:rPr>
        <w:t>γκεντρωτική</w:t>
      </w:r>
      <w:r w:rsidRPr="00FC2F1F">
        <w:rPr>
          <w:snapToGrid/>
          <w:szCs w:val="22"/>
          <w:lang w:val="el-GR"/>
        </w:rPr>
        <w:t xml:space="preserve"> ανάλυση δύο πα</w:t>
      </w:r>
      <w:r w:rsidR="001C2277">
        <w:rPr>
          <w:snapToGrid/>
          <w:szCs w:val="22"/>
          <w:lang w:val="el-GR"/>
        </w:rPr>
        <w:t>ρόμοιων</w:t>
      </w:r>
      <w:r w:rsidRPr="00FC2F1F">
        <w:rPr>
          <w:snapToGrid/>
          <w:szCs w:val="22"/>
          <w:lang w:val="el-GR"/>
        </w:rPr>
        <w:t xml:space="preserve"> διπλ</w:t>
      </w:r>
      <w:r w:rsidR="001C2277">
        <w:rPr>
          <w:snapToGrid/>
          <w:szCs w:val="22"/>
          <w:lang w:val="el-GR"/>
        </w:rPr>
        <w:t>ά</w:t>
      </w:r>
      <w:r w:rsidRPr="00FC2F1F">
        <w:rPr>
          <w:snapToGrid/>
          <w:szCs w:val="22"/>
          <w:lang w:val="el-GR"/>
        </w:rPr>
        <w:t xml:space="preserve"> τυφλών ελεγχόμενων με εικονικό φάρμακο κλινικών δοκιμών </w:t>
      </w:r>
      <w:r w:rsidR="00540287">
        <w:rPr>
          <w:snapToGrid/>
          <w:szCs w:val="22"/>
          <w:lang w:val="el-GR"/>
        </w:rPr>
        <w:t xml:space="preserve">διάρκειας </w:t>
      </w:r>
      <w:r w:rsidR="00540287" w:rsidRPr="00FC2F1F">
        <w:rPr>
          <w:snapToGrid/>
          <w:szCs w:val="22"/>
          <w:lang w:val="el-GR"/>
        </w:rPr>
        <w:t xml:space="preserve">8 εβδομάδων </w:t>
      </w:r>
      <w:r w:rsidRPr="00FC2F1F">
        <w:rPr>
          <w:snapToGrid/>
          <w:szCs w:val="22"/>
          <w:lang w:val="el-GR"/>
        </w:rPr>
        <w:t>έναντι των βαλσαρτάνης/υδροχλωροθειαζίδης 160</w:t>
      </w:r>
      <w:r>
        <w:rPr>
          <w:snapToGrid/>
          <w:szCs w:val="22"/>
          <w:lang w:val="el-GR"/>
        </w:rPr>
        <w:t> mg</w:t>
      </w:r>
      <w:r w:rsidRPr="00FC2F1F">
        <w:rPr>
          <w:snapToGrid/>
          <w:szCs w:val="22"/>
          <w:lang w:val="el-GR"/>
        </w:rPr>
        <w:t>/25</w:t>
      </w:r>
      <w:r>
        <w:rPr>
          <w:snapToGrid/>
          <w:szCs w:val="22"/>
          <w:lang w:val="el-GR"/>
        </w:rPr>
        <w:t> mg</w:t>
      </w:r>
      <w:r w:rsidRPr="00FC2F1F">
        <w:rPr>
          <w:snapToGrid/>
          <w:szCs w:val="22"/>
          <w:lang w:val="el-GR"/>
        </w:rPr>
        <w:t xml:space="preserve"> (n=2</w:t>
      </w:r>
      <w:r w:rsidR="00540287">
        <w:rPr>
          <w:snapToGrid/>
          <w:szCs w:val="22"/>
          <w:lang w:val="el-GR"/>
        </w:rPr>
        <w:t>.</w:t>
      </w:r>
      <w:r w:rsidRPr="00FC2F1F">
        <w:rPr>
          <w:snapToGrid/>
          <w:szCs w:val="22"/>
          <w:lang w:val="el-GR"/>
        </w:rPr>
        <w:t>121 ασθενείς στους οποίους εξετάστηκε η αποτελεσματικότητα) παρατηρήθηκε μία σημαντικά μεγαλύτερη δράση μείωσης της αρτηριακής πίεσης κατά 2,2/</w:t>
      </w:r>
      <w:r w:rsidR="008C11BE">
        <w:rPr>
          <w:snapToGrid/>
          <w:szCs w:val="22"/>
          <w:lang w:val="el-GR"/>
        </w:rPr>
        <w:t>1</w:t>
      </w:r>
      <w:r w:rsidRPr="00FC2F1F">
        <w:rPr>
          <w:snapToGrid/>
          <w:szCs w:val="22"/>
          <w:lang w:val="el-GR"/>
        </w:rPr>
        <w:t>,</w:t>
      </w:r>
      <w:r w:rsidR="008C11BE">
        <w:rPr>
          <w:snapToGrid/>
          <w:szCs w:val="22"/>
          <w:lang w:val="el-GR"/>
        </w:rPr>
        <w:t>2</w:t>
      </w:r>
      <w:r w:rsidRPr="00FC2F1F">
        <w:rPr>
          <w:snapToGrid/>
          <w:szCs w:val="22"/>
          <w:lang w:val="el-GR"/>
        </w:rPr>
        <w:t xml:space="preserve"> </w:t>
      </w:r>
      <w:r>
        <w:rPr>
          <w:snapToGrid/>
          <w:szCs w:val="22"/>
          <w:lang w:val="el-GR"/>
        </w:rPr>
        <w:t>mmHg</w:t>
      </w:r>
      <w:r w:rsidRPr="00FC2F1F">
        <w:rPr>
          <w:snapToGrid/>
          <w:szCs w:val="22"/>
          <w:lang w:val="el-GR"/>
        </w:rPr>
        <w:t xml:space="preserve"> (ΣΠΑ/ΔΠΑ) (διαφορά μετά από προσαρμογή των μέσων τιμών των μεταβολών από τις αρχικές τιμές, αντίστοιχα) υπέρ του συνδυασμού τελμισαρτάνης/υδροχλωροθειαζίδης 80</w:t>
      </w:r>
      <w:r>
        <w:rPr>
          <w:snapToGrid/>
          <w:szCs w:val="22"/>
          <w:lang w:val="el-GR"/>
        </w:rPr>
        <w:t> mg</w:t>
      </w:r>
      <w:r w:rsidRPr="00FC2F1F">
        <w:rPr>
          <w:snapToGrid/>
          <w:szCs w:val="22"/>
          <w:lang w:val="el-GR"/>
        </w:rPr>
        <w:t>/25</w:t>
      </w:r>
      <w:r>
        <w:rPr>
          <w:snapToGrid/>
          <w:szCs w:val="22"/>
          <w:lang w:val="el-GR"/>
        </w:rPr>
        <w:t> mg</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απότομη διακοπή της θεραπείας με τελμισαρτάνη, η αρτηριακή πίεση επ</w:t>
      </w:r>
      <w:r>
        <w:rPr>
          <w:snapToGrid/>
          <w:szCs w:val="22"/>
          <w:lang w:val="el-GR"/>
        </w:rPr>
        <w:t>ανέρχεται</w:t>
      </w:r>
      <w:r w:rsidRPr="00FC2F1F">
        <w:rPr>
          <w:snapToGrid/>
          <w:szCs w:val="22"/>
          <w:lang w:val="el-GR"/>
        </w:rPr>
        <w:t xml:space="preserve"> σταδιακά στις προ - θεραπείας τιμές σε χρονικό διάστημα μερικών ημερών χωρίς ενδείξεις αντιδραστικής υπέρτασης.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κλινικές δοκιμές απευθείας σύγκρισης των δύο αντιυπερτασικών θεραπε</w:t>
      </w:r>
      <w:r>
        <w:rPr>
          <w:snapToGrid/>
          <w:szCs w:val="22"/>
          <w:lang w:val="el-GR"/>
        </w:rPr>
        <w:t>ιώ</w:t>
      </w:r>
      <w:r w:rsidRPr="00FC2F1F">
        <w:rPr>
          <w:snapToGrid/>
          <w:szCs w:val="22"/>
          <w:lang w:val="el-GR"/>
        </w:rPr>
        <w:t>ν η συχνότητα εμφάνισης ξηρού βήχα ήταν σημαντικά χαμηλότερη στους ασθενείς που χορηγήθηκε τελμισαρτάνη σε σύγκριση με αυτούς που χορηγήθηκαν αναστολείς</w:t>
      </w:r>
      <w:r>
        <w:rPr>
          <w:snapToGrid/>
          <w:szCs w:val="22"/>
          <w:lang w:val="el-GR"/>
        </w:rPr>
        <w:t xml:space="preserve"> του μετατρεπτικού ενζύμου της αγγειοτενσίνης</w:t>
      </w:r>
      <w:r w:rsidRPr="00FC2F1F">
        <w:rPr>
          <w:snapToGrid/>
          <w:szCs w:val="22"/>
          <w:lang w:val="el-GR"/>
        </w:rPr>
        <w:t>.</w:t>
      </w:r>
    </w:p>
    <w:p w:rsidR="004B4423" w:rsidRDefault="004B4423" w:rsidP="004B4423">
      <w:pPr>
        <w:widowControl w:val="0"/>
        <w:tabs>
          <w:tab w:val="clear" w:pos="567"/>
        </w:tabs>
        <w:autoSpaceDE w:val="0"/>
        <w:autoSpaceDN w:val="0"/>
        <w:adjustRightInd w:val="0"/>
        <w:spacing w:line="240" w:lineRule="auto"/>
        <w:rPr>
          <w:snapToGrid/>
          <w:szCs w:val="22"/>
          <w:lang w:val="sl-SI"/>
        </w:rPr>
      </w:pPr>
    </w:p>
    <w:p w:rsidR="004B4423" w:rsidRPr="00B754A1" w:rsidRDefault="004B4423" w:rsidP="004B4423">
      <w:pPr>
        <w:spacing w:line="240" w:lineRule="auto"/>
        <w:rPr>
          <w:szCs w:val="22"/>
          <w:u w:val="single"/>
          <w:lang w:val="el-GR"/>
        </w:rPr>
      </w:pPr>
      <w:r w:rsidRPr="00B754A1">
        <w:rPr>
          <w:szCs w:val="22"/>
          <w:u w:val="single"/>
          <w:lang w:val="el-GR"/>
        </w:rPr>
        <w:t>Καρδιαγγειακή πρόληψη</w:t>
      </w:r>
    </w:p>
    <w:p w:rsidR="004B4423" w:rsidRPr="0095206D" w:rsidRDefault="004B4423" w:rsidP="004B4423">
      <w:pPr>
        <w:spacing w:line="240" w:lineRule="auto"/>
        <w:rPr>
          <w:szCs w:val="22"/>
          <w:lang w:val="el-GR"/>
        </w:rPr>
      </w:pPr>
      <w:r w:rsidRPr="0095206D">
        <w:rPr>
          <w:szCs w:val="22"/>
          <w:lang w:val="el-GR"/>
        </w:rPr>
        <w:t xml:space="preserve">Η </w:t>
      </w:r>
      <w:r w:rsidRPr="00DE6252">
        <w:rPr>
          <w:szCs w:val="22"/>
          <w:lang w:val="sl-SI"/>
        </w:rPr>
        <w:t>ONTARGET</w:t>
      </w:r>
      <w:r w:rsidRPr="0095206D">
        <w:rPr>
          <w:szCs w:val="22"/>
          <w:lang w:val="el-GR"/>
        </w:rPr>
        <w:t xml:space="preserve"> (</w:t>
      </w:r>
      <w:r w:rsidRPr="00DE6252">
        <w:rPr>
          <w:bCs/>
          <w:szCs w:val="22"/>
          <w:lang w:val="sl-SI"/>
        </w:rPr>
        <w:t>ON</w:t>
      </w:r>
      <w:r w:rsidRPr="00DE6252">
        <w:rPr>
          <w:szCs w:val="22"/>
          <w:lang w:val="sl-SI"/>
        </w:rPr>
        <w:t>going</w:t>
      </w:r>
      <w:r w:rsidRPr="0095206D">
        <w:rPr>
          <w:szCs w:val="22"/>
          <w:lang w:val="el-GR"/>
        </w:rPr>
        <w:t xml:space="preserve"> </w:t>
      </w:r>
      <w:r w:rsidRPr="00DE6252">
        <w:rPr>
          <w:bCs/>
          <w:szCs w:val="22"/>
          <w:lang w:val="sl-SI"/>
        </w:rPr>
        <w:t>T</w:t>
      </w:r>
      <w:r w:rsidRPr="00DE6252">
        <w:rPr>
          <w:szCs w:val="22"/>
          <w:lang w:val="sl-SI"/>
        </w:rPr>
        <w:t>elmisartan</w:t>
      </w:r>
      <w:r w:rsidRPr="0095206D">
        <w:rPr>
          <w:szCs w:val="22"/>
          <w:lang w:val="el-GR"/>
        </w:rPr>
        <w:t xml:space="preserve"> </w:t>
      </w:r>
      <w:r w:rsidRPr="00DE6252">
        <w:rPr>
          <w:bCs/>
          <w:szCs w:val="22"/>
          <w:lang w:val="sl-SI"/>
        </w:rPr>
        <w:t>A</w:t>
      </w:r>
      <w:r w:rsidRPr="00DE6252">
        <w:rPr>
          <w:szCs w:val="22"/>
          <w:lang w:val="sl-SI"/>
        </w:rPr>
        <w:t>lone</w:t>
      </w:r>
      <w:r w:rsidRPr="0095206D">
        <w:rPr>
          <w:szCs w:val="22"/>
          <w:lang w:val="el-GR"/>
        </w:rPr>
        <w:t xml:space="preserve"> </w:t>
      </w:r>
      <w:r w:rsidRPr="00DE6252">
        <w:rPr>
          <w:szCs w:val="22"/>
          <w:lang w:val="sl-SI"/>
        </w:rPr>
        <w:t>and</w:t>
      </w:r>
      <w:r w:rsidRPr="0095206D">
        <w:rPr>
          <w:szCs w:val="22"/>
          <w:lang w:val="el-GR"/>
        </w:rPr>
        <w:t xml:space="preserve"> </w:t>
      </w:r>
      <w:r w:rsidRPr="00DE6252">
        <w:rPr>
          <w:szCs w:val="22"/>
          <w:lang w:val="sl-SI"/>
        </w:rPr>
        <w:t>in</w:t>
      </w:r>
      <w:r w:rsidRPr="0095206D">
        <w:rPr>
          <w:szCs w:val="22"/>
          <w:lang w:val="el-GR"/>
        </w:rPr>
        <w:t xml:space="preserve"> </w:t>
      </w:r>
      <w:r w:rsidRPr="00DE6252">
        <w:rPr>
          <w:szCs w:val="22"/>
          <w:lang w:val="sl-SI"/>
        </w:rPr>
        <w:t>Combination</w:t>
      </w:r>
      <w:r w:rsidRPr="0095206D">
        <w:rPr>
          <w:szCs w:val="22"/>
          <w:lang w:val="el-GR"/>
        </w:rPr>
        <w:t xml:space="preserve"> </w:t>
      </w:r>
      <w:r w:rsidRPr="00DE6252">
        <w:rPr>
          <w:szCs w:val="22"/>
          <w:lang w:val="sl-SI"/>
        </w:rPr>
        <w:t>with</w:t>
      </w:r>
      <w:r w:rsidRPr="0095206D">
        <w:rPr>
          <w:szCs w:val="22"/>
          <w:lang w:val="el-GR"/>
        </w:rPr>
        <w:t xml:space="preserve"> </w:t>
      </w:r>
      <w:r w:rsidRPr="00DE6252">
        <w:rPr>
          <w:bCs/>
          <w:szCs w:val="22"/>
          <w:lang w:val="sl-SI"/>
        </w:rPr>
        <w:t>R</w:t>
      </w:r>
      <w:r w:rsidRPr="00DE6252">
        <w:rPr>
          <w:szCs w:val="22"/>
          <w:lang w:val="sl-SI"/>
        </w:rPr>
        <w:t>amipril</w:t>
      </w:r>
      <w:r w:rsidRPr="0095206D">
        <w:rPr>
          <w:szCs w:val="22"/>
          <w:lang w:val="el-GR"/>
        </w:rPr>
        <w:t xml:space="preserve"> </w:t>
      </w:r>
      <w:r w:rsidRPr="00DE6252">
        <w:rPr>
          <w:bCs/>
          <w:szCs w:val="22"/>
          <w:lang w:val="sl-SI"/>
        </w:rPr>
        <w:t>G</w:t>
      </w:r>
      <w:r w:rsidRPr="00DE6252">
        <w:rPr>
          <w:szCs w:val="22"/>
          <w:lang w:val="sl-SI"/>
        </w:rPr>
        <w:t>lobal</w:t>
      </w:r>
      <w:r w:rsidRPr="0095206D">
        <w:rPr>
          <w:szCs w:val="22"/>
          <w:lang w:val="el-GR"/>
        </w:rPr>
        <w:t xml:space="preserve"> </w:t>
      </w:r>
      <w:r w:rsidRPr="00DE6252">
        <w:rPr>
          <w:bCs/>
          <w:szCs w:val="22"/>
          <w:lang w:val="sl-SI"/>
        </w:rPr>
        <w:t>E</w:t>
      </w:r>
      <w:r w:rsidRPr="00DE6252">
        <w:rPr>
          <w:szCs w:val="22"/>
          <w:lang w:val="sl-SI"/>
        </w:rPr>
        <w:t>ndpoint</w:t>
      </w:r>
      <w:r w:rsidRPr="0095206D">
        <w:rPr>
          <w:szCs w:val="22"/>
          <w:lang w:val="el-GR"/>
        </w:rPr>
        <w:t xml:space="preserve"> </w:t>
      </w:r>
      <w:r w:rsidRPr="00DE6252">
        <w:rPr>
          <w:bCs/>
          <w:szCs w:val="22"/>
          <w:lang w:val="sl-SI"/>
        </w:rPr>
        <w:t>T</w:t>
      </w:r>
      <w:r w:rsidRPr="00DE6252">
        <w:rPr>
          <w:szCs w:val="22"/>
          <w:lang w:val="sl-SI"/>
        </w:rPr>
        <w:t>rial</w:t>
      </w:r>
      <w:r w:rsidRPr="0095206D">
        <w:rPr>
          <w:szCs w:val="22"/>
          <w:lang w:val="el-GR"/>
        </w:rPr>
        <w:t xml:space="preserve">) συνέκρινε τις επιδράσεις της τελμισαρτάνης, της ραμιπρίλης και του συνδυασμού τελμισαρτάνης και ραμιπρίλης στις καρδιαγγειακές εκβάσεις σε 25.620 ασθενείς ηλικίας 55 ετών ή μεγαλύτερους με ιστορικό στεφανιαίας νόσου, αγγειακού εγκεφαλικού επεισοδίου, παροδικού ισχαιμικού επεισοδίου, περιφερικής αρτηριακής νόσου ή σακχαρώδους διαβήτη τύπου 2 συνοδευόμενο από </w:t>
      </w:r>
      <w:r>
        <w:rPr>
          <w:szCs w:val="22"/>
          <w:lang w:val="el-GR"/>
        </w:rPr>
        <w:t>έν</w:t>
      </w:r>
      <w:r w:rsidRPr="0095206D">
        <w:rPr>
          <w:szCs w:val="22"/>
          <w:lang w:val="el-GR"/>
        </w:rPr>
        <w:t xml:space="preserve">δειξη βλάβης </w:t>
      </w:r>
      <w:r>
        <w:rPr>
          <w:szCs w:val="22"/>
          <w:lang w:val="el-GR"/>
        </w:rPr>
        <w:t xml:space="preserve">τελικού </w:t>
      </w:r>
      <w:r w:rsidRPr="0095206D">
        <w:rPr>
          <w:szCs w:val="22"/>
          <w:lang w:val="el-GR"/>
        </w:rPr>
        <w:t>οργάνου (π.χ. αμφιβληστροειδοπάθεια, υπερτροφία αριστερής κοιλίας, μακρο - ή μικρολευκωματινουρία), που αποτελεί ένα πληθυσμό με κίνδυνο καρδιαγγειακών συμβάντων.</w:t>
      </w:r>
    </w:p>
    <w:p w:rsidR="004B4423" w:rsidRPr="0095206D" w:rsidRDefault="004B4423" w:rsidP="004B4423">
      <w:pPr>
        <w:spacing w:line="240" w:lineRule="auto"/>
        <w:rPr>
          <w:szCs w:val="22"/>
          <w:lang w:val="el-GR"/>
        </w:rPr>
      </w:pPr>
    </w:p>
    <w:p w:rsidR="004B4423" w:rsidRPr="0095206D" w:rsidRDefault="004B4423" w:rsidP="004B4423">
      <w:pPr>
        <w:spacing w:line="240" w:lineRule="auto"/>
        <w:rPr>
          <w:szCs w:val="22"/>
          <w:lang w:val="el-GR"/>
        </w:rPr>
      </w:pPr>
      <w:r w:rsidRPr="0095206D">
        <w:rPr>
          <w:szCs w:val="22"/>
          <w:lang w:val="el-GR"/>
        </w:rPr>
        <w:t xml:space="preserve">Οι ασθενείς τυχαιοποιήθηκαν σε μία από τις ακόλουθες τρεις ομάδες θεραπείας: τελμισαρτάνης 80 </w:t>
      </w:r>
      <w:r w:rsidRPr="0095206D">
        <w:rPr>
          <w:szCs w:val="22"/>
        </w:rPr>
        <w:t>mg</w:t>
      </w:r>
      <w:r w:rsidRPr="0095206D">
        <w:rPr>
          <w:szCs w:val="22"/>
          <w:lang w:val="el-GR"/>
        </w:rPr>
        <w:t xml:space="preserve"> (</w:t>
      </w:r>
      <w:r w:rsidRPr="0095206D">
        <w:rPr>
          <w:szCs w:val="22"/>
        </w:rPr>
        <w:t>n</w:t>
      </w:r>
      <w:r>
        <w:rPr>
          <w:szCs w:val="22"/>
          <w:lang w:val="el-GR"/>
        </w:rPr>
        <w:t xml:space="preserve"> </w:t>
      </w:r>
      <w:r w:rsidRPr="0095206D">
        <w:rPr>
          <w:szCs w:val="22"/>
          <w:lang w:val="el-GR"/>
        </w:rPr>
        <w:t>=</w:t>
      </w:r>
      <w:r>
        <w:rPr>
          <w:szCs w:val="22"/>
          <w:lang w:val="el-GR"/>
        </w:rPr>
        <w:t xml:space="preserve"> </w:t>
      </w:r>
      <w:r w:rsidRPr="0095206D">
        <w:rPr>
          <w:szCs w:val="22"/>
          <w:lang w:val="el-GR"/>
        </w:rPr>
        <w:t>8</w:t>
      </w:r>
      <w:r>
        <w:rPr>
          <w:szCs w:val="22"/>
          <w:lang w:val="el-GR"/>
        </w:rPr>
        <w:t>.</w:t>
      </w:r>
      <w:r w:rsidRPr="0095206D">
        <w:rPr>
          <w:szCs w:val="22"/>
          <w:lang w:val="el-GR"/>
        </w:rPr>
        <w:t xml:space="preserve">542), ραμιπρίλης 10 </w:t>
      </w:r>
      <w:r w:rsidRPr="0095206D">
        <w:rPr>
          <w:szCs w:val="22"/>
        </w:rPr>
        <w:t>mg</w:t>
      </w:r>
      <w:r w:rsidRPr="0095206D">
        <w:rPr>
          <w:szCs w:val="22"/>
          <w:lang w:val="el-GR"/>
        </w:rPr>
        <w:t xml:space="preserve"> (</w:t>
      </w:r>
      <w:r w:rsidRPr="0095206D">
        <w:rPr>
          <w:szCs w:val="22"/>
        </w:rPr>
        <w:t>n</w:t>
      </w:r>
      <w:r>
        <w:rPr>
          <w:szCs w:val="22"/>
          <w:lang w:val="el-GR"/>
        </w:rPr>
        <w:t xml:space="preserve"> </w:t>
      </w:r>
      <w:r w:rsidRPr="0095206D">
        <w:rPr>
          <w:szCs w:val="22"/>
          <w:lang w:val="el-GR"/>
        </w:rPr>
        <w:t>=</w:t>
      </w:r>
      <w:r>
        <w:rPr>
          <w:szCs w:val="22"/>
          <w:lang w:val="el-GR"/>
        </w:rPr>
        <w:t xml:space="preserve"> </w:t>
      </w:r>
      <w:r w:rsidRPr="0095206D">
        <w:rPr>
          <w:szCs w:val="22"/>
          <w:lang w:val="el-GR"/>
        </w:rPr>
        <w:t>8</w:t>
      </w:r>
      <w:r>
        <w:rPr>
          <w:szCs w:val="22"/>
          <w:lang w:val="el-GR"/>
        </w:rPr>
        <w:t>.</w:t>
      </w:r>
      <w:r w:rsidRPr="0095206D">
        <w:rPr>
          <w:szCs w:val="22"/>
          <w:lang w:val="el-GR"/>
        </w:rPr>
        <w:t xml:space="preserve">576), ή του συνδυασμού τελμισαρτάνης 80 </w:t>
      </w:r>
      <w:r w:rsidRPr="0095206D">
        <w:rPr>
          <w:szCs w:val="22"/>
        </w:rPr>
        <w:t>mg</w:t>
      </w:r>
      <w:r w:rsidRPr="0095206D">
        <w:rPr>
          <w:szCs w:val="22"/>
          <w:lang w:val="el-GR"/>
        </w:rPr>
        <w:t xml:space="preserve"> με ραμιπρίλη 10 </w:t>
      </w:r>
      <w:r w:rsidRPr="0095206D">
        <w:rPr>
          <w:szCs w:val="22"/>
        </w:rPr>
        <w:t>mg</w:t>
      </w:r>
      <w:r w:rsidRPr="0095206D">
        <w:rPr>
          <w:szCs w:val="22"/>
          <w:lang w:val="el-GR"/>
        </w:rPr>
        <w:t xml:space="preserve"> (</w:t>
      </w:r>
      <w:r w:rsidRPr="0095206D">
        <w:rPr>
          <w:szCs w:val="22"/>
        </w:rPr>
        <w:t>n</w:t>
      </w:r>
      <w:r>
        <w:rPr>
          <w:szCs w:val="22"/>
          <w:lang w:val="el-GR"/>
        </w:rPr>
        <w:t xml:space="preserve"> </w:t>
      </w:r>
      <w:r w:rsidRPr="0095206D">
        <w:rPr>
          <w:szCs w:val="22"/>
          <w:lang w:val="el-GR"/>
        </w:rPr>
        <w:t>=</w:t>
      </w:r>
      <w:r>
        <w:rPr>
          <w:szCs w:val="22"/>
          <w:lang w:val="el-GR"/>
        </w:rPr>
        <w:t xml:space="preserve"> </w:t>
      </w:r>
      <w:r w:rsidRPr="0095206D">
        <w:rPr>
          <w:szCs w:val="22"/>
          <w:lang w:val="el-GR"/>
        </w:rPr>
        <w:t>8</w:t>
      </w:r>
      <w:r>
        <w:rPr>
          <w:szCs w:val="22"/>
          <w:lang w:val="el-GR"/>
        </w:rPr>
        <w:t>.</w:t>
      </w:r>
      <w:r w:rsidRPr="0095206D">
        <w:rPr>
          <w:szCs w:val="22"/>
          <w:lang w:val="el-GR"/>
        </w:rPr>
        <w:t xml:space="preserve">502), και παρακολουθήθηκαν </w:t>
      </w:r>
      <w:r>
        <w:rPr>
          <w:szCs w:val="22"/>
          <w:lang w:val="el-GR"/>
        </w:rPr>
        <w:t>για</w:t>
      </w:r>
      <w:r w:rsidRPr="0095206D">
        <w:rPr>
          <w:szCs w:val="22"/>
          <w:lang w:val="el-GR"/>
        </w:rPr>
        <w:t xml:space="preserve"> μια μέση διάρκεια παρατήρησης 4,5 χρόνων.</w:t>
      </w:r>
    </w:p>
    <w:p w:rsidR="004B4423" w:rsidRPr="0095206D" w:rsidRDefault="004B4423" w:rsidP="004B4423">
      <w:pPr>
        <w:spacing w:line="240" w:lineRule="auto"/>
        <w:rPr>
          <w:szCs w:val="22"/>
          <w:lang w:val="el-GR"/>
        </w:rPr>
      </w:pPr>
    </w:p>
    <w:p w:rsidR="004B4423" w:rsidRPr="0095206D" w:rsidRDefault="004B4423" w:rsidP="004B4423">
      <w:pPr>
        <w:spacing w:line="240" w:lineRule="auto"/>
        <w:rPr>
          <w:szCs w:val="22"/>
          <w:lang w:val="el-GR"/>
        </w:rPr>
      </w:pPr>
      <w:r w:rsidRPr="0095206D">
        <w:rPr>
          <w:szCs w:val="22"/>
          <w:lang w:val="el-GR"/>
        </w:rPr>
        <w:t>Η τελμισαρτάνη έδειξε παρόμοια επίδραση με τη ραμιπρίλη στη μείωση του πρωτ</w:t>
      </w:r>
      <w:r>
        <w:rPr>
          <w:szCs w:val="22"/>
          <w:lang w:val="el-GR"/>
        </w:rPr>
        <w:t>εύοντος</w:t>
      </w:r>
      <w:r w:rsidRPr="0095206D">
        <w:rPr>
          <w:szCs w:val="22"/>
          <w:lang w:val="el-GR"/>
        </w:rPr>
        <w:t xml:space="preserve"> σύνθετου τελικού σημείου του καρδιαγγειακού θανάτου, </w:t>
      </w:r>
      <w:r>
        <w:rPr>
          <w:szCs w:val="22"/>
          <w:lang w:val="el-GR"/>
        </w:rPr>
        <w:t xml:space="preserve">του </w:t>
      </w:r>
      <w:r w:rsidRPr="0095206D">
        <w:rPr>
          <w:szCs w:val="22"/>
          <w:lang w:val="el-GR"/>
        </w:rPr>
        <w:t xml:space="preserve">μη θανατηφόρου εμφράγματος του μυοκαρδίου, </w:t>
      </w:r>
      <w:r>
        <w:rPr>
          <w:szCs w:val="22"/>
          <w:lang w:val="el-GR"/>
        </w:rPr>
        <w:t xml:space="preserve">του </w:t>
      </w:r>
      <w:r w:rsidRPr="0095206D">
        <w:rPr>
          <w:szCs w:val="22"/>
          <w:lang w:val="el-GR"/>
        </w:rPr>
        <w:t xml:space="preserve">μη θανατηφόρου αγγειακού εγκεφαλικού επεισοδίου ή της νοσηλείας για συμφορητική καρδιακή ανεπάρκεια. Η επίπτωση του </w:t>
      </w:r>
      <w:r>
        <w:rPr>
          <w:szCs w:val="22"/>
          <w:lang w:val="el-GR"/>
        </w:rPr>
        <w:t>πρωτεύοντος</w:t>
      </w:r>
      <w:r w:rsidRPr="0095206D">
        <w:rPr>
          <w:szCs w:val="22"/>
          <w:lang w:val="el-GR"/>
        </w:rPr>
        <w:t xml:space="preserve"> τελικού σημείου ήταν παρόμοια στις ομάδες τελμισαρτάνης (16,7 %) και ραμιπρίλης (16,5 %). Η αναλογία κινδύνου για την τελμισαρτάνη έναντι της ραμιπρίλης ήταν 1,01 (97</w:t>
      </w:r>
      <w:r>
        <w:rPr>
          <w:szCs w:val="22"/>
          <w:lang w:val="sl-SI"/>
        </w:rPr>
        <w:t>,</w:t>
      </w:r>
      <w:r w:rsidRPr="0095206D">
        <w:rPr>
          <w:szCs w:val="22"/>
          <w:lang w:val="el-GR"/>
        </w:rPr>
        <w:t xml:space="preserve">5 % </w:t>
      </w:r>
      <w:r w:rsidRPr="0095206D">
        <w:rPr>
          <w:szCs w:val="22"/>
        </w:rPr>
        <w:t>CI</w:t>
      </w:r>
      <w:r w:rsidRPr="0095206D">
        <w:rPr>
          <w:szCs w:val="22"/>
          <w:lang w:val="el-GR"/>
        </w:rPr>
        <w:t xml:space="preserve"> 0,93 - 1,10, </w:t>
      </w:r>
      <w:r w:rsidRPr="0095206D">
        <w:rPr>
          <w:szCs w:val="22"/>
        </w:rPr>
        <w:t>p</w:t>
      </w:r>
      <w:r w:rsidRPr="0095206D">
        <w:rPr>
          <w:szCs w:val="22"/>
          <w:lang w:val="el-GR"/>
        </w:rPr>
        <w:t xml:space="preserve"> (μη κατωτερότητας)</w:t>
      </w:r>
      <w:r>
        <w:rPr>
          <w:szCs w:val="22"/>
          <w:lang w:val="el-GR"/>
        </w:rPr>
        <w:t xml:space="preserve"> </w:t>
      </w:r>
      <w:r w:rsidRPr="0095206D">
        <w:rPr>
          <w:szCs w:val="22"/>
          <w:lang w:val="el-GR"/>
        </w:rPr>
        <w:t>=</w:t>
      </w:r>
      <w:r>
        <w:rPr>
          <w:szCs w:val="22"/>
          <w:lang w:val="el-GR"/>
        </w:rPr>
        <w:t xml:space="preserve"> </w:t>
      </w:r>
      <w:r w:rsidRPr="0095206D">
        <w:rPr>
          <w:szCs w:val="22"/>
          <w:lang w:val="el-GR"/>
        </w:rPr>
        <w:t>0,0019, με ένα όριο 1,13). Το ποσοστό θνησιμότητας οποιασδήποτε αιτιολογίας ήταν 11,6 % και 11,8 % μεταξύ των ασθενών που έλαβαν αγωγή με τελμισαρτάνη και ραμιπρίλη, αντιστοίχως.</w:t>
      </w:r>
    </w:p>
    <w:p w:rsidR="004B4423" w:rsidRPr="0095206D" w:rsidRDefault="004B4423" w:rsidP="004B4423">
      <w:pPr>
        <w:spacing w:line="240" w:lineRule="auto"/>
        <w:rPr>
          <w:szCs w:val="22"/>
          <w:lang w:val="el-GR"/>
        </w:rPr>
      </w:pPr>
    </w:p>
    <w:p w:rsidR="004B4423" w:rsidRPr="0095206D" w:rsidRDefault="004B4423" w:rsidP="004B4423">
      <w:pPr>
        <w:autoSpaceDE w:val="0"/>
        <w:autoSpaceDN w:val="0"/>
        <w:adjustRightInd w:val="0"/>
        <w:spacing w:line="240" w:lineRule="auto"/>
        <w:rPr>
          <w:szCs w:val="22"/>
          <w:lang w:val="el-GR"/>
        </w:rPr>
      </w:pPr>
      <w:r w:rsidRPr="0095206D">
        <w:rPr>
          <w:szCs w:val="22"/>
          <w:lang w:val="el-GR"/>
        </w:rPr>
        <w:t>Η τελμισαρτάνη βρέθηκε να είναι εξίσου αποτελεσματική με τη ραμιπρίλη στο προκαθορισμένο δευτερεύον τελικό σημείο του καρδιαγγειακού θανάτου, του μη</w:t>
      </w:r>
      <w:r w:rsidR="00663E0D">
        <w:rPr>
          <w:szCs w:val="22"/>
          <w:lang w:val="el-GR"/>
        </w:rPr>
        <w:t xml:space="preserve"> </w:t>
      </w:r>
      <w:r w:rsidRPr="0095206D">
        <w:rPr>
          <w:szCs w:val="22"/>
          <w:lang w:val="el-GR"/>
        </w:rPr>
        <w:t xml:space="preserve">θανατηφόρου εμφράγματος του μυοκαρδίου και του μη θανατηφόρου αγγειακού εγκεφαλικού επεισοδίου [0,99 (97,5 % </w:t>
      </w:r>
      <w:r w:rsidRPr="0095206D">
        <w:rPr>
          <w:szCs w:val="22"/>
        </w:rPr>
        <w:t>CI</w:t>
      </w:r>
      <w:r w:rsidRPr="0095206D">
        <w:rPr>
          <w:szCs w:val="22"/>
          <w:lang w:val="el-GR"/>
        </w:rPr>
        <w:t xml:space="preserve"> 0,90 - 1,08), </w:t>
      </w:r>
      <w:r w:rsidRPr="0095206D">
        <w:rPr>
          <w:szCs w:val="22"/>
        </w:rPr>
        <w:t>p</w:t>
      </w:r>
      <w:r w:rsidRPr="0095206D">
        <w:rPr>
          <w:szCs w:val="22"/>
          <w:lang w:val="el-GR"/>
        </w:rPr>
        <w:t xml:space="preserve"> (μη κατωτερότητας)</w:t>
      </w:r>
      <w:r>
        <w:rPr>
          <w:szCs w:val="22"/>
          <w:lang w:val="el-GR"/>
        </w:rPr>
        <w:t xml:space="preserve"> </w:t>
      </w:r>
      <w:r w:rsidRPr="0095206D">
        <w:rPr>
          <w:szCs w:val="22"/>
          <w:lang w:val="el-GR"/>
        </w:rPr>
        <w:t>=</w:t>
      </w:r>
      <w:r>
        <w:rPr>
          <w:szCs w:val="22"/>
          <w:lang w:val="el-GR"/>
        </w:rPr>
        <w:t xml:space="preserve"> </w:t>
      </w:r>
      <w:r w:rsidRPr="0095206D">
        <w:rPr>
          <w:szCs w:val="22"/>
          <w:lang w:val="el-GR"/>
        </w:rPr>
        <w:t xml:space="preserve">0,0004], το </w:t>
      </w:r>
      <w:r>
        <w:rPr>
          <w:szCs w:val="22"/>
          <w:lang w:val="el-GR"/>
        </w:rPr>
        <w:t>πρωτεύον</w:t>
      </w:r>
      <w:r w:rsidRPr="0095206D">
        <w:rPr>
          <w:szCs w:val="22"/>
          <w:lang w:val="el-GR"/>
        </w:rPr>
        <w:t xml:space="preserve"> τελικό σημείο στη μελέτη αναφοράς </w:t>
      </w:r>
      <w:r w:rsidRPr="0095206D">
        <w:rPr>
          <w:szCs w:val="22"/>
        </w:rPr>
        <w:t>HOPE</w:t>
      </w:r>
      <w:r w:rsidRPr="0095206D">
        <w:rPr>
          <w:szCs w:val="22"/>
          <w:lang w:val="el-GR"/>
        </w:rPr>
        <w:t xml:space="preserve"> (</w:t>
      </w:r>
      <w:r w:rsidRPr="0095206D">
        <w:rPr>
          <w:szCs w:val="22"/>
          <w:lang w:val="el-GR" w:eastAsia="el-GR"/>
        </w:rPr>
        <w:t xml:space="preserve">The </w:t>
      </w:r>
      <w:r w:rsidRPr="0095206D">
        <w:rPr>
          <w:bCs/>
          <w:szCs w:val="22"/>
          <w:lang w:val="el-GR" w:eastAsia="el-GR"/>
        </w:rPr>
        <w:t>H</w:t>
      </w:r>
      <w:r w:rsidRPr="0095206D">
        <w:rPr>
          <w:szCs w:val="22"/>
          <w:lang w:val="el-GR" w:eastAsia="el-GR"/>
        </w:rPr>
        <w:t xml:space="preserve">eart </w:t>
      </w:r>
      <w:r w:rsidRPr="0095206D">
        <w:rPr>
          <w:bCs/>
          <w:szCs w:val="22"/>
          <w:lang w:val="el-GR" w:eastAsia="el-GR"/>
        </w:rPr>
        <w:t>O</w:t>
      </w:r>
      <w:r w:rsidRPr="0095206D">
        <w:rPr>
          <w:szCs w:val="22"/>
          <w:lang w:val="el-GR" w:eastAsia="el-GR"/>
        </w:rPr>
        <w:t xml:space="preserve">utcomes </w:t>
      </w:r>
      <w:r w:rsidRPr="0095206D">
        <w:rPr>
          <w:bCs/>
          <w:szCs w:val="22"/>
          <w:lang w:val="el-GR" w:eastAsia="el-GR"/>
        </w:rPr>
        <w:t>P</w:t>
      </w:r>
      <w:r w:rsidRPr="0095206D">
        <w:rPr>
          <w:szCs w:val="22"/>
          <w:lang w:val="el-GR" w:eastAsia="el-GR"/>
        </w:rPr>
        <w:t xml:space="preserve">revention </w:t>
      </w:r>
      <w:r w:rsidRPr="0095206D">
        <w:rPr>
          <w:bCs/>
          <w:szCs w:val="22"/>
          <w:lang w:val="el-GR" w:eastAsia="el-GR"/>
        </w:rPr>
        <w:t>E</w:t>
      </w:r>
      <w:r w:rsidRPr="0095206D">
        <w:rPr>
          <w:szCs w:val="22"/>
          <w:lang w:val="el-GR" w:eastAsia="el-GR"/>
        </w:rPr>
        <w:t>valuation Study</w:t>
      </w:r>
      <w:r w:rsidRPr="0095206D">
        <w:rPr>
          <w:szCs w:val="22"/>
          <w:lang w:val="el-GR"/>
        </w:rPr>
        <w:t>), η οποία είχε διερευνήσει την επίδραση της ραμιπρίλης έναντι του εικονικού φαρμάκου.</w:t>
      </w:r>
    </w:p>
    <w:p w:rsidR="004B4423" w:rsidRPr="0095206D" w:rsidRDefault="004B4423" w:rsidP="004B4423">
      <w:pPr>
        <w:spacing w:line="240" w:lineRule="auto"/>
        <w:rPr>
          <w:szCs w:val="22"/>
          <w:lang w:val="el-GR"/>
        </w:rPr>
      </w:pPr>
    </w:p>
    <w:p w:rsidR="004B4423" w:rsidRPr="0095206D" w:rsidRDefault="004B4423" w:rsidP="004B4423">
      <w:pPr>
        <w:spacing w:line="240" w:lineRule="auto"/>
        <w:rPr>
          <w:szCs w:val="22"/>
          <w:lang w:val="el-GR"/>
        </w:rPr>
      </w:pPr>
      <w:r w:rsidRPr="0095206D">
        <w:rPr>
          <w:szCs w:val="22"/>
          <w:lang w:val="el-GR"/>
        </w:rPr>
        <w:t xml:space="preserve">Η μελέτη </w:t>
      </w:r>
      <w:r w:rsidRPr="0095206D">
        <w:rPr>
          <w:szCs w:val="22"/>
        </w:rPr>
        <w:t>TRANSCEND</w:t>
      </w:r>
      <w:r w:rsidRPr="0095206D">
        <w:rPr>
          <w:szCs w:val="22"/>
          <w:lang w:val="el-GR"/>
        </w:rPr>
        <w:t xml:space="preserve"> τυχαιοποίησε ασθενείς με δυσανεξία στους αναστολείς του μετατρεπτικού ενζύμου της αγγειοτενσίνης με </w:t>
      </w:r>
      <w:r>
        <w:rPr>
          <w:szCs w:val="22"/>
          <w:lang w:val="el-GR"/>
        </w:rPr>
        <w:t>κα</w:t>
      </w:r>
      <w:r w:rsidRPr="0095206D">
        <w:rPr>
          <w:szCs w:val="22"/>
          <w:lang w:val="el-GR"/>
        </w:rPr>
        <w:t>τ</w:t>
      </w:r>
      <w:r>
        <w:rPr>
          <w:szCs w:val="22"/>
          <w:lang w:val="el-GR"/>
        </w:rPr>
        <w:t>ά</w:t>
      </w:r>
      <w:r w:rsidRPr="0095206D">
        <w:rPr>
          <w:szCs w:val="22"/>
          <w:lang w:val="el-GR"/>
        </w:rPr>
        <w:t xml:space="preserve"> </w:t>
      </w:r>
      <w:r>
        <w:rPr>
          <w:szCs w:val="22"/>
          <w:lang w:val="el-GR"/>
        </w:rPr>
        <w:t>τα λοιπά</w:t>
      </w:r>
      <w:r w:rsidRPr="0095206D">
        <w:rPr>
          <w:szCs w:val="22"/>
          <w:lang w:val="el-GR"/>
        </w:rPr>
        <w:t xml:space="preserve"> κριτήρια ένταξης </w:t>
      </w:r>
      <w:r>
        <w:rPr>
          <w:szCs w:val="22"/>
          <w:lang w:val="el-GR"/>
        </w:rPr>
        <w:t>παρ</w:t>
      </w:r>
      <w:r w:rsidRPr="0095206D">
        <w:rPr>
          <w:szCs w:val="22"/>
          <w:lang w:val="el-GR"/>
        </w:rPr>
        <w:t xml:space="preserve">όμοια με την </w:t>
      </w:r>
      <w:r w:rsidRPr="0095206D">
        <w:rPr>
          <w:szCs w:val="22"/>
        </w:rPr>
        <w:t>ONTARGET</w:t>
      </w:r>
      <w:r w:rsidRPr="0095206D">
        <w:rPr>
          <w:szCs w:val="22"/>
          <w:lang w:val="el-GR"/>
        </w:rPr>
        <w:t xml:space="preserve"> σε τελμισαρτάνη 80 </w:t>
      </w:r>
      <w:r w:rsidRPr="0095206D">
        <w:rPr>
          <w:szCs w:val="22"/>
        </w:rPr>
        <w:t>mg</w:t>
      </w:r>
      <w:r w:rsidRPr="0095206D">
        <w:rPr>
          <w:szCs w:val="22"/>
          <w:lang w:val="el-GR"/>
        </w:rPr>
        <w:t xml:space="preserve"> (</w:t>
      </w:r>
      <w:r w:rsidRPr="0095206D">
        <w:rPr>
          <w:szCs w:val="22"/>
        </w:rPr>
        <w:t>n</w:t>
      </w:r>
      <w:r w:rsidRPr="0095206D">
        <w:rPr>
          <w:szCs w:val="22"/>
          <w:lang w:val="el-GR"/>
        </w:rPr>
        <w:t xml:space="preserve"> = 2</w:t>
      </w:r>
      <w:r>
        <w:rPr>
          <w:szCs w:val="22"/>
          <w:lang w:val="el-GR"/>
        </w:rPr>
        <w:t>.</w:t>
      </w:r>
      <w:r w:rsidRPr="0095206D">
        <w:rPr>
          <w:szCs w:val="22"/>
          <w:lang w:val="el-GR"/>
        </w:rPr>
        <w:t>954) ή εικονικό φάρμακο (</w:t>
      </w:r>
      <w:r w:rsidRPr="0095206D">
        <w:rPr>
          <w:szCs w:val="22"/>
        </w:rPr>
        <w:t>n</w:t>
      </w:r>
      <w:r w:rsidRPr="0095206D">
        <w:rPr>
          <w:szCs w:val="22"/>
          <w:lang w:val="el-GR"/>
        </w:rPr>
        <w:t xml:space="preserve"> = 2</w:t>
      </w:r>
      <w:r>
        <w:rPr>
          <w:szCs w:val="22"/>
          <w:lang w:val="el-GR"/>
        </w:rPr>
        <w:t>.</w:t>
      </w:r>
      <w:r w:rsidRPr="0095206D">
        <w:rPr>
          <w:szCs w:val="22"/>
          <w:lang w:val="el-GR"/>
        </w:rPr>
        <w:t>972), και τα δύο χορηγούμενα επιπλέον της τυπικής αγωγής. Η μέση διάρκεια της παρακολούθησης ήταν 4 χρόνια και 8 μήνες. Δεν παρατηρήθηκε στατιστικά σημαντική διαφορά [15,7</w:t>
      </w:r>
      <w:r>
        <w:rPr>
          <w:szCs w:val="22"/>
          <w:lang w:val="el-GR"/>
        </w:rPr>
        <w:t> </w:t>
      </w:r>
      <w:r w:rsidRPr="0095206D">
        <w:rPr>
          <w:szCs w:val="22"/>
          <w:lang w:val="el-GR"/>
        </w:rPr>
        <w:t>% στην τελμισαρτάνη και 17,0</w:t>
      </w:r>
      <w:r>
        <w:rPr>
          <w:szCs w:val="22"/>
          <w:lang w:val="el-GR"/>
        </w:rPr>
        <w:t> </w:t>
      </w:r>
      <w:r w:rsidRPr="0095206D">
        <w:rPr>
          <w:szCs w:val="22"/>
          <w:lang w:val="el-GR"/>
        </w:rPr>
        <w:t xml:space="preserve">% στην ομάδα του εικονικού φαρμάκου με αναλογία κινδύνου 0,92 (95 % </w:t>
      </w:r>
      <w:r w:rsidRPr="0095206D">
        <w:rPr>
          <w:szCs w:val="22"/>
        </w:rPr>
        <w:t>CI</w:t>
      </w:r>
      <w:r w:rsidRPr="0095206D">
        <w:rPr>
          <w:szCs w:val="22"/>
          <w:lang w:val="el-GR"/>
        </w:rPr>
        <w:t xml:space="preserve"> 0,81 - 1,05, </w:t>
      </w:r>
      <w:r w:rsidRPr="0095206D">
        <w:rPr>
          <w:szCs w:val="22"/>
        </w:rPr>
        <w:t>p</w:t>
      </w:r>
      <w:r>
        <w:rPr>
          <w:szCs w:val="22"/>
          <w:lang w:val="el-GR"/>
        </w:rPr>
        <w:t xml:space="preserve"> </w:t>
      </w:r>
      <w:r w:rsidRPr="0095206D">
        <w:rPr>
          <w:szCs w:val="22"/>
          <w:lang w:val="el-GR"/>
        </w:rPr>
        <w:t>=</w:t>
      </w:r>
      <w:r>
        <w:rPr>
          <w:szCs w:val="22"/>
          <w:lang w:val="el-GR"/>
        </w:rPr>
        <w:t xml:space="preserve"> </w:t>
      </w:r>
      <w:r w:rsidRPr="0095206D">
        <w:rPr>
          <w:szCs w:val="22"/>
          <w:lang w:val="el-GR"/>
        </w:rPr>
        <w:t>0,22)] στην επίπτωση του πρωτεύοντος σύνθετου τελικού σημείου (καρδιαγγειακός θάνατος, μη θανατηφόρο έμφραγμα του μυοκαρδίου, μη θανατηφόρο αγγειακό εγκεφαλικό επεισόδιο ή νοσηλεία για συμφορητική καρδιακή ανεπάρκεια). Υπήρ</w:t>
      </w:r>
      <w:r>
        <w:rPr>
          <w:szCs w:val="22"/>
          <w:lang w:val="el-GR"/>
        </w:rPr>
        <w:t>ξ</w:t>
      </w:r>
      <w:r w:rsidRPr="0095206D">
        <w:rPr>
          <w:szCs w:val="22"/>
          <w:lang w:val="el-GR"/>
        </w:rPr>
        <w:t xml:space="preserve">αν ενδείξεις για όφελος της τελμισαρτάνης σε σύγκριση με το εικονικό φάρμακο στο προκαθορισμένο δευτερεύον σύνθετο τελικό σημείο του καρδιαγγειακού θανάτου, </w:t>
      </w:r>
      <w:r>
        <w:rPr>
          <w:szCs w:val="22"/>
          <w:lang w:val="el-GR"/>
        </w:rPr>
        <w:t xml:space="preserve">του </w:t>
      </w:r>
      <w:r w:rsidRPr="0095206D">
        <w:rPr>
          <w:szCs w:val="22"/>
          <w:lang w:val="el-GR"/>
        </w:rPr>
        <w:t>μη</w:t>
      </w:r>
      <w:r w:rsidR="00663E0D">
        <w:rPr>
          <w:szCs w:val="22"/>
          <w:lang w:val="el-GR"/>
        </w:rPr>
        <w:t xml:space="preserve"> </w:t>
      </w:r>
      <w:r w:rsidRPr="0095206D">
        <w:rPr>
          <w:szCs w:val="22"/>
          <w:lang w:val="el-GR"/>
        </w:rPr>
        <w:t xml:space="preserve">θανατηφόρου εμφράγματος του μυοκαρδίου και </w:t>
      </w:r>
      <w:r>
        <w:rPr>
          <w:szCs w:val="22"/>
          <w:lang w:val="el-GR"/>
        </w:rPr>
        <w:t xml:space="preserve">του </w:t>
      </w:r>
      <w:r w:rsidRPr="0095206D">
        <w:rPr>
          <w:szCs w:val="22"/>
          <w:lang w:val="el-GR"/>
        </w:rPr>
        <w:t xml:space="preserve">μη θανατηφόρου αγγειακού εγκεφαλικού επεισοδίου [0,87 (95 % </w:t>
      </w:r>
      <w:r w:rsidRPr="0095206D">
        <w:rPr>
          <w:szCs w:val="22"/>
        </w:rPr>
        <w:t>CI</w:t>
      </w:r>
      <w:r w:rsidRPr="0095206D">
        <w:rPr>
          <w:szCs w:val="22"/>
          <w:lang w:val="el-GR"/>
        </w:rPr>
        <w:t xml:space="preserve"> 0,76 - 1,00, </w:t>
      </w:r>
      <w:r w:rsidRPr="0095206D">
        <w:rPr>
          <w:szCs w:val="22"/>
        </w:rPr>
        <w:t>p</w:t>
      </w:r>
      <w:r>
        <w:rPr>
          <w:szCs w:val="22"/>
          <w:lang w:val="el-GR"/>
        </w:rPr>
        <w:t xml:space="preserve"> </w:t>
      </w:r>
      <w:r w:rsidRPr="0095206D">
        <w:rPr>
          <w:szCs w:val="22"/>
          <w:lang w:val="el-GR"/>
        </w:rPr>
        <w:t>=</w:t>
      </w:r>
      <w:r>
        <w:rPr>
          <w:szCs w:val="22"/>
          <w:lang w:val="el-GR"/>
        </w:rPr>
        <w:t xml:space="preserve"> </w:t>
      </w:r>
      <w:r w:rsidRPr="0095206D">
        <w:rPr>
          <w:szCs w:val="22"/>
          <w:lang w:val="el-GR"/>
        </w:rPr>
        <w:t xml:space="preserve">0,048)]. Δεν υπήρξαν </w:t>
      </w:r>
      <w:r>
        <w:rPr>
          <w:szCs w:val="22"/>
          <w:lang w:val="el-GR"/>
        </w:rPr>
        <w:t>ενδείξεις</w:t>
      </w:r>
      <w:r w:rsidRPr="0095206D">
        <w:rPr>
          <w:szCs w:val="22"/>
          <w:lang w:val="el-GR"/>
        </w:rPr>
        <w:t xml:space="preserve"> για όφελος στην καρδιαγγειακή θνησιμότητα (αναλογία κινδύνου 1,03, 95 % </w:t>
      </w:r>
      <w:r w:rsidRPr="0095206D">
        <w:rPr>
          <w:szCs w:val="22"/>
        </w:rPr>
        <w:t>CI</w:t>
      </w:r>
      <w:r w:rsidRPr="0095206D">
        <w:rPr>
          <w:szCs w:val="22"/>
          <w:lang w:val="el-GR"/>
        </w:rPr>
        <w:t xml:space="preserve"> 0,85 - 1,24).</w:t>
      </w:r>
    </w:p>
    <w:p w:rsidR="004B4423" w:rsidRPr="0095206D" w:rsidRDefault="004B4423" w:rsidP="004B4423">
      <w:pPr>
        <w:spacing w:line="240" w:lineRule="auto"/>
        <w:rPr>
          <w:szCs w:val="22"/>
          <w:lang w:val="el-GR"/>
        </w:rPr>
      </w:pPr>
    </w:p>
    <w:p w:rsidR="004B4423" w:rsidRPr="0095206D" w:rsidRDefault="004B4423" w:rsidP="004B4423">
      <w:pPr>
        <w:spacing w:line="240" w:lineRule="auto"/>
        <w:rPr>
          <w:szCs w:val="22"/>
          <w:lang w:val="el-GR"/>
        </w:rPr>
      </w:pPr>
      <w:r w:rsidRPr="0095206D">
        <w:rPr>
          <w:szCs w:val="22"/>
          <w:lang w:val="el-GR"/>
        </w:rPr>
        <w:t>Βήχας και αγγειοοίδημα αναφέρθηκαν λιγότερο συχνά σε ασθενείς που έλαβαν θεραπεία με τελμισαρτάνη σε σχέση με ασθενείς που έλαβαν θεραπεία με ραμιπρίλη, ενώ υπόταση αναφέρθηκε περισσότερο συχνά με τελμισαρτάνη.</w:t>
      </w:r>
    </w:p>
    <w:p w:rsidR="004B4423" w:rsidRPr="0095206D" w:rsidRDefault="004B4423" w:rsidP="004B4423">
      <w:pPr>
        <w:spacing w:line="240" w:lineRule="auto"/>
        <w:rPr>
          <w:szCs w:val="22"/>
          <w:lang w:val="el-GR"/>
        </w:rPr>
      </w:pPr>
    </w:p>
    <w:p w:rsidR="004B4423" w:rsidRPr="0095206D" w:rsidRDefault="004B4423" w:rsidP="004B4423">
      <w:pPr>
        <w:widowControl w:val="0"/>
        <w:tabs>
          <w:tab w:val="clear" w:pos="567"/>
        </w:tabs>
        <w:autoSpaceDE w:val="0"/>
        <w:autoSpaceDN w:val="0"/>
        <w:adjustRightInd w:val="0"/>
        <w:spacing w:line="240" w:lineRule="auto"/>
        <w:rPr>
          <w:szCs w:val="22"/>
          <w:lang w:val="sl-SI"/>
        </w:rPr>
      </w:pPr>
      <w:r w:rsidRPr="0095206D">
        <w:rPr>
          <w:szCs w:val="22"/>
          <w:lang w:val="el-GR"/>
        </w:rPr>
        <w:t xml:space="preserve">Συνδυάζοντας την τελμισαρτάνη με τη ραμιπρίλη δεν προστέθηκε επιπλέον όφελος έναντι της μονοθεραπείας με ραμιπρίλη ή τελμισρτάνη. Η καρδιαγγειακή θνησιμότητα και η θνησιμότητα </w:t>
      </w:r>
      <w:r>
        <w:rPr>
          <w:szCs w:val="22"/>
          <w:lang w:val="el-GR"/>
        </w:rPr>
        <w:t>οποιασδήποτε αιτιολογίας</w:t>
      </w:r>
      <w:r w:rsidRPr="0095206D">
        <w:rPr>
          <w:szCs w:val="22"/>
          <w:lang w:val="el-GR"/>
        </w:rPr>
        <w:t xml:space="preserve"> ήταν αριθμητικά υψηλότερη με το συνδυασμό. Επιπλέον, υπήρξε σημαντικά μεγαλύτερη επίπτωση υπερκαλιαιμίας, νεφρικής ανεπάρκειας, υπότασης και συγκοπής στην ομάδα του συνδυασμού. Συνεπώς, η χρήση του συνδυασμού τελμισαρτάνης και ραμιπρίλης δεν συνιστάται σε αυτό τον πληθυσμό.</w:t>
      </w:r>
    </w:p>
    <w:p w:rsidR="004B4423" w:rsidRPr="0095206D" w:rsidRDefault="004B4423" w:rsidP="004B4423">
      <w:pPr>
        <w:widowControl w:val="0"/>
        <w:tabs>
          <w:tab w:val="clear" w:pos="567"/>
        </w:tabs>
        <w:autoSpaceDE w:val="0"/>
        <w:autoSpaceDN w:val="0"/>
        <w:adjustRightInd w:val="0"/>
        <w:spacing w:line="240" w:lineRule="auto"/>
        <w:rPr>
          <w:snapToGrid/>
          <w:szCs w:val="22"/>
          <w:lang w:val="sl-SI"/>
        </w:rPr>
      </w:pP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Στη </w:t>
      </w:r>
      <w:r>
        <w:rPr>
          <w:snapToGrid/>
          <w:szCs w:val="22"/>
          <w:lang w:val="el-GR"/>
        </w:rPr>
        <w:t>δοκιμή</w:t>
      </w:r>
      <w:r w:rsidRPr="00FC2F1F">
        <w:rPr>
          <w:snapToGrid/>
          <w:szCs w:val="22"/>
          <w:lang w:val="el-GR"/>
        </w:rPr>
        <w:t xml:space="preserve"> «Αγωγή Προφύλαξης για Αποτελεσματική Πρόληψη Δεύτερων Εγκεφαλικών Επεισοδίων» (PRoFESS) σε ασθενείς </w:t>
      </w:r>
      <w:r>
        <w:rPr>
          <w:snapToGrid/>
          <w:szCs w:val="22"/>
          <w:lang w:val="el-GR"/>
        </w:rPr>
        <w:t xml:space="preserve">ηλικίας </w:t>
      </w:r>
      <w:r w:rsidRPr="00FC2F1F">
        <w:rPr>
          <w:snapToGrid/>
          <w:szCs w:val="22"/>
          <w:lang w:val="el-GR"/>
        </w:rPr>
        <w:t xml:space="preserve">50 ετών και μεγαλύτερους, οι οποίοι είχαν πρόσφατα </w:t>
      </w:r>
      <w:r>
        <w:rPr>
          <w:snapToGrid/>
          <w:szCs w:val="22"/>
          <w:lang w:val="el-GR"/>
        </w:rPr>
        <w:t xml:space="preserve">υποστεί αγγειακό </w:t>
      </w:r>
      <w:r w:rsidRPr="00FC2F1F">
        <w:rPr>
          <w:snapToGrid/>
          <w:szCs w:val="22"/>
          <w:lang w:val="el-GR"/>
        </w:rPr>
        <w:t>εγκεφαλικό επεισόδιο, σημειώθηκε αυξημένη επίπτωση σήψης με την τελμισαρτάνη σε σχέση με το εικονικό φάρμακο, 0,70</w:t>
      </w:r>
      <w:r>
        <w:rPr>
          <w:snapToGrid/>
          <w:szCs w:val="22"/>
          <w:lang w:val="el-GR"/>
        </w:rPr>
        <w:t> </w:t>
      </w:r>
      <w:r w:rsidRPr="00FC2F1F">
        <w:rPr>
          <w:snapToGrid/>
          <w:szCs w:val="22"/>
          <w:lang w:val="el-GR"/>
        </w:rPr>
        <w:t>% σε σύγκριση με 0,49</w:t>
      </w:r>
      <w:r>
        <w:rPr>
          <w:snapToGrid/>
          <w:szCs w:val="22"/>
          <w:lang w:val="el-GR"/>
        </w:rPr>
        <w:t> </w:t>
      </w:r>
      <w:r w:rsidRPr="00FC2F1F">
        <w:rPr>
          <w:snapToGrid/>
          <w:szCs w:val="22"/>
          <w:lang w:val="el-GR"/>
        </w:rPr>
        <w:t>% [Λόγος κινδύνου 1,43 (95</w:t>
      </w:r>
      <w:r>
        <w:rPr>
          <w:snapToGrid/>
          <w:szCs w:val="22"/>
          <w:lang w:val="el-GR"/>
        </w:rPr>
        <w:t> </w:t>
      </w:r>
      <w:r w:rsidRPr="00FC2F1F">
        <w:rPr>
          <w:snapToGrid/>
          <w:szCs w:val="22"/>
          <w:lang w:val="el-GR"/>
        </w:rPr>
        <w:t>% διάστημα εμπιστοσύνης 1,00</w:t>
      </w:r>
      <w:r>
        <w:rPr>
          <w:snapToGrid/>
          <w:szCs w:val="22"/>
          <w:lang w:val="el-GR"/>
        </w:rPr>
        <w:t xml:space="preserve"> </w:t>
      </w:r>
      <w:r w:rsidRPr="00FC2F1F">
        <w:rPr>
          <w:snapToGrid/>
          <w:szCs w:val="22"/>
          <w:lang w:val="el-GR"/>
        </w:rPr>
        <w:t>-</w:t>
      </w:r>
      <w:r>
        <w:rPr>
          <w:snapToGrid/>
          <w:szCs w:val="22"/>
          <w:lang w:val="el-GR"/>
        </w:rPr>
        <w:t xml:space="preserve"> </w:t>
      </w:r>
      <w:r w:rsidRPr="00FC2F1F">
        <w:rPr>
          <w:snapToGrid/>
          <w:szCs w:val="22"/>
          <w:lang w:val="el-GR"/>
        </w:rPr>
        <w:t>2,06)]</w:t>
      </w:r>
      <w:r>
        <w:rPr>
          <w:snapToGrid/>
          <w:szCs w:val="22"/>
          <w:lang w:val="el-GR"/>
        </w:rPr>
        <w:t>.</w:t>
      </w:r>
      <w:r w:rsidRPr="00FC2F1F">
        <w:rPr>
          <w:snapToGrid/>
          <w:szCs w:val="22"/>
          <w:lang w:val="el-GR"/>
        </w:rPr>
        <w:t>·</w:t>
      </w:r>
      <w:r>
        <w:rPr>
          <w:snapToGrid/>
          <w:szCs w:val="22"/>
          <w:lang w:val="el-GR"/>
        </w:rPr>
        <w:t>Η</w:t>
      </w:r>
      <w:r w:rsidRPr="00FC2F1F">
        <w:rPr>
          <w:snapToGrid/>
          <w:szCs w:val="22"/>
          <w:lang w:val="el-GR"/>
        </w:rPr>
        <w:t xml:space="preserve"> επίπτωση των θανατηφόρων περιστατικών σήψης ήταν αυξημένη για ασθενείς που λ</w:t>
      </w:r>
      <w:r>
        <w:rPr>
          <w:snapToGrid/>
          <w:szCs w:val="22"/>
          <w:lang w:val="el-GR"/>
        </w:rPr>
        <w:t>άμβαναν</w:t>
      </w:r>
      <w:r w:rsidRPr="00FC2F1F">
        <w:rPr>
          <w:snapToGrid/>
          <w:szCs w:val="22"/>
          <w:lang w:val="el-GR"/>
        </w:rPr>
        <w:t xml:space="preserve"> τελμισαρτάνη (0,33</w:t>
      </w:r>
      <w:r>
        <w:rPr>
          <w:snapToGrid/>
          <w:szCs w:val="22"/>
          <w:lang w:val="el-GR"/>
        </w:rPr>
        <w:t> </w:t>
      </w:r>
      <w:r w:rsidRPr="00FC2F1F">
        <w:rPr>
          <w:snapToGrid/>
          <w:szCs w:val="22"/>
          <w:lang w:val="el-GR"/>
        </w:rPr>
        <w:t xml:space="preserve">%) σε σχέση με ασθενείς </w:t>
      </w:r>
      <w:r>
        <w:rPr>
          <w:snapToGrid/>
          <w:szCs w:val="22"/>
          <w:lang w:val="el-GR"/>
        </w:rPr>
        <w:t>που</w:t>
      </w:r>
      <w:r w:rsidRPr="00FC2F1F">
        <w:rPr>
          <w:snapToGrid/>
          <w:szCs w:val="22"/>
          <w:lang w:val="el-GR"/>
        </w:rPr>
        <w:t xml:space="preserve"> λ</w:t>
      </w:r>
      <w:r>
        <w:rPr>
          <w:snapToGrid/>
          <w:szCs w:val="22"/>
          <w:lang w:val="el-GR"/>
        </w:rPr>
        <w:t>ά</w:t>
      </w:r>
      <w:r w:rsidRPr="00FC2F1F">
        <w:rPr>
          <w:snapToGrid/>
          <w:szCs w:val="22"/>
          <w:lang w:val="el-GR"/>
        </w:rPr>
        <w:t>μβ</w:t>
      </w:r>
      <w:r>
        <w:rPr>
          <w:snapToGrid/>
          <w:szCs w:val="22"/>
          <w:lang w:val="el-GR"/>
        </w:rPr>
        <w:t>α</w:t>
      </w:r>
      <w:r w:rsidRPr="00FC2F1F">
        <w:rPr>
          <w:snapToGrid/>
          <w:szCs w:val="22"/>
          <w:lang w:val="el-GR"/>
        </w:rPr>
        <w:t>ν</w:t>
      </w:r>
      <w:r>
        <w:rPr>
          <w:snapToGrid/>
          <w:szCs w:val="22"/>
          <w:lang w:val="el-GR"/>
        </w:rPr>
        <w:t>α</w:t>
      </w:r>
      <w:r w:rsidRPr="00FC2F1F">
        <w:rPr>
          <w:snapToGrid/>
          <w:szCs w:val="22"/>
          <w:lang w:val="el-GR"/>
        </w:rPr>
        <w:t>ν εικονικό φάρμακο (0,16</w:t>
      </w:r>
      <w:r>
        <w:rPr>
          <w:snapToGrid/>
          <w:szCs w:val="22"/>
          <w:lang w:val="el-GR"/>
        </w:rPr>
        <w:t> </w:t>
      </w:r>
      <w:r w:rsidRPr="00FC2F1F">
        <w:rPr>
          <w:snapToGrid/>
          <w:szCs w:val="22"/>
          <w:lang w:val="el-GR"/>
        </w:rPr>
        <w:t>%) [Λόγος κινδύνου 2,07 (95</w:t>
      </w:r>
      <w:r>
        <w:rPr>
          <w:snapToGrid/>
          <w:szCs w:val="22"/>
          <w:lang w:val="el-GR"/>
        </w:rPr>
        <w:t> </w:t>
      </w:r>
      <w:r w:rsidRPr="00FC2F1F">
        <w:rPr>
          <w:snapToGrid/>
          <w:szCs w:val="22"/>
          <w:lang w:val="el-GR"/>
        </w:rPr>
        <w:t>% διάστημα εμπιστοσύνης 1,14</w:t>
      </w:r>
      <w:r>
        <w:rPr>
          <w:snapToGrid/>
          <w:szCs w:val="22"/>
          <w:lang w:val="el-GR"/>
        </w:rPr>
        <w:t xml:space="preserve"> </w:t>
      </w:r>
      <w:r w:rsidRPr="00FC2F1F">
        <w:rPr>
          <w:snapToGrid/>
          <w:szCs w:val="22"/>
          <w:lang w:val="el-GR"/>
        </w:rPr>
        <w:t>-</w:t>
      </w:r>
      <w:r>
        <w:rPr>
          <w:snapToGrid/>
          <w:szCs w:val="22"/>
          <w:lang w:val="el-GR"/>
        </w:rPr>
        <w:t xml:space="preserve"> </w:t>
      </w:r>
      <w:r w:rsidRPr="00FC2F1F">
        <w:rPr>
          <w:snapToGrid/>
          <w:szCs w:val="22"/>
          <w:lang w:val="el-GR"/>
        </w:rPr>
        <w:t>3,76)]. Το παρατηρ</w:t>
      </w:r>
      <w:r>
        <w:rPr>
          <w:snapToGrid/>
          <w:szCs w:val="22"/>
          <w:lang w:val="el-GR"/>
        </w:rPr>
        <w:t>ηθέν</w:t>
      </w:r>
      <w:r w:rsidRPr="00FC2F1F">
        <w:rPr>
          <w:snapToGrid/>
          <w:szCs w:val="22"/>
          <w:lang w:val="el-GR"/>
        </w:rPr>
        <w:t xml:space="preserve"> αυξανόμενο ποσοστό εμφάνισης σήψης με </w:t>
      </w:r>
      <w:r>
        <w:rPr>
          <w:snapToGrid/>
          <w:szCs w:val="22"/>
          <w:lang w:val="el-GR"/>
        </w:rPr>
        <w:t>χρήση</w:t>
      </w:r>
      <w:r w:rsidRPr="00FC2F1F">
        <w:rPr>
          <w:snapToGrid/>
          <w:szCs w:val="22"/>
          <w:lang w:val="el-GR"/>
        </w:rPr>
        <w:t xml:space="preserve"> τελμισαρτάνης μπορεί να είναι είτε τυχαίο εύρημα ή σχετιζόμενο με ένα προς το παρόν άγνωστο μηχανισμό.</w:t>
      </w:r>
    </w:p>
    <w:p w:rsidR="004B4423" w:rsidRDefault="004B4423" w:rsidP="004B4423">
      <w:pPr>
        <w:widowControl w:val="0"/>
        <w:tabs>
          <w:tab w:val="clear" w:pos="567"/>
        </w:tabs>
        <w:autoSpaceDE w:val="0"/>
        <w:autoSpaceDN w:val="0"/>
        <w:adjustRightInd w:val="0"/>
        <w:spacing w:line="240" w:lineRule="auto"/>
        <w:rPr>
          <w:snapToGrid/>
          <w:szCs w:val="22"/>
          <w:lang w:val="sl-SI"/>
        </w:rPr>
      </w:pPr>
    </w:p>
    <w:p w:rsidR="004B4423" w:rsidRPr="00D76F8A" w:rsidRDefault="004B4423" w:rsidP="004B4423">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Δύο μεγάλες τυχαιοποιημένες, ελεγχόμενες μελέτες (η ONTARGET (ONgoing Telmisartan Alone and in combination with Ramipril Global Endpoint Trial) και η VA NEPHRON-D (The Veterans Affairs Nephropathy in Diabetes)) έχουν εξετάσει τη χρήση του συνδυασμού ενός αναστολέα ΜΕΑ με έναν αποκλειστή των υποδοχέων αγγειοτενσίνης II.</w:t>
      </w:r>
    </w:p>
    <w:p w:rsidR="004B4423" w:rsidRPr="00D76F8A" w:rsidRDefault="004B4423" w:rsidP="004B4423">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Η ONTARGET ήταν μία μελέτη που διεξήχθη σε ασθενείς με ιστορικό καρδιαγγειακής ή εγκεφαλικής αγγειακής νόσου</w:t>
      </w:r>
      <w:r>
        <w:rPr>
          <w:snapToGrid/>
          <w:szCs w:val="22"/>
          <w:lang w:val="el-GR"/>
        </w:rPr>
        <w:t>,</w:t>
      </w:r>
      <w:r w:rsidRPr="00D76F8A">
        <w:rPr>
          <w:snapToGrid/>
          <w:szCs w:val="22"/>
          <w:lang w:val="sl-SI"/>
        </w:rPr>
        <w:t xml:space="preserve"> ή σακχαρώδη διαβήτη τύπου 2 συνοδευόμενο από ένδειξη βλάβης τελικού οργάνου.</w:t>
      </w:r>
    </w:p>
    <w:p w:rsidR="004B4423" w:rsidRPr="00D76F8A" w:rsidRDefault="004B4423" w:rsidP="004B4423">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Η VA NEPHRON D ήταν μία μελέτη σε ασθενείς με σακχαρώδη διαβήτη τύπου 2 και διαβητική νεφροπάθεια</w:t>
      </w:r>
      <w:r>
        <w:rPr>
          <w:snapToGrid/>
          <w:szCs w:val="22"/>
          <w:lang w:val="sl-SI"/>
        </w:rPr>
        <w:t>.</w:t>
      </w:r>
    </w:p>
    <w:p w:rsidR="004B4423" w:rsidRPr="00D76F8A" w:rsidRDefault="004B4423" w:rsidP="004B4423">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 xml:space="preserve">Αυτές οι μελέτες δεν έχουν δείξει σημαντική ωφέλιμη επίδραση στις νεφρικές και/ή στις καρδιαγγειακές εκβάσεις και </w:t>
      </w:r>
      <w:r>
        <w:rPr>
          <w:snapToGrid/>
          <w:szCs w:val="22"/>
          <w:lang w:val="el-GR"/>
        </w:rPr>
        <w:t>σ</w:t>
      </w:r>
      <w:r w:rsidRPr="00D76F8A">
        <w:rPr>
          <w:snapToGrid/>
          <w:szCs w:val="22"/>
          <w:lang w:val="sl-SI"/>
        </w:rPr>
        <w:t>τη θνησιμότητα, ενώ παρατηρήθηκε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w:t>
      </w:r>
    </w:p>
    <w:p w:rsidR="004B4423" w:rsidRPr="00D76F8A" w:rsidRDefault="004B4423" w:rsidP="004B4423">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w:t>
      </w:r>
    </w:p>
    <w:p w:rsidR="004B4423" w:rsidRDefault="004B4423" w:rsidP="004B4423">
      <w:pPr>
        <w:widowControl w:val="0"/>
        <w:tabs>
          <w:tab w:val="clear" w:pos="567"/>
        </w:tabs>
        <w:autoSpaceDE w:val="0"/>
        <w:autoSpaceDN w:val="0"/>
        <w:adjustRightInd w:val="0"/>
        <w:spacing w:line="240" w:lineRule="auto"/>
        <w:rPr>
          <w:snapToGrid/>
          <w:szCs w:val="22"/>
          <w:lang w:val="sl-SI"/>
        </w:rPr>
      </w:pPr>
    </w:p>
    <w:p w:rsidR="004B4423" w:rsidRDefault="004B4423" w:rsidP="004B4423">
      <w:pPr>
        <w:widowControl w:val="0"/>
        <w:tabs>
          <w:tab w:val="clear" w:pos="567"/>
        </w:tabs>
        <w:autoSpaceDE w:val="0"/>
        <w:autoSpaceDN w:val="0"/>
        <w:adjustRightInd w:val="0"/>
        <w:spacing w:line="240" w:lineRule="auto"/>
        <w:rPr>
          <w:snapToGrid/>
          <w:szCs w:val="22"/>
          <w:lang w:val="sl-SI"/>
        </w:rPr>
      </w:pPr>
      <w:r w:rsidRPr="00D76F8A">
        <w:rPr>
          <w:snapToGrid/>
          <w:szCs w:val="22"/>
          <w:lang w:val="sl-SI"/>
        </w:rPr>
        <w:t xml:space="preserve">Η ALTITUDE (Aliskiren Trial in Type 2 Diabetes Using Cardiovascular and Renal Disease Endpoints) ήταν μία μελέτη σχεδιασμένη να ελέγξει το όφελος της προσθήκης αλισκιρένης σε μία </w:t>
      </w:r>
      <w:r>
        <w:rPr>
          <w:snapToGrid/>
          <w:szCs w:val="22"/>
          <w:lang w:val="el-GR"/>
        </w:rPr>
        <w:t>καθιερωμένη</w:t>
      </w:r>
      <w:r w:rsidRPr="00D76F8A">
        <w:rPr>
          <w:snapToGrid/>
          <w:szCs w:val="22"/>
          <w:lang w:val="sl-SI"/>
        </w:rPr>
        <w:t xml:space="preserve">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w:t>
      </w:r>
      <w:r>
        <w:rPr>
          <w:snapToGrid/>
          <w:szCs w:val="22"/>
          <w:lang w:val="el-GR"/>
        </w:rPr>
        <w:t>,</w:t>
      </w:r>
      <w:r w:rsidRPr="00D76F8A">
        <w:rPr>
          <w:snapToGrid/>
          <w:szCs w:val="22"/>
          <w:lang w:val="sl-SI"/>
        </w:rPr>
        <w:t xml:space="preserve"> ή και τα δύο. Η μελέτη διεκόπη πρόωρα λόγω αυξημένου κινδύνου ανεπιθύμητων εκβάσεων. Ο καρδιαγγειακός θάνατος και το </w:t>
      </w:r>
      <w:r>
        <w:rPr>
          <w:snapToGrid/>
          <w:szCs w:val="22"/>
          <w:lang w:val="el-GR"/>
        </w:rPr>
        <w:t xml:space="preserve">αγγειακό </w:t>
      </w:r>
      <w:r w:rsidRPr="00D76F8A">
        <w:rPr>
          <w:snapToGrid/>
          <w:szCs w:val="22"/>
          <w:lang w:val="sl-SI"/>
        </w:rPr>
        <w:t>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στην ομάδα του εικονικού φαρμάκου.</w:t>
      </w:r>
    </w:p>
    <w:p w:rsidR="004B4423" w:rsidRPr="00311F0B" w:rsidRDefault="004B4423" w:rsidP="004B4423">
      <w:pPr>
        <w:widowControl w:val="0"/>
        <w:tabs>
          <w:tab w:val="clear" w:pos="567"/>
        </w:tabs>
        <w:autoSpaceDE w:val="0"/>
        <w:autoSpaceDN w:val="0"/>
        <w:adjustRightInd w:val="0"/>
        <w:spacing w:line="240" w:lineRule="auto"/>
        <w:rPr>
          <w:snapToGrid/>
          <w:szCs w:val="22"/>
          <w:lang w:val="sl-SI"/>
        </w:rPr>
      </w:pP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Επιδημιολογικές μελέτες έχουν δείξει ότι μακροχρόνια θεραπεία με υδροχλωροθειαζίδη ελαττώνει τον κίνδυνο καρδιαγγειακής </w:t>
      </w:r>
      <w:r w:rsidR="00663E0D" w:rsidRPr="00FC2F1F">
        <w:rPr>
          <w:snapToGrid/>
          <w:szCs w:val="22"/>
          <w:lang w:val="el-GR"/>
        </w:rPr>
        <w:t xml:space="preserve">θνησιμότητας </w:t>
      </w:r>
      <w:r w:rsidR="00663E0D">
        <w:rPr>
          <w:snapToGrid/>
          <w:szCs w:val="22"/>
          <w:lang w:val="el-GR"/>
        </w:rPr>
        <w:t xml:space="preserve">και </w:t>
      </w:r>
      <w:r w:rsidRPr="00FC2F1F">
        <w:rPr>
          <w:snapToGrid/>
          <w:szCs w:val="22"/>
          <w:lang w:val="el-GR"/>
        </w:rPr>
        <w:t>νοσηρότητας.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Οι επιδράσεις του συνδυασμού σταθερών δόσεων τελμισαρτάνης/υδροχλωροθειαζίδης στη θνησιμότητα και την καρδιαγγειακή νοσηρότητα είναι επί του παρόντος άγνωστες.</w:t>
      </w:r>
    </w:p>
    <w:p w:rsidR="00261A8A" w:rsidRDefault="00261A8A" w:rsidP="00261A8A">
      <w:pPr>
        <w:widowControl w:val="0"/>
        <w:tabs>
          <w:tab w:val="clear" w:pos="567"/>
        </w:tabs>
        <w:spacing w:line="240" w:lineRule="auto"/>
        <w:rPr>
          <w:snapToGrid/>
          <w:szCs w:val="22"/>
          <w:u w:val="single"/>
          <w:lang w:val="sl-SI" w:eastAsia="sl-SI"/>
        </w:rPr>
      </w:pPr>
    </w:p>
    <w:p w:rsidR="00261A8A" w:rsidRPr="00F41A29" w:rsidRDefault="00261A8A" w:rsidP="00261A8A">
      <w:pPr>
        <w:widowControl w:val="0"/>
        <w:tabs>
          <w:tab w:val="clear" w:pos="567"/>
        </w:tabs>
        <w:spacing w:line="240" w:lineRule="auto"/>
        <w:rPr>
          <w:snapToGrid/>
          <w:szCs w:val="22"/>
          <w:u w:val="single"/>
          <w:lang w:val="sl-SI" w:eastAsia="sl-SI"/>
        </w:rPr>
      </w:pPr>
      <w:r w:rsidRPr="00F41A29">
        <w:rPr>
          <w:snapToGrid/>
          <w:szCs w:val="22"/>
          <w:u w:val="single"/>
          <w:lang w:val="sl-SI" w:eastAsia="sl-SI"/>
        </w:rPr>
        <w:t>Μη μελανωματικός καρκίνος του δέρματος</w:t>
      </w:r>
    </w:p>
    <w:p w:rsidR="00261A8A" w:rsidRPr="00005124" w:rsidRDefault="00261A8A" w:rsidP="00261A8A">
      <w:pPr>
        <w:widowControl w:val="0"/>
        <w:tabs>
          <w:tab w:val="clear" w:pos="567"/>
        </w:tabs>
        <w:spacing w:line="240" w:lineRule="auto"/>
        <w:rPr>
          <w:snapToGrid/>
          <w:szCs w:val="22"/>
          <w:lang w:val="el-GR" w:eastAsia="sl-SI"/>
        </w:rPr>
      </w:pPr>
      <w:r w:rsidRPr="00005124">
        <w:rPr>
          <w:snapToGrid/>
          <w:szCs w:val="22"/>
          <w:lang w:val="sl-SI" w:eastAsia="sl-SI"/>
        </w:rPr>
        <w:t xml:space="preserve">Βάσει των διαθέσιμων δεδομένων από επιδημιολογικές μελέτες, παρατηρήθηκε συσχέτιση μεταξύ της υδροχλωροθειαζίδης και του μη μελανωματικού καρκίνου του δέρματος εξαρτώμενη από αθροιστική δόση υδροχλωροθειαζίδης. Διενεργήθηκε μελέτη σε πληθυσμό </w:t>
      </w:r>
      <w:r w:rsidRPr="00005124">
        <w:rPr>
          <w:snapToGrid/>
          <w:szCs w:val="22"/>
          <w:lang w:val="el-GR" w:eastAsia="sl-SI"/>
        </w:rPr>
        <w:t xml:space="preserve">που αποτελούνταν από </w:t>
      </w:r>
      <w:r w:rsidRPr="00005124">
        <w:rPr>
          <w:snapToGrid/>
          <w:szCs w:val="22"/>
          <w:lang w:val="sl-SI" w:eastAsia="sl-SI"/>
        </w:rPr>
        <w:t>71.533 ασθενείς με βασικοκυτταρικό καρκίνωμα και 8.629 ασθενείς με καρκίνωμα του πλακώδους επιθηλίου έναντι πληθυσμού μαρτύρων όπου περιλαμβάνοντ</w:t>
      </w:r>
      <w:r w:rsidRPr="00005124">
        <w:rPr>
          <w:snapToGrid/>
          <w:szCs w:val="22"/>
          <w:lang w:val="el-GR" w:eastAsia="sl-SI"/>
        </w:rPr>
        <w:t>αν</w:t>
      </w:r>
      <w:r w:rsidRPr="00005124">
        <w:rPr>
          <w:snapToGrid/>
          <w:szCs w:val="22"/>
          <w:lang w:val="sl-SI" w:eastAsia="sl-SI"/>
        </w:rPr>
        <w:t xml:space="preserve"> 1.430.833 και 172.462 υποκείμενα, αντίστοιχα. Η χρήση υψηλής δόσης υδροχλωροθειαζίδης (≥50</w:t>
      </w:r>
      <w:r w:rsidRPr="00005124">
        <w:rPr>
          <w:snapToGrid/>
          <w:szCs w:val="22"/>
          <w:lang w:val="el-GR" w:eastAsia="sl-SI"/>
        </w:rPr>
        <w:t>.</w:t>
      </w:r>
      <w:r w:rsidRPr="00005124">
        <w:rPr>
          <w:snapToGrid/>
          <w:szCs w:val="22"/>
          <w:lang w:val="sl-SI" w:eastAsia="sl-SI"/>
        </w:rPr>
        <w:t>000 mg αθροιστικά) συσχετίστηκε με προσαρμοσμένη αναλογία πιθανοτήτων 1,29 (95% ΔΕ: 1,23-1,35) για το βασικοκυτταρικό καρκίνωμα και 3,98 (95% ΔΕ: 3,68-4,31) για το καρκίνωμα πλακώδους επιθηλίου. Τόσο για το βασικοκυτταρικό καρκίνωμα όσο και για το καρκίνωμα πλακώδους επιθηλίου παρατηρήθηκε σαφής σχέση αθροιστικής δόσης-απόκρισης. Στο πλαίσιο άλλης μελέτης καταδείχθηκε πιθανή συσχέτιση μεταξύ του καρκίνου των χειλιών (καρκίνωμα πλακώδους επιθηλίου) και της έκθεσης στην υδροχλωροθειαζίδη: 633 περιστατικά καρκίνου των χειλιών συγκρίθηκαν με 63.067 μάρτυρες, με τη χρήση στρατηγικής δειγματοληψίας στην ομάδα ατόμων σε κίνδυνο. Καταδείχθηκε σχέση αθροιστικής δόσης-απόκρισης με προσαρμοσμένη αναλογία πιθανοτήτων 2,1 (95% ΔΕ: 1,7-2,6) που αυξανόταν σε 3,9 (3,0-4,9) στην περίπτωση υψηλής δόσης (~25</w:t>
      </w:r>
      <w:r w:rsidRPr="00005124">
        <w:rPr>
          <w:snapToGrid/>
          <w:szCs w:val="22"/>
          <w:lang w:val="el-GR" w:eastAsia="sl-SI"/>
        </w:rPr>
        <w:t>.</w:t>
      </w:r>
      <w:r w:rsidRPr="00005124">
        <w:rPr>
          <w:snapToGrid/>
          <w:szCs w:val="22"/>
          <w:lang w:val="sl-SI" w:eastAsia="sl-SI"/>
        </w:rPr>
        <w:t>000 mg) και με αναλογία πιθανοτήτων 7,7 (5,7-10,5) για την υψηλότερη αθροιστική δόση (~100.000 mg) (βλ. επίσης παράγραφο 4.4).</w:t>
      </w:r>
    </w:p>
    <w:p w:rsidR="00261A8A" w:rsidRPr="00F41A29" w:rsidRDefault="00261A8A" w:rsidP="00261A8A">
      <w:pPr>
        <w:widowControl w:val="0"/>
        <w:numPr>
          <w:ilvl w:val="12"/>
          <w:numId w:val="0"/>
        </w:numPr>
        <w:spacing w:line="240" w:lineRule="auto"/>
        <w:ind w:right="-2"/>
        <w:rPr>
          <w:noProof/>
          <w:szCs w:val="22"/>
          <w:lang w:val="el-GR"/>
        </w:rPr>
      </w:pPr>
    </w:p>
    <w:p w:rsidR="004B4423" w:rsidRPr="00FC2F1F" w:rsidRDefault="004B4423" w:rsidP="004B4423">
      <w:pPr>
        <w:widowControl w:val="0"/>
        <w:tabs>
          <w:tab w:val="clear" w:pos="567"/>
        </w:tabs>
        <w:spacing w:line="240" w:lineRule="auto"/>
        <w:ind w:left="567" w:hanging="567"/>
        <w:rPr>
          <w:b/>
          <w:noProof/>
          <w:szCs w:val="22"/>
          <w:lang w:val="el-GR"/>
        </w:rPr>
      </w:pPr>
      <w:r w:rsidRPr="00FC2F1F">
        <w:rPr>
          <w:b/>
          <w:noProof/>
          <w:szCs w:val="22"/>
          <w:lang w:val="el-GR"/>
        </w:rPr>
        <w:t>5.2</w:t>
      </w:r>
      <w:r w:rsidRPr="00FC2F1F">
        <w:rPr>
          <w:b/>
          <w:noProof/>
          <w:szCs w:val="22"/>
          <w:lang w:val="el-GR"/>
        </w:rPr>
        <w:tab/>
        <w:t>Φαρμακοκινητικές ιδιότητες</w:t>
      </w:r>
    </w:p>
    <w:p w:rsidR="004B4423" w:rsidRPr="00FC2F1F" w:rsidRDefault="004B4423" w:rsidP="004B4423">
      <w:pPr>
        <w:widowControl w:val="0"/>
        <w:spacing w:line="240" w:lineRule="auto"/>
        <w:rPr>
          <w:b/>
          <w:noProof/>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συγχορήγηση υδροχλωροθειαζίδης και τελμισαρτάνης δε</w:t>
      </w:r>
      <w:r>
        <w:rPr>
          <w:snapToGrid/>
          <w:szCs w:val="22"/>
          <w:lang w:val="el-GR"/>
        </w:rPr>
        <w:t>ν</w:t>
      </w:r>
      <w:r w:rsidRPr="00FC2F1F">
        <w:rPr>
          <w:snapToGrid/>
          <w:szCs w:val="22"/>
          <w:lang w:val="el-GR"/>
        </w:rPr>
        <w:t xml:space="preserve"> φαίνεται να έχει επίδραση στη φαρμακοκινητική των επιμέρους ουσιών σε υγιείς εθελοντές.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Aπορρόφηση</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Τελμισαρτάνη: Μετά </w:t>
      </w:r>
      <w:r>
        <w:rPr>
          <w:snapToGrid/>
          <w:szCs w:val="22"/>
          <w:lang w:val="el-GR"/>
        </w:rPr>
        <w:t xml:space="preserve">την </w:t>
      </w:r>
      <w:r w:rsidRPr="00FC2F1F">
        <w:rPr>
          <w:snapToGrid/>
          <w:szCs w:val="22"/>
          <w:lang w:val="el-GR"/>
        </w:rPr>
        <w:t>από του στόματος χορήγηση οι μέγιστες συγκεντρώσεις τελμισαρτάνης επιτυγχάνονται σε</w:t>
      </w:r>
      <w:r w:rsidRPr="00FC2F1F">
        <w:rPr>
          <w:szCs w:val="22"/>
          <w:lang w:val="el-GR"/>
        </w:rPr>
        <w:t xml:space="preserve"> 0,5 – 1,5 </w:t>
      </w:r>
      <w:r w:rsidRPr="00FC2F1F">
        <w:rPr>
          <w:snapToGrid/>
          <w:szCs w:val="22"/>
          <w:lang w:val="el-GR"/>
        </w:rPr>
        <w:t>ώρ</w:t>
      </w:r>
      <w:r w:rsidR="00663E0D">
        <w:rPr>
          <w:snapToGrid/>
          <w:szCs w:val="22"/>
          <w:lang w:val="el-GR"/>
        </w:rPr>
        <w:t>ες</w:t>
      </w:r>
      <w:r w:rsidRPr="00FC2F1F">
        <w:rPr>
          <w:snapToGrid/>
          <w:szCs w:val="22"/>
          <w:lang w:val="el-GR"/>
        </w:rPr>
        <w:t xml:space="preserve"> μετά τη χορήγηση. Η απόλυτη βιοδιαθεσιμότητα της τελμισαρτάνης 40</w:t>
      </w:r>
      <w:r>
        <w:rPr>
          <w:snapToGrid/>
          <w:szCs w:val="22"/>
          <w:lang w:val="el-GR"/>
        </w:rPr>
        <w:t> mg</w:t>
      </w:r>
      <w:r w:rsidRPr="00FC2F1F">
        <w:rPr>
          <w:snapToGrid/>
          <w:szCs w:val="22"/>
          <w:lang w:val="el-GR"/>
        </w:rPr>
        <w:t xml:space="preserve"> και 160</w:t>
      </w:r>
      <w:r>
        <w:rPr>
          <w:snapToGrid/>
          <w:szCs w:val="22"/>
          <w:lang w:val="el-GR"/>
        </w:rPr>
        <w:t> mg</w:t>
      </w:r>
      <w:r w:rsidRPr="00FC2F1F">
        <w:rPr>
          <w:snapToGrid/>
          <w:szCs w:val="22"/>
          <w:lang w:val="el-GR"/>
        </w:rPr>
        <w:t xml:space="preserve"> ήταν 42 % και 58 %, αντίστοιχα. Η τροφή μειώνει ελαφρώς τη βιοδιαθεσιμότητα της τελμισαρτάνης με μείωση της περιοχής κάτω από την καμπύλη συγκ</w:t>
      </w:r>
      <w:r>
        <w:rPr>
          <w:snapToGrid/>
          <w:szCs w:val="22"/>
          <w:lang w:val="el-GR"/>
        </w:rPr>
        <w:t>έ</w:t>
      </w:r>
      <w:r w:rsidRPr="00FC2F1F">
        <w:rPr>
          <w:snapToGrid/>
          <w:szCs w:val="22"/>
          <w:lang w:val="el-GR"/>
        </w:rPr>
        <w:t>ντρ</w:t>
      </w:r>
      <w:r>
        <w:rPr>
          <w:snapToGrid/>
          <w:szCs w:val="22"/>
          <w:lang w:val="el-GR"/>
        </w:rPr>
        <w:t>ω</w:t>
      </w:r>
      <w:r w:rsidRPr="00FC2F1F">
        <w:rPr>
          <w:snapToGrid/>
          <w:szCs w:val="22"/>
          <w:lang w:val="el-GR"/>
        </w:rPr>
        <w:t>σ</w:t>
      </w:r>
      <w:r>
        <w:rPr>
          <w:snapToGrid/>
          <w:szCs w:val="22"/>
          <w:lang w:val="el-GR"/>
        </w:rPr>
        <w:t>η</w:t>
      </w:r>
      <w:r w:rsidRPr="00FC2F1F">
        <w:rPr>
          <w:snapToGrid/>
          <w:szCs w:val="22"/>
          <w:lang w:val="el-GR"/>
        </w:rPr>
        <w:t xml:space="preserve">ς </w:t>
      </w:r>
      <w:r>
        <w:rPr>
          <w:snapToGrid/>
          <w:szCs w:val="22"/>
          <w:lang w:val="el-GR"/>
        </w:rPr>
        <w:t xml:space="preserve">στο </w:t>
      </w:r>
      <w:r w:rsidRPr="00FC2F1F">
        <w:rPr>
          <w:snapToGrid/>
          <w:szCs w:val="22"/>
          <w:lang w:val="el-GR"/>
        </w:rPr>
        <w:t xml:space="preserve">πλάσμα – χρόνου (AUC) </w:t>
      </w:r>
      <w:r>
        <w:rPr>
          <w:snapToGrid/>
          <w:szCs w:val="22"/>
          <w:lang w:val="el-GR"/>
        </w:rPr>
        <w:t xml:space="preserve">κατά </w:t>
      </w:r>
      <w:r w:rsidRPr="00FC2F1F">
        <w:rPr>
          <w:snapToGrid/>
          <w:szCs w:val="22"/>
          <w:lang w:val="el-GR"/>
        </w:rPr>
        <w:t>περίπου 6 %, στην περίπτωση του δισκίου 40</w:t>
      </w:r>
      <w:r>
        <w:rPr>
          <w:snapToGrid/>
          <w:szCs w:val="22"/>
          <w:lang w:val="el-GR"/>
        </w:rPr>
        <w:t> mg</w:t>
      </w:r>
      <w:r w:rsidRPr="00FC2F1F">
        <w:rPr>
          <w:snapToGrid/>
          <w:szCs w:val="22"/>
          <w:lang w:val="el-GR"/>
        </w:rPr>
        <w:t xml:space="preserve"> και </w:t>
      </w:r>
      <w:r>
        <w:rPr>
          <w:snapToGrid/>
          <w:szCs w:val="22"/>
          <w:lang w:val="el-GR"/>
        </w:rPr>
        <w:t xml:space="preserve">κατά </w:t>
      </w:r>
      <w:r w:rsidRPr="00FC2F1F">
        <w:rPr>
          <w:snapToGrid/>
          <w:szCs w:val="22"/>
          <w:lang w:val="el-GR"/>
        </w:rPr>
        <w:t>περίπου 19 % μετά από δόση 160</w:t>
      </w:r>
      <w:r>
        <w:rPr>
          <w:snapToGrid/>
          <w:szCs w:val="22"/>
          <w:lang w:val="el-GR"/>
        </w:rPr>
        <w:t> mg</w:t>
      </w:r>
      <w:r w:rsidRPr="00FC2F1F">
        <w:rPr>
          <w:snapToGrid/>
          <w:szCs w:val="22"/>
          <w:lang w:val="el-GR"/>
        </w:rPr>
        <w:t xml:space="preserve">. </w:t>
      </w:r>
      <w:r>
        <w:rPr>
          <w:snapToGrid/>
          <w:szCs w:val="22"/>
          <w:lang w:val="el-GR"/>
        </w:rPr>
        <w:t xml:space="preserve">Έως </w:t>
      </w:r>
      <w:r w:rsidRPr="00FC2F1F">
        <w:rPr>
          <w:snapToGrid/>
          <w:szCs w:val="22"/>
          <w:lang w:val="el-GR"/>
        </w:rPr>
        <w:t xml:space="preserve">3 ώρες μετά τη χορήγηση οι συγκεντρώσεις </w:t>
      </w:r>
      <w:r>
        <w:rPr>
          <w:snapToGrid/>
          <w:szCs w:val="22"/>
          <w:lang w:val="el-GR"/>
        </w:rPr>
        <w:t xml:space="preserve">στο </w:t>
      </w:r>
      <w:r w:rsidRPr="00FC2F1F">
        <w:rPr>
          <w:snapToGrid/>
          <w:szCs w:val="22"/>
          <w:lang w:val="el-GR"/>
        </w:rPr>
        <w:t xml:space="preserve">πλάσμα είναι παρόμοιες είτε η τελμισαρτάνη λαμβάνεται σε κατάσταση νηστείας είτε με τροφή. Η μικρή μείωση στην AUC δεν αναμένεται να προκαλέσει μείωση της θεραπευτικής αποτελεσματικότητας. Η τελμισαρτάνη δεν </w:t>
      </w:r>
      <w:r w:rsidR="00663E0D">
        <w:rPr>
          <w:snapToGrid/>
          <w:szCs w:val="22"/>
          <w:lang w:val="el-GR"/>
        </w:rPr>
        <w:t>συσσωρεύεται</w:t>
      </w:r>
      <w:r w:rsidRPr="00FC2F1F">
        <w:rPr>
          <w:snapToGrid/>
          <w:szCs w:val="22"/>
          <w:lang w:val="el-GR"/>
        </w:rPr>
        <w:t xml:space="preserve"> </w:t>
      </w:r>
      <w:r w:rsidR="00663E0D">
        <w:rPr>
          <w:snapToGrid/>
          <w:szCs w:val="22"/>
          <w:lang w:val="el-GR"/>
        </w:rPr>
        <w:t xml:space="preserve">σε </w:t>
      </w:r>
      <w:r w:rsidRPr="00FC2F1F">
        <w:rPr>
          <w:snapToGrid/>
          <w:szCs w:val="22"/>
          <w:lang w:val="el-GR"/>
        </w:rPr>
        <w:t>αξιοσημείωτ</w:t>
      </w:r>
      <w:r w:rsidR="00663E0D">
        <w:rPr>
          <w:snapToGrid/>
          <w:szCs w:val="22"/>
          <w:lang w:val="el-GR"/>
        </w:rPr>
        <w:t>ο</w:t>
      </w:r>
      <w:r w:rsidRPr="00FC2F1F">
        <w:rPr>
          <w:snapToGrid/>
          <w:szCs w:val="22"/>
          <w:lang w:val="el-GR"/>
        </w:rPr>
        <w:t xml:space="preserve"> </w:t>
      </w:r>
      <w:r w:rsidR="00663E0D">
        <w:rPr>
          <w:snapToGrid/>
          <w:szCs w:val="22"/>
          <w:lang w:val="el-GR"/>
        </w:rPr>
        <w:t xml:space="preserve">βαθμό </w:t>
      </w:r>
      <w:r w:rsidRPr="00FC2F1F">
        <w:rPr>
          <w:snapToGrid/>
          <w:szCs w:val="22"/>
          <w:lang w:val="el-GR"/>
        </w:rPr>
        <w:t>στο πλάσμα μετά από επαναλαμβανόμενη χορήγηση.</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Υδροχλωροθειαζίδη: Μετά </w:t>
      </w:r>
      <w:r>
        <w:rPr>
          <w:snapToGrid/>
          <w:szCs w:val="22"/>
          <w:lang w:val="el-GR"/>
        </w:rPr>
        <w:t xml:space="preserve">την </w:t>
      </w:r>
      <w:r w:rsidRPr="00FC2F1F">
        <w:rPr>
          <w:snapToGrid/>
          <w:szCs w:val="22"/>
          <w:lang w:val="el-GR"/>
        </w:rPr>
        <w:t xml:space="preserve">από του στόματος χορήγηση </w:t>
      </w:r>
      <w:r w:rsidRPr="00FC2F1F">
        <w:rPr>
          <w:szCs w:val="22"/>
          <w:lang w:val="el-GR"/>
        </w:rPr>
        <w:t>Tolucombi</w:t>
      </w:r>
      <w:r w:rsidR="003F6970">
        <w:rPr>
          <w:szCs w:val="22"/>
          <w:lang w:val="el-GR"/>
        </w:rPr>
        <w:t>,</w:t>
      </w:r>
      <w:r w:rsidRPr="00FC2F1F">
        <w:rPr>
          <w:snapToGrid/>
          <w:szCs w:val="22"/>
          <w:lang w:val="el-GR"/>
        </w:rPr>
        <w:t xml:space="preserve"> οι μέγιστες συγκεντρώσεις υδροχλωροθειαζίδης επιτυγχάνονται περίπου </w:t>
      </w:r>
      <w:r>
        <w:rPr>
          <w:snapToGrid/>
          <w:szCs w:val="22"/>
          <w:lang w:val="el-GR"/>
        </w:rPr>
        <w:t xml:space="preserve">σε </w:t>
      </w:r>
      <w:r w:rsidRPr="00FC2F1F">
        <w:rPr>
          <w:snapToGrid/>
          <w:szCs w:val="22"/>
          <w:lang w:val="el-GR"/>
        </w:rPr>
        <w:t>1,0 - 3,0 ώρες μετά τη χορήγηση. Με βάση την αθροιστική νεφρική απέκκριση της υδροχλωροθειαζίδης η απόλυτη βιοδιαθεσιμότητα ήταν περίπου 60 %.</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Κατανομή</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τελμισαρτάνη δεσμεύεται </w:t>
      </w:r>
      <w:r>
        <w:rPr>
          <w:snapToGrid/>
          <w:szCs w:val="22"/>
          <w:lang w:val="el-GR"/>
        </w:rPr>
        <w:t xml:space="preserve">με </w:t>
      </w:r>
      <w:r w:rsidRPr="00FC2F1F">
        <w:rPr>
          <w:snapToGrid/>
          <w:szCs w:val="22"/>
          <w:lang w:val="el-GR"/>
        </w:rPr>
        <w:t>τις πρωτεΐνες του πλάσματος σε υψηλό βαθμό (&gt; 99,5</w:t>
      </w:r>
      <w:r>
        <w:rPr>
          <w:snapToGrid/>
          <w:szCs w:val="22"/>
          <w:lang w:val="el-GR"/>
        </w:rPr>
        <w:t> </w:t>
      </w:r>
      <w:r w:rsidRPr="00FC2F1F">
        <w:rPr>
          <w:snapToGrid/>
          <w:szCs w:val="22"/>
          <w:lang w:val="el-GR"/>
        </w:rPr>
        <w:t>%) κυρίως με την αλβουμίνη και την άλφα-1 όξινη γλυκοπρωτε</w:t>
      </w:r>
      <w:r w:rsidRPr="000151B8">
        <w:rPr>
          <w:szCs w:val="22"/>
          <w:lang w:val="el-GR"/>
        </w:rPr>
        <w:t>ΐ</w:t>
      </w:r>
      <w:r w:rsidRPr="00FC2F1F">
        <w:rPr>
          <w:snapToGrid/>
          <w:szCs w:val="22"/>
          <w:lang w:val="el-GR"/>
        </w:rPr>
        <w:t>νη. Ο φαινόμενος όγκος κατανομής για τη</w:t>
      </w:r>
      <w:r>
        <w:rPr>
          <w:snapToGrid/>
          <w:szCs w:val="22"/>
          <w:lang w:val="el-GR"/>
        </w:rPr>
        <w:t>ν</w:t>
      </w:r>
      <w:r w:rsidRPr="00FC2F1F">
        <w:rPr>
          <w:snapToGrid/>
          <w:szCs w:val="22"/>
          <w:lang w:val="el-GR"/>
        </w:rPr>
        <w:t xml:space="preserve"> τελμισαρτάνη είναι περίπου 500 λίτρα, υποδηλώνοντας επιπρόσθετη δέσμευση στους ιστούς.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συνδέεται κατά 68 % στις πρωτε</w:t>
      </w:r>
      <w:r w:rsidRPr="000151B8">
        <w:rPr>
          <w:szCs w:val="22"/>
          <w:lang w:val="el-GR"/>
        </w:rPr>
        <w:t>ΐ</w:t>
      </w:r>
      <w:r w:rsidRPr="00FC2F1F">
        <w:rPr>
          <w:snapToGrid/>
          <w:szCs w:val="22"/>
          <w:lang w:val="el-GR"/>
        </w:rPr>
        <w:t xml:space="preserve">νες </w:t>
      </w:r>
      <w:r>
        <w:rPr>
          <w:snapToGrid/>
          <w:szCs w:val="22"/>
          <w:lang w:val="el-GR"/>
        </w:rPr>
        <w:t xml:space="preserve">του </w:t>
      </w:r>
      <w:r w:rsidRPr="00FC2F1F">
        <w:rPr>
          <w:snapToGrid/>
          <w:szCs w:val="22"/>
          <w:lang w:val="el-GR"/>
        </w:rPr>
        <w:t>πλάσματος και ο φαινόμενος όγκος κατανομής είναι 0,83 – 1,14 l/kg.</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Βιομετασχηματισμός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τελμισαρτάνη μεταβολίζεται μέσω σύζευξης για να σχηματίσει ένα φαρμακολογικά ανενεργό ακυλ-γλυκουρονίδιο. Το γλυκουρονίδιο της μητρικής ουσίας είναι ο μοναδικός μεταβολίτης που έχει αναγνωρισθεί στους ανθρώπους. Μετά από εφάπαξ δόση επισημασμένης με </w:t>
      </w:r>
      <w:r w:rsidRPr="00FC2F1F">
        <w:rPr>
          <w:snapToGrid/>
          <w:szCs w:val="22"/>
          <w:vertAlign w:val="superscript"/>
          <w:lang w:val="el-GR"/>
        </w:rPr>
        <w:t>14</w:t>
      </w:r>
      <w:r w:rsidRPr="00FC2F1F">
        <w:rPr>
          <w:snapToGrid/>
          <w:szCs w:val="22"/>
          <w:lang w:val="el-GR"/>
        </w:rPr>
        <w:t xml:space="preserve">C τελμισαρτάνης το γλυκουρονίδιο αντιπροσωπεύει περίπου </w:t>
      </w:r>
      <w:r>
        <w:rPr>
          <w:snapToGrid/>
          <w:szCs w:val="22"/>
          <w:lang w:val="el-GR"/>
        </w:rPr>
        <w:t xml:space="preserve">το </w:t>
      </w:r>
      <w:r w:rsidRPr="00FC2F1F">
        <w:rPr>
          <w:snapToGrid/>
          <w:szCs w:val="22"/>
          <w:lang w:val="el-GR"/>
        </w:rPr>
        <w:t>11</w:t>
      </w:r>
      <w:r>
        <w:rPr>
          <w:snapToGrid/>
          <w:szCs w:val="22"/>
          <w:lang w:val="el-GR"/>
        </w:rPr>
        <w:t> </w:t>
      </w:r>
      <w:r w:rsidRPr="00FC2F1F">
        <w:rPr>
          <w:snapToGrid/>
          <w:szCs w:val="22"/>
          <w:lang w:val="el-GR"/>
        </w:rPr>
        <w:t>% της μετρ</w:t>
      </w:r>
      <w:r>
        <w:rPr>
          <w:snapToGrid/>
          <w:szCs w:val="22"/>
          <w:lang w:val="el-GR"/>
        </w:rPr>
        <w:t>ηθείσας</w:t>
      </w:r>
      <w:r w:rsidRPr="00FC2F1F">
        <w:rPr>
          <w:snapToGrid/>
          <w:szCs w:val="22"/>
          <w:lang w:val="el-GR"/>
        </w:rPr>
        <w:t xml:space="preserve"> ραδιενέργειας στο πλάσμα. Τα ισοένζυμα του κυτοχρώματος Ρ450 δεν εμπλέκονται στο μεταβολισμό της τελμισαρτάνης.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υδροχλωροθειαζίδη δε</w:t>
      </w:r>
      <w:r>
        <w:rPr>
          <w:snapToGrid/>
          <w:szCs w:val="22"/>
          <w:lang w:val="el-GR"/>
        </w:rPr>
        <w:t>ν</w:t>
      </w:r>
      <w:r w:rsidRPr="00FC2F1F">
        <w:rPr>
          <w:snapToGrid/>
          <w:szCs w:val="22"/>
          <w:lang w:val="el-GR"/>
        </w:rPr>
        <w:t xml:space="preserve"> μεταβολίζεται στον άνθρωπο.</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Αποβολή</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Τελμισαρτάνη: Μετά από ενδοφλέβια ή από στόματος χορήγηση επισημασμένης με </w:t>
      </w:r>
      <w:r w:rsidRPr="00FC2F1F">
        <w:rPr>
          <w:snapToGrid/>
          <w:szCs w:val="22"/>
          <w:vertAlign w:val="superscript"/>
          <w:lang w:val="el-GR"/>
        </w:rPr>
        <w:t>14</w:t>
      </w:r>
      <w:r w:rsidRPr="00FC2F1F">
        <w:rPr>
          <w:snapToGrid/>
          <w:szCs w:val="22"/>
          <w:lang w:val="el-GR"/>
        </w:rPr>
        <w:t>C τελμισαρτάνης, το μεγαλύτερο μέρος της χορηγηθείσας δόσης (&gt;97 %) αποβλήθηκε στα κόπρανα μέσω απέκκρισης δια της χολής. Μόνο ελάχιστ</w:t>
      </w:r>
      <w:r>
        <w:rPr>
          <w:snapToGrid/>
          <w:szCs w:val="22"/>
          <w:lang w:val="el-GR"/>
        </w:rPr>
        <w:t>ες</w:t>
      </w:r>
      <w:r w:rsidRPr="00FC2F1F">
        <w:rPr>
          <w:snapToGrid/>
          <w:szCs w:val="22"/>
          <w:lang w:val="el-GR"/>
        </w:rPr>
        <w:t xml:space="preserve"> ποσ</w:t>
      </w:r>
      <w:r>
        <w:rPr>
          <w:snapToGrid/>
          <w:szCs w:val="22"/>
          <w:lang w:val="el-GR"/>
        </w:rPr>
        <w:t>ότητες</w:t>
      </w:r>
      <w:r w:rsidRPr="00FC2F1F">
        <w:rPr>
          <w:snapToGrid/>
          <w:szCs w:val="22"/>
          <w:lang w:val="el-GR"/>
        </w:rPr>
        <w:t xml:space="preserve"> ανιχνεύτηκαν στα ούρα. Η ολική κάθαρση της τελμισαρτάνης </w:t>
      </w:r>
      <w:r>
        <w:rPr>
          <w:snapToGrid/>
          <w:szCs w:val="22"/>
          <w:lang w:val="el-GR"/>
        </w:rPr>
        <w:t xml:space="preserve">στο πλάσμα </w:t>
      </w:r>
      <w:r w:rsidRPr="00FC2F1F">
        <w:rPr>
          <w:snapToGrid/>
          <w:szCs w:val="22"/>
          <w:lang w:val="el-GR"/>
        </w:rPr>
        <w:t xml:space="preserve">μετά </w:t>
      </w:r>
      <w:r>
        <w:rPr>
          <w:snapToGrid/>
          <w:szCs w:val="22"/>
          <w:lang w:val="el-GR"/>
        </w:rPr>
        <w:t xml:space="preserve">την </w:t>
      </w:r>
      <w:r w:rsidRPr="00FC2F1F">
        <w:rPr>
          <w:snapToGrid/>
          <w:szCs w:val="22"/>
          <w:lang w:val="el-GR"/>
        </w:rPr>
        <w:t>από του στόματος χορήγηση είναι &gt;1</w:t>
      </w:r>
      <w:r>
        <w:rPr>
          <w:snapToGrid/>
          <w:szCs w:val="22"/>
          <w:lang w:val="el-GR"/>
        </w:rPr>
        <w:t>.</w:t>
      </w:r>
      <w:r w:rsidRPr="00FC2F1F">
        <w:rPr>
          <w:snapToGrid/>
          <w:szCs w:val="22"/>
          <w:lang w:val="el-GR"/>
        </w:rPr>
        <w:t xml:space="preserve">500 ml/min. Ο τελικός χρόνος ημίσειας ζωής </w:t>
      </w:r>
      <w:r>
        <w:rPr>
          <w:snapToGrid/>
          <w:szCs w:val="22"/>
          <w:lang w:val="el-GR"/>
        </w:rPr>
        <w:t xml:space="preserve">της </w:t>
      </w:r>
      <w:r w:rsidRPr="00FC2F1F">
        <w:rPr>
          <w:snapToGrid/>
          <w:szCs w:val="22"/>
          <w:lang w:val="el-GR"/>
        </w:rPr>
        <w:t>αποβολής ήταν &gt;20 ώρες.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υδροχλωροθειαζίδη απεκκρίνεται σχεδόν εξ ολοκλήρου ως αμετάβλητη ουσία στα ούρα. Περίπου </w:t>
      </w:r>
      <w:r>
        <w:rPr>
          <w:snapToGrid/>
          <w:szCs w:val="22"/>
          <w:lang w:val="el-GR"/>
        </w:rPr>
        <w:t xml:space="preserve">το </w:t>
      </w:r>
      <w:r w:rsidRPr="00FC2F1F">
        <w:rPr>
          <w:snapToGrid/>
          <w:szCs w:val="22"/>
          <w:lang w:val="el-GR"/>
        </w:rPr>
        <w:t>60 % της από του στόματος δόσης αποβάλλεται εντός 48 ωρών. Η νεφρική κάθαρση είναι περίπου 250 – 300 ml/min. Ο τελικός χρόνος ημίσειας ζωής για την απο</w:t>
      </w:r>
      <w:r>
        <w:rPr>
          <w:snapToGrid/>
          <w:szCs w:val="22"/>
          <w:lang w:val="el-GR"/>
        </w:rPr>
        <w:t>βολή</w:t>
      </w:r>
      <w:r w:rsidRPr="00FC2F1F">
        <w:rPr>
          <w:snapToGrid/>
          <w:szCs w:val="22"/>
          <w:lang w:val="el-GR"/>
        </w:rPr>
        <w:t xml:space="preserve"> της υδροχλωροθειαζίδης είναι 10 – 15 ώρες.</w:t>
      </w:r>
    </w:p>
    <w:p w:rsidR="004B4423" w:rsidRPr="00FC2F1F" w:rsidRDefault="004B4423" w:rsidP="004B4423">
      <w:pPr>
        <w:widowControl w:val="0"/>
        <w:spacing w:line="240" w:lineRule="auto"/>
        <w:rPr>
          <w:noProof/>
          <w:szCs w:val="22"/>
          <w:lang w:val="el-GR"/>
        </w:rPr>
      </w:pPr>
    </w:p>
    <w:p w:rsidR="004B4423" w:rsidRPr="002210C0" w:rsidRDefault="004B4423" w:rsidP="004B4423">
      <w:pPr>
        <w:widowControl w:val="0"/>
        <w:tabs>
          <w:tab w:val="clear" w:pos="567"/>
        </w:tabs>
        <w:autoSpaceDE w:val="0"/>
        <w:autoSpaceDN w:val="0"/>
        <w:adjustRightInd w:val="0"/>
        <w:spacing w:line="240" w:lineRule="auto"/>
        <w:rPr>
          <w:iCs/>
          <w:snapToGrid/>
          <w:szCs w:val="22"/>
          <w:u w:val="single"/>
          <w:lang w:val="el-GR"/>
        </w:rPr>
      </w:pPr>
      <w:r w:rsidRPr="002210C0">
        <w:rPr>
          <w:iCs/>
          <w:snapToGrid/>
          <w:szCs w:val="22"/>
          <w:u w:val="single"/>
          <w:lang w:val="el-GR"/>
        </w:rPr>
        <w:t>Γραμμικότητα/μη</w:t>
      </w:r>
      <w:r w:rsidR="00663E0D">
        <w:rPr>
          <w:iCs/>
          <w:snapToGrid/>
          <w:szCs w:val="22"/>
          <w:u w:val="single"/>
          <w:lang w:val="el-GR"/>
        </w:rPr>
        <w:t xml:space="preserve"> </w:t>
      </w:r>
      <w:r w:rsidRPr="002210C0">
        <w:rPr>
          <w:iCs/>
          <w:snapToGrid/>
          <w:szCs w:val="22"/>
          <w:u w:val="single"/>
          <w:lang w:val="el-GR"/>
        </w:rPr>
        <w:t>γραμμικότητα</w:t>
      </w:r>
    </w:p>
    <w:p w:rsidR="004B4423" w:rsidRPr="002210C0" w:rsidRDefault="004B4423" w:rsidP="004B4423">
      <w:pPr>
        <w:widowControl w:val="0"/>
        <w:tabs>
          <w:tab w:val="clear" w:pos="567"/>
        </w:tabs>
        <w:autoSpaceDE w:val="0"/>
        <w:autoSpaceDN w:val="0"/>
        <w:adjustRightInd w:val="0"/>
        <w:spacing w:line="240" w:lineRule="auto"/>
        <w:rPr>
          <w:iCs/>
          <w:snapToGrid/>
          <w:szCs w:val="22"/>
          <w:lang w:val="el-GR"/>
        </w:rPr>
      </w:pPr>
      <w:r>
        <w:rPr>
          <w:iCs/>
          <w:snapToGrid/>
          <w:szCs w:val="22"/>
          <w:lang w:val="el-GR"/>
        </w:rPr>
        <w:t>Τελμισαρτάνη:</w:t>
      </w:r>
      <w:r w:rsidRPr="00F1788E">
        <w:rPr>
          <w:snapToGrid/>
          <w:szCs w:val="22"/>
          <w:lang w:val="el-GR"/>
        </w:rPr>
        <w:t xml:space="preserve"> </w:t>
      </w:r>
      <w:r w:rsidRPr="00F1788E">
        <w:rPr>
          <w:iCs/>
          <w:snapToGrid/>
          <w:szCs w:val="22"/>
          <w:lang w:val="el-GR"/>
        </w:rPr>
        <w:t xml:space="preserve">Η φαρμακοκινητική της από στόματος χορηγούμενης τελμισαρτάνης είναι μη γραμμική σε εύρος δόσεων </w:t>
      </w:r>
      <w:r>
        <w:rPr>
          <w:iCs/>
          <w:snapToGrid/>
          <w:szCs w:val="22"/>
          <w:lang w:val="el-GR"/>
        </w:rPr>
        <w:t xml:space="preserve">από </w:t>
      </w:r>
      <w:r w:rsidRPr="00F1788E">
        <w:rPr>
          <w:iCs/>
          <w:snapToGrid/>
          <w:szCs w:val="22"/>
          <w:lang w:val="el-GR"/>
        </w:rPr>
        <w:t xml:space="preserve">20 – 160 mg με μεγαλύτερες </w:t>
      </w:r>
      <w:r>
        <w:rPr>
          <w:iCs/>
          <w:snapToGrid/>
          <w:szCs w:val="22"/>
          <w:lang w:val="el-GR"/>
        </w:rPr>
        <w:t xml:space="preserve">από ότι </w:t>
      </w:r>
      <w:r w:rsidRPr="00F1788E">
        <w:rPr>
          <w:iCs/>
          <w:snapToGrid/>
          <w:szCs w:val="22"/>
          <w:lang w:val="el-GR"/>
        </w:rPr>
        <w:t>αναλογικ</w:t>
      </w:r>
      <w:r>
        <w:rPr>
          <w:iCs/>
          <w:snapToGrid/>
          <w:szCs w:val="22"/>
          <w:lang w:val="el-GR"/>
        </w:rPr>
        <w:t>ές</w:t>
      </w:r>
      <w:r w:rsidRPr="00F1788E">
        <w:rPr>
          <w:iCs/>
          <w:snapToGrid/>
          <w:szCs w:val="22"/>
          <w:lang w:val="el-GR"/>
        </w:rPr>
        <w:t xml:space="preserve"> αυξήσεις </w:t>
      </w:r>
      <w:r>
        <w:rPr>
          <w:iCs/>
          <w:snapToGrid/>
          <w:szCs w:val="22"/>
          <w:lang w:val="el-GR"/>
        </w:rPr>
        <w:t>των</w:t>
      </w:r>
      <w:r w:rsidRPr="00F1788E">
        <w:rPr>
          <w:iCs/>
          <w:snapToGrid/>
          <w:szCs w:val="22"/>
          <w:lang w:val="el-GR"/>
        </w:rPr>
        <w:t xml:space="preserve"> συγκεντρώσε</w:t>
      </w:r>
      <w:r>
        <w:rPr>
          <w:iCs/>
          <w:snapToGrid/>
          <w:szCs w:val="22"/>
          <w:lang w:val="el-GR"/>
        </w:rPr>
        <w:t>ων</w:t>
      </w:r>
      <w:r w:rsidRPr="00F1788E">
        <w:rPr>
          <w:iCs/>
          <w:snapToGrid/>
          <w:szCs w:val="22"/>
          <w:lang w:val="el-GR"/>
        </w:rPr>
        <w:t xml:space="preserve"> </w:t>
      </w:r>
      <w:r>
        <w:rPr>
          <w:iCs/>
          <w:snapToGrid/>
          <w:szCs w:val="22"/>
          <w:lang w:val="el-GR"/>
        </w:rPr>
        <w:t xml:space="preserve">στο </w:t>
      </w:r>
      <w:r w:rsidRPr="00F1788E">
        <w:rPr>
          <w:iCs/>
          <w:snapToGrid/>
          <w:szCs w:val="22"/>
          <w:lang w:val="el-GR"/>
        </w:rPr>
        <w:t>πλάσμα (C</w:t>
      </w:r>
      <w:r w:rsidRPr="00F1788E">
        <w:rPr>
          <w:iCs/>
          <w:snapToGrid/>
          <w:szCs w:val="22"/>
          <w:vertAlign w:val="subscript"/>
          <w:lang w:val="el-GR"/>
        </w:rPr>
        <w:t>max</w:t>
      </w:r>
      <w:r w:rsidRPr="00F1788E">
        <w:rPr>
          <w:iCs/>
          <w:snapToGrid/>
          <w:szCs w:val="22"/>
          <w:lang w:val="el-GR"/>
        </w:rPr>
        <w:t xml:space="preserve"> και AUC) με </w:t>
      </w:r>
      <w:r>
        <w:rPr>
          <w:iCs/>
          <w:snapToGrid/>
          <w:szCs w:val="22"/>
          <w:lang w:val="el-GR"/>
        </w:rPr>
        <w:t>αυξανόμενες δόσεις</w:t>
      </w:r>
      <w:r w:rsidRPr="00F1788E">
        <w:rPr>
          <w:iCs/>
          <w:snapToGrid/>
          <w:szCs w:val="22"/>
          <w:lang w:val="el-GR"/>
        </w:rPr>
        <w:t>.</w:t>
      </w:r>
    </w:p>
    <w:p w:rsidR="004B4423" w:rsidRPr="002210C0" w:rsidRDefault="004B4423" w:rsidP="004B4423">
      <w:pPr>
        <w:widowControl w:val="0"/>
        <w:tabs>
          <w:tab w:val="clear" w:pos="567"/>
        </w:tabs>
        <w:autoSpaceDE w:val="0"/>
        <w:autoSpaceDN w:val="0"/>
        <w:adjustRightInd w:val="0"/>
        <w:spacing w:line="240" w:lineRule="auto"/>
        <w:rPr>
          <w:iCs/>
          <w:snapToGrid/>
          <w:szCs w:val="22"/>
          <w:lang w:val="el-GR"/>
        </w:rPr>
      </w:pPr>
      <w:r>
        <w:rPr>
          <w:szCs w:val="22"/>
          <w:lang w:val="el-GR"/>
        </w:rPr>
        <w:t xml:space="preserve">Η </w:t>
      </w:r>
      <w:r>
        <w:rPr>
          <w:lang w:val="el-GR"/>
        </w:rPr>
        <w:t>υδροχλωροθειαζίδη εμφανίζει γραμμική φαρμακοκινητική.</w:t>
      </w:r>
    </w:p>
    <w:p w:rsidR="004B4423" w:rsidRDefault="004B4423" w:rsidP="004B4423">
      <w:pPr>
        <w:widowControl w:val="0"/>
        <w:tabs>
          <w:tab w:val="clear" w:pos="567"/>
        </w:tabs>
        <w:autoSpaceDE w:val="0"/>
        <w:autoSpaceDN w:val="0"/>
        <w:adjustRightInd w:val="0"/>
        <w:spacing w:line="240" w:lineRule="auto"/>
        <w:rPr>
          <w:i/>
          <w:iCs/>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Ηλικιωμένοι</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φαρμακοκινητική της τελμισαρτάνης δε</w:t>
      </w:r>
      <w:r>
        <w:rPr>
          <w:snapToGrid/>
          <w:szCs w:val="22"/>
          <w:lang w:val="el-GR"/>
        </w:rPr>
        <w:t>ν</w:t>
      </w:r>
      <w:r w:rsidRPr="00FC2F1F">
        <w:rPr>
          <w:snapToGrid/>
          <w:szCs w:val="22"/>
          <w:lang w:val="el-GR"/>
        </w:rPr>
        <w:t xml:space="preserve"> διαφέρει μεταξύ των ηλικιωμένων και των νε</w:t>
      </w:r>
      <w:r>
        <w:rPr>
          <w:snapToGrid/>
          <w:szCs w:val="22"/>
          <w:lang w:val="el-GR"/>
        </w:rPr>
        <w:t>αρό</w:t>
      </w:r>
      <w:r w:rsidRPr="00FC2F1F">
        <w:rPr>
          <w:snapToGrid/>
          <w:szCs w:val="22"/>
          <w:lang w:val="el-GR"/>
        </w:rPr>
        <w:t>τ</w:t>
      </w:r>
      <w:r>
        <w:rPr>
          <w:snapToGrid/>
          <w:szCs w:val="22"/>
          <w:lang w:val="el-GR"/>
        </w:rPr>
        <w:t>ε</w:t>
      </w:r>
      <w:r w:rsidRPr="00FC2F1F">
        <w:rPr>
          <w:snapToGrid/>
          <w:szCs w:val="22"/>
          <w:lang w:val="el-GR"/>
        </w:rPr>
        <w:t>ρων από 65 ετών.</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Φύλο</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Οι συγκεντρώσεις της τελμισαρτάνης </w:t>
      </w:r>
      <w:r>
        <w:rPr>
          <w:snapToGrid/>
          <w:szCs w:val="22"/>
          <w:lang w:val="el-GR"/>
        </w:rPr>
        <w:t xml:space="preserve">στο πλάσμα </w:t>
      </w:r>
      <w:r w:rsidRPr="00FC2F1F">
        <w:rPr>
          <w:snapToGrid/>
          <w:szCs w:val="22"/>
          <w:lang w:val="el-GR"/>
        </w:rPr>
        <w:t xml:space="preserve">είναι γενικά 2 – 3 φορές υψηλότερες στις γυναίκες από </w:t>
      </w:r>
      <w:r>
        <w:rPr>
          <w:snapToGrid/>
          <w:szCs w:val="22"/>
          <w:lang w:val="el-GR"/>
        </w:rPr>
        <w:t>ότι σ</w:t>
      </w:r>
      <w:r w:rsidRPr="00FC2F1F">
        <w:rPr>
          <w:snapToGrid/>
          <w:szCs w:val="22"/>
          <w:lang w:val="el-GR"/>
        </w:rPr>
        <w:t>τους άνδρες. Εντούτοις στις κλινικές δοκιμές, δε</w:t>
      </w:r>
      <w:r>
        <w:rPr>
          <w:snapToGrid/>
          <w:szCs w:val="22"/>
          <w:lang w:val="el-GR"/>
        </w:rPr>
        <w:t>ν</w:t>
      </w:r>
      <w:r w:rsidRPr="00FC2F1F">
        <w:rPr>
          <w:snapToGrid/>
          <w:szCs w:val="22"/>
          <w:lang w:val="el-GR"/>
        </w:rPr>
        <w:t xml:space="preserve"> βρέθηκε σημαντικά αυξημένη ανταπόκριση στην αρτηριακή πίεση ή στη συχνότητα εμφάνισης ορθοστατικής υπότασης στις γυναίκες. Δεν ήταν απαραίτητη τροποποίηση της δοσολογίας. Υπήρ</w:t>
      </w:r>
      <w:r>
        <w:rPr>
          <w:snapToGrid/>
          <w:szCs w:val="22"/>
          <w:lang w:val="el-GR"/>
        </w:rPr>
        <w:t>ξ</w:t>
      </w:r>
      <w:r w:rsidRPr="00FC2F1F">
        <w:rPr>
          <w:snapToGrid/>
          <w:szCs w:val="22"/>
          <w:lang w:val="el-GR"/>
        </w:rPr>
        <w:t xml:space="preserve">ε μία τάση για υψηλότερες συγκεντρώσεις υδροχλωροθειαζίδης </w:t>
      </w:r>
      <w:r>
        <w:rPr>
          <w:snapToGrid/>
          <w:szCs w:val="22"/>
          <w:lang w:val="el-GR"/>
        </w:rPr>
        <w:t>στο πλάσμα</w:t>
      </w:r>
      <w:r w:rsidRPr="00FC2F1F">
        <w:rPr>
          <w:snapToGrid/>
          <w:szCs w:val="22"/>
          <w:lang w:val="el-GR"/>
        </w:rPr>
        <w:t xml:space="preserve"> </w:t>
      </w:r>
      <w:r>
        <w:rPr>
          <w:snapToGrid/>
          <w:szCs w:val="22"/>
          <w:lang w:val="el-GR"/>
        </w:rPr>
        <w:t xml:space="preserve">των </w:t>
      </w:r>
      <w:r w:rsidRPr="00FC2F1F">
        <w:rPr>
          <w:snapToGrid/>
          <w:szCs w:val="22"/>
          <w:lang w:val="el-GR"/>
        </w:rPr>
        <w:t>γυνα</w:t>
      </w:r>
      <w:r>
        <w:rPr>
          <w:snapToGrid/>
          <w:szCs w:val="22"/>
          <w:lang w:val="el-GR"/>
        </w:rPr>
        <w:t>ικών</w:t>
      </w:r>
      <w:r w:rsidRPr="00FC2F1F">
        <w:rPr>
          <w:snapToGrid/>
          <w:szCs w:val="22"/>
          <w:lang w:val="el-GR"/>
        </w:rPr>
        <w:t xml:space="preserve"> από ότι </w:t>
      </w:r>
      <w:r>
        <w:rPr>
          <w:snapToGrid/>
          <w:szCs w:val="22"/>
          <w:lang w:val="el-GR"/>
        </w:rPr>
        <w:t>των</w:t>
      </w:r>
      <w:r w:rsidRPr="00FC2F1F">
        <w:rPr>
          <w:snapToGrid/>
          <w:szCs w:val="22"/>
          <w:lang w:val="el-GR"/>
        </w:rPr>
        <w:t xml:space="preserve"> </w:t>
      </w:r>
      <w:r>
        <w:rPr>
          <w:snapToGrid/>
          <w:szCs w:val="22"/>
          <w:lang w:val="el-GR"/>
        </w:rPr>
        <w:t>α</w:t>
      </w:r>
      <w:r w:rsidRPr="00FC2F1F">
        <w:rPr>
          <w:snapToGrid/>
          <w:szCs w:val="22"/>
          <w:lang w:val="el-GR"/>
        </w:rPr>
        <w:t>νδρ</w:t>
      </w:r>
      <w:r>
        <w:rPr>
          <w:snapToGrid/>
          <w:szCs w:val="22"/>
          <w:lang w:val="el-GR"/>
        </w:rPr>
        <w:t>ών</w:t>
      </w:r>
      <w:r w:rsidRPr="00FC2F1F">
        <w:rPr>
          <w:snapToGrid/>
          <w:szCs w:val="22"/>
          <w:lang w:val="el-GR"/>
        </w:rPr>
        <w:t>. Αυτό δε</w:t>
      </w:r>
      <w:r>
        <w:rPr>
          <w:snapToGrid/>
          <w:szCs w:val="22"/>
          <w:lang w:val="el-GR"/>
        </w:rPr>
        <w:t>ν</w:t>
      </w:r>
      <w:r w:rsidRPr="00FC2F1F">
        <w:rPr>
          <w:snapToGrid/>
          <w:szCs w:val="22"/>
          <w:lang w:val="el-GR"/>
        </w:rPr>
        <w:t xml:space="preserve"> θεωρείται ότι έχει κλινική σημασία.</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Νεφρική δυσλειτουργία</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νεφρική απέκκριση δε</w:t>
      </w:r>
      <w:r>
        <w:rPr>
          <w:snapToGrid/>
          <w:szCs w:val="22"/>
          <w:lang w:val="el-GR"/>
        </w:rPr>
        <w:t>ν</w:t>
      </w:r>
      <w:r w:rsidRPr="00FC2F1F">
        <w:rPr>
          <w:snapToGrid/>
          <w:szCs w:val="22"/>
          <w:lang w:val="el-GR"/>
        </w:rPr>
        <w:t xml:space="preserve"> συνεισφέρει στην κάθαρση της τελμισαρτάνης. Με βάση </w:t>
      </w:r>
      <w:r>
        <w:rPr>
          <w:snapToGrid/>
          <w:szCs w:val="22"/>
          <w:lang w:val="el-GR"/>
        </w:rPr>
        <w:t>περιορισμένη</w:t>
      </w:r>
      <w:r w:rsidRPr="00FC2F1F">
        <w:rPr>
          <w:snapToGrid/>
          <w:szCs w:val="22"/>
          <w:lang w:val="el-GR"/>
        </w:rPr>
        <w:t xml:space="preserve"> εμπειρία σε ασθενείς με ήπια έως μ</w:t>
      </w:r>
      <w:r>
        <w:rPr>
          <w:snapToGrid/>
          <w:szCs w:val="22"/>
          <w:lang w:val="el-GR"/>
        </w:rPr>
        <w:t>ετρίου</w:t>
      </w:r>
      <w:r w:rsidRPr="00FC2F1F">
        <w:rPr>
          <w:snapToGrid/>
          <w:szCs w:val="22"/>
          <w:lang w:val="el-GR"/>
        </w:rPr>
        <w:t xml:space="preserve"> </w:t>
      </w:r>
      <w:r>
        <w:rPr>
          <w:snapToGrid/>
          <w:szCs w:val="22"/>
          <w:lang w:val="el-GR"/>
        </w:rPr>
        <w:t xml:space="preserve">βαθμού </w:t>
      </w:r>
      <w:r w:rsidRPr="00FC2F1F">
        <w:rPr>
          <w:snapToGrid/>
          <w:szCs w:val="22"/>
          <w:lang w:val="el-GR"/>
        </w:rPr>
        <w:t>νεφρική δυσλειτουργία (κάθαρση κρεατινίνης 30</w:t>
      </w:r>
      <w:r>
        <w:rPr>
          <w:snapToGrid/>
          <w:szCs w:val="22"/>
          <w:lang w:val="el-GR"/>
        </w:rPr>
        <w:t xml:space="preserve"> </w:t>
      </w:r>
      <w:r w:rsidRPr="00FC2F1F">
        <w:rPr>
          <w:snapToGrid/>
          <w:szCs w:val="22"/>
          <w:lang w:val="el-GR"/>
        </w:rPr>
        <w:t>-</w:t>
      </w:r>
      <w:r>
        <w:rPr>
          <w:snapToGrid/>
          <w:szCs w:val="22"/>
          <w:lang w:val="el-GR"/>
        </w:rPr>
        <w:t xml:space="preserve"> </w:t>
      </w:r>
      <w:r w:rsidRPr="00FC2F1F">
        <w:rPr>
          <w:snapToGrid/>
          <w:szCs w:val="22"/>
          <w:lang w:val="el-GR"/>
        </w:rPr>
        <w:t>60 ml/min, μέση τιμή περίπου 50 ml/min) δεν απαιτείται τροποποίηση της δοσολογίας σε ασθενείς με μειωμένη νεφρική λειτουργία. Η τελμισαρτάνη δεν απομακρύνεται από το αίμα με αιμοκάθαρση. Σε ασθενείς με μειωμένη νεφρική λειτουργία ο ρυθμός αποβολής της υδροχλωροθειαζίδης είναι ελαττωμένος. Σε μια τυπική μελέτη σε ασθενείς με μέση κάθαρση κρεατινίνης 90 ml/min ο χρόνος ημίσειας ζωής για την απο</w:t>
      </w:r>
      <w:r>
        <w:rPr>
          <w:snapToGrid/>
          <w:szCs w:val="22"/>
          <w:lang w:val="el-GR"/>
        </w:rPr>
        <w:t>βολή</w:t>
      </w:r>
      <w:r w:rsidRPr="00FC2F1F">
        <w:rPr>
          <w:snapToGrid/>
          <w:szCs w:val="22"/>
          <w:lang w:val="el-GR"/>
        </w:rPr>
        <w:t xml:space="preserve"> της</w:t>
      </w:r>
      <w:r>
        <w:rPr>
          <w:snapToGrid/>
          <w:szCs w:val="22"/>
          <w:lang w:val="sl-SI"/>
        </w:rPr>
        <w:t xml:space="preserve"> </w:t>
      </w:r>
      <w:r w:rsidRPr="00FC2F1F">
        <w:rPr>
          <w:snapToGrid/>
          <w:szCs w:val="22"/>
          <w:lang w:val="el-GR"/>
        </w:rPr>
        <w:t>υδροχλωροθειαζίδης ήταν αυξημένος. Σε λειτουργικά ανεφρικούς ασθενείς ο χρόνος ημίσειας ζωής για την απο</w:t>
      </w:r>
      <w:r>
        <w:rPr>
          <w:snapToGrid/>
          <w:szCs w:val="22"/>
          <w:lang w:val="el-GR"/>
        </w:rPr>
        <w:t>βολή</w:t>
      </w:r>
      <w:r w:rsidRPr="00FC2F1F">
        <w:rPr>
          <w:snapToGrid/>
          <w:szCs w:val="22"/>
          <w:lang w:val="el-GR"/>
        </w:rPr>
        <w:t xml:space="preserve"> είναι περίπου 34 ώρες.</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4B4423" w:rsidRPr="00FC2F1F" w:rsidRDefault="004B4423" w:rsidP="004B4423">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Ηπατική δυσλειτουργία</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Μελέτες φαρμακοκινητικής σε ασθενείς με ηπατική δυσλειτουργία έδειξαν αύξηση στην απόλυτη βιοδιαθεσιμότητα έως σχεδόν 100 %. Ο χρόνος ημ</w:t>
      </w:r>
      <w:r>
        <w:rPr>
          <w:snapToGrid/>
          <w:szCs w:val="22"/>
          <w:lang w:val="el-GR"/>
        </w:rPr>
        <w:t xml:space="preserve">ίσειας </w:t>
      </w:r>
      <w:r w:rsidRPr="00FC2F1F">
        <w:rPr>
          <w:snapToGrid/>
          <w:szCs w:val="22"/>
          <w:lang w:val="el-GR"/>
        </w:rPr>
        <w:t>ζωής της απο</w:t>
      </w:r>
      <w:r>
        <w:rPr>
          <w:snapToGrid/>
          <w:szCs w:val="22"/>
          <w:lang w:val="el-GR"/>
        </w:rPr>
        <w:t>βολής</w:t>
      </w:r>
      <w:r w:rsidRPr="00FC2F1F">
        <w:rPr>
          <w:snapToGrid/>
          <w:szCs w:val="22"/>
          <w:lang w:val="el-GR"/>
        </w:rPr>
        <w:t xml:space="preserve"> δεν μεταβάλλεται σε ασθενείς με ηπατική </w:t>
      </w:r>
      <w:r>
        <w:rPr>
          <w:snapToGrid/>
          <w:szCs w:val="22"/>
          <w:lang w:val="el-GR"/>
        </w:rPr>
        <w:t>δυσλειτουργία</w:t>
      </w:r>
      <w:r w:rsidRPr="00FC2F1F">
        <w:rPr>
          <w:snapToGrid/>
          <w:szCs w:val="22"/>
          <w:lang w:val="el-GR"/>
        </w:rPr>
        <w:t>.</w:t>
      </w:r>
    </w:p>
    <w:p w:rsidR="004B4423" w:rsidRPr="00FC2F1F" w:rsidRDefault="004B4423" w:rsidP="004B4423">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5.3</w:t>
      </w:r>
      <w:r w:rsidRPr="00FC2F1F">
        <w:rPr>
          <w:b/>
          <w:noProof/>
          <w:szCs w:val="22"/>
          <w:lang w:val="el-GR"/>
        </w:rPr>
        <w:tab/>
        <w:t>Προκλινικά δεδομένα για την ασφάλεια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autoSpaceDE w:val="0"/>
        <w:autoSpaceDN w:val="0"/>
        <w:adjustRightInd w:val="0"/>
        <w:spacing w:line="240" w:lineRule="auto"/>
        <w:rPr>
          <w:snapToGrid/>
          <w:szCs w:val="22"/>
          <w:lang w:val="el-GR"/>
        </w:rPr>
      </w:pPr>
      <w:r w:rsidRPr="00FC2F1F">
        <w:rPr>
          <w:snapToGrid/>
          <w:szCs w:val="22"/>
          <w:lang w:val="el-GR"/>
        </w:rPr>
        <w:t>Για το προϊόν Συνδυασμ</w:t>
      </w:r>
      <w:r w:rsidR="004B4423">
        <w:rPr>
          <w:snapToGrid/>
          <w:szCs w:val="22"/>
          <w:lang w:val="el-GR"/>
        </w:rPr>
        <w:t>ού</w:t>
      </w:r>
      <w:r w:rsidRPr="00FC2F1F">
        <w:rPr>
          <w:snapToGrid/>
          <w:szCs w:val="22"/>
          <w:lang w:val="el-GR"/>
        </w:rPr>
        <w:t xml:space="preserve"> </w:t>
      </w:r>
      <w:r w:rsidR="004B4423">
        <w:rPr>
          <w:snapToGrid/>
          <w:szCs w:val="22"/>
          <w:lang w:val="el-GR"/>
        </w:rPr>
        <w:t xml:space="preserve">Σταθερών </w:t>
      </w:r>
      <w:r w:rsidRPr="00FC2F1F">
        <w:rPr>
          <w:snapToGrid/>
          <w:szCs w:val="22"/>
          <w:lang w:val="el-GR"/>
        </w:rPr>
        <w:t>Δόσεων 80</w:t>
      </w:r>
      <w:r>
        <w:rPr>
          <w:snapToGrid/>
          <w:szCs w:val="22"/>
          <w:lang w:val="el-GR"/>
        </w:rPr>
        <w:t> mg</w:t>
      </w:r>
      <w:r w:rsidRPr="00FC2F1F">
        <w:rPr>
          <w:snapToGrid/>
          <w:szCs w:val="22"/>
          <w:lang w:val="el-GR"/>
        </w:rPr>
        <w:t>/25</w:t>
      </w:r>
      <w:r>
        <w:rPr>
          <w:snapToGrid/>
          <w:szCs w:val="22"/>
          <w:lang w:val="el-GR"/>
        </w:rPr>
        <w:t> mg</w:t>
      </w:r>
      <w:r w:rsidRPr="00FC2F1F">
        <w:rPr>
          <w:snapToGrid/>
          <w:szCs w:val="22"/>
          <w:lang w:val="el-GR"/>
        </w:rPr>
        <w:t xml:space="preserve"> δε</w:t>
      </w:r>
      <w:r w:rsidR="00D33E21">
        <w:rPr>
          <w:snapToGrid/>
          <w:szCs w:val="22"/>
          <w:lang w:val="el-GR"/>
        </w:rPr>
        <w:t>ν</w:t>
      </w:r>
      <w:r w:rsidRPr="00FC2F1F">
        <w:rPr>
          <w:snapToGrid/>
          <w:szCs w:val="22"/>
          <w:lang w:val="el-GR"/>
        </w:rPr>
        <w:t xml:space="preserve"> διενεργήθηκαν επιπρόσθετες προκλινικές μελέτες.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Σε προκλινικές μελέτες ασφάλειας που διεξήχθησαν με συγχορήγηση τελμισαρτάνης και υδροχλωροθειαζίδης σε νορμοτασικούς αρουραίους και σκύλους, δόσεις που προκαλούν έκθεση συγκρίσιμη με αυτή του κλινικού θεραπευτικού εύρους δεν προκάλεσαν επιπρόσθετα ευρήματα που να μην έχουν ήδη παρατηρηθεί με τη χορήγηση </w:t>
      </w:r>
      <w:r w:rsidR="00D33E21">
        <w:rPr>
          <w:snapToGrid/>
          <w:szCs w:val="22"/>
          <w:lang w:val="el-GR"/>
        </w:rPr>
        <w:t xml:space="preserve">της </w:t>
      </w:r>
      <w:r w:rsidRPr="00FC2F1F">
        <w:rPr>
          <w:snapToGrid/>
          <w:szCs w:val="22"/>
          <w:lang w:val="el-GR"/>
        </w:rPr>
        <w:t>κάθε ουσίας χωριστά. Τα τοξικολογικά ευρήματα που παρατηρήθηκαν φαίνεται να μην έχουν σημασία στη θεραπευτική χρήση σε ανθρώπους.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Τοξικολογικά ευρήματα επίσης καλώς αναγνωρισμένα από προκλινικές μελέτες με αναστολείς του μετατρεπτικού ενζύμου της αγγειοτενσίνης και ανταγωνιστές των υποδοχέων της αγγειοτενσίνης ΙΙ ήταν: μείωση στις παραμέτρους της ερυθράς σειράς των κυττάρων του αίματος (ερυθροκύτταρα, αιμοσφαιρίνη, αιματοκρίτης), μεταβολές στην αιμοδυναμική των νεφρών (αύξηση τ</w:t>
      </w:r>
      <w:r w:rsidR="00663E0D">
        <w:rPr>
          <w:snapToGrid/>
          <w:szCs w:val="22"/>
          <w:lang w:val="el-GR"/>
        </w:rPr>
        <w:t>ου</w:t>
      </w:r>
      <w:r w:rsidRPr="00FC2F1F">
        <w:rPr>
          <w:snapToGrid/>
          <w:szCs w:val="22"/>
          <w:lang w:val="el-GR"/>
        </w:rPr>
        <w:t xml:space="preserve"> αζώτου </w:t>
      </w:r>
      <w:r w:rsidR="00C03142">
        <w:rPr>
          <w:snapToGrid/>
          <w:szCs w:val="22"/>
          <w:lang w:val="el-GR"/>
        </w:rPr>
        <w:t xml:space="preserve">ουρίας </w:t>
      </w:r>
      <w:r w:rsidRPr="00FC2F1F">
        <w:rPr>
          <w:snapToGrid/>
          <w:szCs w:val="22"/>
          <w:lang w:val="el-GR"/>
        </w:rPr>
        <w:t>και της κρεατινίνης</w:t>
      </w:r>
      <w:r w:rsidR="00D33E21">
        <w:rPr>
          <w:snapToGrid/>
          <w:szCs w:val="22"/>
          <w:lang w:val="el-GR"/>
        </w:rPr>
        <w:t xml:space="preserve"> αίματος</w:t>
      </w:r>
      <w:r w:rsidRPr="00FC2F1F">
        <w:rPr>
          <w:snapToGrid/>
          <w:szCs w:val="22"/>
          <w:lang w:val="el-GR"/>
        </w:rPr>
        <w:t xml:space="preserve">), αυξημένη δραστηριότητα ρενίνης πλάσματος, υπερτροφία/υπερπλασία των παρασπειραματικών κυττάρων και βλάβη του γαστρικού βλεννογόνου. Οι βλάβες του γαστρικού βλεννογόνου μπορούσαν να </w:t>
      </w:r>
      <w:r w:rsidR="00C03142">
        <w:rPr>
          <w:snapToGrid/>
          <w:szCs w:val="22"/>
          <w:lang w:val="el-GR"/>
        </w:rPr>
        <w:t>αποτραπούν</w:t>
      </w:r>
      <w:r w:rsidRPr="00FC2F1F">
        <w:rPr>
          <w:snapToGrid/>
          <w:szCs w:val="22"/>
          <w:lang w:val="el-GR"/>
        </w:rPr>
        <w:t xml:space="preserve">/ελαχιστοποιηθούν με τη χορήγηση από του στόματος </w:t>
      </w:r>
      <w:r w:rsidR="0041734A">
        <w:rPr>
          <w:snapToGrid/>
          <w:szCs w:val="22"/>
          <w:lang w:val="el-GR"/>
        </w:rPr>
        <w:t>διαλύματος χλωριούχου νατρίου</w:t>
      </w:r>
      <w:r w:rsidRPr="00FC2F1F">
        <w:rPr>
          <w:snapToGrid/>
          <w:szCs w:val="22"/>
          <w:lang w:val="el-GR"/>
        </w:rPr>
        <w:t xml:space="preserve"> και την ομαδική συγκατοίκηση των ζώων. Στους σκύλους παρατηρήθηκ</w:t>
      </w:r>
      <w:r w:rsidR="00D33E21">
        <w:rPr>
          <w:snapToGrid/>
          <w:szCs w:val="22"/>
          <w:lang w:val="el-GR"/>
        </w:rPr>
        <w:t>αν</w:t>
      </w:r>
      <w:r w:rsidRPr="00FC2F1F">
        <w:rPr>
          <w:snapToGrid/>
          <w:szCs w:val="22"/>
          <w:lang w:val="el-GR"/>
        </w:rPr>
        <w:t xml:space="preserve"> διάταση και ατροφία των νεφρικών σωληναρίων. Αυτά τα ευρήματα θεωρείται ότι οφείλονται σ</w:t>
      </w:r>
      <w:r w:rsidR="00D33E21">
        <w:rPr>
          <w:snapToGrid/>
          <w:szCs w:val="22"/>
          <w:lang w:val="el-GR"/>
        </w:rPr>
        <w:t>τη</w:t>
      </w:r>
      <w:r w:rsidRPr="00FC2F1F">
        <w:rPr>
          <w:snapToGrid/>
          <w:szCs w:val="22"/>
          <w:lang w:val="el-GR"/>
        </w:rPr>
        <w:t xml:space="preserve"> φαρμακολογική δραστηριότητα της τελμισαρτάνης.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Δεν υπάρχ</w:t>
      </w:r>
      <w:r w:rsidR="00D33E21">
        <w:rPr>
          <w:snapToGrid/>
          <w:szCs w:val="22"/>
          <w:lang w:val="el-GR"/>
        </w:rPr>
        <w:t>ει</w:t>
      </w:r>
      <w:r w:rsidRPr="00FC2F1F">
        <w:rPr>
          <w:snapToGrid/>
          <w:szCs w:val="22"/>
          <w:lang w:val="el-GR"/>
        </w:rPr>
        <w:t xml:space="preserve"> σαφή </w:t>
      </w:r>
      <w:r w:rsidR="00D33E21">
        <w:rPr>
          <w:snapToGrid/>
          <w:szCs w:val="22"/>
          <w:lang w:val="el-GR"/>
        </w:rPr>
        <w:t>ένδειξη</w:t>
      </w:r>
      <w:r w:rsidRPr="00FC2F1F">
        <w:rPr>
          <w:snapToGrid/>
          <w:szCs w:val="22"/>
          <w:lang w:val="el-GR"/>
        </w:rPr>
        <w:t xml:space="preserve"> τερατογόνου δράσης, αλλά σε τοξικά επίπεδα </w:t>
      </w:r>
      <w:r w:rsidR="00D33E21">
        <w:rPr>
          <w:snapToGrid/>
          <w:szCs w:val="22"/>
          <w:lang w:val="el-GR"/>
        </w:rPr>
        <w:t xml:space="preserve">δόσης </w:t>
      </w:r>
      <w:r w:rsidRPr="00FC2F1F">
        <w:rPr>
          <w:snapToGrid/>
          <w:szCs w:val="22"/>
          <w:lang w:val="el-GR"/>
        </w:rPr>
        <w:t>τελμισαρτάνης παρατηρήθηκε επίδραση στη μετ</w:t>
      </w:r>
      <w:r w:rsidR="00C03142">
        <w:rPr>
          <w:snapToGrid/>
          <w:szCs w:val="22"/>
          <w:lang w:val="el-GR"/>
        </w:rPr>
        <w:t>αγεννητική</w:t>
      </w:r>
      <w:r w:rsidRPr="00FC2F1F">
        <w:rPr>
          <w:snapToGrid/>
          <w:szCs w:val="22"/>
          <w:lang w:val="el-GR"/>
        </w:rPr>
        <w:t xml:space="preserve"> ανάπτυξη των απογόνων όπως χαμηλότερο σωματικό βάρος και καθυστέρηση στο άνοιγμα των ματιών.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τελμισαρτάνη δεν παρουσίασε καμία ένδειξη μεταλλ</w:t>
      </w:r>
      <w:r w:rsidR="00D33E21">
        <w:rPr>
          <w:snapToGrid/>
          <w:szCs w:val="22"/>
          <w:lang w:val="el-GR"/>
        </w:rPr>
        <w:t>αξιογόνου δράσης</w:t>
      </w:r>
      <w:r w:rsidRPr="00FC2F1F">
        <w:rPr>
          <w:snapToGrid/>
          <w:szCs w:val="22"/>
          <w:lang w:val="el-GR"/>
        </w:rPr>
        <w:t xml:space="preserve"> και σχετική</w:t>
      </w:r>
      <w:r w:rsidR="00D33E21">
        <w:rPr>
          <w:snapToGrid/>
          <w:szCs w:val="22"/>
          <w:lang w:val="el-GR"/>
        </w:rPr>
        <w:t>ς</w:t>
      </w:r>
      <w:r w:rsidRPr="00FC2F1F">
        <w:rPr>
          <w:snapToGrid/>
          <w:szCs w:val="22"/>
          <w:lang w:val="el-GR"/>
        </w:rPr>
        <w:t xml:space="preserve"> </w:t>
      </w:r>
      <w:r w:rsidR="00C03142">
        <w:rPr>
          <w:snapToGrid/>
          <w:szCs w:val="22"/>
          <w:lang w:val="el-GR"/>
        </w:rPr>
        <w:t>κλαστογόνου</w:t>
      </w:r>
      <w:r w:rsidRPr="00FC2F1F">
        <w:rPr>
          <w:snapToGrid/>
          <w:szCs w:val="22"/>
          <w:lang w:val="el-GR"/>
        </w:rPr>
        <w:t xml:space="preserve"> δραστηριότητα</w:t>
      </w:r>
      <w:r w:rsidR="00D33E21">
        <w:rPr>
          <w:snapToGrid/>
          <w:szCs w:val="22"/>
          <w:lang w:val="el-GR"/>
        </w:rPr>
        <w:t>ς</w:t>
      </w:r>
      <w:r w:rsidRPr="00FC2F1F">
        <w:rPr>
          <w:snapToGrid/>
          <w:szCs w:val="22"/>
          <w:lang w:val="el-GR"/>
        </w:rPr>
        <w:t xml:space="preserve"> σε in vitro μελέτες και καμία ένδειξη καρκινογένεσης σε αρουραίους και ποντ</w:t>
      </w:r>
      <w:r w:rsidR="00D33E21">
        <w:rPr>
          <w:snapToGrid/>
          <w:szCs w:val="22"/>
          <w:lang w:val="el-GR"/>
        </w:rPr>
        <w:t>ικούς</w:t>
      </w:r>
      <w:r w:rsidRPr="00FC2F1F">
        <w:rPr>
          <w:snapToGrid/>
          <w:szCs w:val="22"/>
          <w:lang w:val="el-GR"/>
        </w:rPr>
        <w:t>. Μελέτες με υδροχλωροθειαζίδη έχουν δείξει αμφίβολα αποτελέσματα για γονοτοξικές ή καρκινογόνες επιδράσεις σε μερικά πειραματικά μοντέλα. Εντούτοις, η εκτεταμένη εμπειρία χρήσης της υδροχλωροθειαζίδης στους ανθρώπους δεν έχει δείξει συσχέτιση μεταξύ της χρήσης</w:t>
      </w:r>
      <w:r w:rsidR="00D33E21">
        <w:rPr>
          <w:snapToGrid/>
          <w:szCs w:val="22"/>
          <w:lang w:val="el-GR"/>
        </w:rPr>
        <w:t xml:space="preserve"> της</w:t>
      </w:r>
      <w:r w:rsidRPr="00FC2F1F">
        <w:rPr>
          <w:snapToGrid/>
          <w:szCs w:val="22"/>
          <w:lang w:val="el-GR"/>
        </w:rPr>
        <w:t xml:space="preserve"> και </w:t>
      </w:r>
      <w:r w:rsidR="00D33E21">
        <w:rPr>
          <w:snapToGrid/>
          <w:szCs w:val="22"/>
          <w:lang w:val="el-GR"/>
        </w:rPr>
        <w:t xml:space="preserve">της </w:t>
      </w:r>
      <w:r w:rsidRPr="00FC2F1F">
        <w:rPr>
          <w:snapToGrid/>
          <w:szCs w:val="22"/>
          <w:lang w:val="el-GR"/>
        </w:rPr>
        <w:t>αύξησης των νεοπλασμάτων.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Για την ενδεχόμενη εμβρυοτοξικότητα του συνδυασμού τελμισαρτάνης/υδροχλωροθειαζίδης βλ. παράγραφο 4.6.</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w:t>
      </w:r>
      <w:r w:rsidRPr="00FC2F1F">
        <w:rPr>
          <w:b/>
          <w:noProof/>
          <w:szCs w:val="22"/>
          <w:lang w:val="el-GR"/>
        </w:rPr>
        <w:tab/>
        <w:t>ΦΑΡΜΑΚΕΥΤΙΚΕΣ ΠΛΗΡΟΦΟΡΙΕΣ</w:t>
      </w:r>
    </w:p>
    <w:p w:rsidR="00681191" w:rsidRPr="00FC2F1F" w:rsidRDefault="00681191" w:rsidP="00681191">
      <w:pPr>
        <w:widowControl w:val="0"/>
        <w:tabs>
          <w:tab w:val="clear" w:pos="567"/>
        </w:tabs>
        <w:spacing w:line="240" w:lineRule="auto"/>
        <w:ind w:left="567" w:hanging="567"/>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6.1</w:t>
      </w:r>
      <w:r w:rsidRPr="00FC2F1F">
        <w:rPr>
          <w:b/>
          <w:noProof/>
          <w:szCs w:val="22"/>
          <w:lang w:val="el-GR"/>
        </w:rPr>
        <w:tab/>
        <w:t>Κατάλογος εκδόχων</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Υδροξυπροπυλοκυτταρίνη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Λακτόζη μονουϋδρική</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Μαγνήσιο στεατικό</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Μαννιτόλη</w:t>
      </w:r>
    </w:p>
    <w:p w:rsidR="00681191" w:rsidRPr="0087056E" w:rsidRDefault="00681191" w:rsidP="00681191">
      <w:pPr>
        <w:widowControl w:val="0"/>
        <w:tabs>
          <w:tab w:val="clear" w:pos="567"/>
        </w:tabs>
        <w:autoSpaceDE w:val="0"/>
        <w:autoSpaceDN w:val="0"/>
        <w:adjustRightInd w:val="0"/>
        <w:spacing w:line="240" w:lineRule="auto"/>
        <w:rPr>
          <w:snapToGrid/>
          <w:szCs w:val="22"/>
          <w:lang w:val="sl-SI"/>
        </w:rPr>
      </w:pPr>
      <w:r>
        <w:rPr>
          <w:snapToGrid/>
          <w:szCs w:val="22"/>
          <w:lang w:val="el-GR"/>
        </w:rPr>
        <w:t>Μεγλουμίνη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Ποβιδόνη (K30)</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Οξείδιο του πυριτίου, κολλοειδές άνυδρο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Νατρίου υδροξείδιο (Ε524)</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Νάτριο στεατυλοφουμαρικό</w:t>
      </w:r>
    </w:p>
    <w:p w:rsidR="00681191" w:rsidRPr="0087056E" w:rsidRDefault="00681191" w:rsidP="00681191">
      <w:pPr>
        <w:widowControl w:val="0"/>
        <w:tabs>
          <w:tab w:val="clear" w:pos="567"/>
        </w:tabs>
        <w:autoSpaceDE w:val="0"/>
        <w:autoSpaceDN w:val="0"/>
        <w:adjustRightInd w:val="0"/>
        <w:spacing w:line="240" w:lineRule="auto"/>
        <w:rPr>
          <w:snapToGrid/>
          <w:szCs w:val="22"/>
          <w:lang w:val="sl-SI"/>
        </w:rPr>
      </w:pPr>
      <w:r>
        <w:rPr>
          <w:snapToGrid/>
          <w:szCs w:val="22"/>
          <w:lang w:val="el-GR"/>
        </w:rPr>
        <w:t>Σορβιτόλη (E420)</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Σιδήρου οξείδιο κίτρινο (E172)</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6.2</w:t>
      </w:r>
      <w:r w:rsidRPr="00FC2F1F">
        <w:rPr>
          <w:b/>
          <w:noProof/>
          <w:szCs w:val="22"/>
          <w:lang w:val="el-GR"/>
        </w:rPr>
        <w:tab/>
        <w:t>Ασυμβατότητες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Δεν εφαρμόζεται.</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6.3</w:t>
      </w:r>
      <w:r w:rsidRPr="00FC2F1F">
        <w:rPr>
          <w:b/>
          <w:noProof/>
          <w:szCs w:val="22"/>
          <w:lang w:val="el-GR"/>
        </w:rPr>
        <w:tab/>
        <w:t>Διάρκεια ζωής</w:t>
      </w:r>
    </w:p>
    <w:p w:rsidR="00681191" w:rsidRPr="00FC2F1F" w:rsidRDefault="00681191" w:rsidP="00681191">
      <w:pPr>
        <w:widowControl w:val="0"/>
        <w:spacing w:line="240" w:lineRule="auto"/>
        <w:rPr>
          <w:noProof/>
          <w:szCs w:val="22"/>
          <w:lang w:val="el-GR"/>
        </w:rPr>
      </w:pPr>
    </w:p>
    <w:p w:rsidR="0079102E" w:rsidRPr="00FC2F1F" w:rsidRDefault="0079102E" w:rsidP="0079102E">
      <w:pPr>
        <w:widowControl w:val="0"/>
        <w:spacing w:line="240" w:lineRule="auto"/>
        <w:rPr>
          <w:noProof/>
          <w:szCs w:val="22"/>
          <w:lang w:val="el-GR"/>
        </w:rPr>
      </w:pPr>
      <w:r w:rsidRPr="00FC2F1F">
        <w:rPr>
          <w:snapToGrid/>
          <w:szCs w:val="22"/>
          <w:lang w:val="el-GR"/>
        </w:rPr>
        <w:t xml:space="preserve">Κυψέλες </w:t>
      </w:r>
      <w:r w:rsidRPr="00FC2F1F">
        <w:rPr>
          <w:szCs w:val="22"/>
          <w:lang w:val="el-GR"/>
        </w:rPr>
        <w:t xml:space="preserve">(φύλλο OPA/Al/PVC//φύλλο Al): </w:t>
      </w:r>
      <w:r>
        <w:rPr>
          <w:noProof/>
          <w:szCs w:val="22"/>
          <w:lang w:val="sl-SI"/>
        </w:rPr>
        <w:t>3</w:t>
      </w:r>
      <w:r w:rsidRPr="00FC2F1F">
        <w:rPr>
          <w:noProof/>
          <w:szCs w:val="22"/>
          <w:lang w:val="el-GR"/>
        </w:rPr>
        <w:t xml:space="preserve"> χρόνια</w:t>
      </w:r>
    </w:p>
    <w:p w:rsidR="0079102E" w:rsidRDefault="0079102E" w:rsidP="0079102E">
      <w:pPr>
        <w:widowControl w:val="0"/>
        <w:spacing w:line="240" w:lineRule="auto"/>
        <w:rPr>
          <w:noProof/>
          <w:szCs w:val="22"/>
          <w:lang w:val="sl-SI"/>
        </w:rPr>
      </w:pPr>
      <w:r w:rsidRPr="00FC2F1F">
        <w:rPr>
          <w:szCs w:val="22"/>
          <w:lang w:val="el-GR"/>
        </w:rPr>
        <w:t>Κυψέλες (φύλλο OPA/Al/PE με ξηραντικό//φύλλο Al):</w:t>
      </w:r>
      <w:r w:rsidRPr="0079102E">
        <w:rPr>
          <w:noProof/>
          <w:szCs w:val="22"/>
          <w:lang w:val="sl-SI"/>
        </w:rPr>
        <w:t xml:space="preserve"> </w:t>
      </w:r>
      <w:r>
        <w:rPr>
          <w:noProof/>
          <w:szCs w:val="22"/>
          <w:lang w:val="sl-SI"/>
        </w:rPr>
        <w:t>2</w:t>
      </w:r>
      <w:r w:rsidRPr="00FC2F1F">
        <w:rPr>
          <w:noProof/>
          <w:szCs w:val="22"/>
          <w:lang w:val="el-GR"/>
        </w:rPr>
        <w:t xml:space="preserve"> χρόνια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6.4</w:t>
      </w:r>
      <w:r w:rsidRPr="00FC2F1F">
        <w:rPr>
          <w:b/>
          <w:noProof/>
          <w:szCs w:val="22"/>
          <w:lang w:val="el-GR"/>
        </w:rPr>
        <w:tab/>
        <w:t>Ιδιαίτερες προφυλάξεις κατά τη φύλαξη του προϊόντος</w:t>
      </w:r>
    </w:p>
    <w:p w:rsidR="00DE6430" w:rsidRDefault="00DE6430" w:rsidP="00DE6430">
      <w:pPr>
        <w:widowControl w:val="0"/>
        <w:tabs>
          <w:tab w:val="clear" w:pos="567"/>
        </w:tabs>
        <w:spacing w:line="240" w:lineRule="auto"/>
        <w:ind w:left="567" w:hanging="567"/>
        <w:rPr>
          <w:snapToGrid/>
          <w:lang w:val="sl-SI" w:eastAsia="ja-JP"/>
        </w:rPr>
      </w:pPr>
    </w:p>
    <w:p w:rsidR="00DA2572" w:rsidRPr="00FC2F1F" w:rsidRDefault="00DA2572" w:rsidP="00DA2572">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Το φαρμακευτικό αυτό προϊόν δεν απαιτεί ιδιαίτερες συνθήκες θερμοκρασίας για τη φύλαξή του.</w:t>
      </w:r>
    </w:p>
    <w:p w:rsidR="00DA2572" w:rsidRPr="00FC2F1F" w:rsidRDefault="00DA2572" w:rsidP="00DA2572">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Φυλάσσετ</w:t>
      </w:r>
      <w:r w:rsidR="005266E5">
        <w:rPr>
          <w:snapToGrid/>
          <w:szCs w:val="22"/>
          <w:lang w:val="el-GR"/>
        </w:rPr>
        <w:t>ε</w:t>
      </w:r>
      <w:r w:rsidRPr="00FC2F1F">
        <w:rPr>
          <w:snapToGrid/>
          <w:szCs w:val="22"/>
          <w:lang w:val="el-GR"/>
        </w:rPr>
        <w:t xml:space="preserve"> στην αρχική συσκευασία για να προστατεύεται από το φως.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6.5</w:t>
      </w:r>
      <w:r w:rsidRPr="00FC2F1F">
        <w:rPr>
          <w:b/>
          <w:noProof/>
          <w:szCs w:val="22"/>
          <w:lang w:val="el-GR"/>
        </w:rPr>
        <w:tab/>
        <w:t>Φύση και συστατικά του περιέκτη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zCs w:val="22"/>
          <w:lang w:val="el-GR"/>
        </w:rPr>
      </w:pPr>
      <w:r w:rsidRPr="00FC2F1F">
        <w:rPr>
          <w:snapToGrid/>
          <w:szCs w:val="22"/>
          <w:lang w:val="el-GR"/>
        </w:rPr>
        <w:t xml:space="preserve">Κυψέλες </w:t>
      </w:r>
      <w:r w:rsidRPr="00FC2F1F">
        <w:rPr>
          <w:szCs w:val="22"/>
          <w:lang w:val="el-GR"/>
        </w:rPr>
        <w:t>(φύλλο OPA/Al/PVC//φύλλο Al): 14</w:t>
      </w:r>
      <w:r w:rsidR="005266E5" w:rsidRPr="005266E5">
        <w:rPr>
          <w:szCs w:val="22"/>
        </w:rPr>
        <w:t> x </w:t>
      </w:r>
      <w:r w:rsidR="005266E5" w:rsidRPr="00B754A1">
        <w:rPr>
          <w:szCs w:val="22"/>
          <w:lang w:val="el-GR"/>
        </w:rPr>
        <w:t>1</w:t>
      </w:r>
      <w:r w:rsidRPr="00FC2F1F">
        <w:rPr>
          <w:szCs w:val="22"/>
          <w:lang w:val="el-GR"/>
        </w:rPr>
        <w:t>, 28</w:t>
      </w:r>
      <w:r w:rsidR="005266E5" w:rsidRPr="005266E5">
        <w:rPr>
          <w:szCs w:val="22"/>
        </w:rPr>
        <w:t> x </w:t>
      </w:r>
      <w:r w:rsidR="005266E5" w:rsidRPr="00B754A1">
        <w:rPr>
          <w:szCs w:val="22"/>
          <w:lang w:val="el-GR"/>
        </w:rPr>
        <w:t>1</w:t>
      </w:r>
      <w:r w:rsidRPr="00FC2F1F">
        <w:rPr>
          <w:szCs w:val="22"/>
          <w:lang w:val="el-GR"/>
        </w:rPr>
        <w:t>, 30</w:t>
      </w:r>
      <w:r w:rsidR="005266E5" w:rsidRPr="005266E5">
        <w:rPr>
          <w:szCs w:val="22"/>
        </w:rPr>
        <w:t> x </w:t>
      </w:r>
      <w:r w:rsidR="005266E5" w:rsidRPr="00B754A1">
        <w:rPr>
          <w:szCs w:val="22"/>
          <w:lang w:val="el-GR"/>
        </w:rPr>
        <w:t>1</w:t>
      </w:r>
      <w:r w:rsidRPr="00FC2F1F">
        <w:rPr>
          <w:szCs w:val="22"/>
          <w:lang w:val="el-GR"/>
        </w:rPr>
        <w:t>, 56</w:t>
      </w:r>
      <w:r w:rsidR="005266E5" w:rsidRPr="005266E5">
        <w:rPr>
          <w:szCs w:val="22"/>
        </w:rPr>
        <w:t> x </w:t>
      </w:r>
      <w:r w:rsidR="005266E5" w:rsidRPr="00B754A1">
        <w:rPr>
          <w:szCs w:val="22"/>
          <w:lang w:val="el-GR"/>
        </w:rPr>
        <w:t>1</w:t>
      </w:r>
      <w:r w:rsidRPr="00FC2F1F">
        <w:rPr>
          <w:szCs w:val="22"/>
          <w:lang w:val="el-GR"/>
        </w:rPr>
        <w:t>, 60</w:t>
      </w:r>
      <w:r w:rsidR="005266E5" w:rsidRPr="005266E5">
        <w:rPr>
          <w:szCs w:val="22"/>
        </w:rPr>
        <w:t> x </w:t>
      </w:r>
      <w:r w:rsidR="005266E5" w:rsidRPr="00B754A1">
        <w:rPr>
          <w:szCs w:val="22"/>
          <w:lang w:val="el-GR"/>
        </w:rPr>
        <w:t>1</w:t>
      </w:r>
      <w:r w:rsidRPr="00FC2F1F">
        <w:rPr>
          <w:szCs w:val="22"/>
          <w:lang w:val="el-GR"/>
        </w:rPr>
        <w:t>, 84</w:t>
      </w:r>
      <w:r w:rsidR="005266E5" w:rsidRPr="005266E5">
        <w:rPr>
          <w:szCs w:val="22"/>
        </w:rPr>
        <w:t> x </w:t>
      </w:r>
      <w:r w:rsidR="005266E5" w:rsidRPr="00B754A1">
        <w:rPr>
          <w:szCs w:val="22"/>
          <w:lang w:val="el-GR"/>
        </w:rPr>
        <w:t>1</w:t>
      </w:r>
      <w:r w:rsidRPr="00FC2F1F">
        <w:rPr>
          <w:szCs w:val="22"/>
          <w:lang w:val="el-GR"/>
        </w:rPr>
        <w:t>, 90</w:t>
      </w:r>
      <w:r w:rsidR="005266E5" w:rsidRPr="005266E5">
        <w:rPr>
          <w:szCs w:val="22"/>
        </w:rPr>
        <w:t> x </w:t>
      </w:r>
      <w:r w:rsidR="005266E5" w:rsidRPr="00B754A1">
        <w:rPr>
          <w:szCs w:val="22"/>
          <w:lang w:val="el-GR"/>
        </w:rPr>
        <w:t>1</w:t>
      </w:r>
      <w:r>
        <w:rPr>
          <w:szCs w:val="22"/>
          <w:lang w:val="sl-SI"/>
        </w:rPr>
        <w:t>,</w:t>
      </w:r>
      <w:r w:rsidRPr="00FC2F1F">
        <w:rPr>
          <w:szCs w:val="22"/>
          <w:lang w:val="el-GR"/>
        </w:rPr>
        <w:t xml:space="preserve"> 98</w:t>
      </w:r>
      <w:r w:rsidR="005266E5" w:rsidRPr="005266E5">
        <w:rPr>
          <w:szCs w:val="22"/>
        </w:rPr>
        <w:t> x </w:t>
      </w:r>
      <w:r w:rsidR="005266E5" w:rsidRPr="00B754A1">
        <w:rPr>
          <w:szCs w:val="22"/>
          <w:lang w:val="el-GR"/>
        </w:rPr>
        <w:t>1</w:t>
      </w:r>
      <w:r w:rsidRPr="00FC2F1F">
        <w:rPr>
          <w:szCs w:val="22"/>
          <w:lang w:val="el-GR"/>
        </w:rPr>
        <w:t xml:space="preserve"> και </w:t>
      </w:r>
      <w:r>
        <w:rPr>
          <w:szCs w:val="22"/>
          <w:lang w:val="sl-SI"/>
        </w:rPr>
        <w:t>100</w:t>
      </w:r>
      <w:r w:rsidR="005266E5" w:rsidRPr="00B754A1">
        <w:rPr>
          <w:snapToGrid/>
          <w:szCs w:val="22"/>
          <w:lang w:val="el-GR"/>
        </w:rPr>
        <w:t xml:space="preserve"> </w:t>
      </w:r>
      <w:r w:rsidR="005266E5" w:rsidRPr="005266E5">
        <w:rPr>
          <w:szCs w:val="22"/>
        </w:rPr>
        <w:t>x </w:t>
      </w:r>
      <w:r w:rsidR="005266E5" w:rsidRPr="00B754A1">
        <w:rPr>
          <w:szCs w:val="22"/>
          <w:lang w:val="el-GR"/>
        </w:rPr>
        <w:t>1</w:t>
      </w:r>
      <w:r>
        <w:rPr>
          <w:szCs w:val="22"/>
          <w:lang w:val="sl-SI"/>
        </w:rPr>
        <w:t xml:space="preserve"> </w:t>
      </w:r>
      <w:r w:rsidRPr="00FC2F1F">
        <w:rPr>
          <w:szCs w:val="22"/>
          <w:lang w:val="el-GR"/>
        </w:rPr>
        <w:t>δισκί</w:t>
      </w:r>
      <w:r w:rsidR="005266E5">
        <w:rPr>
          <w:szCs w:val="22"/>
          <w:lang w:val="el-GR"/>
        </w:rPr>
        <w:t>ο</w:t>
      </w:r>
      <w:r w:rsidRPr="00FC2F1F">
        <w:rPr>
          <w:szCs w:val="22"/>
          <w:lang w:val="el-GR"/>
        </w:rPr>
        <w:t xml:space="preserve"> σε κουτί.</w:t>
      </w:r>
    </w:p>
    <w:p w:rsidR="00681191" w:rsidRPr="00FC2F1F" w:rsidRDefault="00681191" w:rsidP="00681191">
      <w:pPr>
        <w:widowControl w:val="0"/>
        <w:tabs>
          <w:tab w:val="clear" w:pos="567"/>
        </w:tabs>
        <w:autoSpaceDE w:val="0"/>
        <w:autoSpaceDN w:val="0"/>
        <w:adjustRightInd w:val="0"/>
        <w:spacing w:line="240" w:lineRule="auto"/>
        <w:rPr>
          <w:szCs w:val="22"/>
          <w:lang w:val="el-GR"/>
        </w:rPr>
      </w:pPr>
      <w:r w:rsidRPr="00FC2F1F">
        <w:rPr>
          <w:szCs w:val="22"/>
          <w:lang w:val="el-GR"/>
        </w:rPr>
        <w:t>Κυψέλες (φύλλο OPA/Al/PE με ξηραντικό//φύλλο Al): 14</w:t>
      </w:r>
      <w:r w:rsidR="005266E5" w:rsidRPr="005266E5">
        <w:rPr>
          <w:szCs w:val="22"/>
        </w:rPr>
        <w:t> x </w:t>
      </w:r>
      <w:r w:rsidR="005266E5" w:rsidRPr="00B754A1">
        <w:rPr>
          <w:szCs w:val="22"/>
          <w:lang w:val="el-GR"/>
        </w:rPr>
        <w:t>1</w:t>
      </w:r>
      <w:r w:rsidRPr="00FC2F1F">
        <w:rPr>
          <w:szCs w:val="22"/>
          <w:lang w:val="el-GR"/>
        </w:rPr>
        <w:t xml:space="preserve"> και 98</w:t>
      </w:r>
      <w:r w:rsidR="005266E5" w:rsidRPr="005266E5">
        <w:rPr>
          <w:szCs w:val="22"/>
        </w:rPr>
        <w:t> x </w:t>
      </w:r>
      <w:r w:rsidR="005266E5" w:rsidRPr="00B754A1">
        <w:rPr>
          <w:szCs w:val="22"/>
          <w:lang w:val="el-GR"/>
        </w:rPr>
        <w:t>1</w:t>
      </w:r>
      <w:r w:rsidRPr="00FC2F1F">
        <w:rPr>
          <w:szCs w:val="22"/>
          <w:lang w:val="el-GR"/>
        </w:rPr>
        <w:t xml:space="preserve"> δισκί</w:t>
      </w:r>
      <w:r w:rsidR="005266E5">
        <w:rPr>
          <w:szCs w:val="22"/>
          <w:lang w:val="el-GR"/>
        </w:rPr>
        <w:t>ο</w:t>
      </w:r>
      <w:r w:rsidRPr="00FC2F1F">
        <w:rPr>
          <w:szCs w:val="22"/>
          <w:lang w:val="el-GR"/>
        </w:rPr>
        <w:t xml:space="preserve"> σε κουτί.</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Μπορεί να μη</w:t>
      </w:r>
      <w:r w:rsidR="005266E5">
        <w:rPr>
          <w:snapToGrid/>
          <w:szCs w:val="22"/>
          <w:lang w:val="el-GR"/>
        </w:rPr>
        <w:t>ν</w:t>
      </w:r>
      <w:r w:rsidRPr="00FC2F1F">
        <w:rPr>
          <w:snapToGrid/>
          <w:szCs w:val="22"/>
          <w:lang w:val="el-GR"/>
        </w:rPr>
        <w:t xml:space="preserve"> κυκλοφορούν όλες οι συσκευασίες.</w:t>
      </w:r>
    </w:p>
    <w:p w:rsidR="00681191" w:rsidRPr="00FC2F1F" w:rsidRDefault="00681191" w:rsidP="00681191">
      <w:pPr>
        <w:widowControl w:val="0"/>
        <w:tabs>
          <w:tab w:val="clear" w:pos="567"/>
        </w:tabs>
        <w:autoSpaceDE w:val="0"/>
        <w:autoSpaceDN w:val="0"/>
        <w:adjustRightInd w:val="0"/>
        <w:spacing w:line="240" w:lineRule="auto"/>
        <w:rPr>
          <w:b/>
          <w:bCs/>
          <w:snapToGrid/>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6.6</w:t>
      </w:r>
      <w:r w:rsidRPr="00FC2F1F">
        <w:rPr>
          <w:b/>
          <w:noProof/>
          <w:szCs w:val="22"/>
          <w:lang w:val="el-GR"/>
        </w:rPr>
        <w:tab/>
        <w:t>Ιδιαίτερες προφυλάξεις απόρριψης</w:t>
      </w:r>
    </w:p>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Καμία ειδική υποχρέωση.</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spacing w:line="240" w:lineRule="auto"/>
        <w:ind w:left="567" w:hanging="567"/>
        <w:rPr>
          <w:noProof/>
          <w:szCs w:val="22"/>
          <w:lang w:val="el-GR"/>
        </w:rPr>
      </w:pPr>
      <w:r w:rsidRPr="00FC2F1F">
        <w:rPr>
          <w:b/>
          <w:noProof/>
          <w:szCs w:val="22"/>
          <w:lang w:val="el-GR"/>
        </w:rPr>
        <w:t>7.</w:t>
      </w:r>
      <w:r w:rsidRPr="00FC2F1F">
        <w:rPr>
          <w:b/>
          <w:noProof/>
          <w:szCs w:val="22"/>
          <w:lang w:val="el-GR"/>
        </w:rPr>
        <w:tab/>
        <w:t>ΚΑΤΟΧΟΣ ΤΗΣ ΑΔΕΙΑΣ ΚΥΚΛΟΦΟΡΙΑΣ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KRKA, d.d., Novo mesto, Šmarješka cesta 6, 8501 Novo mesto, Σλοβενία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8.</w:t>
      </w:r>
      <w:r w:rsidRPr="00FC2F1F">
        <w:rPr>
          <w:b/>
          <w:noProof/>
          <w:szCs w:val="22"/>
          <w:lang w:val="el-GR"/>
        </w:rPr>
        <w:tab/>
        <w:t>ΑΡΙΘΜΟΣ(ΟΙ) ΑΔΕΙΑΣ ΚΥΚΛΟΦΟΡΙΑΣ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rPr>
          <w:rFonts w:eastAsia="Calibri"/>
          <w:snapToGrid/>
          <w:szCs w:val="22"/>
          <w:lang w:val="el-GR"/>
        </w:rPr>
      </w:pPr>
      <w:r w:rsidRPr="00FC2F1F">
        <w:rPr>
          <w:rFonts w:eastAsia="Calibri"/>
          <w:snapToGrid/>
          <w:szCs w:val="22"/>
          <w:lang w:val="el-GR"/>
        </w:rPr>
        <w:t>EU/1/13/821/021</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EU/1/13/821/022</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EU/1/13/821/023</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EU/1/13/821/024</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EU/1/13/821/025</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EU/1/13/821/026</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EU/1/13/821/027</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EU/1/13/821/028</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EU/1/13/821/029</w:t>
      </w:r>
    </w:p>
    <w:p w:rsidR="00681191" w:rsidRPr="00C403BB" w:rsidRDefault="00681191" w:rsidP="00681191">
      <w:pPr>
        <w:widowControl w:val="0"/>
        <w:tabs>
          <w:tab w:val="clear" w:pos="567"/>
        </w:tabs>
        <w:spacing w:line="240" w:lineRule="auto"/>
        <w:rPr>
          <w:rFonts w:eastAsia="Calibri"/>
          <w:snapToGrid/>
          <w:szCs w:val="22"/>
          <w:lang w:val="fr-FR"/>
        </w:rPr>
      </w:pPr>
      <w:r w:rsidRPr="00C403BB">
        <w:rPr>
          <w:rFonts w:eastAsia="Calibri"/>
          <w:snapToGrid/>
          <w:szCs w:val="22"/>
          <w:lang w:val="fr-FR"/>
        </w:rPr>
        <w:t>EU/1/13/821/030</w:t>
      </w:r>
    </w:p>
    <w:p w:rsidR="00681191" w:rsidRPr="0087056E" w:rsidRDefault="00681191" w:rsidP="00681191">
      <w:pPr>
        <w:widowControl w:val="0"/>
        <w:tabs>
          <w:tab w:val="clear" w:pos="567"/>
        </w:tabs>
        <w:spacing w:line="240" w:lineRule="auto"/>
        <w:rPr>
          <w:rFonts w:eastAsia="Calibri"/>
          <w:snapToGrid/>
          <w:szCs w:val="22"/>
          <w:lang w:val="sl-SI"/>
        </w:rPr>
      </w:pPr>
      <w:r w:rsidRPr="00C403BB">
        <w:rPr>
          <w:rFonts w:eastAsia="Calibri"/>
          <w:snapToGrid/>
          <w:szCs w:val="22"/>
          <w:lang w:val="fr-FR"/>
        </w:rPr>
        <w:t>EU/1/13/821/</w:t>
      </w:r>
      <w:r>
        <w:rPr>
          <w:rFonts w:eastAsia="Calibri"/>
          <w:snapToGrid/>
          <w:szCs w:val="22"/>
          <w:lang w:val="sl-SI"/>
        </w:rPr>
        <w:t>033</w:t>
      </w:r>
    </w:p>
    <w:p w:rsidR="00681191" w:rsidRPr="00C403BB" w:rsidRDefault="00681191" w:rsidP="00681191">
      <w:pPr>
        <w:widowControl w:val="0"/>
        <w:spacing w:line="240" w:lineRule="auto"/>
        <w:rPr>
          <w:noProof/>
          <w:szCs w:val="22"/>
          <w:lang w:val="fr-FR"/>
        </w:rPr>
      </w:pPr>
    </w:p>
    <w:p w:rsidR="00681191" w:rsidRPr="00C403BB" w:rsidRDefault="00681191" w:rsidP="00681191">
      <w:pPr>
        <w:widowControl w:val="0"/>
        <w:spacing w:line="240" w:lineRule="auto"/>
        <w:rPr>
          <w:noProof/>
          <w:szCs w:val="22"/>
          <w:lang w:val="fr-F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9.</w:t>
      </w:r>
      <w:r w:rsidRPr="00FC2F1F">
        <w:rPr>
          <w:b/>
          <w:noProof/>
          <w:szCs w:val="22"/>
          <w:lang w:val="el-GR"/>
        </w:rPr>
        <w:tab/>
        <w:t>ΗΜΕΡΟΜΗΝΙΑ ΠΡΩΤΗΣ ΕΓΚΡΙΣΗΣ/ΑΝΑΝΕΩΣΗΣ ΤΗΣ ΑΔΕΙΑΣ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 xml:space="preserve">Ημερομηνία πρώτης έγκρισης: 13 </w:t>
      </w:r>
      <w:r w:rsidRPr="00FC2F1F">
        <w:rPr>
          <w:rStyle w:val="hps"/>
          <w:color w:val="333333"/>
          <w:lang w:val="el-GR"/>
        </w:rPr>
        <w:t>Μ</w:t>
      </w:r>
      <w:r w:rsidR="005266E5">
        <w:rPr>
          <w:rStyle w:val="hps"/>
          <w:color w:val="333333"/>
          <w:lang w:val="el-GR"/>
        </w:rPr>
        <w:t>αρτίου</w:t>
      </w:r>
      <w:r w:rsidRPr="00FC2F1F">
        <w:rPr>
          <w:noProof/>
          <w:szCs w:val="22"/>
          <w:lang w:val="el-GR"/>
        </w:rPr>
        <w:t xml:space="preserve"> 2013</w:t>
      </w:r>
    </w:p>
    <w:p w:rsidR="00C403BB" w:rsidRDefault="00C403BB" w:rsidP="00C403BB">
      <w:pPr>
        <w:widowControl w:val="0"/>
        <w:spacing w:line="240" w:lineRule="auto"/>
        <w:rPr>
          <w:noProof/>
          <w:szCs w:val="22"/>
          <w:lang w:val="sl-SI"/>
        </w:rPr>
      </w:pPr>
      <w:r>
        <w:rPr>
          <w:noProof/>
          <w:szCs w:val="22"/>
          <w:lang w:val="el-GR"/>
        </w:rPr>
        <w:t>Ημερομηνία τελευταίας ανανέωσης:</w:t>
      </w:r>
      <w:r w:rsidR="00A92047">
        <w:rPr>
          <w:noProof/>
          <w:szCs w:val="22"/>
          <w:lang w:val="el-GR"/>
        </w:rPr>
        <w:t xml:space="preserve"> 8 Ιανουαρίου 2018</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10.</w:t>
      </w:r>
      <w:r w:rsidRPr="00FC2F1F">
        <w:rPr>
          <w:b/>
          <w:noProof/>
          <w:szCs w:val="22"/>
          <w:lang w:val="el-GR"/>
        </w:rPr>
        <w:tab/>
        <w:t>ΗΜΕΡΟΜΗΝΙΑ ΑΝΑΘΕΩΡΗΣΗΣ ΤΟΥ ΚΕΙΜΕΝΟΥ</w:t>
      </w:r>
    </w:p>
    <w:p w:rsidR="00681191" w:rsidRPr="00FC2F1F" w:rsidRDefault="00681191" w:rsidP="00681191">
      <w:pPr>
        <w:widowControl w:val="0"/>
        <w:spacing w:line="240" w:lineRule="auto"/>
        <w:rPr>
          <w:b/>
          <w:noProof/>
          <w:szCs w:val="22"/>
          <w:lang w:val="el-GR"/>
        </w:rPr>
      </w:pPr>
    </w:p>
    <w:p w:rsidR="00681191" w:rsidRDefault="00681191" w:rsidP="00681191">
      <w:pPr>
        <w:widowControl w:val="0"/>
        <w:spacing w:line="240" w:lineRule="auto"/>
        <w:rPr>
          <w:noProof/>
          <w:szCs w:val="22"/>
          <w:lang w:val="sl-SI"/>
        </w:rPr>
      </w:pPr>
    </w:p>
    <w:p w:rsidR="00681191" w:rsidRPr="0087056E" w:rsidRDefault="00681191" w:rsidP="00681191">
      <w:pPr>
        <w:widowControl w:val="0"/>
        <w:spacing w:line="240" w:lineRule="auto"/>
        <w:rPr>
          <w:noProof/>
          <w:szCs w:val="22"/>
          <w:lang w:val="sl-SI"/>
        </w:rPr>
      </w:pPr>
    </w:p>
    <w:p w:rsidR="00681191" w:rsidRPr="00FC2F1F" w:rsidRDefault="00681191" w:rsidP="00681191">
      <w:pPr>
        <w:widowControl w:val="0"/>
        <w:spacing w:line="240" w:lineRule="auto"/>
        <w:jc w:val="both"/>
        <w:rPr>
          <w:noProof/>
          <w:szCs w:val="22"/>
          <w:lang w:val="el-GR"/>
        </w:rPr>
      </w:pPr>
      <w:r w:rsidRPr="00FC2F1F">
        <w:rPr>
          <w:noProof/>
          <w:szCs w:val="22"/>
          <w:lang w:val="el-GR"/>
        </w:rPr>
        <w:t>Λεπτομερ</w:t>
      </w:r>
      <w:r w:rsidR="0049788F">
        <w:rPr>
          <w:noProof/>
          <w:szCs w:val="22"/>
          <w:lang w:val="el-GR"/>
        </w:rPr>
        <w:t>είς</w:t>
      </w:r>
      <w:r w:rsidRPr="00FC2F1F">
        <w:rPr>
          <w:noProof/>
          <w:szCs w:val="22"/>
          <w:lang w:val="el-GR"/>
        </w:rPr>
        <w:t xml:space="preserve"> πληροφορ</w:t>
      </w:r>
      <w:r w:rsidR="0049788F">
        <w:rPr>
          <w:noProof/>
          <w:szCs w:val="22"/>
          <w:lang w:val="el-GR"/>
        </w:rPr>
        <w:t>ίες</w:t>
      </w:r>
      <w:r w:rsidRPr="00FC2F1F">
        <w:rPr>
          <w:noProof/>
          <w:szCs w:val="22"/>
          <w:lang w:val="el-GR"/>
        </w:rPr>
        <w:t xml:space="preserve"> για το παρόν φαρμακευτικό προϊόν είναι διαθέσιμ</w:t>
      </w:r>
      <w:r w:rsidR="0049788F">
        <w:rPr>
          <w:noProof/>
          <w:szCs w:val="22"/>
          <w:lang w:val="el-GR"/>
        </w:rPr>
        <w:t>ες</w:t>
      </w:r>
      <w:r w:rsidRPr="00FC2F1F">
        <w:rPr>
          <w:noProof/>
          <w:szCs w:val="22"/>
          <w:lang w:val="el-GR"/>
        </w:rPr>
        <w:t xml:space="preserve"> στον δικτυακό τόπο του</w:t>
      </w:r>
      <w:r w:rsidRPr="00FC2F1F">
        <w:rPr>
          <w:b/>
          <w:noProof/>
          <w:szCs w:val="22"/>
          <w:lang w:val="el-GR"/>
        </w:rPr>
        <w:t xml:space="preserve"> </w:t>
      </w:r>
      <w:r w:rsidRPr="00FC2F1F">
        <w:rPr>
          <w:noProof/>
          <w:szCs w:val="22"/>
          <w:lang w:val="el-GR"/>
        </w:rPr>
        <w:t xml:space="preserve">Ευρωπαϊκού Οργανισμού Φαρμάκων: </w:t>
      </w:r>
      <w:hyperlink r:id="rId14" w:history="1">
        <w:r w:rsidRPr="0087056E">
          <w:rPr>
            <w:rStyle w:val="Hyperlink"/>
            <w:noProof/>
            <w:szCs w:val="22"/>
            <w:lang w:val="el-GR"/>
          </w:rPr>
          <w:t>http://www.ema.europa.eu</w:t>
        </w:r>
      </w:hyperlink>
      <w:r w:rsidRPr="00FC2F1F">
        <w:rPr>
          <w:noProof/>
          <w:szCs w:val="22"/>
          <w:lang w:val="el-GR"/>
        </w:rPr>
        <w:t>.</w:t>
      </w:r>
    </w:p>
    <w:p w:rsidR="00681191" w:rsidRPr="00FC2F1F" w:rsidRDefault="00681191" w:rsidP="00681191">
      <w:pPr>
        <w:widowControl w:val="0"/>
        <w:spacing w:line="240" w:lineRule="auto"/>
        <w:jc w:val="center"/>
        <w:rPr>
          <w:noProof/>
          <w:szCs w:val="22"/>
          <w:lang w:val="el-GR"/>
        </w:rPr>
      </w:pPr>
      <w:r w:rsidRPr="00FC2F1F">
        <w:rPr>
          <w:b/>
          <w:noProof/>
          <w:szCs w:val="22"/>
          <w:lang w:val="el-GR"/>
        </w:rPr>
        <w:br w:type="page"/>
      </w: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jc w:val="center"/>
        <w:rPr>
          <w:noProof/>
          <w:szCs w:val="24"/>
          <w:lang w:val="el-GR"/>
        </w:rPr>
      </w:pPr>
    </w:p>
    <w:p w:rsidR="00681191" w:rsidRPr="00FC2F1F" w:rsidRDefault="00681191" w:rsidP="00681191">
      <w:pPr>
        <w:widowControl w:val="0"/>
        <w:jc w:val="center"/>
        <w:rPr>
          <w:noProof/>
          <w:szCs w:val="24"/>
          <w:lang w:val="el-GR"/>
        </w:rPr>
      </w:pPr>
    </w:p>
    <w:p w:rsidR="00681191" w:rsidRPr="00FC2F1F" w:rsidRDefault="00681191" w:rsidP="00681191">
      <w:pPr>
        <w:widowControl w:val="0"/>
        <w:jc w:val="center"/>
        <w:rPr>
          <w:noProof/>
          <w:szCs w:val="24"/>
          <w:lang w:val="el-GR"/>
        </w:rPr>
      </w:pPr>
    </w:p>
    <w:p w:rsidR="00681191" w:rsidRPr="00FC2F1F" w:rsidRDefault="00681191" w:rsidP="00681191">
      <w:pPr>
        <w:widowControl w:val="0"/>
        <w:tabs>
          <w:tab w:val="clear" w:pos="567"/>
        </w:tabs>
        <w:ind w:right="184"/>
        <w:jc w:val="center"/>
        <w:rPr>
          <w:noProof/>
          <w:szCs w:val="24"/>
          <w:lang w:val="el-GR"/>
        </w:rPr>
      </w:pPr>
      <w:r w:rsidRPr="00FC2F1F">
        <w:rPr>
          <w:b/>
          <w:noProof/>
          <w:szCs w:val="24"/>
          <w:lang w:val="el-GR"/>
        </w:rPr>
        <w:t>ΠΑΡΑΡΤΗΜΑ ΙΙ</w:t>
      </w:r>
    </w:p>
    <w:p w:rsidR="00681191" w:rsidRPr="00FC2F1F" w:rsidRDefault="00681191" w:rsidP="00681191">
      <w:pPr>
        <w:widowControl w:val="0"/>
        <w:ind w:left="1701" w:right="184" w:hanging="567"/>
        <w:rPr>
          <w:noProof/>
          <w:szCs w:val="24"/>
          <w:lang w:val="el-GR"/>
        </w:rPr>
      </w:pPr>
    </w:p>
    <w:p w:rsidR="00681191" w:rsidRPr="00FC2F1F" w:rsidRDefault="00681191" w:rsidP="00681191">
      <w:pPr>
        <w:widowControl w:val="0"/>
        <w:tabs>
          <w:tab w:val="clear" w:pos="567"/>
        </w:tabs>
        <w:ind w:left="1276" w:right="184" w:hanging="567"/>
        <w:rPr>
          <w:b/>
          <w:noProof/>
          <w:szCs w:val="24"/>
          <w:lang w:val="el-GR"/>
        </w:rPr>
      </w:pPr>
      <w:r w:rsidRPr="00FC2F1F">
        <w:rPr>
          <w:b/>
          <w:noProof/>
          <w:szCs w:val="24"/>
          <w:lang w:val="el-GR"/>
        </w:rPr>
        <w:t>Α.</w:t>
      </w:r>
      <w:r w:rsidRPr="00FC2F1F">
        <w:rPr>
          <w:b/>
          <w:noProof/>
          <w:szCs w:val="24"/>
          <w:lang w:val="el-GR"/>
        </w:rPr>
        <w:tab/>
        <w:t>ΠΑΡΑ</w:t>
      </w:r>
      <w:r w:rsidR="00331B7D">
        <w:rPr>
          <w:b/>
          <w:noProof/>
          <w:szCs w:val="24"/>
          <w:lang w:val="el-GR"/>
        </w:rPr>
        <w:t>ΣΚΕΥΑΣΤΗΣ</w:t>
      </w:r>
      <w:r w:rsidRPr="00FC2F1F">
        <w:rPr>
          <w:b/>
          <w:noProof/>
          <w:szCs w:val="24"/>
          <w:lang w:val="el-GR"/>
        </w:rPr>
        <w:t>(</w:t>
      </w:r>
      <w:r w:rsidR="00331B7D">
        <w:rPr>
          <w:b/>
          <w:noProof/>
          <w:szCs w:val="24"/>
          <w:lang w:val="el-GR"/>
        </w:rPr>
        <w:t>ΕΣ</w:t>
      </w:r>
      <w:r w:rsidRPr="00FC2F1F">
        <w:rPr>
          <w:b/>
          <w:noProof/>
          <w:szCs w:val="24"/>
          <w:lang w:val="el-GR"/>
        </w:rPr>
        <w:t>) ΥΠΕΥΘΥΝΟΣ(ΟΙ) ΓΙΑ ΤΗΝ ΑΠΟΔΕΣΜΕΥΣΗ ΤΩΝ ΠΑΡΤΙΔΩΝ</w:t>
      </w:r>
    </w:p>
    <w:p w:rsidR="00681191" w:rsidRPr="00FC2F1F" w:rsidRDefault="00681191" w:rsidP="00681191">
      <w:pPr>
        <w:widowControl w:val="0"/>
        <w:ind w:left="1276" w:right="184" w:hanging="567"/>
        <w:rPr>
          <w:noProof/>
          <w:szCs w:val="24"/>
          <w:lang w:val="el-GR"/>
        </w:rPr>
      </w:pPr>
    </w:p>
    <w:p w:rsidR="00681191" w:rsidRPr="00FC2F1F" w:rsidRDefault="00681191" w:rsidP="00681191">
      <w:pPr>
        <w:widowControl w:val="0"/>
        <w:tabs>
          <w:tab w:val="clear" w:pos="567"/>
        </w:tabs>
        <w:ind w:left="1276" w:right="184" w:hanging="567"/>
        <w:rPr>
          <w:b/>
          <w:noProof/>
          <w:szCs w:val="24"/>
          <w:lang w:val="el-GR"/>
        </w:rPr>
      </w:pPr>
      <w:r w:rsidRPr="00FC2F1F">
        <w:rPr>
          <w:b/>
          <w:noProof/>
          <w:szCs w:val="24"/>
          <w:lang w:val="el-GR"/>
        </w:rPr>
        <w:t>Β.</w:t>
      </w:r>
      <w:r w:rsidRPr="00FC2F1F">
        <w:rPr>
          <w:b/>
          <w:noProof/>
          <w:szCs w:val="24"/>
          <w:lang w:val="el-GR"/>
        </w:rPr>
        <w:tab/>
        <w:t xml:space="preserve">ΟΡΟΙ </w:t>
      </w:r>
      <w:r w:rsidRPr="00FC2F1F">
        <w:rPr>
          <w:b/>
          <w:szCs w:val="24"/>
          <w:lang w:val="el-GR"/>
        </w:rPr>
        <w:t>Ή</w:t>
      </w:r>
      <w:r w:rsidRPr="00FC2F1F">
        <w:rPr>
          <w:b/>
          <w:noProof/>
          <w:szCs w:val="24"/>
          <w:lang w:val="el-GR"/>
        </w:rPr>
        <w:t xml:space="preserve"> ΠΕΡΙΟΡΙΣΜΟΙ ΣΧΕΤΙΚΑ ΜΕ ΤΗ ΔΙΑΘΕΣΗ ΚΑΙ ΤΗ ΧΡΗΣΗ</w:t>
      </w:r>
    </w:p>
    <w:p w:rsidR="00681191" w:rsidRPr="00FC2F1F" w:rsidRDefault="00681191" w:rsidP="00681191">
      <w:pPr>
        <w:widowControl w:val="0"/>
        <w:ind w:left="1276" w:right="184" w:hanging="567"/>
        <w:rPr>
          <w:noProof/>
          <w:szCs w:val="24"/>
          <w:lang w:val="el-GR"/>
        </w:rPr>
      </w:pPr>
    </w:p>
    <w:p w:rsidR="00681191" w:rsidRPr="00FC2F1F" w:rsidRDefault="00681191" w:rsidP="00681191">
      <w:pPr>
        <w:widowControl w:val="0"/>
        <w:tabs>
          <w:tab w:val="clear" w:pos="567"/>
        </w:tabs>
        <w:ind w:left="1276" w:right="184" w:hanging="567"/>
        <w:rPr>
          <w:b/>
          <w:noProof/>
          <w:szCs w:val="24"/>
          <w:lang w:val="el-GR"/>
        </w:rPr>
      </w:pPr>
      <w:r w:rsidRPr="00FC2F1F">
        <w:rPr>
          <w:b/>
          <w:noProof/>
          <w:szCs w:val="24"/>
          <w:lang w:val="el-GR"/>
        </w:rPr>
        <w:t>Γ.</w:t>
      </w:r>
      <w:r w:rsidRPr="00FC2F1F">
        <w:rPr>
          <w:b/>
          <w:noProof/>
          <w:szCs w:val="24"/>
          <w:lang w:val="el-GR"/>
        </w:rPr>
        <w:tab/>
        <w:t>ΑΛΛΟΙ ΟΡΟΙ ΚΑΙ ΑΠΑΙΤΗΣΕΙΣ ΤΗΣ ΑΔΕΙΑΣ ΚΥΚΛΟΦΟΡΙΑΣ</w:t>
      </w:r>
    </w:p>
    <w:p w:rsidR="00681191" w:rsidRPr="00FC2F1F" w:rsidRDefault="00681191" w:rsidP="00681191">
      <w:pPr>
        <w:widowControl w:val="0"/>
        <w:ind w:left="1276" w:right="184" w:hanging="567"/>
        <w:rPr>
          <w:b/>
          <w:noProof/>
          <w:szCs w:val="24"/>
          <w:lang w:val="el-GR"/>
        </w:rPr>
      </w:pPr>
    </w:p>
    <w:p w:rsidR="00681191" w:rsidRPr="00FC2F1F" w:rsidRDefault="00681191" w:rsidP="00681191">
      <w:pPr>
        <w:widowControl w:val="0"/>
        <w:tabs>
          <w:tab w:val="clear" w:pos="567"/>
        </w:tabs>
        <w:ind w:left="1276" w:right="184" w:hanging="567"/>
        <w:rPr>
          <w:b/>
          <w:szCs w:val="24"/>
          <w:lang w:val="el-GR"/>
        </w:rPr>
      </w:pPr>
      <w:r w:rsidRPr="00FC2F1F">
        <w:rPr>
          <w:b/>
          <w:noProof/>
          <w:szCs w:val="24"/>
          <w:lang w:val="el-GR"/>
        </w:rPr>
        <w:t>Δ.</w:t>
      </w:r>
      <w:r w:rsidRPr="00FC2F1F">
        <w:rPr>
          <w:b/>
          <w:szCs w:val="24"/>
          <w:lang w:val="el-GR"/>
        </w:rPr>
        <w:tab/>
      </w:r>
      <w:r w:rsidRPr="00FC2F1F">
        <w:rPr>
          <w:b/>
          <w:noProof/>
          <w:szCs w:val="24"/>
          <w:lang w:val="el-GR"/>
        </w:rPr>
        <w:t>ΟΡΟΙ Ή ΠΕΡΙΟΡΙΣΜΟΙ ΣΧΕΤΙΚΑ ΜΕ ΤΗΝ ΑΣΦΑΛΗ ΚΑΙ ΑΠΟΤΕΛΕΣΜΑΤΙΚΗ ΧΡΗΣΗ ΤΟΥ ΦΑΡΜΑΚΕΥΤΙΚΟΥ ΠΡΟΪΟΝΤΟΣ</w:t>
      </w:r>
    </w:p>
    <w:p w:rsidR="00681191" w:rsidRPr="00FC2F1F" w:rsidRDefault="00681191" w:rsidP="00681191">
      <w:pPr>
        <w:pStyle w:val="TitleB"/>
        <w:tabs>
          <w:tab w:val="left" w:pos="567"/>
        </w:tabs>
      </w:pPr>
      <w:r w:rsidRPr="00FC2F1F">
        <w:rPr>
          <w:szCs w:val="24"/>
        </w:rPr>
        <w:br w:type="page"/>
      </w:r>
      <w:r w:rsidRPr="00FC2F1F">
        <w:t>Α.</w:t>
      </w:r>
      <w:r w:rsidRPr="00FC2F1F">
        <w:tab/>
        <w:t>ΠΑΡΑ</w:t>
      </w:r>
      <w:r w:rsidR="00331B7D">
        <w:t>ΣΚΕΥΑΣΤΗΣ</w:t>
      </w:r>
      <w:r w:rsidRPr="00FC2F1F">
        <w:t>(</w:t>
      </w:r>
      <w:r w:rsidR="00331B7D">
        <w:t>ΕΣ</w:t>
      </w:r>
      <w:r w:rsidRPr="00FC2F1F">
        <w:t>) ΥΠΕΥΘΥΝΟΣ(ΟΙ) ΓΙΑ ΤΗΝ ΑΠΟΔΕΣΜΕΥΣΗ ΤΩΝ ΠΑΡΤΙΔΩΝ</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u w:val="single"/>
          <w:lang w:val="el-GR"/>
        </w:rPr>
      </w:pPr>
      <w:r w:rsidRPr="00FC2F1F">
        <w:rPr>
          <w:noProof/>
          <w:szCs w:val="22"/>
          <w:u w:val="single"/>
          <w:lang w:val="el-GR"/>
        </w:rPr>
        <w:t>Όνομα και διεύθυνση του(των) παρα</w:t>
      </w:r>
      <w:r w:rsidR="002C151B">
        <w:rPr>
          <w:noProof/>
          <w:szCs w:val="22"/>
          <w:u w:val="single"/>
          <w:lang w:val="el-GR"/>
        </w:rPr>
        <w:t>σκευαστή</w:t>
      </w:r>
      <w:r w:rsidRPr="00FC2F1F">
        <w:rPr>
          <w:noProof/>
          <w:szCs w:val="22"/>
          <w:u w:val="single"/>
          <w:lang w:val="el-GR"/>
        </w:rPr>
        <w:t>(ών) που είναι υπεύθυνος(οι) για την αποδέσμευση των παρτίδων</w:t>
      </w:r>
    </w:p>
    <w:p w:rsidR="00681191" w:rsidRPr="00FC2F1F" w:rsidRDefault="00681191" w:rsidP="00681191">
      <w:pPr>
        <w:widowControl w:val="0"/>
        <w:tabs>
          <w:tab w:val="clear" w:pos="567"/>
        </w:tabs>
        <w:spacing w:line="240" w:lineRule="auto"/>
        <w:rPr>
          <w:noProof/>
          <w:szCs w:val="22"/>
          <w:lang w:val="el-GR"/>
        </w:rPr>
      </w:pPr>
    </w:p>
    <w:p w:rsidR="00681191" w:rsidRPr="00C403BB" w:rsidRDefault="00681191" w:rsidP="00681191">
      <w:pPr>
        <w:widowControl w:val="0"/>
        <w:tabs>
          <w:tab w:val="clear" w:pos="567"/>
        </w:tabs>
        <w:spacing w:line="240" w:lineRule="auto"/>
        <w:rPr>
          <w:rFonts w:eastAsia="SimSun"/>
          <w:color w:val="000000"/>
          <w:szCs w:val="22"/>
          <w:highlight w:val="lightGray"/>
          <w:lang w:val="sv-SE"/>
        </w:rPr>
      </w:pPr>
      <w:r w:rsidRPr="00C403BB">
        <w:rPr>
          <w:rFonts w:eastAsia="SimSun"/>
          <w:color w:val="000000"/>
          <w:szCs w:val="22"/>
          <w:highlight w:val="lightGray"/>
          <w:lang w:val="sv-SE"/>
        </w:rPr>
        <w:t>KRKA-POLSKA Sp.z o.o.</w:t>
      </w:r>
    </w:p>
    <w:p w:rsidR="00681191" w:rsidRPr="00C403BB" w:rsidRDefault="00681191" w:rsidP="00681191">
      <w:pPr>
        <w:widowControl w:val="0"/>
        <w:tabs>
          <w:tab w:val="clear" w:pos="567"/>
        </w:tabs>
        <w:spacing w:line="240" w:lineRule="auto"/>
        <w:rPr>
          <w:rFonts w:eastAsia="SimSun"/>
          <w:color w:val="000000"/>
          <w:szCs w:val="22"/>
          <w:highlight w:val="lightGray"/>
          <w:lang w:val="sv-SE"/>
        </w:rPr>
      </w:pPr>
      <w:r w:rsidRPr="00C403BB">
        <w:rPr>
          <w:rFonts w:eastAsia="SimSun"/>
          <w:color w:val="000000"/>
          <w:szCs w:val="22"/>
          <w:highlight w:val="lightGray"/>
          <w:lang w:val="sv-SE"/>
        </w:rPr>
        <w:t>ul. Równoległa 5</w:t>
      </w:r>
    </w:p>
    <w:p w:rsidR="00681191" w:rsidRPr="00C403BB" w:rsidRDefault="00681191" w:rsidP="00681191">
      <w:pPr>
        <w:widowControl w:val="0"/>
        <w:tabs>
          <w:tab w:val="clear" w:pos="567"/>
        </w:tabs>
        <w:spacing w:line="240" w:lineRule="auto"/>
        <w:rPr>
          <w:rFonts w:eastAsia="SimSun"/>
          <w:color w:val="000000"/>
          <w:szCs w:val="22"/>
          <w:highlight w:val="lightGray"/>
          <w:lang w:val="sv-SE"/>
        </w:rPr>
      </w:pPr>
      <w:r w:rsidRPr="00C403BB">
        <w:rPr>
          <w:szCs w:val="22"/>
          <w:highlight w:val="lightGray"/>
          <w:lang w:val="sv-SE"/>
        </w:rPr>
        <w:t xml:space="preserve">02-235 </w:t>
      </w:r>
      <w:r w:rsidRPr="00C403BB">
        <w:rPr>
          <w:rFonts w:eastAsia="SimSun"/>
          <w:color w:val="000000"/>
          <w:szCs w:val="22"/>
          <w:highlight w:val="lightGray"/>
          <w:lang w:val="sv-SE"/>
        </w:rPr>
        <w:t>Warszawa</w:t>
      </w:r>
    </w:p>
    <w:p w:rsidR="00681191" w:rsidRPr="00C403BB" w:rsidRDefault="00681191" w:rsidP="00681191">
      <w:pPr>
        <w:widowControl w:val="0"/>
        <w:tabs>
          <w:tab w:val="clear" w:pos="567"/>
        </w:tabs>
        <w:spacing w:line="240" w:lineRule="auto"/>
        <w:rPr>
          <w:rFonts w:eastAsia="SimSun"/>
          <w:color w:val="000000"/>
          <w:szCs w:val="22"/>
          <w:lang w:val="sv-SE"/>
        </w:rPr>
      </w:pPr>
      <w:r w:rsidRPr="00FC2F1F">
        <w:rPr>
          <w:rFonts w:eastAsia="SimSun"/>
          <w:color w:val="000000"/>
          <w:szCs w:val="22"/>
          <w:highlight w:val="lightGray"/>
          <w:lang w:val="el-GR"/>
        </w:rPr>
        <w:t>Πολωνία</w:t>
      </w:r>
    </w:p>
    <w:p w:rsidR="00681191" w:rsidRPr="00C403BB" w:rsidRDefault="00681191" w:rsidP="00681191">
      <w:pPr>
        <w:widowControl w:val="0"/>
        <w:tabs>
          <w:tab w:val="clear" w:pos="567"/>
        </w:tabs>
        <w:spacing w:line="240" w:lineRule="auto"/>
        <w:rPr>
          <w:rFonts w:eastAsia="SimSun"/>
          <w:color w:val="000000"/>
          <w:szCs w:val="22"/>
          <w:lang w:val="sv-SE"/>
        </w:rPr>
      </w:pPr>
    </w:p>
    <w:p w:rsidR="00681191" w:rsidRPr="00C403BB" w:rsidRDefault="00681191" w:rsidP="00681191">
      <w:pPr>
        <w:widowControl w:val="0"/>
        <w:tabs>
          <w:tab w:val="clear" w:pos="567"/>
        </w:tabs>
        <w:spacing w:line="240" w:lineRule="auto"/>
        <w:rPr>
          <w:rFonts w:eastAsia="SimSun"/>
          <w:color w:val="000000"/>
          <w:szCs w:val="22"/>
          <w:lang w:val="sv-SE"/>
        </w:rPr>
      </w:pPr>
      <w:r w:rsidRPr="00C403BB">
        <w:rPr>
          <w:rFonts w:eastAsia="SimSun"/>
          <w:color w:val="000000"/>
          <w:szCs w:val="22"/>
          <w:lang w:val="sv-SE"/>
        </w:rPr>
        <w:t>KRKA, d.d., Novo mesto</w:t>
      </w:r>
    </w:p>
    <w:p w:rsidR="00681191" w:rsidRPr="00C403BB" w:rsidRDefault="00681191" w:rsidP="00681191">
      <w:pPr>
        <w:widowControl w:val="0"/>
        <w:tabs>
          <w:tab w:val="clear" w:pos="567"/>
        </w:tabs>
        <w:spacing w:line="240" w:lineRule="auto"/>
        <w:rPr>
          <w:rFonts w:eastAsia="SimSun"/>
          <w:color w:val="000000"/>
          <w:szCs w:val="22"/>
          <w:lang w:val="sv-SE"/>
        </w:rPr>
      </w:pPr>
      <w:r w:rsidRPr="00C403BB">
        <w:rPr>
          <w:rFonts w:eastAsia="SimSun"/>
          <w:color w:val="000000"/>
          <w:szCs w:val="22"/>
          <w:lang w:val="sv-SE"/>
        </w:rPr>
        <w:t>Šmarješka cesta 6</w:t>
      </w:r>
    </w:p>
    <w:p w:rsidR="00681191" w:rsidRPr="00C403BB" w:rsidRDefault="00681191" w:rsidP="00681191">
      <w:pPr>
        <w:widowControl w:val="0"/>
        <w:tabs>
          <w:tab w:val="clear" w:pos="567"/>
        </w:tabs>
        <w:spacing w:line="240" w:lineRule="auto"/>
        <w:rPr>
          <w:rFonts w:eastAsia="SimSun"/>
          <w:color w:val="000000"/>
          <w:szCs w:val="22"/>
          <w:lang w:val="sv-SE"/>
        </w:rPr>
      </w:pPr>
      <w:r w:rsidRPr="00C403BB">
        <w:rPr>
          <w:rFonts w:eastAsia="SimSun"/>
          <w:color w:val="000000"/>
          <w:szCs w:val="22"/>
          <w:lang w:val="sv-SE"/>
        </w:rPr>
        <w:t>8501 Novo mesto</w:t>
      </w:r>
    </w:p>
    <w:p w:rsidR="00681191" w:rsidRPr="00C403BB" w:rsidRDefault="00681191" w:rsidP="00681191">
      <w:pPr>
        <w:widowControl w:val="0"/>
        <w:tabs>
          <w:tab w:val="clear" w:pos="567"/>
        </w:tabs>
        <w:spacing w:line="240" w:lineRule="auto"/>
        <w:rPr>
          <w:noProof/>
          <w:szCs w:val="22"/>
          <w:lang w:val="sv-SE"/>
        </w:rPr>
      </w:pPr>
      <w:r w:rsidRPr="00FC2F1F">
        <w:rPr>
          <w:rFonts w:eastAsia="SimSun"/>
          <w:color w:val="000000"/>
          <w:szCs w:val="22"/>
          <w:lang w:val="el-GR"/>
        </w:rPr>
        <w:t>Σλοβενία</w:t>
      </w:r>
    </w:p>
    <w:p w:rsidR="00681191" w:rsidRPr="00C403BB" w:rsidRDefault="00681191" w:rsidP="00681191">
      <w:pPr>
        <w:widowControl w:val="0"/>
        <w:tabs>
          <w:tab w:val="clear" w:pos="567"/>
        </w:tabs>
        <w:spacing w:line="240" w:lineRule="auto"/>
        <w:rPr>
          <w:noProof/>
          <w:color w:val="000000"/>
          <w:szCs w:val="22"/>
          <w:highlight w:val="lightGray"/>
          <w:lang w:val="sv-SE"/>
        </w:rPr>
      </w:pPr>
    </w:p>
    <w:p w:rsidR="00681191" w:rsidRPr="00C403BB" w:rsidRDefault="00681191" w:rsidP="00681191">
      <w:pPr>
        <w:widowControl w:val="0"/>
        <w:tabs>
          <w:tab w:val="clear" w:pos="567"/>
        </w:tabs>
        <w:overflowPunct w:val="0"/>
        <w:autoSpaceDE w:val="0"/>
        <w:autoSpaceDN w:val="0"/>
        <w:adjustRightInd w:val="0"/>
        <w:spacing w:line="240" w:lineRule="auto"/>
        <w:textAlignment w:val="baseline"/>
        <w:rPr>
          <w:szCs w:val="22"/>
          <w:highlight w:val="lightGray"/>
          <w:lang w:val="sv-SE" w:eastAsia="cs-CZ"/>
        </w:rPr>
      </w:pPr>
      <w:r w:rsidRPr="00C403BB">
        <w:rPr>
          <w:rFonts w:eastAsia="SimSun"/>
          <w:color w:val="000000"/>
          <w:szCs w:val="22"/>
          <w:highlight w:val="lightGray"/>
          <w:lang w:val="sv-SE"/>
        </w:rPr>
        <w:t>TAD Pharma GmbH</w:t>
      </w:r>
    </w:p>
    <w:p w:rsidR="00681191" w:rsidRPr="00C403BB" w:rsidRDefault="00681191" w:rsidP="00681191">
      <w:pPr>
        <w:widowControl w:val="0"/>
        <w:tabs>
          <w:tab w:val="clear" w:pos="567"/>
        </w:tabs>
        <w:overflowPunct w:val="0"/>
        <w:autoSpaceDE w:val="0"/>
        <w:autoSpaceDN w:val="0"/>
        <w:adjustRightInd w:val="0"/>
        <w:spacing w:line="240" w:lineRule="auto"/>
        <w:textAlignment w:val="baseline"/>
        <w:rPr>
          <w:szCs w:val="22"/>
          <w:highlight w:val="lightGray"/>
          <w:lang w:val="sv-SE" w:eastAsia="cs-CZ"/>
        </w:rPr>
      </w:pPr>
      <w:r w:rsidRPr="00C403BB">
        <w:rPr>
          <w:rFonts w:eastAsia="SimSun"/>
          <w:color w:val="000000"/>
          <w:szCs w:val="22"/>
          <w:highlight w:val="lightGray"/>
          <w:lang w:val="sv-SE"/>
        </w:rPr>
        <w:t>Heinz-Lohmann-Stra</w:t>
      </w:r>
      <w:r w:rsidRPr="00C403BB">
        <w:rPr>
          <w:szCs w:val="22"/>
          <w:highlight w:val="lightGray"/>
          <w:lang w:val="sv-SE"/>
        </w:rPr>
        <w:t>ß</w:t>
      </w:r>
      <w:r w:rsidRPr="00C403BB">
        <w:rPr>
          <w:rFonts w:eastAsia="SimSun"/>
          <w:color w:val="000000"/>
          <w:szCs w:val="22"/>
          <w:highlight w:val="lightGray"/>
          <w:lang w:val="sv-SE"/>
        </w:rPr>
        <w:t>e 5</w:t>
      </w:r>
    </w:p>
    <w:p w:rsidR="00681191" w:rsidRPr="00C403BB" w:rsidRDefault="00681191" w:rsidP="00681191">
      <w:pPr>
        <w:widowControl w:val="0"/>
        <w:tabs>
          <w:tab w:val="clear" w:pos="567"/>
        </w:tabs>
        <w:autoSpaceDE w:val="0"/>
        <w:autoSpaceDN w:val="0"/>
        <w:adjustRightInd w:val="0"/>
        <w:spacing w:line="240" w:lineRule="auto"/>
        <w:rPr>
          <w:rFonts w:eastAsia="SimSun"/>
          <w:color w:val="000000"/>
          <w:szCs w:val="22"/>
          <w:highlight w:val="lightGray"/>
          <w:lang w:val="sv-SE"/>
        </w:rPr>
      </w:pPr>
      <w:r w:rsidRPr="00C403BB">
        <w:rPr>
          <w:rFonts w:eastAsia="SimSun"/>
          <w:color w:val="000000"/>
          <w:szCs w:val="22"/>
          <w:highlight w:val="lightGray"/>
          <w:lang w:val="sv-SE"/>
        </w:rPr>
        <w:t>27472 Cuxhaven</w:t>
      </w:r>
    </w:p>
    <w:p w:rsidR="00681191" w:rsidRPr="00C403BB" w:rsidRDefault="00681191" w:rsidP="00681191">
      <w:pPr>
        <w:widowControl w:val="0"/>
        <w:tabs>
          <w:tab w:val="clear" w:pos="567"/>
        </w:tabs>
        <w:autoSpaceDE w:val="0"/>
        <w:autoSpaceDN w:val="0"/>
        <w:adjustRightInd w:val="0"/>
        <w:spacing w:line="240" w:lineRule="auto"/>
        <w:rPr>
          <w:rFonts w:eastAsia="SimSun"/>
          <w:color w:val="000000"/>
          <w:szCs w:val="22"/>
          <w:lang w:val="sv-SE"/>
        </w:rPr>
      </w:pPr>
      <w:r w:rsidRPr="00FC2F1F">
        <w:rPr>
          <w:rFonts w:eastAsia="SimSun"/>
          <w:color w:val="000000"/>
          <w:szCs w:val="22"/>
          <w:highlight w:val="lightGray"/>
          <w:lang w:val="el-GR"/>
        </w:rPr>
        <w:t>Γερμανία</w:t>
      </w:r>
    </w:p>
    <w:p w:rsidR="00681191" w:rsidRDefault="00681191" w:rsidP="00681191">
      <w:pPr>
        <w:widowControl w:val="0"/>
        <w:tabs>
          <w:tab w:val="clear" w:pos="567"/>
        </w:tabs>
        <w:spacing w:line="240" w:lineRule="auto"/>
        <w:rPr>
          <w:noProof/>
          <w:color w:val="000000"/>
          <w:szCs w:val="22"/>
          <w:lang w:val="sl-SI"/>
        </w:rPr>
      </w:pPr>
    </w:p>
    <w:p w:rsidR="00681191" w:rsidRPr="00FF41E9" w:rsidRDefault="00681191" w:rsidP="00681191">
      <w:pPr>
        <w:widowControl w:val="0"/>
        <w:tabs>
          <w:tab w:val="clear" w:pos="567"/>
        </w:tabs>
        <w:spacing w:line="240" w:lineRule="auto"/>
        <w:rPr>
          <w:noProof/>
          <w:color w:val="000000"/>
          <w:szCs w:val="22"/>
          <w:lang w:val="sl-SI"/>
        </w:rPr>
      </w:pPr>
    </w:p>
    <w:p w:rsidR="00681191" w:rsidRPr="00FC2F1F" w:rsidRDefault="00681191" w:rsidP="00681191">
      <w:pPr>
        <w:widowControl w:val="0"/>
        <w:tabs>
          <w:tab w:val="clear" w:pos="567"/>
        </w:tabs>
        <w:spacing w:line="240" w:lineRule="auto"/>
        <w:rPr>
          <w:noProof/>
          <w:color w:val="000000"/>
          <w:szCs w:val="22"/>
          <w:lang w:val="el-GR"/>
        </w:rPr>
      </w:pPr>
      <w:r w:rsidRPr="00FC2F1F">
        <w:rPr>
          <w:noProof/>
          <w:color w:val="000000"/>
          <w:szCs w:val="22"/>
          <w:lang w:val="el-GR"/>
        </w:rPr>
        <w:t>Στο έντυπο φύλλο οδηγιών χρήσης του φαρμακευτικού προϊόντος πρέπει να αναγράφεται το όνομα και η διεύθυνση του παρα</w:t>
      </w:r>
      <w:r w:rsidR="002C151B">
        <w:rPr>
          <w:noProof/>
          <w:color w:val="000000"/>
          <w:szCs w:val="22"/>
          <w:lang w:val="el-GR"/>
        </w:rPr>
        <w:t>σκευαστή</w:t>
      </w:r>
      <w:r w:rsidRPr="00FC2F1F">
        <w:rPr>
          <w:noProof/>
          <w:color w:val="000000"/>
          <w:szCs w:val="22"/>
          <w:lang w:val="el-GR"/>
        </w:rPr>
        <w:t xml:space="preserve"> που είναι υπεύθυνος για την αποδέσμευση της σχετικής παρτίδας.</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pStyle w:val="TitleB"/>
        <w:tabs>
          <w:tab w:val="left" w:pos="567"/>
        </w:tabs>
      </w:pPr>
      <w:bookmarkStart w:id="12" w:name="OLE_LINK2"/>
      <w:r w:rsidRPr="00FC2F1F">
        <w:t>Β.</w:t>
      </w:r>
      <w:r w:rsidRPr="00FC2F1F">
        <w:tab/>
        <w:t>ΟΡΟΙ Ή ΠΕΡΙΟΡΙΣΜΟΙ ΣΧΕΤΙΚΑ ΜΕ ΤΗ ΔΙΑΘΕΣΗ ΚΑΙ ΤΗ ΧΡΗΣΗ</w:t>
      </w:r>
      <w:bookmarkEnd w:id="12"/>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numPr>
          <w:ilvl w:val="12"/>
          <w:numId w:val="0"/>
        </w:numPr>
        <w:tabs>
          <w:tab w:val="clear" w:pos="567"/>
        </w:tabs>
        <w:spacing w:line="240" w:lineRule="auto"/>
        <w:rPr>
          <w:noProof/>
          <w:szCs w:val="22"/>
          <w:lang w:val="el-GR"/>
        </w:rPr>
      </w:pPr>
      <w:r w:rsidRPr="00FC2F1F">
        <w:rPr>
          <w:noProof/>
          <w:szCs w:val="22"/>
          <w:lang w:val="el-GR"/>
        </w:rPr>
        <w:t>Φαρμακευτικό προϊόν για το οποίο απαιτείται ιατρική συνταγή.</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numPr>
          <w:ilvl w:val="12"/>
          <w:numId w:val="0"/>
        </w:numPr>
        <w:tabs>
          <w:tab w:val="clear" w:pos="567"/>
        </w:tabs>
        <w:spacing w:line="240" w:lineRule="auto"/>
        <w:rPr>
          <w:noProof/>
          <w:szCs w:val="22"/>
          <w:lang w:val="el-GR"/>
        </w:rPr>
      </w:pPr>
    </w:p>
    <w:p w:rsidR="00681191" w:rsidRPr="00FC2F1F" w:rsidRDefault="00681191" w:rsidP="00681191">
      <w:pPr>
        <w:pStyle w:val="TitleB"/>
        <w:ind w:left="567" w:hanging="567"/>
      </w:pPr>
      <w:r w:rsidRPr="00FC2F1F">
        <w:t>Γ.</w:t>
      </w:r>
      <w:r w:rsidRPr="00FC2F1F">
        <w:tab/>
        <w:t>ΑΛΛΟΙ ΟΡΟΙ ΚΑΙ ΑΠΑΙΤΗΣΕΙΣ ΤΗΣ ΑΔΕΙΑΣ ΚΥΚΛΟΦΟΡΙΑΣ</w:t>
      </w:r>
    </w:p>
    <w:p w:rsidR="00681191" w:rsidRPr="00FC2F1F" w:rsidRDefault="00681191" w:rsidP="00681191">
      <w:pPr>
        <w:widowControl w:val="0"/>
        <w:tabs>
          <w:tab w:val="clear" w:pos="567"/>
        </w:tabs>
        <w:spacing w:line="240" w:lineRule="auto"/>
        <w:rPr>
          <w:i/>
          <w:noProof/>
          <w:szCs w:val="22"/>
          <w:u w:val="single"/>
          <w:lang w:val="el-GR"/>
        </w:rPr>
      </w:pPr>
    </w:p>
    <w:p w:rsidR="00681191" w:rsidRPr="00FC2F1F" w:rsidRDefault="00681191" w:rsidP="00681191">
      <w:pPr>
        <w:widowControl w:val="0"/>
        <w:numPr>
          <w:ilvl w:val="0"/>
          <w:numId w:val="2"/>
        </w:numPr>
        <w:tabs>
          <w:tab w:val="clear" w:pos="567"/>
          <w:tab w:val="clear" w:pos="720"/>
        </w:tabs>
        <w:spacing w:line="240" w:lineRule="auto"/>
        <w:ind w:left="567" w:hanging="567"/>
        <w:rPr>
          <w:b/>
          <w:szCs w:val="22"/>
          <w:lang w:val="el-GR"/>
        </w:rPr>
      </w:pPr>
      <w:r w:rsidRPr="00FC2F1F">
        <w:rPr>
          <w:b/>
          <w:noProof/>
          <w:szCs w:val="22"/>
          <w:lang w:val="el-GR"/>
        </w:rPr>
        <w:t xml:space="preserve">Εκθέσεις </w:t>
      </w:r>
      <w:r w:rsidR="003A6F21">
        <w:rPr>
          <w:b/>
          <w:noProof/>
          <w:szCs w:val="22"/>
          <w:lang w:val="el-GR"/>
        </w:rPr>
        <w:t>π</w:t>
      </w:r>
      <w:r w:rsidRPr="00FC2F1F">
        <w:rPr>
          <w:b/>
          <w:noProof/>
          <w:szCs w:val="22"/>
          <w:lang w:val="el-GR"/>
        </w:rPr>
        <w:t xml:space="preserve">εριοδικής </w:t>
      </w:r>
      <w:r w:rsidR="003A6F21">
        <w:rPr>
          <w:b/>
          <w:noProof/>
          <w:szCs w:val="22"/>
          <w:lang w:val="el-GR"/>
        </w:rPr>
        <w:t>π</w:t>
      </w:r>
      <w:r w:rsidRPr="00FC2F1F">
        <w:rPr>
          <w:b/>
          <w:noProof/>
          <w:szCs w:val="22"/>
          <w:lang w:val="el-GR"/>
        </w:rPr>
        <w:t xml:space="preserve">αρακολούθησης της </w:t>
      </w:r>
      <w:r w:rsidR="003A6F21">
        <w:rPr>
          <w:b/>
          <w:noProof/>
          <w:szCs w:val="22"/>
          <w:lang w:val="el-GR"/>
        </w:rPr>
        <w:t>α</w:t>
      </w:r>
      <w:r w:rsidRPr="00FC2F1F">
        <w:rPr>
          <w:b/>
          <w:noProof/>
          <w:szCs w:val="22"/>
          <w:lang w:val="el-GR"/>
        </w:rPr>
        <w:t>σφάλειας</w:t>
      </w:r>
      <w:r w:rsidR="003A6F21">
        <w:rPr>
          <w:b/>
          <w:noProof/>
          <w:szCs w:val="22"/>
          <w:lang w:val="el-GR"/>
        </w:rPr>
        <w:t xml:space="preserve"> (</w:t>
      </w:r>
      <w:r w:rsidR="003A6F21">
        <w:rPr>
          <w:b/>
          <w:noProof/>
          <w:szCs w:val="22"/>
          <w:lang w:val="en-US"/>
        </w:rPr>
        <w:t>PSURs</w:t>
      </w:r>
      <w:r w:rsidR="003A6F21" w:rsidRPr="00A5654A">
        <w:rPr>
          <w:b/>
          <w:noProof/>
          <w:szCs w:val="22"/>
          <w:lang w:val="el-GR"/>
        </w:rPr>
        <w:t>)</w:t>
      </w:r>
    </w:p>
    <w:p w:rsidR="00681191" w:rsidRPr="00FC2F1F" w:rsidRDefault="00681191" w:rsidP="00681191">
      <w:pPr>
        <w:widowControl w:val="0"/>
        <w:tabs>
          <w:tab w:val="clear" w:pos="567"/>
          <w:tab w:val="left" w:pos="0"/>
        </w:tabs>
        <w:spacing w:line="240" w:lineRule="auto"/>
        <w:rPr>
          <w:szCs w:val="22"/>
          <w:lang w:val="el-GR"/>
        </w:rPr>
      </w:pPr>
    </w:p>
    <w:p w:rsidR="00681191" w:rsidRPr="00FC2F1F" w:rsidRDefault="00681191" w:rsidP="00681191">
      <w:pPr>
        <w:widowControl w:val="0"/>
        <w:tabs>
          <w:tab w:val="left" w:pos="0"/>
        </w:tabs>
        <w:spacing w:line="240" w:lineRule="auto"/>
        <w:ind w:right="567"/>
        <w:rPr>
          <w:i/>
          <w:szCs w:val="22"/>
          <w:lang w:val="el-GR"/>
        </w:rPr>
      </w:pPr>
      <w:r w:rsidRPr="00FC2F1F">
        <w:rPr>
          <w:szCs w:val="22"/>
          <w:lang w:val="el-GR"/>
        </w:rPr>
        <w:t>Ο</w:t>
      </w:r>
      <w:r w:rsidR="0049788F">
        <w:rPr>
          <w:szCs w:val="22"/>
          <w:lang w:val="el-GR"/>
        </w:rPr>
        <w:t>ι απαιτήσεις για την υποβολή</w:t>
      </w:r>
      <w:r w:rsidRPr="00FC2F1F">
        <w:rPr>
          <w:szCs w:val="22"/>
          <w:lang w:val="el-GR"/>
        </w:rPr>
        <w:t xml:space="preserve"> </w:t>
      </w:r>
      <w:r w:rsidR="003A6F21">
        <w:rPr>
          <w:szCs w:val="22"/>
          <w:lang w:val="el-GR"/>
        </w:rPr>
        <w:t xml:space="preserve">των </w:t>
      </w:r>
      <w:r w:rsidR="003A6F21">
        <w:rPr>
          <w:szCs w:val="22"/>
          <w:lang w:val="en-US"/>
        </w:rPr>
        <w:t>PSURs</w:t>
      </w:r>
      <w:r w:rsidRPr="00B754A1">
        <w:rPr>
          <w:szCs w:val="22"/>
          <w:lang w:val="el-GR"/>
        </w:rPr>
        <w:t xml:space="preserve"> για το εν λόγω </w:t>
      </w:r>
      <w:r w:rsidR="0049788F">
        <w:rPr>
          <w:szCs w:val="22"/>
          <w:lang w:val="el-GR"/>
        </w:rPr>
        <w:t xml:space="preserve">φαρμακευτικό </w:t>
      </w:r>
      <w:r w:rsidRPr="00B754A1">
        <w:rPr>
          <w:szCs w:val="22"/>
          <w:lang w:val="el-GR"/>
        </w:rPr>
        <w:t>προϊόν</w:t>
      </w:r>
      <w:r w:rsidRPr="00FC2F1F">
        <w:rPr>
          <w:szCs w:val="22"/>
          <w:lang w:val="el-GR"/>
        </w:rPr>
        <w:t xml:space="preserve"> ορίζονται στον κατάλογο με τις ημερομηνίες αναφοράς της Ένωσης (κατάλογος </w:t>
      </w:r>
      <w:r w:rsidRPr="00FC2F1F">
        <w:rPr>
          <w:noProof/>
          <w:szCs w:val="22"/>
          <w:lang w:val="el-GR"/>
        </w:rPr>
        <w:t>EURD</w:t>
      </w:r>
      <w:r w:rsidRPr="00FC2F1F">
        <w:rPr>
          <w:szCs w:val="22"/>
          <w:lang w:val="el-GR"/>
        </w:rPr>
        <w:t xml:space="preserve">) που παρατίθεται </w:t>
      </w:r>
      <w:r w:rsidR="00B630BC">
        <w:rPr>
          <w:szCs w:val="22"/>
          <w:lang w:val="el-GR"/>
        </w:rPr>
        <w:t>στην παράγραφο 7, του</w:t>
      </w:r>
      <w:r w:rsidRPr="00FC2F1F">
        <w:rPr>
          <w:szCs w:val="22"/>
          <w:lang w:val="el-GR"/>
        </w:rPr>
        <w:t xml:space="preserve"> άρθρο</w:t>
      </w:r>
      <w:r w:rsidR="00B630BC">
        <w:rPr>
          <w:szCs w:val="22"/>
          <w:lang w:val="el-GR"/>
        </w:rPr>
        <w:t>υ</w:t>
      </w:r>
      <w:r w:rsidRPr="00FC2F1F">
        <w:rPr>
          <w:szCs w:val="22"/>
          <w:lang w:val="el-GR"/>
        </w:rPr>
        <w:t xml:space="preserve"> 107γ</w:t>
      </w:r>
      <w:r w:rsidR="00B630BC">
        <w:rPr>
          <w:szCs w:val="22"/>
          <w:lang w:val="el-GR"/>
        </w:rPr>
        <w:t>,</w:t>
      </w:r>
      <w:r w:rsidRPr="00FC2F1F">
        <w:rPr>
          <w:szCs w:val="22"/>
          <w:lang w:val="el-GR"/>
        </w:rPr>
        <w:t xml:space="preserve"> της οδηγίας 2001/83/ΕΚ και </w:t>
      </w:r>
      <w:r w:rsidR="00B630BC">
        <w:rPr>
          <w:szCs w:val="22"/>
          <w:lang w:val="el-GR"/>
        </w:rPr>
        <w:t>κάθε επακόλουθης επικαιροποίησης όπως</w:t>
      </w:r>
      <w:r w:rsidRPr="00FC2F1F">
        <w:rPr>
          <w:szCs w:val="22"/>
          <w:lang w:val="el-GR"/>
        </w:rPr>
        <w:t xml:space="preserve"> δημοσιε</w:t>
      </w:r>
      <w:r w:rsidR="00B630BC">
        <w:rPr>
          <w:szCs w:val="22"/>
          <w:lang w:val="el-GR"/>
        </w:rPr>
        <w:t>ύεται</w:t>
      </w:r>
      <w:r w:rsidRPr="00FC2F1F">
        <w:rPr>
          <w:szCs w:val="22"/>
          <w:lang w:val="el-GR"/>
        </w:rPr>
        <w:t xml:space="preserve"> στην ευρωπαϊκή δικτυακή πύλη για τα φάρμακα</w:t>
      </w:r>
      <w:r w:rsidRPr="00FC2F1F">
        <w:rPr>
          <w:i/>
          <w:szCs w:val="22"/>
          <w:lang w:val="el-GR"/>
        </w:rPr>
        <w:t>.</w:t>
      </w:r>
    </w:p>
    <w:p w:rsidR="00681191" w:rsidRPr="00FC2F1F" w:rsidRDefault="00681191" w:rsidP="00681191">
      <w:pPr>
        <w:widowControl w:val="0"/>
        <w:tabs>
          <w:tab w:val="clear" w:pos="567"/>
          <w:tab w:val="left" w:pos="0"/>
        </w:tabs>
        <w:spacing w:line="240" w:lineRule="auto"/>
        <w:rPr>
          <w:szCs w:val="22"/>
          <w:lang w:val="el-GR"/>
        </w:rPr>
      </w:pPr>
    </w:p>
    <w:p w:rsidR="00681191" w:rsidRPr="00FC2F1F" w:rsidRDefault="00681191" w:rsidP="00681191">
      <w:pPr>
        <w:widowControl w:val="0"/>
        <w:tabs>
          <w:tab w:val="clear" w:pos="567"/>
          <w:tab w:val="left" w:pos="0"/>
        </w:tabs>
        <w:spacing w:line="240" w:lineRule="auto"/>
        <w:rPr>
          <w:szCs w:val="22"/>
          <w:lang w:val="el-GR"/>
        </w:rPr>
      </w:pPr>
    </w:p>
    <w:p w:rsidR="00681191" w:rsidRPr="00FC2F1F" w:rsidRDefault="00681191" w:rsidP="00681191">
      <w:pPr>
        <w:pStyle w:val="TitleB"/>
        <w:widowControl w:val="0"/>
        <w:ind w:left="567" w:hanging="567"/>
      </w:pPr>
      <w:r w:rsidRPr="00FC2F1F">
        <w:t>Δ.</w:t>
      </w:r>
      <w:r w:rsidRPr="00FC2F1F">
        <w:tab/>
        <w:t>ΟΡΟΙ Ή ΠΕΡΙΟΡΙΣΜΟΙ ΣΧΕΤΙΚΑ ΜΕ ΤΗΝ ΑΣΦΑΛΗ ΚΑΙ ΑΠΟΤΕΛΕΣΜΑΤΙΚΗ ΧΡΗΣΗ ΤΟΥ ΦΑΡΜΑΚΕΥΤΙΚΟΥ ΠΡΟΪΟΝΤΟΣ</w:t>
      </w:r>
    </w:p>
    <w:p w:rsidR="00681191" w:rsidRPr="00FC2F1F" w:rsidRDefault="00681191" w:rsidP="00681191">
      <w:pPr>
        <w:widowControl w:val="0"/>
        <w:tabs>
          <w:tab w:val="clear" w:pos="567"/>
        </w:tabs>
        <w:spacing w:line="240" w:lineRule="auto"/>
        <w:rPr>
          <w:i/>
          <w:noProof/>
          <w:szCs w:val="22"/>
          <w:u w:val="single"/>
          <w:lang w:val="el-GR"/>
        </w:rPr>
      </w:pPr>
    </w:p>
    <w:p w:rsidR="00681191" w:rsidRPr="00FC2F1F" w:rsidRDefault="00681191" w:rsidP="00681191">
      <w:pPr>
        <w:widowControl w:val="0"/>
        <w:numPr>
          <w:ilvl w:val="0"/>
          <w:numId w:val="2"/>
        </w:numPr>
        <w:tabs>
          <w:tab w:val="clear" w:pos="567"/>
          <w:tab w:val="clear" w:pos="720"/>
        </w:tabs>
        <w:spacing w:line="240" w:lineRule="auto"/>
        <w:ind w:left="567" w:hanging="567"/>
        <w:rPr>
          <w:b/>
          <w:szCs w:val="22"/>
          <w:lang w:val="el-GR"/>
        </w:rPr>
      </w:pPr>
      <w:r w:rsidRPr="00FC2F1F">
        <w:rPr>
          <w:b/>
          <w:noProof/>
          <w:szCs w:val="22"/>
          <w:lang w:val="el-GR"/>
        </w:rPr>
        <w:t xml:space="preserve">Σχέδιο </w:t>
      </w:r>
      <w:r w:rsidR="003A6F21">
        <w:rPr>
          <w:b/>
          <w:noProof/>
          <w:szCs w:val="22"/>
          <w:lang w:val="el-GR"/>
        </w:rPr>
        <w:t>δ</w:t>
      </w:r>
      <w:r w:rsidRPr="00FC2F1F">
        <w:rPr>
          <w:b/>
          <w:noProof/>
          <w:szCs w:val="22"/>
          <w:lang w:val="el-GR"/>
        </w:rPr>
        <w:t xml:space="preserve">ιαχείρισης </w:t>
      </w:r>
      <w:r w:rsidR="003A6F21">
        <w:rPr>
          <w:b/>
          <w:noProof/>
          <w:szCs w:val="22"/>
          <w:lang w:val="el-GR"/>
        </w:rPr>
        <w:t>κ</w:t>
      </w:r>
      <w:r w:rsidRPr="00FC2F1F">
        <w:rPr>
          <w:b/>
          <w:noProof/>
          <w:szCs w:val="22"/>
          <w:lang w:val="el-GR"/>
        </w:rPr>
        <w:t>ινδύνου (ΣΔΚ)</w:t>
      </w:r>
    </w:p>
    <w:p w:rsidR="00681191" w:rsidRPr="00FC2F1F" w:rsidRDefault="00681191" w:rsidP="00681191">
      <w:pPr>
        <w:widowControl w:val="0"/>
        <w:tabs>
          <w:tab w:val="clear" w:pos="567"/>
        </w:tabs>
        <w:spacing w:line="240" w:lineRule="auto"/>
        <w:rPr>
          <w:b/>
          <w:szCs w:val="22"/>
          <w:lang w:val="el-GR"/>
        </w:rPr>
      </w:pPr>
    </w:p>
    <w:p w:rsidR="00681191" w:rsidRPr="00FC2F1F" w:rsidRDefault="00681191" w:rsidP="00681191">
      <w:pPr>
        <w:widowControl w:val="0"/>
        <w:tabs>
          <w:tab w:val="clear" w:pos="567"/>
          <w:tab w:val="left" w:pos="0"/>
        </w:tabs>
        <w:spacing w:line="240" w:lineRule="auto"/>
        <w:rPr>
          <w:noProof/>
          <w:szCs w:val="22"/>
          <w:lang w:val="el-GR"/>
        </w:rPr>
      </w:pPr>
      <w:r w:rsidRPr="00FC2F1F">
        <w:rPr>
          <w:noProof/>
          <w:szCs w:val="22"/>
          <w:lang w:val="el-GR"/>
        </w:rPr>
        <w:t xml:space="preserve">Ο Κάτοχος </w:t>
      </w:r>
      <w:r w:rsidRPr="00FC2F1F">
        <w:rPr>
          <w:color w:val="000000"/>
          <w:szCs w:val="22"/>
          <w:lang w:val="el-GR"/>
        </w:rPr>
        <w:t>Άδειας</w:t>
      </w:r>
      <w:r w:rsidRPr="00FC2F1F">
        <w:rPr>
          <w:noProof/>
          <w:szCs w:val="22"/>
          <w:lang w:val="el-GR"/>
        </w:rPr>
        <w:t xml:space="preserve"> Κυκλοφορίας </w:t>
      </w:r>
      <w:r w:rsidR="003A6F21">
        <w:rPr>
          <w:noProof/>
          <w:szCs w:val="22"/>
          <w:lang w:val="el-GR"/>
        </w:rPr>
        <w:t xml:space="preserve">(ΚΑΚ) </w:t>
      </w:r>
      <w:r w:rsidRPr="00FC2F1F">
        <w:rPr>
          <w:noProof/>
          <w:szCs w:val="22"/>
          <w:lang w:val="el-GR"/>
        </w:rPr>
        <w:t>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rsidR="00681191" w:rsidRPr="00FC2F1F" w:rsidRDefault="00681191" w:rsidP="00681191">
      <w:pPr>
        <w:widowControl w:val="0"/>
        <w:spacing w:line="240" w:lineRule="auto"/>
        <w:ind w:right="-1"/>
        <w:rPr>
          <w:i/>
          <w:noProof/>
          <w:szCs w:val="22"/>
          <w:lang w:val="el-GR"/>
        </w:rPr>
      </w:pPr>
      <w:r w:rsidRPr="00FC2F1F">
        <w:rPr>
          <w:noProof/>
          <w:szCs w:val="22"/>
          <w:lang w:val="el-GR"/>
        </w:rPr>
        <w:t xml:space="preserve">Ένα </w:t>
      </w:r>
      <w:r w:rsidRPr="00FC2F1F">
        <w:rPr>
          <w:color w:val="000000"/>
          <w:szCs w:val="22"/>
          <w:lang w:val="el-GR"/>
        </w:rPr>
        <w:t>επικαιροποιημένο</w:t>
      </w:r>
      <w:r w:rsidRPr="00FC2F1F">
        <w:rPr>
          <w:noProof/>
          <w:szCs w:val="22"/>
          <w:lang w:val="el-GR"/>
        </w:rPr>
        <w:t xml:space="preserve"> ΣΔΚ θα πρέπει να κατατεθεί</w:t>
      </w:r>
      <w:r w:rsidRPr="00FC2F1F">
        <w:rPr>
          <w:i/>
          <w:noProof/>
          <w:szCs w:val="22"/>
          <w:lang w:val="el-GR"/>
        </w:rPr>
        <w:t>:</w:t>
      </w:r>
    </w:p>
    <w:p w:rsidR="00681191" w:rsidRPr="0087056E" w:rsidRDefault="003A6F21" w:rsidP="00681191">
      <w:pPr>
        <w:widowControl w:val="0"/>
        <w:numPr>
          <w:ilvl w:val="0"/>
          <w:numId w:val="1"/>
        </w:numPr>
        <w:tabs>
          <w:tab w:val="clear" w:pos="720"/>
          <w:tab w:val="num" w:pos="567"/>
        </w:tabs>
        <w:spacing w:line="240" w:lineRule="auto"/>
        <w:ind w:left="567" w:right="-1" w:hanging="567"/>
        <w:rPr>
          <w:noProof/>
          <w:szCs w:val="22"/>
          <w:lang w:val="el-GR"/>
        </w:rPr>
      </w:pPr>
      <w:r>
        <w:rPr>
          <w:noProof/>
          <w:szCs w:val="22"/>
          <w:lang w:val="el-GR"/>
        </w:rPr>
        <w:t>Μ</w:t>
      </w:r>
      <w:r w:rsidR="00681191" w:rsidRPr="0087056E">
        <w:rPr>
          <w:noProof/>
          <w:szCs w:val="22"/>
          <w:lang w:val="el-GR"/>
        </w:rPr>
        <w:t>ετά από αίτημα του Ευρωπαϊκού οργανισμού Φαρμάκων,</w:t>
      </w:r>
    </w:p>
    <w:p w:rsidR="00681191" w:rsidRPr="0087056E" w:rsidRDefault="003A6F21" w:rsidP="00681191">
      <w:pPr>
        <w:widowControl w:val="0"/>
        <w:numPr>
          <w:ilvl w:val="0"/>
          <w:numId w:val="1"/>
        </w:numPr>
        <w:tabs>
          <w:tab w:val="clear" w:pos="720"/>
          <w:tab w:val="num" w:pos="567"/>
        </w:tabs>
        <w:spacing w:line="240" w:lineRule="auto"/>
        <w:ind w:left="567" w:right="-1" w:hanging="567"/>
        <w:rPr>
          <w:noProof/>
          <w:szCs w:val="22"/>
          <w:lang w:val="el-GR"/>
        </w:rPr>
      </w:pPr>
      <w:r>
        <w:rPr>
          <w:noProof/>
          <w:szCs w:val="22"/>
          <w:lang w:val="el-GR"/>
        </w:rPr>
        <w:t>Ο</w:t>
      </w:r>
      <w:r w:rsidR="00681191" w:rsidRPr="0087056E">
        <w:rPr>
          <w:noProof/>
          <w:szCs w:val="22"/>
          <w:lang w:val="el-GR"/>
        </w:rPr>
        <w:t>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rsidR="00681191" w:rsidRPr="00FC2F1F" w:rsidRDefault="00681191" w:rsidP="00681191">
      <w:pPr>
        <w:widowControl w:val="0"/>
        <w:spacing w:line="240" w:lineRule="auto"/>
        <w:ind w:right="-1"/>
        <w:rPr>
          <w:i/>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Εάν η υποβολή μιας ΕΠΠΑ και η επικαιροποίηση του ΣΔΚ συμπίπτουν, δύνα</w:t>
      </w:r>
      <w:r w:rsidR="00DF0680">
        <w:rPr>
          <w:noProof/>
          <w:szCs w:val="22"/>
          <w:lang w:val="el-GR"/>
        </w:rPr>
        <w:t>ν</w:t>
      </w:r>
      <w:r w:rsidRPr="00FC2F1F">
        <w:rPr>
          <w:noProof/>
          <w:szCs w:val="22"/>
          <w:lang w:val="el-GR"/>
        </w:rPr>
        <w:t>ται να κατατεθούν ταυτόχρονα.</w:t>
      </w:r>
    </w:p>
    <w:p w:rsidR="00681191" w:rsidRPr="00FC2F1F" w:rsidRDefault="00681191" w:rsidP="00681191">
      <w:pPr>
        <w:widowControl w:val="0"/>
        <w:spacing w:line="240" w:lineRule="auto"/>
        <w:rPr>
          <w:noProof/>
          <w:szCs w:val="22"/>
          <w:lang w:val="el-GR"/>
        </w:rPr>
      </w:pPr>
    </w:p>
    <w:p w:rsidR="00681191" w:rsidRPr="00FC2F1F" w:rsidRDefault="0040081C" w:rsidP="00681191">
      <w:pPr>
        <w:widowControl w:val="0"/>
        <w:spacing w:line="240" w:lineRule="auto"/>
        <w:ind w:right="-1"/>
        <w:rPr>
          <w:noProof/>
          <w:szCs w:val="22"/>
          <w:lang w:val="el-GR"/>
        </w:rPr>
      </w:pPr>
      <w:r>
        <w:rPr>
          <w:noProof/>
          <w:szCs w:val="22"/>
          <w:lang w:val="el-GR"/>
        </w:rPr>
        <w:t>Ε</w:t>
      </w:r>
      <w:r w:rsidR="00681191" w:rsidRPr="00FC2F1F">
        <w:rPr>
          <w:noProof/>
          <w:szCs w:val="22"/>
          <w:lang w:val="el-GR"/>
        </w:rPr>
        <w:t>πικαιροποιημένο ΣΔΚ θα πρέπει να κατατεθεί μέχρι {CHMP συμφωνημένη προθεσμία}.</w:t>
      </w:r>
    </w:p>
    <w:p w:rsidR="00681191" w:rsidRPr="00FC2F1F" w:rsidRDefault="00681191" w:rsidP="00DE6252">
      <w:pPr>
        <w:widowControl w:val="0"/>
        <w:ind w:left="567" w:right="-1" w:hanging="567"/>
        <w:jc w:val="center"/>
        <w:rPr>
          <w:noProof/>
          <w:szCs w:val="22"/>
          <w:lang w:val="el-GR"/>
        </w:rPr>
      </w:pPr>
      <w:r w:rsidRPr="00FC2F1F">
        <w:rPr>
          <w:noProof/>
          <w:szCs w:val="22"/>
          <w:lang w:val="el-GR"/>
        </w:rPr>
        <w:br w:type="page"/>
      </w: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outlineLvl w:val="0"/>
        <w:rPr>
          <w:noProof/>
          <w:szCs w:val="22"/>
          <w:lang w:val="el-GR"/>
        </w:rPr>
      </w:pPr>
    </w:p>
    <w:p w:rsidR="00681191" w:rsidRPr="00DE6252" w:rsidRDefault="00681191" w:rsidP="00681191">
      <w:pPr>
        <w:widowControl w:val="0"/>
        <w:spacing w:line="240" w:lineRule="auto"/>
        <w:jc w:val="center"/>
        <w:outlineLvl w:val="0"/>
        <w:rPr>
          <w:noProof/>
          <w:szCs w:val="22"/>
          <w:lang w:val="el-GR"/>
        </w:rPr>
      </w:pPr>
    </w:p>
    <w:p w:rsidR="00681191" w:rsidRPr="00DE6252" w:rsidRDefault="00681191" w:rsidP="00681191">
      <w:pPr>
        <w:widowControl w:val="0"/>
        <w:spacing w:line="240" w:lineRule="auto"/>
        <w:jc w:val="center"/>
        <w:outlineLvl w:val="0"/>
        <w:rPr>
          <w:noProof/>
          <w:szCs w:val="22"/>
          <w:lang w:val="el-GR"/>
        </w:rPr>
      </w:pPr>
    </w:p>
    <w:p w:rsidR="00681191" w:rsidRPr="00DE6252" w:rsidRDefault="00681191" w:rsidP="00681191">
      <w:pPr>
        <w:widowControl w:val="0"/>
        <w:spacing w:line="240" w:lineRule="auto"/>
        <w:jc w:val="center"/>
        <w:outlineLvl w:val="0"/>
        <w:rPr>
          <w:noProof/>
          <w:szCs w:val="22"/>
          <w:lang w:val="el-GR"/>
        </w:rPr>
      </w:pPr>
    </w:p>
    <w:p w:rsidR="00681191" w:rsidRPr="00DE6252" w:rsidRDefault="00681191" w:rsidP="00681191">
      <w:pPr>
        <w:widowControl w:val="0"/>
        <w:spacing w:line="240" w:lineRule="auto"/>
        <w:jc w:val="center"/>
        <w:outlineLvl w:val="0"/>
        <w:rPr>
          <w:noProof/>
          <w:szCs w:val="22"/>
          <w:lang w:val="el-GR"/>
        </w:rPr>
      </w:pPr>
    </w:p>
    <w:p w:rsidR="00681191" w:rsidRPr="00DE6252" w:rsidRDefault="00681191" w:rsidP="00681191">
      <w:pPr>
        <w:widowControl w:val="0"/>
        <w:spacing w:line="240" w:lineRule="auto"/>
        <w:jc w:val="center"/>
        <w:outlineLvl w:val="0"/>
        <w:rPr>
          <w:noProof/>
          <w:szCs w:val="22"/>
          <w:lang w:val="el-GR"/>
        </w:rPr>
      </w:pPr>
    </w:p>
    <w:p w:rsidR="00681191" w:rsidRPr="00FC2F1F" w:rsidRDefault="00681191" w:rsidP="00681191">
      <w:pPr>
        <w:widowControl w:val="0"/>
        <w:spacing w:line="240" w:lineRule="auto"/>
        <w:jc w:val="center"/>
        <w:rPr>
          <w:b/>
          <w:noProof/>
          <w:szCs w:val="22"/>
          <w:lang w:val="el-GR"/>
        </w:rPr>
      </w:pPr>
      <w:r w:rsidRPr="00FC2F1F">
        <w:rPr>
          <w:b/>
          <w:noProof/>
          <w:szCs w:val="22"/>
          <w:lang w:val="el-GR"/>
        </w:rPr>
        <w:t>ΠΑΡΑΡΤΗΜΑ ΙΙΙ</w:t>
      </w:r>
    </w:p>
    <w:p w:rsidR="00681191" w:rsidRPr="00FC2F1F" w:rsidRDefault="00681191" w:rsidP="00681191">
      <w:pPr>
        <w:widowControl w:val="0"/>
        <w:spacing w:line="240" w:lineRule="auto"/>
        <w:jc w:val="center"/>
        <w:rPr>
          <w:b/>
          <w:noProof/>
          <w:szCs w:val="22"/>
          <w:lang w:val="el-GR"/>
        </w:rPr>
      </w:pPr>
    </w:p>
    <w:p w:rsidR="00681191" w:rsidRPr="00FC2F1F" w:rsidRDefault="00681191" w:rsidP="00681191">
      <w:pPr>
        <w:widowControl w:val="0"/>
        <w:spacing w:line="240" w:lineRule="auto"/>
        <w:jc w:val="center"/>
        <w:rPr>
          <w:b/>
          <w:noProof/>
          <w:szCs w:val="22"/>
          <w:lang w:val="el-GR"/>
        </w:rPr>
      </w:pPr>
      <w:r w:rsidRPr="00FC2F1F">
        <w:rPr>
          <w:b/>
          <w:noProof/>
          <w:szCs w:val="22"/>
          <w:lang w:val="el-GR"/>
        </w:rPr>
        <w:t>ΕΠΙΣΗΜΑΝΣΗ ΚΑΙ ΦΥΛΛΟ ΟΔΗΓΙΩΝ ΧΡΗΣHΣ</w:t>
      </w:r>
    </w:p>
    <w:p w:rsidR="00681191" w:rsidRPr="00FC2F1F" w:rsidRDefault="00681191" w:rsidP="00DE6252">
      <w:pPr>
        <w:widowControl w:val="0"/>
        <w:spacing w:line="240" w:lineRule="auto"/>
        <w:jc w:val="center"/>
        <w:rPr>
          <w:noProof/>
          <w:szCs w:val="22"/>
          <w:lang w:val="el-GR"/>
        </w:rPr>
      </w:pPr>
      <w:r w:rsidRPr="00FC2F1F">
        <w:rPr>
          <w:b/>
          <w:noProof/>
          <w:szCs w:val="22"/>
          <w:lang w:val="el-GR"/>
        </w:rPr>
        <w:br w:type="page"/>
      </w: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DE6252">
      <w:pPr>
        <w:widowControl w:val="0"/>
        <w:spacing w:line="240" w:lineRule="auto"/>
        <w:jc w:val="center"/>
        <w:rPr>
          <w:noProof/>
          <w:szCs w:val="22"/>
          <w:lang w:val="el-GR"/>
        </w:rPr>
      </w:pPr>
    </w:p>
    <w:p w:rsidR="00681191" w:rsidRPr="00FC2F1F" w:rsidRDefault="00681191" w:rsidP="00681191">
      <w:pPr>
        <w:pStyle w:val="TitleA"/>
      </w:pPr>
      <w:r w:rsidRPr="00FC2F1F">
        <w:t>Α. ΕΠΙΣΗΜΑΝΣΗ</w:t>
      </w:r>
    </w:p>
    <w:p w:rsidR="00681191" w:rsidRPr="00FC2F1F" w:rsidRDefault="00681191" w:rsidP="00681191">
      <w:pPr>
        <w:widowControl w:val="0"/>
        <w:spacing w:line="240" w:lineRule="auto"/>
        <w:rPr>
          <w:noProof/>
          <w:szCs w:val="22"/>
          <w:lang w:val="el-GR"/>
        </w:rPr>
      </w:pPr>
      <w:r w:rsidRPr="00FC2F1F">
        <w:rPr>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rPr>
          <w:trHeight w:val="999"/>
        </w:trPr>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ΕΝΔΕΙΞΕΙΣ ΠΟΥ ΠΡΕΠΕΙ ΝΑ ΑΝΑΓΡΑΦΟΝΤΑΙ ΣΤΗΝ ΕΞΩΤΕΡΙΚΗ ΣΥΣΚΕΥΑΣΙΑ</w:t>
            </w:r>
          </w:p>
          <w:p w:rsidR="00681191" w:rsidRPr="00FC2F1F" w:rsidRDefault="00681191" w:rsidP="00D93067">
            <w:pPr>
              <w:widowControl w:val="0"/>
              <w:spacing w:line="240" w:lineRule="auto"/>
              <w:rPr>
                <w:noProof/>
                <w:szCs w:val="22"/>
                <w:lang w:val="el-GR"/>
              </w:rPr>
            </w:pPr>
          </w:p>
          <w:p w:rsidR="00681191" w:rsidRPr="00FC2F1F" w:rsidRDefault="00681191" w:rsidP="00D93067">
            <w:pPr>
              <w:widowControl w:val="0"/>
              <w:spacing w:line="240" w:lineRule="auto"/>
              <w:rPr>
                <w:noProof/>
                <w:szCs w:val="22"/>
                <w:lang w:val="el-GR"/>
              </w:rPr>
            </w:pPr>
            <w:r w:rsidRPr="00FC2F1F">
              <w:rPr>
                <w:b/>
                <w:noProof/>
                <w:szCs w:val="22"/>
                <w:lang w:val="el-GR"/>
              </w:rPr>
              <w:t>ΕΞΩΤΕΡΙΚΟ ΚΟΥΤΙ</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w:t>
            </w:r>
            <w:r w:rsidRPr="00FC2F1F">
              <w:rPr>
                <w:b/>
                <w:noProof/>
                <w:szCs w:val="22"/>
                <w:lang w:val="el-GR"/>
              </w:rPr>
              <w:tab/>
              <w:t>ΟΝΟΜΑΣΙΑ ΤΟΥ ΦΑΡΜΑΚΕΥΤΙΚΟΥ ΠΡΟΪΟΝΤΟΣ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Tolucombi 40</w:t>
      </w:r>
      <w:r>
        <w:rPr>
          <w:noProof/>
          <w:szCs w:val="22"/>
          <w:lang w:val="el-GR"/>
        </w:rPr>
        <w:t> mg</w:t>
      </w:r>
      <w:r w:rsidRPr="00FC2F1F">
        <w:rPr>
          <w:noProof/>
          <w:szCs w:val="22"/>
          <w:lang w:val="el-GR"/>
        </w:rPr>
        <w:t>/12,5</w:t>
      </w:r>
      <w:r>
        <w:rPr>
          <w:noProof/>
          <w:szCs w:val="22"/>
          <w:lang w:val="el-GR"/>
        </w:rPr>
        <w:t> mg</w:t>
      </w:r>
      <w:r w:rsidRPr="00FC2F1F">
        <w:rPr>
          <w:noProof/>
          <w:szCs w:val="22"/>
          <w:lang w:val="el-GR"/>
        </w:rPr>
        <w:t xml:space="preserve"> δισκία</w:t>
      </w:r>
    </w:p>
    <w:p w:rsidR="00681191" w:rsidRPr="00FC2F1F" w:rsidRDefault="00681191" w:rsidP="00681191">
      <w:pPr>
        <w:widowControl w:val="0"/>
        <w:spacing w:line="240" w:lineRule="auto"/>
        <w:rPr>
          <w:noProof/>
          <w:szCs w:val="22"/>
          <w:lang w:val="el-GR"/>
        </w:rPr>
      </w:pPr>
      <w:r w:rsidRPr="00FC2F1F">
        <w:rPr>
          <w:noProof/>
          <w:szCs w:val="22"/>
          <w:lang w:val="el-GR"/>
        </w:rPr>
        <w:t>τελμισαρτάνη/υδροχλωροθειαζίδη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ΣΥΝΘΕΣΗ ΣΕ ΔΡΑΣΤΙΚΗ(ΕΣ) ΟΥΣΙΑ(ΕΣ)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pStyle w:val="EMEAEnBodyText"/>
        <w:widowControl w:val="0"/>
        <w:autoSpaceDE w:val="0"/>
        <w:autoSpaceDN w:val="0"/>
        <w:adjustRightInd w:val="0"/>
        <w:spacing w:before="0" w:after="0"/>
        <w:rPr>
          <w:szCs w:val="22"/>
          <w:lang w:val="el-GR"/>
        </w:rPr>
      </w:pPr>
      <w:r w:rsidRPr="00FC2F1F">
        <w:rPr>
          <w:szCs w:val="22"/>
          <w:lang w:val="el-GR"/>
        </w:rPr>
        <w:t>Κάθε δισκίο περιέχει 40</w:t>
      </w:r>
      <w:r>
        <w:rPr>
          <w:szCs w:val="22"/>
          <w:lang w:val="el-GR"/>
        </w:rPr>
        <w:t> mg</w:t>
      </w:r>
      <w:r w:rsidRPr="00FC2F1F">
        <w:rPr>
          <w:szCs w:val="22"/>
          <w:lang w:val="el-GR"/>
        </w:rPr>
        <w:t xml:space="preserve"> τελμισαρτάνης και 12,5</w:t>
      </w:r>
      <w:r>
        <w:rPr>
          <w:szCs w:val="22"/>
          <w:lang w:val="el-GR"/>
        </w:rPr>
        <w:t> mg</w:t>
      </w:r>
      <w:r w:rsidRPr="00FC2F1F">
        <w:rPr>
          <w:szCs w:val="22"/>
          <w:lang w:val="el-GR"/>
        </w:rPr>
        <w:t xml:space="preserve"> υδροχλωροθειαζίδης.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ΚΑΤΑΛΟΓΟΣ ΕΚΔΟΧΩΝ</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Περιέχει λακτόζη μονοϋδρική και σορβιτόλη (E420).</w:t>
      </w:r>
    </w:p>
    <w:p w:rsidR="00681191" w:rsidRPr="00FC2F1F" w:rsidRDefault="00681191" w:rsidP="00681191">
      <w:pPr>
        <w:widowControl w:val="0"/>
        <w:spacing w:line="240" w:lineRule="auto"/>
        <w:rPr>
          <w:szCs w:val="22"/>
          <w:lang w:val="el-GR"/>
        </w:rPr>
      </w:pPr>
      <w:r w:rsidRPr="00FC2F1F">
        <w:rPr>
          <w:szCs w:val="22"/>
          <w:lang w:val="el-GR"/>
        </w:rPr>
        <w:t>Δείτε το φύλλο οδηγιών για περαιτέρω πληροφορίες.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ΦΑΡΜΑΚΟΤΕΧΝΙΚΗ ΜΟΡΦΗ ΚΑΙ ΠΕΡΙΕΧΟΜΕΝΟ</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rPr>
          <w:szCs w:val="22"/>
          <w:lang w:val="el-GR"/>
        </w:rPr>
      </w:pPr>
      <w:r w:rsidRPr="00FC2F1F">
        <w:rPr>
          <w:szCs w:val="22"/>
          <w:highlight w:val="lightGray"/>
          <w:lang w:val="el-GR"/>
        </w:rPr>
        <w:t>Δισκίο.</w:t>
      </w:r>
    </w:p>
    <w:p w:rsidR="00681191" w:rsidRPr="00FC2F1F" w:rsidRDefault="00681191" w:rsidP="00681191">
      <w:pPr>
        <w:widowControl w:val="0"/>
        <w:tabs>
          <w:tab w:val="clear" w:pos="567"/>
        </w:tabs>
        <w:spacing w:line="240" w:lineRule="auto"/>
        <w:rPr>
          <w:i/>
          <w:szCs w:val="22"/>
          <w:highlight w:val="lightGray"/>
          <w:u w:val="single"/>
          <w:lang w:val="el-GR"/>
        </w:rPr>
      </w:pPr>
    </w:p>
    <w:p w:rsidR="00681191" w:rsidRPr="00C403BB" w:rsidRDefault="00681191" w:rsidP="00681191">
      <w:pPr>
        <w:widowControl w:val="0"/>
        <w:tabs>
          <w:tab w:val="clear" w:pos="567"/>
        </w:tabs>
        <w:spacing w:line="240" w:lineRule="auto"/>
        <w:rPr>
          <w:i/>
          <w:noProof/>
          <w:szCs w:val="22"/>
          <w:u w:val="single"/>
          <w:lang w:val="it-IT"/>
        </w:rPr>
      </w:pPr>
      <w:r w:rsidRPr="00FC2F1F">
        <w:rPr>
          <w:i/>
          <w:szCs w:val="22"/>
          <w:highlight w:val="lightGray"/>
          <w:u w:val="single"/>
          <w:lang w:val="el-GR"/>
        </w:rPr>
        <w:t>Κυψέλ</w:t>
      </w:r>
      <w:r w:rsidR="003F6970">
        <w:rPr>
          <w:i/>
          <w:szCs w:val="22"/>
          <w:highlight w:val="lightGray"/>
          <w:u w:val="single"/>
          <w:lang w:val="el-GR"/>
        </w:rPr>
        <w:t>η</w:t>
      </w:r>
      <w:r w:rsidRPr="00C403BB">
        <w:rPr>
          <w:i/>
          <w:szCs w:val="22"/>
          <w:highlight w:val="lightGray"/>
          <w:u w:val="single"/>
          <w:lang w:val="it-IT"/>
        </w:rPr>
        <w:t xml:space="preserve"> (</w:t>
      </w:r>
      <w:r w:rsidRPr="00FC2F1F">
        <w:rPr>
          <w:i/>
          <w:szCs w:val="22"/>
          <w:highlight w:val="lightGray"/>
          <w:u w:val="single"/>
          <w:lang w:val="el-GR"/>
        </w:rPr>
        <w:t>φύλλο</w:t>
      </w:r>
      <w:r w:rsidRPr="00C403BB">
        <w:rPr>
          <w:i/>
          <w:szCs w:val="22"/>
          <w:highlight w:val="lightGray"/>
          <w:u w:val="single"/>
          <w:lang w:val="it-IT"/>
        </w:rPr>
        <w:t xml:space="preserve"> OPA/Al/PVC//</w:t>
      </w:r>
      <w:r w:rsidRPr="00FC2F1F">
        <w:rPr>
          <w:i/>
          <w:szCs w:val="22"/>
          <w:highlight w:val="lightGray"/>
          <w:u w:val="single"/>
          <w:lang w:val="el-GR"/>
        </w:rPr>
        <w:t>φύλλο</w:t>
      </w:r>
      <w:r w:rsidRPr="00C403BB">
        <w:rPr>
          <w:i/>
          <w:szCs w:val="22"/>
          <w:highlight w:val="lightGray"/>
          <w:u w:val="single"/>
          <w:lang w:val="it-IT"/>
        </w:rPr>
        <w:t xml:space="preserve"> Al):</w:t>
      </w:r>
    </w:p>
    <w:p w:rsidR="00681191" w:rsidRPr="00FC2F1F" w:rsidRDefault="00681191" w:rsidP="00681191">
      <w:pPr>
        <w:widowControl w:val="0"/>
        <w:tabs>
          <w:tab w:val="clear" w:pos="567"/>
          <w:tab w:val="left" w:pos="1440"/>
        </w:tabs>
        <w:spacing w:line="240" w:lineRule="auto"/>
        <w:rPr>
          <w:iCs/>
          <w:szCs w:val="22"/>
          <w:lang w:val="el-GR"/>
        </w:rPr>
      </w:pPr>
      <w:r w:rsidRPr="00FC2F1F">
        <w:rPr>
          <w:iCs/>
          <w:szCs w:val="22"/>
          <w:lang w:val="el-GR"/>
        </w:rPr>
        <w:t>14</w:t>
      </w:r>
      <w:bookmarkStart w:id="13" w:name="_Hlk497750596"/>
      <w:r w:rsidR="00A70013">
        <w:rPr>
          <w:szCs w:val="22"/>
          <w:lang w:val="da-DK"/>
        </w:rPr>
        <w:t> </w:t>
      </w:r>
      <w:r w:rsidR="00A70013" w:rsidRPr="00FE176A">
        <w:rPr>
          <w:szCs w:val="22"/>
          <w:lang w:val="da-DK"/>
        </w:rPr>
        <w:t>x </w:t>
      </w:r>
      <w:r w:rsidR="00A70013" w:rsidRPr="00C403BB">
        <w:rPr>
          <w:szCs w:val="22"/>
          <w:lang w:val="el-GR"/>
        </w:rPr>
        <w:t>1</w:t>
      </w:r>
      <w:bookmarkEnd w:id="13"/>
      <w:r w:rsidRPr="00FC2F1F">
        <w:rPr>
          <w:iCs/>
          <w:szCs w:val="22"/>
          <w:lang w:val="el-GR"/>
        </w:rPr>
        <w:t xml:space="preserve"> δισκί</w:t>
      </w:r>
      <w:r w:rsidR="00A70013">
        <w:rPr>
          <w:iCs/>
          <w:szCs w:val="22"/>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28</w:t>
      </w:r>
      <w:r w:rsidR="00A70013" w:rsidRPr="00A70013">
        <w:rPr>
          <w:iCs/>
          <w:szCs w:val="22"/>
          <w:highlight w:val="lightGray"/>
          <w:lang w:val="da-DK"/>
        </w:rPr>
        <w:t> x </w:t>
      </w:r>
      <w:r w:rsidR="00A70013" w:rsidRPr="00C403BB">
        <w:rPr>
          <w:iCs/>
          <w:szCs w:val="22"/>
          <w:highlight w:val="lightGray"/>
          <w:lang w:val="el-GR"/>
        </w:rPr>
        <w:t>1</w:t>
      </w:r>
      <w:r w:rsidRPr="00FC2F1F">
        <w:rPr>
          <w:iCs/>
          <w:szCs w:val="22"/>
          <w:highlight w:val="lightGray"/>
          <w:lang w:val="el-GR"/>
        </w:rPr>
        <w:t xml:space="preserve"> δισκί</w:t>
      </w:r>
      <w:r w:rsidR="00A70013">
        <w:rPr>
          <w:iCs/>
          <w:szCs w:val="22"/>
          <w:highlight w:val="lightGray"/>
          <w:lang w:val="el-GR"/>
        </w:rPr>
        <w:t>ο</w:t>
      </w:r>
    </w:p>
    <w:p w:rsidR="00681191" w:rsidRPr="00A70013" w:rsidRDefault="00681191" w:rsidP="00681191">
      <w:pPr>
        <w:widowControl w:val="0"/>
        <w:tabs>
          <w:tab w:val="clear" w:pos="567"/>
          <w:tab w:val="left" w:pos="1440"/>
        </w:tabs>
        <w:spacing w:line="240" w:lineRule="auto"/>
        <w:rPr>
          <w:iCs/>
          <w:szCs w:val="22"/>
          <w:highlight w:val="lightGray"/>
          <w:lang w:val="el-GR"/>
        </w:rPr>
      </w:pPr>
      <w:r w:rsidRPr="00A70013">
        <w:rPr>
          <w:iCs/>
          <w:szCs w:val="22"/>
          <w:highlight w:val="lightGray"/>
          <w:lang w:val="el-GR"/>
        </w:rPr>
        <w:t>30</w:t>
      </w:r>
      <w:r w:rsidR="00A70013" w:rsidRPr="00B754A1">
        <w:rPr>
          <w:szCs w:val="22"/>
          <w:highlight w:val="lightGray"/>
          <w:lang w:val="da-DK"/>
        </w:rPr>
        <w:t> x </w:t>
      </w:r>
      <w:r w:rsidR="00A70013" w:rsidRPr="00C403BB">
        <w:rPr>
          <w:szCs w:val="22"/>
          <w:highlight w:val="lightGray"/>
          <w:lang w:val="el-GR"/>
        </w:rPr>
        <w:t>1</w:t>
      </w:r>
      <w:r w:rsidRPr="00A70013">
        <w:rPr>
          <w:iCs/>
          <w:szCs w:val="22"/>
          <w:highlight w:val="lightGray"/>
          <w:lang w:val="el-GR"/>
        </w:rPr>
        <w:t xml:space="preserve"> δισκί</w:t>
      </w:r>
      <w:r w:rsidR="00A70013">
        <w:rPr>
          <w:iCs/>
          <w:szCs w:val="22"/>
          <w:highlight w:val="lightGray"/>
          <w:lang w:val="el-GR"/>
        </w:rPr>
        <w:t>ο</w:t>
      </w:r>
    </w:p>
    <w:p w:rsidR="00681191" w:rsidRPr="00A70013" w:rsidRDefault="00681191" w:rsidP="00681191">
      <w:pPr>
        <w:widowControl w:val="0"/>
        <w:tabs>
          <w:tab w:val="clear" w:pos="567"/>
          <w:tab w:val="left" w:pos="1440"/>
        </w:tabs>
        <w:spacing w:line="240" w:lineRule="auto"/>
        <w:rPr>
          <w:iCs/>
          <w:szCs w:val="22"/>
          <w:highlight w:val="lightGray"/>
          <w:lang w:val="el-GR"/>
        </w:rPr>
      </w:pPr>
      <w:r w:rsidRPr="00A70013">
        <w:rPr>
          <w:iCs/>
          <w:szCs w:val="22"/>
          <w:highlight w:val="lightGray"/>
          <w:lang w:val="el-GR"/>
        </w:rPr>
        <w:t>56</w:t>
      </w:r>
      <w:r w:rsidR="00A70013" w:rsidRPr="00C403BB">
        <w:rPr>
          <w:szCs w:val="22"/>
          <w:highlight w:val="lightGray"/>
          <w:lang w:val="el-GR"/>
        </w:rPr>
        <w:t xml:space="preserve"> </w:t>
      </w:r>
      <w:r w:rsidR="00A70013" w:rsidRPr="00B754A1">
        <w:rPr>
          <w:szCs w:val="22"/>
          <w:highlight w:val="lightGray"/>
          <w:lang w:val="da-DK"/>
        </w:rPr>
        <w:t>x </w:t>
      </w:r>
      <w:r w:rsidR="00A70013" w:rsidRPr="00C403BB">
        <w:rPr>
          <w:szCs w:val="22"/>
          <w:highlight w:val="lightGray"/>
          <w:lang w:val="el-GR"/>
        </w:rPr>
        <w:t>1</w:t>
      </w:r>
      <w:r w:rsidRPr="00A70013">
        <w:rPr>
          <w:iCs/>
          <w:szCs w:val="22"/>
          <w:highlight w:val="lightGray"/>
          <w:lang w:val="el-GR"/>
        </w:rPr>
        <w:t xml:space="preserve"> δισκί</w:t>
      </w:r>
      <w:r w:rsidR="00A70013">
        <w:rPr>
          <w:iCs/>
          <w:szCs w:val="22"/>
          <w:highlight w:val="lightGray"/>
          <w:lang w:val="el-GR"/>
        </w:rPr>
        <w:t>ο</w:t>
      </w:r>
    </w:p>
    <w:p w:rsidR="00681191" w:rsidRPr="00A70013" w:rsidRDefault="00681191" w:rsidP="00681191">
      <w:pPr>
        <w:widowControl w:val="0"/>
        <w:tabs>
          <w:tab w:val="clear" w:pos="567"/>
          <w:tab w:val="left" w:pos="1440"/>
        </w:tabs>
        <w:spacing w:line="240" w:lineRule="auto"/>
        <w:rPr>
          <w:iCs/>
          <w:szCs w:val="22"/>
          <w:highlight w:val="lightGray"/>
          <w:lang w:val="el-GR"/>
        </w:rPr>
      </w:pPr>
      <w:r w:rsidRPr="00A70013">
        <w:rPr>
          <w:iCs/>
          <w:szCs w:val="22"/>
          <w:highlight w:val="lightGray"/>
          <w:lang w:val="el-GR"/>
        </w:rPr>
        <w:t>60</w:t>
      </w:r>
      <w:r w:rsidR="00A70013" w:rsidRPr="00B754A1">
        <w:rPr>
          <w:szCs w:val="22"/>
          <w:highlight w:val="lightGray"/>
          <w:lang w:val="da-DK"/>
        </w:rPr>
        <w:t> x </w:t>
      </w:r>
      <w:r w:rsidR="00A70013" w:rsidRPr="00C403BB">
        <w:rPr>
          <w:szCs w:val="22"/>
          <w:highlight w:val="lightGray"/>
          <w:lang w:val="el-GR"/>
        </w:rPr>
        <w:t>1</w:t>
      </w:r>
      <w:r w:rsidRPr="00A70013">
        <w:rPr>
          <w:iCs/>
          <w:szCs w:val="22"/>
          <w:highlight w:val="lightGray"/>
          <w:lang w:val="el-GR"/>
        </w:rPr>
        <w:t xml:space="preserve"> δισκί</w:t>
      </w:r>
      <w:r w:rsidR="00A70013">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84</w:t>
      </w:r>
      <w:r w:rsidR="00A70013" w:rsidRPr="00A70013">
        <w:rPr>
          <w:iCs/>
          <w:szCs w:val="22"/>
          <w:highlight w:val="lightGray"/>
          <w:lang w:val="da-DK"/>
        </w:rPr>
        <w:t> x </w:t>
      </w:r>
      <w:r w:rsidR="00A70013" w:rsidRPr="00C403BB">
        <w:rPr>
          <w:iCs/>
          <w:szCs w:val="22"/>
          <w:highlight w:val="lightGray"/>
          <w:lang w:val="el-GR"/>
        </w:rPr>
        <w:t>1</w:t>
      </w:r>
      <w:r w:rsidRPr="00FC2F1F">
        <w:rPr>
          <w:iCs/>
          <w:szCs w:val="22"/>
          <w:highlight w:val="lightGray"/>
          <w:lang w:val="el-GR"/>
        </w:rPr>
        <w:t xml:space="preserve"> δισκί</w:t>
      </w:r>
      <w:r w:rsidR="00A70013">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90</w:t>
      </w:r>
      <w:r w:rsidR="00A70013" w:rsidRPr="00A70013">
        <w:rPr>
          <w:iCs/>
          <w:szCs w:val="22"/>
          <w:highlight w:val="lightGray"/>
          <w:lang w:val="da-DK"/>
        </w:rPr>
        <w:t> x </w:t>
      </w:r>
      <w:r w:rsidR="00A70013" w:rsidRPr="00C403BB">
        <w:rPr>
          <w:iCs/>
          <w:szCs w:val="22"/>
          <w:highlight w:val="lightGray"/>
          <w:lang w:val="el-GR"/>
        </w:rPr>
        <w:t>1</w:t>
      </w:r>
      <w:r w:rsidRPr="00FC2F1F">
        <w:rPr>
          <w:iCs/>
          <w:szCs w:val="22"/>
          <w:highlight w:val="lightGray"/>
          <w:lang w:val="el-GR"/>
        </w:rPr>
        <w:t xml:space="preserve"> δισκί</w:t>
      </w:r>
      <w:r w:rsidR="00A70013">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98</w:t>
      </w:r>
      <w:r w:rsidR="00A70013" w:rsidRPr="00A70013">
        <w:rPr>
          <w:iCs/>
          <w:szCs w:val="22"/>
          <w:highlight w:val="lightGray"/>
          <w:lang w:val="da-DK"/>
        </w:rPr>
        <w:t> x </w:t>
      </w:r>
      <w:r w:rsidR="00A70013" w:rsidRPr="00C403BB">
        <w:rPr>
          <w:iCs/>
          <w:szCs w:val="22"/>
          <w:highlight w:val="lightGray"/>
          <w:lang w:val="el-GR"/>
        </w:rPr>
        <w:t>1</w:t>
      </w:r>
      <w:r w:rsidRPr="00FC2F1F">
        <w:rPr>
          <w:iCs/>
          <w:szCs w:val="22"/>
          <w:highlight w:val="lightGray"/>
          <w:lang w:val="el-GR"/>
        </w:rPr>
        <w:t xml:space="preserve"> δισκί</w:t>
      </w:r>
      <w:r w:rsidR="00A70013">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Pr>
          <w:iCs/>
          <w:szCs w:val="22"/>
          <w:highlight w:val="lightGray"/>
          <w:lang w:val="sl-SI"/>
        </w:rPr>
        <w:t>100</w:t>
      </w:r>
      <w:r w:rsidR="00A70013" w:rsidRPr="00A70013">
        <w:rPr>
          <w:iCs/>
          <w:szCs w:val="22"/>
          <w:highlight w:val="lightGray"/>
          <w:lang w:val="da-DK"/>
        </w:rPr>
        <w:t> x </w:t>
      </w:r>
      <w:r w:rsidR="00A70013" w:rsidRPr="00C403BB">
        <w:rPr>
          <w:iCs/>
          <w:szCs w:val="22"/>
          <w:highlight w:val="lightGray"/>
          <w:lang w:val="el-GR"/>
        </w:rPr>
        <w:t>1</w:t>
      </w:r>
      <w:r w:rsidRPr="00FC2F1F">
        <w:rPr>
          <w:iCs/>
          <w:szCs w:val="22"/>
          <w:highlight w:val="lightGray"/>
          <w:lang w:val="el-GR"/>
        </w:rPr>
        <w:t xml:space="preserve"> δισκί</w:t>
      </w:r>
      <w:r w:rsidR="008B4CC0">
        <w:rPr>
          <w:iCs/>
          <w:szCs w:val="22"/>
          <w:highlight w:val="lightGray"/>
          <w:lang w:val="el-GR"/>
        </w:rPr>
        <w:t>ο</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i/>
          <w:szCs w:val="22"/>
          <w:u w:val="single"/>
          <w:lang w:val="el-GR"/>
        </w:rPr>
      </w:pPr>
      <w:r w:rsidRPr="00FC2F1F">
        <w:rPr>
          <w:i/>
          <w:szCs w:val="22"/>
          <w:highlight w:val="lightGray"/>
          <w:u w:val="single"/>
          <w:lang w:val="el-GR"/>
        </w:rPr>
        <w:t>Κυψέλη (φύλλο OPA/Al/PE με ξηραντικό//φύλλο Al):</w:t>
      </w:r>
    </w:p>
    <w:p w:rsidR="00681191" w:rsidRPr="00FC2F1F" w:rsidRDefault="00681191" w:rsidP="00681191">
      <w:pPr>
        <w:widowControl w:val="0"/>
        <w:tabs>
          <w:tab w:val="clear" w:pos="567"/>
          <w:tab w:val="left" w:pos="1440"/>
        </w:tabs>
        <w:spacing w:line="240" w:lineRule="auto"/>
        <w:rPr>
          <w:iCs/>
          <w:szCs w:val="22"/>
          <w:lang w:val="el-GR"/>
        </w:rPr>
      </w:pPr>
      <w:r w:rsidRPr="00FC2F1F">
        <w:rPr>
          <w:iCs/>
          <w:szCs w:val="22"/>
          <w:lang w:val="el-GR"/>
        </w:rPr>
        <w:t>14</w:t>
      </w:r>
      <w:r w:rsidR="005D3E47">
        <w:rPr>
          <w:iCs/>
          <w:szCs w:val="22"/>
          <w:lang w:val="el-GR"/>
        </w:rPr>
        <w:t xml:space="preserve"> </w:t>
      </w:r>
      <w:r w:rsidR="008B4CC0" w:rsidRPr="008B4CC0">
        <w:rPr>
          <w:iCs/>
          <w:szCs w:val="22"/>
          <w:lang w:val="da-DK"/>
        </w:rPr>
        <w:t>x 1</w:t>
      </w:r>
      <w:r w:rsidRPr="00FC2F1F">
        <w:rPr>
          <w:iCs/>
          <w:szCs w:val="22"/>
          <w:lang w:val="el-GR"/>
        </w:rPr>
        <w:t>δισκί</w:t>
      </w:r>
      <w:r w:rsidR="008B4CC0">
        <w:rPr>
          <w:iCs/>
          <w:szCs w:val="22"/>
          <w:lang w:val="el-GR"/>
        </w:rPr>
        <w:t>ο</w:t>
      </w:r>
    </w:p>
    <w:p w:rsidR="00681191" w:rsidRPr="008B4CC0" w:rsidRDefault="00681191" w:rsidP="00681191">
      <w:pPr>
        <w:widowControl w:val="0"/>
        <w:tabs>
          <w:tab w:val="clear" w:pos="567"/>
          <w:tab w:val="left" w:pos="1440"/>
        </w:tabs>
        <w:spacing w:line="240" w:lineRule="auto"/>
        <w:rPr>
          <w:iCs/>
          <w:szCs w:val="22"/>
          <w:highlight w:val="lightGray"/>
          <w:lang w:val="el-GR"/>
        </w:rPr>
      </w:pPr>
      <w:r w:rsidRPr="008B4CC0">
        <w:rPr>
          <w:iCs/>
          <w:szCs w:val="22"/>
          <w:highlight w:val="lightGray"/>
          <w:lang w:val="el-GR"/>
        </w:rPr>
        <w:t>98</w:t>
      </w:r>
      <w:r w:rsidR="005D3E47">
        <w:rPr>
          <w:iCs/>
          <w:szCs w:val="22"/>
          <w:highlight w:val="lightGray"/>
          <w:lang w:val="el-GR"/>
        </w:rPr>
        <w:t xml:space="preserve"> </w:t>
      </w:r>
      <w:r w:rsidR="008B4CC0" w:rsidRPr="00B754A1">
        <w:rPr>
          <w:szCs w:val="22"/>
          <w:highlight w:val="lightGray"/>
          <w:lang w:val="da-DK"/>
        </w:rPr>
        <w:t>x 1</w:t>
      </w:r>
      <w:r w:rsidRPr="008B4CC0">
        <w:rPr>
          <w:iCs/>
          <w:szCs w:val="22"/>
          <w:highlight w:val="lightGray"/>
          <w:lang w:val="el-GR"/>
        </w:rPr>
        <w:t>δισκί</w:t>
      </w:r>
      <w:r w:rsidR="008B4CC0">
        <w:rPr>
          <w:iCs/>
          <w:szCs w:val="22"/>
          <w:highlight w:val="lightGray"/>
          <w:lang w:val="el-GR"/>
        </w:rPr>
        <w:t>ο</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ΤΡΟΠΟΣ ΚΑΙ ΟΔΟΣ(ΟΙ) ΧΟΡΗΓΗΣΗΣ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 xml:space="preserve">Διαβάστε το φύλλο οδηγιών χρήσης πριν από τη </w:t>
      </w:r>
      <w:r w:rsidR="008B4CC0">
        <w:rPr>
          <w:noProof/>
          <w:szCs w:val="22"/>
          <w:lang w:val="el-GR"/>
        </w:rPr>
        <w:t>χρήση</w:t>
      </w:r>
      <w:r w:rsidRPr="00FC2F1F">
        <w:rPr>
          <w:noProof/>
          <w:szCs w:val="22"/>
          <w:lang w:val="el-GR"/>
        </w:rPr>
        <w:t>.</w:t>
      </w:r>
    </w:p>
    <w:p w:rsidR="00681191" w:rsidRPr="00FC2F1F" w:rsidRDefault="00681191" w:rsidP="00681191">
      <w:pPr>
        <w:widowControl w:val="0"/>
        <w:spacing w:line="240" w:lineRule="auto"/>
        <w:rPr>
          <w:noProof/>
          <w:szCs w:val="22"/>
          <w:lang w:val="el-GR"/>
        </w:rPr>
      </w:pPr>
      <w:r w:rsidRPr="00FC2F1F">
        <w:rPr>
          <w:noProof/>
          <w:szCs w:val="22"/>
          <w:lang w:val="el-GR"/>
        </w:rPr>
        <w:t>Από στόματος χρήση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6.</w:t>
            </w:r>
            <w:r w:rsidRPr="00FC2F1F">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Να φυλάσσεται σε θέση, την οποία δεν βλέπουν και δεν προσεγγίζουν τα παιδιά.</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7.</w:t>
            </w:r>
            <w:r w:rsidRPr="00FC2F1F">
              <w:rPr>
                <w:b/>
                <w:noProof/>
                <w:szCs w:val="22"/>
                <w:lang w:val="el-GR"/>
              </w:rPr>
              <w:tab/>
              <w:t>ΑΛΛΗ(ΕΣ) ΕΙΔΙΚΗ(ΕΣ) ΠΡΟΕΙΔΟΠΟΙΗΣΗ(ΕΙΣ), ΕΑΝ ΕΙΝΑΙ ΑΠΑΡΑΙΤΗΤΗ(ΕΣ)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8.</w:t>
            </w:r>
            <w:r w:rsidRPr="00FC2F1F">
              <w:rPr>
                <w:b/>
                <w:noProof/>
                <w:szCs w:val="22"/>
                <w:lang w:val="el-GR"/>
              </w:rPr>
              <w:tab/>
              <w:t>ΗΜΕΡΟΜΗΝΙΑ ΛΗΞΗΣ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EXP</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9.</w:t>
            </w:r>
            <w:r w:rsidRPr="00FC2F1F">
              <w:rPr>
                <w:b/>
                <w:noProof/>
                <w:szCs w:val="22"/>
                <w:lang w:val="el-GR"/>
              </w:rPr>
              <w:tab/>
              <w:t>ΕΙΔΙΚΕΣ ΣΥΝΘΗΚΕΣ ΦΥΛΑΞΗΣ</w:t>
            </w:r>
          </w:p>
        </w:tc>
      </w:tr>
    </w:tbl>
    <w:p w:rsidR="00681191" w:rsidRPr="00FC2F1F" w:rsidRDefault="00681191" w:rsidP="00681191">
      <w:pPr>
        <w:widowControl w:val="0"/>
        <w:spacing w:line="240" w:lineRule="auto"/>
        <w:rPr>
          <w:noProof/>
          <w:szCs w:val="22"/>
          <w:lang w:val="el-GR"/>
        </w:rPr>
      </w:pPr>
    </w:p>
    <w:p w:rsidR="00DA2572" w:rsidRPr="00FC2F1F" w:rsidRDefault="00DA2572" w:rsidP="00DA2572">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Φυλάσσετ</w:t>
      </w:r>
      <w:r w:rsidR="008B4CC0">
        <w:rPr>
          <w:snapToGrid/>
          <w:szCs w:val="22"/>
          <w:lang w:val="el-GR"/>
        </w:rPr>
        <w:t>ε</w:t>
      </w:r>
      <w:r w:rsidRPr="00FC2F1F">
        <w:rPr>
          <w:snapToGrid/>
          <w:szCs w:val="22"/>
          <w:lang w:val="el-GR"/>
        </w:rPr>
        <w:t xml:space="preserve"> στην αρχική συσκευασία για να προστατεύεται από το φως.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ind w:left="567" w:hanging="567"/>
              <w:rPr>
                <w:b/>
                <w:noProof/>
                <w:szCs w:val="22"/>
                <w:lang w:val="el-GR"/>
              </w:rPr>
            </w:pPr>
            <w:r w:rsidRPr="00FC2F1F">
              <w:rPr>
                <w:b/>
                <w:noProof/>
                <w:szCs w:val="22"/>
                <w:lang w:val="el-GR"/>
              </w:rPr>
              <w:t>10.</w:t>
            </w:r>
            <w:r w:rsidRPr="00FC2F1F">
              <w:rPr>
                <w:b/>
                <w:noProof/>
                <w:szCs w:val="22"/>
                <w:lang w:val="el-GR"/>
              </w:rPr>
              <w:tab/>
              <w:t>ΙΔΙΑΙΤΕΡΕΣ ΠΡΟΦΥΛΑΞΕΙΣ ΓΙΑ ΤΗΝ ΑΠΟΡΡΙΨΗ ΤΩΝ ΜΗ</w:t>
            </w:r>
            <w:r>
              <w:rPr>
                <w:b/>
                <w:noProof/>
                <w:szCs w:val="22"/>
                <w:lang w:val="sl-SI"/>
              </w:rPr>
              <w:t xml:space="preserve"> </w:t>
            </w:r>
            <w:r w:rsidRPr="00FC2F1F">
              <w:rPr>
                <w:b/>
                <w:noProof/>
                <w:szCs w:val="22"/>
                <w:lang w:val="el-GR"/>
              </w:rPr>
              <w:t>ΧΡΗΣΙΜΟΠΟΙΗΘΕΝΤΩΝ ΦΑΡΜΑΚΕΥΤΙΚΩΝ ΠΡΟΪΟΝΤΩΝ Ή ΤΩΝ</w:t>
            </w:r>
            <w:r>
              <w:rPr>
                <w:b/>
                <w:noProof/>
                <w:szCs w:val="22"/>
                <w:lang w:val="sl-SI"/>
              </w:rPr>
              <w:t xml:space="preserve"> </w:t>
            </w:r>
            <w:r w:rsidRPr="00FC2F1F">
              <w:rPr>
                <w:b/>
                <w:noProof/>
                <w:szCs w:val="22"/>
                <w:lang w:val="el-GR"/>
              </w:rPr>
              <w:t>ΥΠΟΛΕΙΜΜΑΤΩΝ ΠΟΥ ΠΡΟΕΡΧΟΝΤΑΙ ΑΠΟ ΑΥΤΑ, ΕΦΟΣΟΝ ΑΠΑΙΤΕΙΤΑΙ</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11.</w:t>
            </w:r>
            <w:r w:rsidRPr="00FC2F1F">
              <w:rPr>
                <w:b/>
                <w:noProof/>
                <w:szCs w:val="22"/>
                <w:lang w:val="el-GR"/>
              </w:rPr>
              <w:tab/>
              <w:t>ΟΝΟΜΑ ΚΑΙ ΔΙΕΥΘΥΝΣΗ ΚΑΤΟΧΟΥ ΤΗΣ ΑΔΕΙΑΣ ΚΥΚΛΟΦΟΡΙΑΣ</w:t>
            </w:r>
          </w:p>
        </w:tc>
      </w:tr>
    </w:tbl>
    <w:p w:rsidR="00681191" w:rsidRPr="00FC2F1F" w:rsidRDefault="00681191" w:rsidP="00681191">
      <w:pPr>
        <w:widowControl w:val="0"/>
        <w:spacing w:line="240" w:lineRule="auto"/>
        <w:rPr>
          <w:noProof/>
          <w:szCs w:val="22"/>
          <w:lang w:val="el-GR"/>
        </w:rPr>
      </w:pPr>
    </w:p>
    <w:p w:rsidR="00681191" w:rsidRPr="009E3FF1" w:rsidRDefault="00681191" w:rsidP="00681191">
      <w:pPr>
        <w:widowControl w:val="0"/>
        <w:spacing w:line="240" w:lineRule="auto"/>
        <w:jc w:val="both"/>
        <w:rPr>
          <w:szCs w:val="22"/>
          <w:lang w:val="en-US"/>
        </w:rPr>
      </w:pPr>
      <w:r w:rsidRPr="00B754A1">
        <w:rPr>
          <w:szCs w:val="22"/>
          <w:lang w:val="en-US"/>
        </w:rPr>
        <w:t>KRKA</w:t>
      </w:r>
      <w:r w:rsidRPr="009E3FF1">
        <w:rPr>
          <w:szCs w:val="22"/>
          <w:lang w:val="en-US"/>
        </w:rPr>
        <w:t xml:space="preserve">, </w:t>
      </w:r>
      <w:r w:rsidRPr="00B754A1">
        <w:rPr>
          <w:szCs w:val="22"/>
          <w:lang w:val="en-US"/>
        </w:rPr>
        <w:t>d</w:t>
      </w:r>
      <w:r w:rsidRPr="009E3FF1">
        <w:rPr>
          <w:szCs w:val="22"/>
          <w:lang w:val="en-US"/>
        </w:rPr>
        <w:t>.</w:t>
      </w:r>
      <w:r w:rsidRPr="00B754A1">
        <w:rPr>
          <w:szCs w:val="22"/>
          <w:lang w:val="en-US"/>
        </w:rPr>
        <w:t>d</w:t>
      </w:r>
      <w:r w:rsidRPr="009E3FF1">
        <w:rPr>
          <w:szCs w:val="22"/>
          <w:lang w:val="en-US"/>
        </w:rPr>
        <w:t xml:space="preserve">., </w:t>
      </w:r>
      <w:r w:rsidRPr="00B754A1">
        <w:rPr>
          <w:szCs w:val="22"/>
          <w:lang w:val="en-US"/>
        </w:rPr>
        <w:t>Novo</w:t>
      </w:r>
      <w:r w:rsidRPr="009E3FF1">
        <w:rPr>
          <w:szCs w:val="22"/>
          <w:lang w:val="en-US"/>
        </w:rPr>
        <w:t xml:space="preserve"> </w:t>
      </w:r>
      <w:r w:rsidRPr="00B754A1">
        <w:rPr>
          <w:szCs w:val="22"/>
          <w:lang w:val="en-US"/>
        </w:rPr>
        <w:t>mesto</w:t>
      </w:r>
      <w:r w:rsidRPr="009E3FF1">
        <w:rPr>
          <w:szCs w:val="22"/>
          <w:lang w:val="en-US"/>
        </w:rPr>
        <w:t>, Š</w:t>
      </w:r>
      <w:r w:rsidRPr="00B754A1">
        <w:rPr>
          <w:szCs w:val="22"/>
          <w:lang w:val="en-US"/>
        </w:rPr>
        <w:t>marje</w:t>
      </w:r>
      <w:r w:rsidRPr="009E3FF1">
        <w:rPr>
          <w:szCs w:val="22"/>
          <w:lang w:val="en-US"/>
        </w:rPr>
        <w:t>š</w:t>
      </w:r>
      <w:r w:rsidRPr="00B754A1">
        <w:rPr>
          <w:szCs w:val="22"/>
          <w:lang w:val="en-US"/>
        </w:rPr>
        <w:t>ka</w:t>
      </w:r>
      <w:r w:rsidRPr="009E3FF1">
        <w:rPr>
          <w:szCs w:val="22"/>
          <w:lang w:val="en-US"/>
        </w:rPr>
        <w:t xml:space="preserve"> </w:t>
      </w:r>
      <w:r w:rsidRPr="00B754A1">
        <w:rPr>
          <w:szCs w:val="22"/>
          <w:lang w:val="en-US"/>
        </w:rPr>
        <w:t>cesta</w:t>
      </w:r>
      <w:r w:rsidRPr="009E3FF1">
        <w:rPr>
          <w:szCs w:val="22"/>
          <w:lang w:val="en-US"/>
        </w:rPr>
        <w:t xml:space="preserve"> 6, 8501 </w:t>
      </w:r>
      <w:r w:rsidRPr="00B754A1">
        <w:rPr>
          <w:szCs w:val="22"/>
          <w:lang w:val="en-US"/>
        </w:rPr>
        <w:t>Novo</w:t>
      </w:r>
      <w:r w:rsidRPr="009E3FF1">
        <w:rPr>
          <w:szCs w:val="22"/>
          <w:lang w:val="en-US"/>
        </w:rPr>
        <w:t xml:space="preserve"> </w:t>
      </w:r>
      <w:r w:rsidRPr="00B754A1">
        <w:rPr>
          <w:szCs w:val="22"/>
          <w:lang w:val="en-US"/>
        </w:rPr>
        <w:t>mesto</w:t>
      </w:r>
      <w:r w:rsidRPr="009E3FF1">
        <w:rPr>
          <w:szCs w:val="22"/>
          <w:lang w:val="en-US"/>
        </w:rPr>
        <w:t xml:space="preserve">, </w:t>
      </w:r>
      <w:r w:rsidRPr="00FC2F1F">
        <w:rPr>
          <w:szCs w:val="22"/>
          <w:lang w:val="el-GR"/>
        </w:rPr>
        <w:t>Σλοβενία</w:t>
      </w:r>
    </w:p>
    <w:p w:rsidR="00681191" w:rsidRPr="009E3FF1" w:rsidRDefault="00681191" w:rsidP="00681191">
      <w:pPr>
        <w:widowControl w:val="0"/>
        <w:spacing w:line="240" w:lineRule="auto"/>
        <w:rPr>
          <w:noProof/>
          <w:szCs w:val="22"/>
          <w:lang w:val="en-US"/>
        </w:rPr>
      </w:pPr>
    </w:p>
    <w:p w:rsidR="00681191" w:rsidRPr="009E3FF1" w:rsidRDefault="00681191" w:rsidP="00681191">
      <w:pPr>
        <w:widowControl w:val="0"/>
        <w:spacing w:line="240" w:lineRule="auto"/>
        <w:rPr>
          <w:noProof/>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12.</w:t>
            </w:r>
            <w:r w:rsidRPr="00FC2F1F">
              <w:rPr>
                <w:b/>
                <w:noProof/>
                <w:szCs w:val="22"/>
                <w:lang w:val="el-GR"/>
              </w:rPr>
              <w:tab/>
              <w:t>ΑΡΙΘΜΟΣ(ΟΙ) ΑΔΕΙΑΣ ΚΥΚΛΟΦΟΡΙΑΣ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rPr>
          <w:rFonts w:eastAsia="Calibri"/>
          <w:snapToGrid/>
          <w:szCs w:val="22"/>
          <w:lang w:val="el-GR"/>
        </w:rPr>
      </w:pPr>
      <w:r w:rsidRPr="00FC2F1F">
        <w:rPr>
          <w:rFonts w:eastAsia="Calibri"/>
          <w:snapToGrid/>
          <w:szCs w:val="22"/>
          <w:lang w:val="el-GR"/>
        </w:rPr>
        <w:t>EU/1/13/821/001</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EU/1/13/821/002</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EU/1/13/821/003</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EU/1/13/821/004</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EU/1/13/821/005</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EU/1/13/821/006</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EU/1/13/821/007</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EU/1/13/821/008</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EU/1/13/821/009</w:t>
      </w:r>
    </w:p>
    <w:p w:rsidR="00681191" w:rsidRPr="00FC2F1F" w:rsidRDefault="00681191" w:rsidP="00681191">
      <w:pPr>
        <w:widowControl w:val="0"/>
        <w:tabs>
          <w:tab w:val="clear" w:pos="567"/>
        </w:tabs>
        <w:spacing w:line="240" w:lineRule="auto"/>
        <w:rPr>
          <w:rFonts w:eastAsia="Calibri"/>
          <w:snapToGrid/>
          <w:szCs w:val="22"/>
          <w:lang w:val="el-GR"/>
        </w:rPr>
      </w:pPr>
      <w:r w:rsidRPr="00FC2F1F">
        <w:rPr>
          <w:rFonts w:eastAsia="Calibri"/>
          <w:snapToGrid/>
          <w:szCs w:val="22"/>
          <w:highlight w:val="lightGray"/>
          <w:lang w:val="el-GR"/>
        </w:rPr>
        <w:t>EU/1/13/821/010</w:t>
      </w:r>
    </w:p>
    <w:p w:rsidR="00681191" w:rsidRPr="0087056E" w:rsidRDefault="00681191" w:rsidP="00681191">
      <w:pPr>
        <w:widowControl w:val="0"/>
        <w:tabs>
          <w:tab w:val="clear" w:pos="567"/>
        </w:tabs>
        <w:spacing w:line="240" w:lineRule="auto"/>
        <w:rPr>
          <w:rFonts w:eastAsia="Calibri"/>
          <w:snapToGrid/>
          <w:szCs w:val="22"/>
          <w:lang w:val="sl-SI"/>
        </w:rPr>
      </w:pPr>
      <w:r w:rsidRPr="00FC2F1F">
        <w:rPr>
          <w:rFonts w:eastAsia="Calibri"/>
          <w:snapToGrid/>
          <w:szCs w:val="22"/>
          <w:highlight w:val="lightGray"/>
          <w:lang w:val="el-GR"/>
        </w:rPr>
        <w:t>EU/1/13/</w:t>
      </w:r>
      <w:r w:rsidRPr="0087056E">
        <w:rPr>
          <w:rFonts w:eastAsia="Calibri"/>
          <w:snapToGrid/>
          <w:szCs w:val="22"/>
          <w:highlight w:val="lightGray"/>
          <w:lang w:val="el-GR"/>
        </w:rPr>
        <w:t>821/</w:t>
      </w:r>
      <w:r w:rsidRPr="0087056E">
        <w:rPr>
          <w:rFonts w:eastAsia="Calibri"/>
          <w:snapToGrid/>
          <w:szCs w:val="22"/>
          <w:highlight w:val="lightGray"/>
          <w:lang w:val="sl-SI"/>
        </w:rPr>
        <w:t>031</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13.</w:t>
            </w:r>
            <w:r w:rsidRPr="00FC2F1F">
              <w:rPr>
                <w:b/>
                <w:noProof/>
                <w:szCs w:val="22"/>
                <w:lang w:val="el-GR"/>
              </w:rPr>
              <w:tab/>
              <w:t>ΑΡΙΘΜΟΣ ΠΑΡΤΙΔΑΣ</w:t>
            </w:r>
          </w:p>
        </w:tc>
      </w:tr>
    </w:tbl>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Lot</w:t>
      </w:r>
    </w:p>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14.</w:t>
            </w:r>
            <w:r w:rsidRPr="00FC2F1F">
              <w:rPr>
                <w:b/>
                <w:noProof/>
                <w:szCs w:val="22"/>
                <w:lang w:val="el-GR"/>
              </w:rPr>
              <w:tab/>
              <w:t>ΓΕΝΙΚΗ ΚΑΤΑΤΑΞΗ ΓΙΑ ΤΗ ΔΙΑΘΕΣΗ</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15.</w:t>
            </w:r>
            <w:r w:rsidRPr="00FC2F1F">
              <w:rPr>
                <w:b/>
                <w:noProof/>
                <w:szCs w:val="22"/>
                <w:lang w:val="el-GR"/>
              </w:rPr>
              <w:tab/>
              <w:t>ΟΔΗΓΙΕΣ ΧΡΗΣΗΣ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16.</w:t>
            </w:r>
            <w:r w:rsidRPr="00FC2F1F">
              <w:rPr>
                <w:b/>
                <w:noProof/>
                <w:szCs w:val="22"/>
                <w:lang w:val="el-GR"/>
              </w:rPr>
              <w:tab/>
              <w:t>ΠΛΗΡΟΦΟΡΙΕΣ ΣΕ BRAILLE</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Tolucombi 40</w:t>
      </w:r>
      <w:r>
        <w:rPr>
          <w:noProof/>
          <w:szCs w:val="22"/>
          <w:lang w:val="el-GR"/>
        </w:rPr>
        <w:t> mg</w:t>
      </w:r>
      <w:r w:rsidRPr="00FC2F1F">
        <w:rPr>
          <w:noProof/>
          <w:szCs w:val="22"/>
          <w:lang w:val="el-GR"/>
        </w:rPr>
        <w:t>/12,5</w:t>
      </w:r>
      <w:r>
        <w:rPr>
          <w:noProof/>
          <w:szCs w:val="22"/>
          <w:lang w:val="el-GR"/>
        </w:rPr>
        <w:t> mg</w:t>
      </w:r>
    </w:p>
    <w:p w:rsidR="00FA4CC3" w:rsidRDefault="00FA4CC3" w:rsidP="00FA4CC3">
      <w:pPr>
        <w:widowControl w:val="0"/>
        <w:spacing w:line="240" w:lineRule="auto"/>
        <w:rPr>
          <w:szCs w:val="22"/>
          <w:highlight w:val="lightGray"/>
          <w:lang w:val="el-GR"/>
        </w:rPr>
      </w:pPr>
    </w:p>
    <w:p w:rsidR="00FA4CC3" w:rsidRPr="00193332" w:rsidRDefault="00FA4CC3" w:rsidP="00FA4CC3">
      <w:pPr>
        <w:widowControl w:val="0"/>
        <w:spacing w:line="240" w:lineRule="auto"/>
        <w:rPr>
          <w:szCs w:val="22"/>
          <w:highlight w:val="lightGray"/>
          <w:lang w:val="el-GR"/>
        </w:rPr>
      </w:pPr>
    </w:p>
    <w:p w:rsidR="00FA4CC3" w:rsidRPr="006B04A9" w:rsidRDefault="00FA4CC3" w:rsidP="00FA4CC3">
      <w:pPr>
        <w:widowControl w:val="0"/>
        <w:pBdr>
          <w:top w:val="single" w:sz="4" w:space="1" w:color="auto"/>
          <w:left w:val="single" w:sz="4" w:space="4" w:color="auto"/>
          <w:bottom w:val="single" w:sz="4" w:space="0" w:color="auto"/>
          <w:right w:val="single" w:sz="4" w:space="4" w:color="auto"/>
        </w:pBdr>
        <w:spacing w:line="240" w:lineRule="auto"/>
        <w:ind w:left="567" w:hanging="567"/>
        <w:rPr>
          <w:b/>
          <w:noProof/>
          <w:szCs w:val="22"/>
          <w:lang w:val="el-GR"/>
        </w:rPr>
      </w:pPr>
      <w:r w:rsidRPr="001A5147">
        <w:rPr>
          <w:b/>
          <w:noProof/>
          <w:szCs w:val="22"/>
          <w:lang w:val="el-GR"/>
        </w:rPr>
        <w:t>17.</w:t>
      </w:r>
      <w:r w:rsidRPr="001A5147">
        <w:rPr>
          <w:b/>
          <w:noProof/>
          <w:szCs w:val="22"/>
          <w:lang w:val="el-GR"/>
        </w:rPr>
        <w:tab/>
        <w:t>ΜΟΝΑΔΙΚΟΣ ΑΝΑΓΝΩΡΙΣΤΙΚΟΣ ΚΩΔΙΚΟΣ – ΔΙΣΔΙΑΣΤΑΤΟΣ ΓΡΑΜΜΩΤΟΣ ΚΩΔΙΚΑΣ 2</w:t>
      </w:r>
      <w:r w:rsidRPr="001A5147">
        <w:rPr>
          <w:b/>
          <w:noProof/>
          <w:szCs w:val="22"/>
        </w:rPr>
        <w:t>D</w:t>
      </w: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spacing w:line="240" w:lineRule="auto"/>
        <w:rPr>
          <w:noProof/>
          <w:szCs w:val="22"/>
          <w:shd w:val="clear" w:color="auto" w:fill="CCCCCC"/>
          <w:lang w:val="el-GR"/>
        </w:rPr>
      </w:pPr>
      <w:r w:rsidRPr="001A5147">
        <w:rPr>
          <w:noProof/>
          <w:szCs w:val="22"/>
          <w:highlight w:val="lightGray"/>
          <w:lang w:val="el-GR"/>
        </w:rPr>
        <w:t>Δισδιάστατος γραμμωτός κώδικας (2</w:t>
      </w:r>
      <w:r w:rsidRPr="001A5147">
        <w:rPr>
          <w:noProof/>
          <w:szCs w:val="22"/>
          <w:highlight w:val="lightGray"/>
        </w:rPr>
        <w:t>D</w:t>
      </w:r>
      <w:r w:rsidRPr="001A5147">
        <w:rPr>
          <w:noProof/>
          <w:szCs w:val="22"/>
          <w:highlight w:val="lightGray"/>
          <w:lang w:val="el-GR"/>
        </w:rPr>
        <w:t>) που φέρει τον περιληφθέντα μοναδικό αναγνωριστικό κωδικό.</w:t>
      </w:r>
    </w:p>
    <w:p w:rsidR="00FA4CC3" w:rsidRPr="00193332" w:rsidRDefault="00FA4CC3" w:rsidP="00FA4CC3">
      <w:pPr>
        <w:widowControl w:val="0"/>
        <w:tabs>
          <w:tab w:val="left" w:pos="1624"/>
        </w:tabs>
        <w:spacing w:line="240" w:lineRule="auto"/>
        <w:rPr>
          <w:noProof/>
          <w:szCs w:val="22"/>
          <w:lang w:val="el-GR"/>
        </w:rPr>
      </w:pP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pBdr>
          <w:top w:val="single" w:sz="4" w:space="1" w:color="auto"/>
          <w:left w:val="single" w:sz="4" w:space="4" w:color="auto"/>
          <w:bottom w:val="single" w:sz="4" w:space="0" w:color="auto"/>
          <w:right w:val="single" w:sz="4" w:space="4" w:color="auto"/>
        </w:pBdr>
        <w:spacing w:line="240" w:lineRule="auto"/>
        <w:ind w:left="567" w:hanging="567"/>
        <w:rPr>
          <w:i/>
          <w:noProof/>
          <w:szCs w:val="22"/>
          <w:lang w:val="el-GR"/>
        </w:rPr>
      </w:pPr>
      <w:r w:rsidRPr="001A5147">
        <w:rPr>
          <w:b/>
          <w:noProof/>
          <w:szCs w:val="22"/>
          <w:lang w:val="el-GR"/>
        </w:rPr>
        <w:t>18.</w:t>
      </w:r>
      <w:r w:rsidRPr="001A5147">
        <w:rPr>
          <w:b/>
          <w:noProof/>
          <w:szCs w:val="22"/>
          <w:lang w:val="el-GR"/>
        </w:rPr>
        <w:tab/>
        <w:t>ΜΟΝΑΔΙΚΟΣ ΑΝΑΓΝΩΡΙΣΤΙΚΟΣ ΚΩΔΙΚΟΣ – ΔΕΔΟΜΕΝΑ ΑΝΑΓΝΩΣΙΜΑ ΑΠΟ ΤΟΝ ΑΝΘΡΩΠΟ</w:t>
      </w: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spacing w:line="240" w:lineRule="auto"/>
        <w:rPr>
          <w:szCs w:val="22"/>
          <w:lang w:val="el-GR"/>
        </w:rPr>
      </w:pPr>
      <w:r w:rsidRPr="001A5147">
        <w:rPr>
          <w:szCs w:val="22"/>
        </w:rPr>
        <w:t>PC</w:t>
      </w:r>
    </w:p>
    <w:p w:rsidR="00FA4CC3" w:rsidRPr="001A5147" w:rsidRDefault="00FA4CC3" w:rsidP="00FA4CC3">
      <w:pPr>
        <w:widowControl w:val="0"/>
        <w:spacing w:line="240" w:lineRule="auto"/>
        <w:rPr>
          <w:szCs w:val="22"/>
          <w:lang w:val="el-GR"/>
        </w:rPr>
      </w:pPr>
      <w:r w:rsidRPr="001A5147">
        <w:rPr>
          <w:szCs w:val="22"/>
        </w:rPr>
        <w:t>SN</w:t>
      </w:r>
    </w:p>
    <w:p w:rsidR="00FA4CC3" w:rsidRPr="0087084D" w:rsidRDefault="00FA4CC3" w:rsidP="0087084D">
      <w:pPr>
        <w:widowControl w:val="0"/>
        <w:spacing w:line="240" w:lineRule="auto"/>
        <w:rPr>
          <w:szCs w:val="22"/>
        </w:rPr>
      </w:pPr>
      <w:r w:rsidRPr="00712AD4">
        <w:rPr>
          <w:szCs w:val="22"/>
        </w:rPr>
        <w:t>NN</w:t>
      </w:r>
    </w:p>
    <w:p w:rsidR="00FA4CC3" w:rsidRPr="001A5147" w:rsidRDefault="00FA4CC3" w:rsidP="00FA4CC3">
      <w:pPr>
        <w:widowControl w:val="0"/>
        <w:spacing w:line="240" w:lineRule="auto"/>
        <w:rPr>
          <w:noProof/>
          <w:vanish/>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B754A1" w:rsidRDefault="00681191" w:rsidP="00D93067">
            <w:pPr>
              <w:widowControl w:val="0"/>
              <w:spacing w:line="240" w:lineRule="auto"/>
              <w:rPr>
                <w:b/>
                <w:noProof/>
                <w:szCs w:val="22"/>
                <w:lang w:val="el-GR"/>
              </w:rPr>
            </w:pPr>
            <w:r w:rsidRPr="00FC2F1F">
              <w:rPr>
                <w:b/>
                <w:noProof/>
                <w:szCs w:val="22"/>
                <w:lang w:val="el-GR"/>
              </w:rPr>
              <w:t xml:space="preserve">ΕΛΑΧΙΣΤΕΣ ΕΝΔΕΙΞΕΙΣ ΠΟΥ ΠΡΕΠΕΙ ΝΑ ΑΝΑΓΡΑΦΟΝΤΑΙ ΣΤΙΣ ΣΥΣΚΕΥΑΣΙΕΣ </w:t>
            </w:r>
            <w:r w:rsidR="0003642B">
              <w:rPr>
                <w:b/>
                <w:noProof/>
                <w:szCs w:val="22"/>
                <w:lang w:val="el-GR"/>
              </w:rPr>
              <w:t>ΚΥΨΕΛΗΣ</w:t>
            </w:r>
            <w:r w:rsidRPr="00FC2F1F">
              <w:rPr>
                <w:b/>
                <w:noProof/>
                <w:szCs w:val="22"/>
                <w:lang w:val="el-GR"/>
              </w:rPr>
              <w:t xml:space="preserve"> </w:t>
            </w:r>
            <w:r w:rsidR="0003642B">
              <w:rPr>
                <w:b/>
                <w:noProof/>
                <w:szCs w:val="22"/>
                <w:lang w:val="el-GR"/>
              </w:rPr>
              <w:t>(</w:t>
            </w:r>
            <w:r w:rsidRPr="00FC2F1F">
              <w:rPr>
                <w:b/>
                <w:noProof/>
                <w:szCs w:val="22"/>
                <w:lang w:val="el-GR"/>
              </w:rPr>
              <w:t>BLISTER</w:t>
            </w:r>
            <w:r w:rsidR="0003642B">
              <w:rPr>
                <w:b/>
                <w:noProof/>
                <w:szCs w:val="22"/>
                <w:lang w:val="el-GR"/>
              </w:rPr>
              <w:t>)</w:t>
            </w:r>
            <w:r w:rsidRPr="00FC2F1F">
              <w:rPr>
                <w:b/>
                <w:noProof/>
                <w:szCs w:val="22"/>
                <w:lang w:val="el-GR"/>
              </w:rPr>
              <w:t xml:space="preserve"> Ή ΣΤΙΣ ΤΑΙΝΙΕΣ</w:t>
            </w:r>
            <w:r w:rsidR="0003642B">
              <w:rPr>
                <w:b/>
                <w:noProof/>
                <w:szCs w:val="22"/>
                <w:lang w:val="el-GR"/>
              </w:rPr>
              <w:t xml:space="preserve"> (</w:t>
            </w:r>
            <w:r w:rsidR="0003642B">
              <w:rPr>
                <w:b/>
                <w:noProof/>
                <w:szCs w:val="22"/>
                <w:lang w:val="en-US"/>
              </w:rPr>
              <w:t>STRIPS</w:t>
            </w:r>
            <w:r w:rsidR="0003642B" w:rsidRPr="00B754A1">
              <w:rPr>
                <w:b/>
                <w:noProof/>
                <w:szCs w:val="22"/>
                <w:lang w:val="el-GR"/>
              </w:rPr>
              <w:t>)</w:t>
            </w:r>
          </w:p>
          <w:p w:rsidR="00681191" w:rsidRPr="00FC2F1F" w:rsidRDefault="00681191" w:rsidP="00D93067">
            <w:pPr>
              <w:widowControl w:val="0"/>
              <w:spacing w:line="240" w:lineRule="auto"/>
              <w:rPr>
                <w:b/>
                <w:noProof/>
                <w:szCs w:val="22"/>
                <w:lang w:val="el-GR"/>
              </w:rPr>
            </w:pPr>
          </w:p>
          <w:p w:rsidR="00681191" w:rsidRPr="00FC2F1F" w:rsidRDefault="00681191" w:rsidP="00D93067">
            <w:pPr>
              <w:widowControl w:val="0"/>
              <w:spacing w:line="240" w:lineRule="auto"/>
              <w:rPr>
                <w:b/>
                <w:noProof/>
                <w:szCs w:val="22"/>
                <w:lang w:val="el-GR"/>
              </w:rPr>
            </w:pPr>
            <w:r w:rsidRPr="00FC2F1F">
              <w:rPr>
                <w:b/>
                <w:noProof/>
                <w:szCs w:val="22"/>
                <w:lang w:val="el-GR"/>
              </w:rPr>
              <w:t>ΚΥΨΕΛΗ</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w:t>
            </w:r>
            <w:r w:rsidRPr="00FC2F1F">
              <w:rPr>
                <w:b/>
                <w:noProof/>
                <w:szCs w:val="22"/>
                <w:lang w:val="el-GR"/>
              </w:rPr>
              <w:tab/>
              <w:t>ΟΝΟΜΑΣΙΑ ΤΟΥ ΦΑΡΜΑΚΕΥΤΙΚΟΥ ΠΡΟΪΟΝΤΟΣ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Tolucombi 40</w:t>
      </w:r>
      <w:r>
        <w:rPr>
          <w:noProof/>
          <w:szCs w:val="22"/>
          <w:lang w:val="el-GR"/>
        </w:rPr>
        <w:t> mg</w:t>
      </w:r>
      <w:r w:rsidRPr="00FC2F1F">
        <w:rPr>
          <w:noProof/>
          <w:szCs w:val="22"/>
          <w:lang w:val="el-GR"/>
        </w:rPr>
        <w:t>/12,5</w:t>
      </w:r>
      <w:r>
        <w:rPr>
          <w:noProof/>
          <w:szCs w:val="22"/>
          <w:lang w:val="el-GR"/>
        </w:rPr>
        <w:t> mg</w:t>
      </w:r>
      <w:r w:rsidRPr="00FC2F1F">
        <w:rPr>
          <w:noProof/>
          <w:szCs w:val="22"/>
          <w:lang w:val="el-GR"/>
        </w:rPr>
        <w:t xml:space="preserve"> δισκία</w:t>
      </w:r>
    </w:p>
    <w:p w:rsidR="00681191" w:rsidRPr="00FC2F1F" w:rsidRDefault="00681191" w:rsidP="00681191">
      <w:pPr>
        <w:widowControl w:val="0"/>
        <w:spacing w:line="240" w:lineRule="auto"/>
        <w:rPr>
          <w:noProof/>
          <w:szCs w:val="22"/>
          <w:lang w:val="el-GR"/>
        </w:rPr>
      </w:pPr>
      <w:r w:rsidRPr="00FC2F1F">
        <w:rPr>
          <w:noProof/>
          <w:szCs w:val="22"/>
          <w:lang w:val="el-GR"/>
        </w:rPr>
        <w:t>τελμισαρτάνη/υδροχλωροθειαζίδη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ΟΝΟΜΑ ΚΑΤΟΧΟΥ ΤΗΣ ΑΔΕΙΑΣ ΚΥΚΛΟΦΟΡΙΑΣ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KRKA</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ΗΜΕΡΟΜΗΝΙΑ ΛΗΞΗΣ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EXP</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rPr>
          <w:trHeight w:val="186"/>
        </w:trPr>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ΑΡΙΘΜΟΣ ΠΑΡΤΙΔΑΣ</w:t>
            </w:r>
          </w:p>
        </w:tc>
      </w:tr>
    </w:tbl>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szCs w:val="22"/>
          <w:lang w:val="el-GR"/>
        </w:rPr>
      </w:pPr>
      <w:r w:rsidRPr="00FC2F1F">
        <w:rPr>
          <w:noProof/>
          <w:szCs w:val="22"/>
          <w:lang w:val="el-GR"/>
        </w:rPr>
        <w:t>Lot</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ΑΛΛΑ ΣΤΟΙΧΕΙΑ</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szCs w:val="22"/>
          <w:lang w:val="el-GR"/>
        </w:rPr>
      </w:pPr>
      <w:r w:rsidRPr="00FC2F1F">
        <w:rPr>
          <w:szCs w:val="22"/>
          <w:highlight w:val="lightGray"/>
          <w:lang w:val="el-GR"/>
        </w:rPr>
        <w:t>Μόνο για κυψέλες που περιέχουν 7 δισκία</w:t>
      </w:r>
    </w:p>
    <w:p w:rsidR="00681191" w:rsidRPr="00191701" w:rsidRDefault="00681191" w:rsidP="00681191">
      <w:pPr>
        <w:widowControl w:val="0"/>
        <w:tabs>
          <w:tab w:val="clear" w:pos="567"/>
        </w:tabs>
        <w:spacing w:line="240" w:lineRule="auto"/>
        <w:ind w:right="113"/>
        <w:rPr>
          <w:noProof/>
          <w:szCs w:val="22"/>
          <w:lang w:val="el-GR"/>
        </w:rPr>
      </w:pPr>
      <w:r w:rsidRPr="00191701">
        <w:rPr>
          <w:noProof/>
          <w:szCs w:val="22"/>
          <w:lang w:val="el-GR"/>
        </w:rPr>
        <w:t>Δ</w:t>
      </w:r>
      <w:r w:rsidR="00191701">
        <w:rPr>
          <w:noProof/>
          <w:szCs w:val="22"/>
          <w:lang w:val="el-GR"/>
        </w:rPr>
        <w:t>ευ.</w:t>
      </w:r>
    </w:p>
    <w:p w:rsidR="00681191" w:rsidRPr="00191701" w:rsidRDefault="00681191" w:rsidP="00681191">
      <w:pPr>
        <w:widowControl w:val="0"/>
        <w:tabs>
          <w:tab w:val="clear" w:pos="567"/>
        </w:tabs>
        <w:spacing w:line="240" w:lineRule="auto"/>
        <w:ind w:right="113"/>
        <w:rPr>
          <w:noProof/>
          <w:szCs w:val="22"/>
          <w:lang w:val="el-GR"/>
        </w:rPr>
      </w:pPr>
      <w:r w:rsidRPr="00191701">
        <w:rPr>
          <w:noProof/>
          <w:szCs w:val="22"/>
          <w:lang w:val="el-GR"/>
        </w:rPr>
        <w:t>Τ</w:t>
      </w:r>
      <w:r w:rsidR="00191701">
        <w:rPr>
          <w:noProof/>
          <w:szCs w:val="22"/>
          <w:lang w:val="el-GR"/>
        </w:rPr>
        <w:t>ρ.</w:t>
      </w:r>
    </w:p>
    <w:p w:rsidR="00681191" w:rsidRPr="00191701" w:rsidRDefault="00681191" w:rsidP="00681191">
      <w:pPr>
        <w:widowControl w:val="0"/>
        <w:tabs>
          <w:tab w:val="clear" w:pos="567"/>
        </w:tabs>
        <w:spacing w:line="240" w:lineRule="auto"/>
        <w:ind w:right="113"/>
        <w:rPr>
          <w:noProof/>
          <w:szCs w:val="22"/>
          <w:lang w:val="el-GR"/>
        </w:rPr>
      </w:pPr>
      <w:r w:rsidRPr="00191701">
        <w:rPr>
          <w:noProof/>
          <w:szCs w:val="22"/>
          <w:lang w:val="el-GR"/>
        </w:rPr>
        <w:t>Τ</w:t>
      </w:r>
      <w:r w:rsidR="00191701">
        <w:rPr>
          <w:noProof/>
          <w:szCs w:val="22"/>
          <w:lang w:val="el-GR"/>
        </w:rPr>
        <w:t>ετ.</w:t>
      </w:r>
    </w:p>
    <w:p w:rsidR="00681191" w:rsidRPr="00191701" w:rsidRDefault="00681191" w:rsidP="00681191">
      <w:pPr>
        <w:widowControl w:val="0"/>
        <w:tabs>
          <w:tab w:val="clear" w:pos="567"/>
        </w:tabs>
        <w:spacing w:line="240" w:lineRule="auto"/>
        <w:ind w:right="113"/>
        <w:rPr>
          <w:noProof/>
          <w:szCs w:val="22"/>
          <w:lang w:val="el-GR"/>
        </w:rPr>
      </w:pPr>
      <w:r w:rsidRPr="00191701">
        <w:rPr>
          <w:noProof/>
          <w:szCs w:val="22"/>
          <w:lang w:val="el-GR"/>
        </w:rPr>
        <w:t>Π</w:t>
      </w:r>
      <w:r w:rsidR="00191701">
        <w:rPr>
          <w:noProof/>
          <w:szCs w:val="22"/>
          <w:lang w:val="el-GR"/>
        </w:rPr>
        <w:t>έμ.</w:t>
      </w:r>
    </w:p>
    <w:p w:rsidR="00681191" w:rsidRPr="00191701" w:rsidRDefault="00681191" w:rsidP="00681191">
      <w:pPr>
        <w:widowControl w:val="0"/>
        <w:tabs>
          <w:tab w:val="clear" w:pos="567"/>
        </w:tabs>
        <w:spacing w:line="240" w:lineRule="auto"/>
        <w:ind w:right="113"/>
        <w:rPr>
          <w:noProof/>
          <w:szCs w:val="22"/>
          <w:lang w:val="el-GR"/>
        </w:rPr>
      </w:pPr>
      <w:r w:rsidRPr="00191701">
        <w:rPr>
          <w:noProof/>
          <w:szCs w:val="22"/>
          <w:lang w:val="el-GR"/>
        </w:rPr>
        <w:t>Π</w:t>
      </w:r>
      <w:r w:rsidR="00191701">
        <w:rPr>
          <w:noProof/>
          <w:szCs w:val="22"/>
          <w:lang w:val="el-GR"/>
        </w:rPr>
        <w:t>αρ.</w:t>
      </w:r>
    </w:p>
    <w:p w:rsidR="00681191" w:rsidRPr="00191701" w:rsidRDefault="00681191" w:rsidP="00681191">
      <w:pPr>
        <w:widowControl w:val="0"/>
        <w:tabs>
          <w:tab w:val="clear" w:pos="567"/>
        </w:tabs>
        <w:spacing w:line="240" w:lineRule="auto"/>
        <w:ind w:right="113"/>
        <w:rPr>
          <w:noProof/>
          <w:szCs w:val="22"/>
          <w:lang w:val="el-GR"/>
        </w:rPr>
      </w:pPr>
      <w:r w:rsidRPr="00191701">
        <w:rPr>
          <w:noProof/>
          <w:szCs w:val="22"/>
          <w:lang w:val="el-GR"/>
        </w:rPr>
        <w:t>Σ</w:t>
      </w:r>
      <w:r w:rsidR="00191701">
        <w:rPr>
          <w:noProof/>
          <w:szCs w:val="22"/>
          <w:lang w:val="el-GR"/>
        </w:rPr>
        <w:t>άβ.</w:t>
      </w:r>
    </w:p>
    <w:p w:rsidR="00681191" w:rsidRPr="00FC2F1F" w:rsidRDefault="00681191" w:rsidP="00681191">
      <w:pPr>
        <w:widowControl w:val="0"/>
        <w:tabs>
          <w:tab w:val="clear" w:pos="567"/>
        </w:tabs>
        <w:spacing w:line="240" w:lineRule="auto"/>
        <w:ind w:right="113"/>
        <w:rPr>
          <w:noProof/>
          <w:szCs w:val="22"/>
          <w:lang w:val="el-GR"/>
        </w:rPr>
      </w:pPr>
      <w:r w:rsidRPr="00191701">
        <w:rPr>
          <w:noProof/>
          <w:szCs w:val="22"/>
          <w:lang w:val="el-GR"/>
        </w:rPr>
        <w:t>Κ</w:t>
      </w:r>
      <w:r w:rsidR="00191701">
        <w:rPr>
          <w:noProof/>
          <w:szCs w:val="22"/>
          <w:lang w:val="el-GR"/>
        </w:rPr>
        <w:t>υρ.</w:t>
      </w:r>
    </w:p>
    <w:p w:rsidR="00681191" w:rsidRPr="00FC2F1F" w:rsidRDefault="00681191" w:rsidP="00681191">
      <w:pPr>
        <w:widowControl w:val="0"/>
        <w:spacing w:line="240" w:lineRule="auto"/>
        <w:rPr>
          <w:noProof/>
          <w:szCs w:val="22"/>
          <w:lang w:val="el-GR"/>
        </w:rPr>
      </w:pPr>
      <w:r w:rsidRPr="00FC2F1F">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rPr>
          <w:trHeight w:val="999"/>
        </w:trPr>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ΕΝΔΕΙΞΕΙΣ ΠΟΥ ΠΡΕΠΕΙ ΝΑ ΑΝΑΓΡΑΦΟΝΤΑΙ ΣΤΗΝ ΕΞΩΤΕΡΙΚΗ ΣΥΣΚΕΥΑΣΙΑ</w:t>
            </w:r>
          </w:p>
          <w:p w:rsidR="00681191" w:rsidRPr="00FC2F1F" w:rsidRDefault="00681191" w:rsidP="00D93067">
            <w:pPr>
              <w:widowControl w:val="0"/>
              <w:spacing w:line="240" w:lineRule="auto"/>
              <w:rPr>
                <w:noProof/>
                <w:szCs w:val="22"/>
                <w:lang w:val="el-GR"/>
              </w:rPr>
            </w:pPr>
          </w:p>
          <w:p w:rsidR="00681191" w:rsidRPr="00FC2F1F" w:rsidRDefault="00681191" w:rsidP="00D93067">
            <w:pPr>
              <w:widowControl w:val="0"/>
              <w:spacing w:line="240" w:lineRule="auto"/>
              <w:rPr>
                <w:noProof/>
                <w:szCs w:val="22"/>
                <w:lang w:val="el-GR"/>
              </w:rPr>
            </w:pPr>
            <w:r w:rsidRPr="00FC2F1F">
              <w:rPr>
                <w:b/>
                <w:noProof/>
                <w:szCs w:val="22"/>
                <w:lang w:val="el-GR"/>
              </w:rPr>
              <w:t>ΕΞΩΤΕΡΙΚΟ ΚΟΥΤΙ</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w:t>
            </w:r>
            <w:r w:rsidRPr="00FC2F1F">
              <w:rPr>
                <w:b/>
                <w:noProof/>
                <w:szCs w:val="22"/>
                <w:lang w:val="el-GR"/>
              </w:rPr>
              <w:tab/>
              <w:t>ΟΝΟΜΑΣΙΑ ΤΟΥ ΦΑΡΜΑΚΕΥΤΙΚΟΥ ΠΡΟΪΟΝΤΟΣ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Tolucombi 80</w:t>
      </w:r>
      <w:r>
        <w:rPr>
          <w:noProof/>
          <w:szCs w:val="22"/>
          <w:lang w:val="el-GR"/>
        </w:rPr>
        <w:t> mg</w:t>
      </w:r>
      <w:r w:rsidRPr="00FC2F1F">
        <w:rPr>
          <w:noProof/>
          <w:szCs w:val="22"/>
          <w:lang w:val="el-GR"/>
        </w:rPr>
        <w:t>/12,5</w:t>
      </w:r>
      <w:r>
        <w:rPr>
          <w:noProof/>
          <w:szCs w:val="22"/>
          <w:lang w:val="el-GR"/>
        </w:rPr>
        <w:t> mg</w:t>
      </w:r>
      <w:r w:rsidRPr="00FC2F1F">
        <w:rPr>
          <w:noProof/>
          <w:szCs w:val="22"/>
          <w:lang w:val="el-GR"/>
        </w:rPr>
        <w:t xml:space="preserve"> δισκία</w:t>
      </w:r>
    </w:p>
    <w:p w:rsidR="00681191" w:rsidRPr="00FC2F1F" w:rsidRDefault="00681191" w:rsidP="00681191">
      <w:pPr>
        <w:widowControl w:val="0"/>
        <w:spacing w:line="240" w:lineRule="auto"/>
        <w:rPr>
          <w:noProof/>
          <w:szCs w:val="22"/>
          <w:lang w:val="el-GR"/>
        </w:rPr>
      </w:pPr>
      <w:r w:rsidRPr="00FC2F1F">
        <w:rPr>
          <w:noProof/>
          <w:szCs w:val="22"/>
          <w:lang w:val="el-GR"/>
        </w:rPr>
        <w:t>τελμισαρτάνη/υδροχλωροθειαζίδη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ΣΥΝΘΕΣΗ ΣΕ ΔΡΑΣΤΙΚΗ(ΕΣ) ΟΥΣΙΑ(ΕΣ)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pStyle w:val="EMEAEnBodyText"/>
        <w:widowControl w:val="0"/>
        <w:autoSpaceDE w:val="0"/>
        <w:autoSpaceDN w:val="0"/>
        <w:adjustRightInd w:val="0"/>
        <w:spacing w:before="0" w:after="0"/>
        <w:rPr>
          <w:szCs w:val="22"/>
          <w:lang w:val="el-GR"/>
        </w:rPr>
      </w:pPr>
      <w:r w:rsidRPr="00FC2F1F">
        <w:rPr>
          <w:szCs w:val="22"/>
          <w:lang w:val="el-GR"/>
        </w:rPr>
        <w:t>Κάθε δισκίο περιέχει 80</w:t>
      </w:r>
      <w:r>
        <w:rPr>
          <w:szCs w:val="22"/>
          <w:lang w:val="el-GR"/>
        </w:rPr>
        <w:t> mg</w:t>
      </w:r>
      <w:r w:rsidRPr="00FC2F1F">
        <w:rPr>
          <w:szCs w:val="22"/>
          <w:lang w:val="el-GR"/>
        </w:rPr>
        <w:t xml:space="preserve"> τελμισαρτάνης και 12,5</w:t>
      </w:r>
      <w:r>
        <w:rPr>
          <w:szCs w:val="22"/>
          <w:lang w:val="el-GR"/>
        </w:rPr>
        <w:t> mg</w:t>
      </w:r>
      <w:r w:rsidRPr="00FC2F1F">
        <w:rPr>
          <w:szCs w:val="22"/>
          <w:lang w:val="el-GR"/>
        </w:rPr>
        <w:t xml:space="preserve"> υδροχλωροθειαζίδης.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ΚΑΤΑΛΟΓΟΣ ΕΚΔΟΧΩΝ</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Περιέχει λακτόζη μονοϋδρική και σορβιτόλη (E420).</w:t>
      </w:r>
    </w:p>
    <w:p w:rsidR="00681191" w:rsidRPr="00FC2F1F" w:rsidRDefault="00681191" w:rsidP="00681191">
      <w:pPr>
        <w:widowControl w:val="0"/>
        <w:spacing w:line="240" w:lineRule="auto"/>
        <w:rPr>
          <w:szCs w:val="22"/>
          <w:lang w:val="el-GR"/>
        </w:rPr>
      </w:pPr>
      <w:r w:rsidRPr="00FC2F1F">
        <w:rPr>
          <w:szCs w:val="22"/>
          <w:lang w:val="el-GR"/>
        </w:rPr>
        <w:t>Δείτε το φύλλο οδηγιών για περαιτέρω πληροφορίες.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ΦΑΡΜΑΚΟΤΕΧΝΙΚΗ ΜΟΡΦΗ ΚΑΙ ΠΕΡΙΕΧΟΜΕΝΟ</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rPr>
          <w:szCs w:val="22"/>
          <w:lang w:val="el-GR"/>
        </w:rPr>
      </w:pPr>
      <w:r w:rsidRPr="00FC2F1F">
        <w:rPr>
          <w:szCs w:val="22"/>
          <w:highlight w:val="lightGray"/>
          <w:lang w:val="el-GR"/>
        </w:rPr>
        <w:t>Δισκίο.</w:t>
      </w:r>
    </w:p>
    <w:p w:rsidR="00681191" w:rsidRPr="00FC2F1F" w:rsidRDefault="00681191" w:rsidP="00681191">
      <w:pPr>
        <w:widowControl w:val="0"/>
        <w:tabs>
          <w:tab w:val="clear" w:pos="567"/>
        </w:tabs>
        <w:spacing w:line="240" w:lineRule="auto"/>
        <w:rPr>
          <w:i/>
          <w:szCs w:val="22"/>
          <w:highlight w:val="lightGray"/>
          <w:u w:val="single"/>
          <w:lang w:val="el-GR"/>
        </w:rPr>
      </w:pPr>
    </w:p>
    <w:p w:rsidR="00681191" w:rsidRPr="00C403BB" w:rsidRDefault="00681191" w:rsidP="00681191">
      <w:pPr>
        <w:widowControl w:val="0"/>
        <w:tabs>
          <w:tab w:val="clear" w:pos="567"/>
        </w:tabs>
        <w:spacing w:line="240" w:lineRule="auto"/>
        <w:rPr>
          <w:i/>
          <w:noProof/>
          <w:szCs w:val="22"/>
          <w:u w:val="single"/>
          <w:lang w:val="it-IT"/>
        </w:rPr>
      </w:pPr>
      <w:r w:rsidRPr="00FC2F1F">
        <w:rPr>
          <w:i/>
          <w:szCs w:val="22"/>
          <w:highlight w:val="lightGray"/>
          <w:u w:val="single"/>
          <w:lang w:val="el-GR"/>
        </w:rPr>
        <w:t>Κυψέλ</w:t>
      </w:r>
      <w:r w:rsidR="001D4465">
        <w:rPr>
          <w:i/>
          <w:szCs w:val="22"/>
          <w:highlight w:val="lightGray"/>
          <w:u w:val="single"/>
          <w:lang w:val="el-GR"/>
        </w:rPr>
        <w:t>η</w:t>
      </w:r>
      <w:r w:rsidRPr="00C403BB">
        <w:rPr>
          <w:i/>
          <w:szCs w:val="22"/>
          <w:highlight w:val="lightGray"/>
          <w:u w:val="single"/>
          <w:lang w:val="it-IT"/>
        </w:rPr>
        <w:t xml:space="preserve"> (</w:t>
      </w:r>
      <w:r w:rsidRPr="00FC2F1F">
        <w:rPr>
          <w:i/>
          <w:szCs w:val="22"/>
          <w:highlight w:val="lightGray"/>
          <w:u w:val="single"/>
          <w:lang w:val="el-GR"/>
        </w:rPr>
        <w:t>φύλλο</w:t>
      </w:r>
      <w:r w:rsidRPr="00C403BB">
        <w:rPr>
          <w:i/>
          <w:szCs w:val="22"/>
          <w:highlight w:val="lightGray"/>
          <w:u w:val="single"/>
          <w:lang w:val="it-IT"/>
        </w:rPr>
        <w:t xml:space="preserve"> OPA/Al/PVC//</w:t>
      </w:r>
      <w:r w:rsidRPr="00FC2F1F">
        <w:rPr>
          <w:i/>
          <w:szCs w:val="22"/>
          <w:highlight w:val="lightGray"/>
          <w:u w:val="single"/>
          <w:lang w:val="el-GR"/>
        </w:rPr>
        <w:t>φύλλο</w:t>
      </w:r>
      <w:r w:rsidRPr="00C403BB">
        <w:rPr>
          <w:i/>
          <w:szCs w:val="22"/>
          <w:highlight w:val="lightGray"/>
          <w:u w:val="single"/>
          <w:lang w:val="it-IT"/>
        </w:rPr>
        <w:t xml:space="preserve"> Al):</w:t>
      </w:r>
    </w:p>
    <w:p w:rsidR="00681191" w:rsidRPr="00FC2F1F" w:rsidRDefault="00681191" w:rsidP="00681191">
      <w:pPr>
        <w:widowControl w:val="0"/>
        <w:tabs>
          <w:tab w:val="clear" w:pos="567"/>
          <w:tab w:val="left" w:pos="1440"/>
        </w:tabs>
        <w:spacing w:line="240" w:lineRule="auto"/>
        <w:rPr>
          <w:iCs/>
          <w:szCs w:val="22"/>
          <w:lang w:val="el-GR"/>
        </w:rPr>
      </w:pPr>
      <w:r w:rsidRPr="00FC2F1F">
        <w:rPr>
          <w:iCs/>
          <w:szCs w:val="22"/>
          <w:lang w:val="el-GR"/>
        </w:rPr>
        <w:t>14</w:t>
      </w:r>
      <w:r w:rsidR="00AA49DB" w:rsidRPr="00AA49DB">
        <w:rPr>
          <w:iCs/>
          <w:szCs w:val="22"/>
          <w:lang w:val="da-DK"/>
        </w:rPr>
        <w:t> x </w:t>
      </w:r>
      <w:r w:rsidR="00AA49DB" w:rsidRPr="00C403BB">
        <w:rPr>
          <w:iCs/>
          <w:szCs w:val="22"/>
          <w:lang w:val="el-GR"/>
        </w:rPr>
        <w:t>1</w:t>
      </w:r>
      <w:r w:rsidRPr="00FC2F1F">
        <w:rPr>
          <w:iCs/>
          <w:szCs w:val="22"/>
          <w:lang w:val="el-GR"/>
        </w:rPr>
        <w:t xml:space="preserve"> δισκί</w:t>
      </w:r>
      <w:r w:rsidR="00AA49DB">
        <w:rPr>
          <w:iCs/>
          <w:szCs w:val="22"/>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28</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30</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56</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60</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84</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90</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98</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Pr>
          <w:iCs/>
          <w:szCs w:val="22"/>
          <w:highlight w:val="lightGray"/>
          <w:lang w:val="sl-SI"/>
        </w:rPr>
        <w:t>100</w:t>
      </w:r>
      <w:r w:rsidR="00AA49DB" w:rsidRPr="00AA49DB">
        <w:rPr>
          <w:iCs/>
          <w:szCs w:val="22"/>
          <w:highlight w:val="lightGray"/>
          <w:lang w:val="da-DK"/>
        </w:rPr>
        <w:t> x </w:t>
      </w:r>
      <w:r w:rsidR="00AA49DB" w:rsidRPr="00C403BB">
        <w:rPr>
          <w:iCs/>
          <w:szCs w:val="22"/>
          <w:highlight w:val="lightGray"/>
          <w:lang w:val="el-GR"/>
        </w:rPr>
        <w:t>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i/>
          <w:szCs w:val="22"/>
          <w:u w:val="single"/>
          <w:lang w:val="el-GR"/>
        </w:rPr>
      </w:pPr>
      <w:r w:rsidRPr="00FC2F1F">
        <w:rPr>
          <w:i/>
          <w:szCs w:val="22"/>
          <w:highlight w:val="lightGray"/>
          <w:u w:val="single"/>
          <w:lang w:val="el-GR"/>
        </w:rPr>
        <w:t>Κυψέλη (φύλλο OPA/Al/PE με ξηραντικό//φύλλο Al):</w:t>
      </w:r>
    </w:p>
    <w:p w:rsidR="00681191" w:rsidRPr="00FC2F1F" w:rsidRDefault="00681191" w:rsidP="00681191">
      <w:pPr>
        <w:widowControl w:val="0"/>
        <w:tabs>
          <w:tab w:val="clear" w:pos="567"/>
          <w:tab w:val="left" w:pos="1440"/>
        </w:tabs>
        <w:spacing w:line="240" w:lineRule="auto"/>
        <w:rPr>
          <w:iCs/>
          <w:szCs w:val="22"/>
          <w:lang w:val="el-GR"/>
        </w:rPr>
      </w:pPr>
      <w:r w:rsidRPr="00FC2F1F">
        <w:rPr>
          <w:iCs/>
          <w:szCs w:val="22"/>
          <w:lang w:val="el-GR"/>
        </w:rPr>
        <w:t>14</w:t>
      </w:r>
      <w:r w:rsidR="00AA49DB" w:rsidRPr="00AA49DB">
        <w:rPr>
          <w:iCs/>
          <w:szCs w:val="22"/>
          <w:lang w:val="da-DK"/>
        </w:rPr>
        <w:t> x 1</w:t>
      </w:r>
      <w:r w:rsidRPr="00FC2F1F">
        <w:rPr>
          <w:iCs/>
          <w:szCs w:val="22"/>
          <w:lang w:val="el-GR"/>
        </w:rPr>
        <w:t xml:space="preserve"> δισκί</w:t>
      </w:r>
      <w:r w:rsidR="00AA49DB">
        <w:rPr>
          <w:iCs/>
          <w:szCs w:val="22"/>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98</w:t>
      </w:r>
      <w:r w:rsidR="00AA49DB" w:rsidRPr="00AA49DB">
        <w:rPr>
          <w:iCs/>
          <w:szCs w:val="22"/>
          <w:highlight w:val="lightGray"/>
          <w:lang w:val="da-DK"/>
        </w:rPr>
        <w:t> x 1</w:t>
      </w:r>
      <w:r w:rsidRPr="00FC2F1F">
        <w:rPr>
          <w:iCs/>
          <w:szCs w:val="22"/>
          <w:highlight w:val="lightGray"/>
          <w:lang w:val="el-GR"/>
        </w:rPr>
        <w:t xml:space="preserve"> δισκί</w:t>
      </w:r>
      <w:r w:rsidR="00AA49DB">
        <w:rPr>
          <w:iCs/>
          <w:szCs w:val="22"/>
          <w:highlight w:val="lightGray"/>
          <w:lang w:val="el-GR"/>
        </w:rPr>
        <w:t>ο</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ΤΡΟΠΟΣ ΚΑΙ ΟΔΟΣ(ΟΙ) ΧΟΡΗΓΗΣΗΣ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 xml:space="preserve">Διαβάστε το φύλλο οδηγιών χρήσης πριν από τη </w:t>
      </w:r>
      <w:r w:rsidR="00AA49DB">
        <w:rPr>
          <w:noProof/>
          <w:szCs w:val="22"/>
          <w:lang w:val="el-GR"/>
        </w:rPr>
        <w:t>χρήση</w:t>
      </w:r>
      <w:r w:rsidRPr="00FC2F1F">
        <w:rPr>
          <w:noProof/>
          <w:szCs w:val="22"/>
          <w:lang w:val="el-GR"/>
        </w:rPr>
        <w:t>.</w:t>
      </w:r>
    </w:p>
    <w:p w:rsidR="00681191" w:rsidRPr="00FC2F1F" w:rsidRDefault="00681191" w:rsidP="00681191">
      <w:pPr>
        <w:widowControl w:val="0"/>
        <w:spacing w:line="240" w:lineRule="auto"/>
        <w:rPr>
          <w:noProof/>
          <w:szCs w:val="22"/>
          <w:lang w:val="el-GR"/>
        </w:rPr>
      </w:pPr>
      <w:r w:rsidRPr="00FC2F1F">
        <w:rPr>
          <w:noProof/>
          <w:szCs w:val="22"/>
          <w:lang w:val="el-GR"/>
        </w:rPr>
        <w:t>Από στόματος χρήση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6.</w:t>
            </w:r>
            <w:r w:rsidRPr="00FC2F1F">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Να φυλάσσεται σε θέση, την οποία δεν βλέπουν και δεν προσεγγίζουν τα παιδιά.</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7.</w:t>
            </w:r>
            <w:r w:rsidRPr="00FC2F1F">
              <w:rPr>
                <w:b/>
                <w:noProof/>
                <w:szCs w:val="22"/>
                <w:lang w:val="el-GR"/>
              </w:rPr>
              <w:tab/>
              <w:t>ΑΛΛΗ(ΕΣ) ΕΙΔΙΚΗ(ΕΣ) ΠΡΟΕΙΔΟΠΟΙΗΣΗ(ΕΙΣ), ΕΑΝ ΕΙΝΑΙ ΑΠΑΡΑΙΤΗΤΗ(ΕΣ)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8.</w:t>
            </w:r>
            <w:r w:rsidRPr="00FC2F1F">
              <w:rPr>
                <w:b/>
                <w:noProof/>
                <w:szCs w:val="22"/>
                <w:lang w:val="el-GR"/>
              </w:rPr>
              <w:tab/>
              <w:t>ΗΜΕΡΟΜΗΝΙΑ ΛΗΞΗΣ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EXP</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9.</w:t>
            </w:r>
            <w:r w:rsidRPr="00FC2F1F">
              <w:rPr>
                <w:b/>
                <w:noProof/>
                <w:szCs w:val="22"/>
                <w:lang w:val="el-GR"/>
              </w:rPr>
              <w:tab/>
              <w:t>ΕΙΔΙΚΕΣ ΣΥΝΘΗΚΕΣ ΦΥΛΑΞΗΣ</w:t>
            </w:r>
          </w:p>
        </w:tc>
      </w:tr>
    </w:tbl>
    <w:p w:rsidR="00681191" w:rsidRPr="00FC2F1F" w:rsidRDefault="00681191" w:rsidP="00681191">
      <w:pPr>
        <w:widowControl w:val="0"/>
        <w:spacing w:line="240" w:lineRule="auto"/>
        <w:rPr>
          <w:noProof/>
          <w:szCs w:val="22"/>
          <w:lang w:val="el-GR"/>
        </w:rPr>
      </w:pPr>
    </w:p>
    <w:p w:rsidR="00DA2572" w:rsidRPr="00FC2F1F" w:rsidRDefault="00DA2572" w:rsidP="00DA2572">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Φυλάσσετ</w:t>
      </w:r>
      <w:r w:rsidR="00AA49DB">
        <w:rPr>
          <w:snapToGrid/>
          <w:szCs w:val="22"/>
          <w:lang w:val="el-GR"/>
        </w:rPr>
        <w:t>ε</w:t>
      </w:r>
      <w:r w:rsidRPr="00FC2F1F">
        <w:rPr>
          <w:snapToGrid/>
          <w:szCs w:val="22"/>
          <w:lang w:val="el-GR"/>
        </w:rPr>
        <w:t xml:space="preserve"> στην αρχική συσκευασία για να προστατεύεται από το φως.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10.</w:t>
            </w:r>
            <w:r w:rsidRPr="00FC2F1F">
              <w:rPr>
                <w:b/>
                <w:noProof/>
                <w:szCs w:val="22"/>
                <w:lang w:val="el-GR"/>
              </w:rPr>
              <w:tab/>
              <w:t>ΙΔΙΑΙΤΕΡΕΣ ΠΡΟΦΥΛΑΞΕΙΣ ΓΙΑ ΤΗΝ ΑΠΟΡΡΙΨΗ ΤΩΝ ΜΗ</w:t>
            </w:r>
            <w:r>
              <w:rPr>
                <w:b/>
                <w:noProof/>
                <w:szCs w:val="22"/>
                <w:lang w:val="sl-SI"/>
              </w:rPr>
              <w:t xml:space="preserve"> </w:t>
            </w:r>
            <w:r w:rsidRPr="00FC2F1F">
              <w:rPr>
                <w:b/>
                <w:noProof/>
                <w:szCs w:val="22"/>
                <w:lang w:val="el-GR"/>
              </w:rPr>
              <w:t>ΧΡΗΣΙΜΟΠΟΙΗΘΕΝΤΩΝ ΦΑΡΜΑΚΕΥΤΙΚΩΝ ΠΡΟΪΟΝΤΩΝ Ή ΤΩΝ</w:t>
            </w:r>
            <w:r>
              <w:rPr>
                <w:b/>
                <w:noProof/>
                <w:szCs w:val="22"/>
                <w:lang w:val="sl-SI"/>
              </w:rPr>
              <w:t xml:space="preserve"> </w:t>
            </w:r>
            <w:r w:rsidRPr="00FC2F1F">
              <w:rPr>
                <w:b/>
                <w:noProof/>
                <w:szCs w:val="22"/>
                <w:lang w:val="el-GR"/>
              </w:rPr>
              <w:t>ΥΠΟΛΕΙΜΜΑΤΩΝ ΠΟΥ ΠΡΟΕΡΧΟΝΤΑΙ ΑΠΟ ΑΥΤΑ, ΕΦΟΣΟΝ ΑΠΑΙΤΕΙΤΑΙ</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11.</w:t>
            </w:r>
            <w:r w:rsidRPr="00FC2F1F">
              <w:rPr>
                <w:b/>
                <w:noProof/>
                <w:szCs w:val="22"/>
                <w:lang w:val="el-GR"/>
              </w:rPr>
              <w:tab/>
              <w:t>ΟΝΟΜΑ ΚΑΙ ΔΙΕΥΘΥΝΣΗ ΚΑΤΟΧΟΥ ΤΗΣ ΑΔΕΙΑΣ ΚΥΚΛΟΦΟΡΙΑΣ</w:t>
            </w:r>
          </w:p>
        </w:tc>
      </w:tr>
    </w:tbl>
    <w:p w:rsidR="00681191" w:rsidRPr="00FC2F1F" w:rsidRDefault="00681191" w:rsidP="00681191">
      <w:pPr>
        <w:widowControl w:val="0"/>
        <w:spacing w:line="240" w:lineRule="auto"/>
        <w:rPr>
          <w:noProof/>
          <w:szCs w:val="22"/>
          <w:lang w:val="el-GR"/>
        </w:rPr>
      </w:pPr>
    </w:p>
    <w:p w:rsidR="00681191" w:rsidRPr="009E3FF1" w:rsidRDefault="00681191" w:rsidP="00681191">
      <w:pPr>
        <w:widowControl w:val="0"/>
        <w:spacing w:line="240" w:lineRule="auto"/>
        <w:jc w:val="both"/>
        <w:rPr>
          <w:szCs w:val="22"/>
          <w:lang w:val="en-US"/>
        </w:rPr>
      </w:pPr>
      <w:r w:rsidRPr="00B754A1">
        <w:rPr>
          <w:szCs w:val="22"/>
          <w:lang w:val="en-US"/>
        </w:rPr>
        <w:t>KRKA</w:t>
      </w:r>
      <w:r w:rsidRPr="009E3FF1">
        <w:rPr>
          <w:szCs w:val="22"/>
          <w:lang w:val="en-US"/>
        </w:rPr>
        <w:t xml:space="preserve">, </w:t>
      </w:r>
      <w:r w:rsidRPr="00B754A1">
        <w:rPr>
          <w:szCs w:val="22"/>
          <w:lang w:val="en-US"/>
        </w:rPr>
        <w:t>d</w:t>
      </w:r>
      <w:r w:rsidRPr="009E3FF1">
        <w:rPr>
          <w:szCs w:val="22"/>
          <w:lang w:val="en-US"/>
        </w:rPr>
        <w:t>.</w:t>
      </w:r>
      <w:r w:rsidRPr="00B754A1">
        <w:rPr>
          <w:szCs w:val="22"/>
          <w:lang w:val="en-US"/>
        </w:rPr>
        <w:t>d</w:t>
      </w:r>
      <w:r w:rsidRPr="009E3FF1">
        <w:rPr>
          <w:szCs w:val="22"/>
          <w:lang w:val="en-US"/>
        </w:rPr>
        <w:t xml:space="preserve">., </w:t>
      </w:r>
      <w:r w:rsidRPr="00B754A1">
        <w:rPr>
          <w:szCs w:val="22"/>
          <w:lang w:val="en-US"/>
        </w:rPr>
        <w:t>Novo</w:t>
      </w:r>
      <w:r w:rsidRPr="009E3FF1">
        <w:rPr>
          <w:szCs w:val="22"/>
          <w:lang w:val="en-US"/>
        </w:rPr>
        <w:t xml:space="preserve"> </w:t>
      </w:r>
      <w:r w:rsidRPr="00B754A1">
        <w:rPr>
          <w:szCs w:val="22"/>
          <w:lang w:val="en-US"/>
        </w:rPr>
        <w:t>mesto</w:t>
      </w:r>
      <w:r w:rsidRPr="009E3FF1">
        <w:rPr>
          <w:szCs w:val="22"/>
          <w:lang w:val="en-US"/>
        </w:rPr>
        <w:t>, Š</w:t>
      </w:r>
      <w:r w:rsidRPr="00B754A1">
        <w:rPr>
          <w:szCs w:val="22"/>
          <w:lang w:val="en-US"/>
        </w:rPr>
        <w:t>marje</w:t>
      </w:r>
      <w:r w:rsidRPr="009E3FF1">
        <w:rPr>
          <w:szCs w:val="22"/>
          <w:lang w:val="en-US"/>
        </w:rPr>
        <w:t>š</w:t>
      </w:r>
      <w:r w:rsidRPr="00B754A1">
        <w:rPr>
          <w:szCs w:val="22"/>
          <w:lang w:val="en-US"/>
        </w:rPr>
        <w:t>ka</w:t>
      </w:r>
      <w:r w:rsidRPr="009E3FF1">
        <w:rPr>
          <w:szCs w:val="22"/>
          <w:lang w:val="en-US"/>
        </w:rPr>
        <w:t xml:space="preserve"> </w:t>
      </w:r>
      <w:r w:rsidRPr="00B754A1">
        <w:rPr>
          <w:szCs w:val="22"/>
          <w:lang w:val="en-US"/>
        </w:rPr>
        <w:t>cesta</w:t>
      </w:r>
      <w:r w:rsidRPr="009E3FF1">
        <w:rPr>
          <w:szCs w:val="22"/>
          <w:lang w:val="en-US"/>
        </w:rPr>
        <w:t xml:space="preserve"> 6, 8501 </w:t>
      </w:r>
      <w:r w:rsidRPr="00B754A1">
        <w:rPr>
          <w:szCs w:val="22"/>
          <w:lang w:val="en-US"/>
        </w:rPr>
        <w:t>Novo</w:t>
      </w:r>
      <w:r w:rsidRPr="009E3FF1">
        <w:rPr>
          <w:szCs w:val="22"/>
          <w:lang w:val="en-US"/>
        </w:rPr>
        <w:t xml:space="preserve"> </w:t>
      </w:r>
      <w:r w:rsidRPr="00B754A1">
        <w:rPr>
          <w:szCs w:val="22"/>
          <w:lang w:val="en-US"/>
        </w:rPr>
        <w:t>mesto</w:t>
      </w:r>
      <w:r w:rsidRPr="009E3FF1">
        <w:rPr>
          <w:szCs w:val="22"/>
          <w:lang w:val="en-US"/>
        </w:rPr>
        <w:t xml:space="preserve">, </w:t>
      </w:r>
      <w:r w:rsidRPr="00FC2F1F">
        <w:rPr>
          <w:szCs w:val="22"/>
          <w:lang w:val="el-GR"/>
        </w:rPr>
        <w:t>Σλοβενία</w:t>
      </w:r>
    </w:p>
    <w:p w:rsidR="00681191" w:rsidRPr="009E3FF1" w:rsidRDefault="00681191" w:rsidP="00681191">
      <w:pPr>
        <w:widowControl w:val="0"/>
        <w:spacing w:line="240" w:lineRule="auto"/>
        <w:rPr>
          <w:noProof/>
          <w:szCs w:val="22"/>
          <w:lang w:val="en-US"/>
        </w:rPr>
      </w:pPr>
    </w:p>
    <w:p w:rsidR="00681191" w:rsidRPr="009E3FF1" w:rsidRDefault="00681191" w:rsidP="00681191">
      <w:pPr>
        <w:widowControl w:val="0"/>
        <w:spacing w:line="240" w:lineRule="auto"/>
        <w:rPr>
          <w:noProof/>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12.</w:t>
            </w:r>
            <w:r w:rsidRPr="00FC2F1F">
              <w:rPr>
                <w:b/>
                <w:noProof/>
                <w:szCs w:val="22"/>
                <w:lang w:val="el-GR"/>
              </w:rPr>
              <w:tab/>
              <w:t>ΑΡΙΘΜΟΣ(ΟΙ) ΑΔΕΙΑΣ ΚΥΚΛΟΦΟΡΙΑΣ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rPr>
          <w:rFonts w:eastAsia="Calibri"/>
          <w:snapToGrid/>
          <w:szCs w:val="22"/>
          <w:lang w:val="el-GR"/>
        </w:rPr>
      </w:pPr>
      <w:r w:rsidRPr="00FC2F1F">
        <w:rPr>
          <w:rFonts w:eastAsia="Calibri"/>
          <w:snapToGrid/>
          <w:szCs w:val="22"/>
          <w:lang w:val="el-GR"/>
        </w:rPr>
        <w:t>EU/1/13/821/011</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EU/1/13/821/012</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EU/1/13/821/013</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EU/1/13/821/014</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EU/1/13/821/015</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EU/1/13/821/016</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EU/1/13/821/017</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EU/1/13/821/018</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EU/1/13/821/019</w:t>
      </w:r>
    </w:p>
    <w:p w:rsidR="00681191" w:rsidRPr="00FC2F1F" w:rsidRDefault="00681191" w:rsidP="00681191">
      <w:pPr>
        <w:widowControl w:val="0"/>
        <w:tabs>
          <w:tab w:val="clear" w:pos="567"/>
        </w:tabs>
        <w:spacing w:line="240" w:lineRule="auto"/>
        <w:rPr>
          <w:rFonts w:eastAsia="Calibri"/>
          <w:snapToGrid/>
          <w:szCs w:val="22"/>
          <w:lang w:val="el-GR"/>
        </w:rPr>
      </w:pPr>
      <w:r w:rsidRPr="00FC2F1F">
        <w:rPr>
          <w:rFonts w:eastAsia="Calibri"/>
          <w:snapToGrid/>
          <w:szCs w:val="22"/>
          <w:highlight w:val="lightGray"/>
          <w:lang w:val="el-GR"/>
        </w:rPr>
        <w:t>EU/1/13/821/020</w:t>
      </w:r>
    </w:p>
    <w:p w:rsidR="00681191" w:rsidRPr="002C0868" w:rsidRDefault="00681191" w:rsidP="00681191">
      <w:pPr>
        <w:widowControl w:val="0"/>
        <w:tabs>
          <w:tab w:val="clear" w:pos="567"/>
        </w:tabs>
        <w:spacing w:line="240" w:lineRule="auto"/>
        <w:rPr>
          <w:rFonts w:eastAsia="Calibri"/>
          <w:snapToGrid/>
          <w:szCs w:val="22"/>
          <w:lang w:val="sl-SI"/>
        </w:rPr>
      </w:pPr>
      <w:r w:rsidRPr="00FC2F1F">
        <w:rPr>
          <w:rFonts w:eastAsia="Calibri"/>
          <w:snapToGrid/>
          <w:szCs w:val="22"/>
          <w:highlight w:val="lightGray"/>
          <w:lang w:val="el-GR"/>
        </w:rPr>
        <w:t>EU/1/13/</w:t>
      </w:r>
      <w:r w:rsidRPr="002C0868">
        <w:rPr>
          <w:rFonts w:eastAsia="Calibri"/>
          <w:snapToGrid/>
          <w:szCs w:val="22"/>
          <w:highlight w:val="lightGray"/>
          <w:lang w:val="el-GR"/>
        </w:rPr>
        <w:t>821/</w:t>
      </w:r>
      <w:r w:rsidRPr="002C0868">
        <w:rPr>
          <w:rFonts w:eastAsia="Calibri"/>
          <w:snapToGrid/>
          <w:szCs w:val="22"/>
          <w:highlight w:val="lightGray"/>
          <w:lang w:val="sl-SI"/>
        </w:rPr>
        <w:t>032</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13.</w:t>
            </w:r>
            <w:r w:rsidRPr="00FC2F1F">
              <w:rPr>
                <w:b/>
                <w:noProof/>
                <w:szCs w:val="22"/>
                <w:lang w:val="el-GR"/>
              </w:rPr>
              <w:tab/>
              <w:t>ΑΡΙΘΜΟΣ ΠΑΡΤΙΔΑΣ</w:t>
            </w:r>
          </w:p>
        </w:tc>
      </w:tr>
    </w:tbl>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Lot</w:t>
      </w:r>
    </w:p>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14.</w:t>
            </w:r>
            <w:r w:rsidRPr="00FC2F1F">
              <w:rPr>
                <w:b/>
                <w:noProof/>
                <w:szCs w:val="22"/>
                <w:lang w:val="el-GR"/>
              </w:rPr>
              <w:tab/>
              <w:t>ΓΕΝΙΚΗ ΚΑΤΑΤΑΞΗ ΓΙΑ ΤΗ ΔΙΑΘΕΣΗ</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15.</w:t>
            </w:r>
            <w:r w:rsidRPr="00FC2F1F">
              <w:rPr>
                <w:b/>
                <w:noProof/>
                <w:szCs w:val="22"/>
                <w:lang w:val="el-GR"/>
              </w:rPr>
              <w:tab/>
              <w:t>ΟΔΗΓΙΕΣ ΧΡΗΣΗΣ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noProof/>
          <w:szCs w:val="22"/>
          <w:lang w:val="el-GR"/>
        </w:rPr>
      </w:pPr>
      <w:r w:rsidRPr="00FC2F1F">
        <w:rPr>
          <w:b/>
          <w:noProof/>
          <w:szCs w:val="22"/>
          <w:lang w:val="el-GR"/>
        </w:rPr>
        <w:t>16.</w:t>
      </w:r>
      <w:r w:rsidRPr="00FC2F1F">
        <w:rPr>
          <w:b/>
          <w:noProof/>
          <w:szCs w:val="22"/>
          <w:lang w:val="el-GR"/>
        </w:rPr>
        <w:tab/>
        <w:t>ΠΛΗΡΟΦΟΡΙΕΣ ΣΕ BRAILLE</w:t>
      </w:r>
    </w:p>
    <w:p w:rsidR="00681191" w:rsidRPr="00FC2F1F" w:rsidRDefault="00681191" w:rsidP="00681191">
      <w:pPr>
        <w:widowControl w:val="0"/>
        <w:spacing w:line="240" w:lineRule="auto"/>
        <w:rPr>
          <w:noProof/>
          <w:szCs w:val="22"/>
          <w:lang w:val="el-GR"/>
        </w:rPr>
      </w:pPr>
    </w:p>
    <w:p w:rsidR="00FA4CC3" w:rsidRDefault="00681191" w:rsidP="00FA4CC3">
      <w:pPr>
        <w:widowControl w:val="0"/>
        <w:spacing w:line="240" w:lineRule="auto"/>
        <w:rPr>
          <w:noProof/>
          <w:szCs w:val="22"/>
          <w:lang w:val="sl-SI"/>
        </w:rPr>
      </w:pPr>
      <w:r w:rsidRPr="00FC2F1F">
        <w:rPr>
          <w:noProof/>
          <w:szCs w:val="22"/>
          <w:lang w:val="el-GR"/>
        </w:rPr>
        <w:t>Tolucombi 80</w:t>
      </w:r>
      <w:r>
        <w:rPr>
          <w:noProof/>
          <w:szCs w:val="22"/>
          <w:lang w:val="el-GR"/>
        </w:rPr>
        <w:t> mg</w:t>
      </w:r>
      <w:r w:rsidRPr="00FC2F1F">
        <w:rPr>
          <w:noProof/>
          <w:szCs w:val="22"/>
          <w:lang w:val="el-GR"/>
        </w:rPr>
        <w:t>/12,5</w:t>
      </w:r>
      <w:r>
        <w:rPr>
          <w:noProof/>
          <w:szCs w:val="22"/>
          <w:lang w:val="el-GR"/>
        </w:rPr>
        <w:t> mg</w:t>
      </w:r>
    </w:p>
    <w:p w:rsidR="00FA4CC3" w:rsidRPr="006373B5" w:rsidRDefault="00FA4CC3" w:rsidP="00FA4CC3">
      <w:pPr>
        <w:widowControl w:val="0"/>
        <w:spacing w:line="240" w:lineRule="auto"/>
        <w:rPr>
          <w:szCs w:val="22"/>
          <w:highlight w:val="lightGray"/>
          <w:lang w:val="sl-SI"/>
        </w:rPr>
      </w:pPr>
    </w:p>
    <w:p w:rsidR="00FA4CC3" w:rsidRPr="00193332" w:rsidRDefault="00FA4CC3" w:rsidP="00FA4CC3">
      <w:pPr>
        <w:widowControl w:val="0"/>
        <w:spacing w:line="240" w:lineRule="auto"/>
        <w:rPr>
          <w:szCs w:val="22"/>
          <w:highlight w:val="lightGray"/>
          <w:lang w:val="el-GR"/>
        </w:rPr>
      </w:pPr>
    </w:p>
    <w:p w:rsidR="00FA4CC3" w:rsidRPr="006B04A9" w:rsidRDefault="00FA4CC3" w:rsidP="00FA4CC3">
      <w:pPr>
        <w:widowControl w:val="0"/>
        <w:pBdr>
          <w:top w:val="single" w:sz="4" w:space="1" w:color="auto"/>
          <w:left w:val="single" w:sz="4" w:space="4" w:color="auto"/>
          <w:bottom w:val="single" w:sz="4" w:space="0" w:color="auto"/>
          <w:right w:val="single" w:sz="4" w:space="4" w:color="auto"/>
        </w:pBdr>
        <w:spacing w:line="240" w:lineRule="auto"/>
        <w:ind w:left="567" w:hanging="567"/>
        <w:rPr>
          <w:b/>
          <w:noProof/>
          <w:szCs w:val="22"/>
          <w:lang w:val="el-GR"/>
        </w:rPr>
      </w:pPr>
      <w:r w:rsidRPr="001A5147">
        <w:rPr>
          <w:b/>
          <w:noProof/>
          <w:szCs w:val="22"/>
          <w:lang w:val="el-GR"/>
        </w:rPr>
        <w:t>17.</w:t>
      </w:r>
      <w:r w:rsidRPr="001A5147">
        <w:rPr>
          <w:b/>
          <w:noProof/>
          <w:szCs w:val="22"/>
          <w:lang w:val="el-GR"/>
        </w:rPr>
        <w:tab/>
        <w:t>ΜΟΝΑΔΙΚΟΣ ΑΝΑΓΝΩΡΙΣΤΙΚΟΣ ΚΩΔΙΚΟΣ – ΔΙΣΔΙΑΣΤΑΤΟΣ ΓΡΑΜΜΩΤΟΣ ΚΩΔΙΚΑΣ 2</w:t>
      </w:r>
      <w:r w:rsidRPr="001A5147">
        <w:rPr>
          <w:b/>
          <w:noProof/>
          <w:szCs w:val="22"/>
        </w:rPr>
        <w:t>D</w:t>
      </w: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spacing w:line="240" w:lineRule="auto"/>
        <w:rPr>
          <w:noProof/>
          <w:szCs w:val="22"/>
          <w:shd w:val="clear" w:color="auto" w:fill="CCCCCC"/>
          <w:lang w:val="el-GR"/>
        </w:rPr>
      </w:pPr>
      <w:r w:rsidRPr="001A5147">
        <w:rPr>
          <w:noProof/>
          <w:szCs w:val="22"/>
          <w:highlight w:val="lightGray"/>
          <w:lang w:val="el-GR"/>
        </w:rPr>
        <w:t>Δισδιάστατος γραμμωτός κώδικας (2</w:t>
      </w:r>
      <w:r w:rsidRPr="001A5147">
        <w:rPr>
          <w:noProof/>
          <w:szCs w:val="22"/>
          <w:highlight w:val="lightGray"/>
        </w:rPr>
        <w:t>D</w:t>
      </w:r>
      <w:r w:rsidRPr="001A5147">
        <w:rPr>
          <w:noProof/>
          <w:szCs w:val="22"/>
          <w:highlight w:val="lightGray"/>
          <w:lang w:val="el-GR"/>
        </w:rPr>
        <w:t>) που φέρει τον περιληφθέντα μοναδικό αναγνωριστικό κωδικό.</w:t>
      </w:r>
    </w:p>
    <w:p w:rsidR="00FA4CC3" w:rsidRPr="00193332" w:rsidRDefault="00FA4CC3" w:rsidP="00FA4CC3">
      <w:pPr>
        <w:widowControl w:val="0"/>
        <w:tabs>
          <w:tab w:val="left" w:pos="1624"/>
        </w:tabs>
        <w:spacing w:line="240" w:lineRule="auto"/>
        <w:rPr>
          <w:noProof/>
          <w:szCs w:val="22"/>
          <w:lang w:val="el-GR"/>
        </w:rPr>
      </w:pP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pBdr>
          <w:top w:val="single" w:sz="4" w:space="1" w:color="auto"/>
          <w:left w:val="single" w:sz="4" w:space="4" w:color="auto"/>
          <w:bottom w:val="single" w:sz="4" w:space="0" w:color="auto"/>
          <w:right w:val="single" w:sz="4" w:space="4" w:color="auto"/>
        </w:pBdr>
        <w:spacing w:line="240" w:lineRule="auto"/>
        <w:ind w:left="567" w:hanging="567"/>
        <w:rPr>
          <w:i/>
          <w:noProof/>
          <w:szCs w:val="22"/>
          <w:lang w:val="el-GR"/>
        </w:rPr>
      </w:pPr>
      <w:r w:rsidRPr="001A5147">
        <w:rPr>
          <w:b/>
          <w:noProof/>
          <w:szCs w:val="22"/>
          <w:lang w:val="el-GR"/>
        </w:rPr>
        <w:t>18.</w:t>
      </w:r>
      <w:r w:rsidRPr="001A5147">
        <w:rPr>
          <w:b/>
          <w:noProof/>
          <w:szCs w:val="22"/>
          <w:lang w:val="el-GR"/>
        </w:rPr>
        <w:tab/>
        <w:t>ΜΟΝΑΔΙΚΟΣ ΑΝΑΓΝΩΡΙΣΤΙΚΟΣ ΚΩΔΙΚΟΣ – ΔΕΔΟΜΕΝΑ ΑΝΑΓΝΩΣΙΜΑ ΑΠΟ ΤΟΝ ΑΝΘΡΩΠΟ</w:t>
      </w: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spacing w:line="240" w:lineRule="auto"/>
        <w:rPr>
          <w:szCs w:val="22"/>
          <w:lang w:val="el-GR"/>
        </w:rPr>
      </w:pPr>
      <w:r w:rsidRPr="001A5147">
        <w:rPr>
          <w:szCs w:val="22"/>
        </w:rPr>
        <w:t>PC</w:t>
      </w:r>
    </w:p>
    <w:p w:rsidR="00FA4CC3" w:rsidRPr="001A5147" w:rsidRDefault="00FA4CC3" w:rsidP="00FA4CC3">
      <w:pPr>
        <w:widowControl w:val="0"/>
        <w:spacing w:line="240" w:lineRule="auto"/>
        <w:rPr>
          <w:szCs w:val="22"/>
          <w:lang w:val="el-GR"/>
        </w:rPr>
      </w:pPr>
      <w:r w:rsidRPr="001A5147">
        <w:rPr>
          <w:szCs w:val="22"/>
        </w:rPr>
        <w:t>SN</w:t>
      </w:r>
    </w:p>
    <w:p w:rsidR="00FA4CC3" w:rsidRPr="0087084D" w:rsidRDefault="00FA4CC3" w:rsidP="0087084D">
      <w:pPr>
        <w:widowControl w:val="0"/>
        <w:spacing w:line="240" w:lineRule="auto"/>
        <w:rPr>
          <w:szCs w:val="22"/>
        </w:rPr>
      </w:pPr>
      <w:r w:rsidRPr="00712AD4">
        <w:rPr>
          <w:szCs w:val="22"/>
        </w:rPr>
        <w:t>NN</w:t>
      </w:r>
    </w:p>
    <w:p w:rsidR="00FA4CC3" w:rsidRPr="001A5147" w:rsidRDefault="00FA4CC3" w:rsidP="00FA4CC3">
      <w:pPr>
        <w:widowControl w:val="0"/>
        <w:spacing w:line="240" w:lineRule="auto"/>
        <w:rPr>
          <w:noProof/>
          <w:vanish/>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B754A1" w:rsidRDefault="00681191" w:rsidP="00D93067">
            <w:pPr>
              <w:widowControl w:val="0"/>
              <w:spacing w:line="240" w:lineRule="auto"/>
              <w:rPr>
                <w:b/>
                <w:noProof/>
                <w:szCs w:val="22"/>
                <w:lang w:val="el-GR"/>
              </w:rPr>
            </w:pPr>
            <w:r w:rsidRPr="00FC2F1F">
              <w:rPr>
                <w:b/>
                <w:noProof/>
                <w:szCs w:val="22"/>
                <w:lang w:val="el-GR"/>
              </w:rPr>
              <w:t xml:space="preserve">ΕΛΑΧΙΣΤΕΣ ΕΝΔΕΙΞΕΙΣ ΠΟΥ ΠΡΕΠΕΙ ΝΑ ΑΝΑΓΡΑΦΟΝΤΑΙ ΣΤΙΣ ΣΥΣΚΕΥΑΣΙΕΣ </w:t>
            </w:r>
            <w:r w:rsidR="004A5320">
              <w:rPr>
                <w:b/>
                <w:noProof/>
                <w:szCs w:val="22"/>
                <w:lang w:val="el-GR"/>
              </w:rPr>
              <w:t>ΚΥΨΕΛΗΣ</w:t>
            </w:r>
            <w:r w:rsidRPr="00FC2F1F">
              <w:rPr>
                <w:b/>
                <w:noProof/>
                <w:szCs w:val="22"/>
                <w:lang w:val="el-GR"/>
              </w:rPr>
              <w:t xml:space="preserve"> </w:t>
            </w:r>
            <w:r w:rsidR="004A5320">
              <w:rPr>
                <w:b/>
                <w:noProof/>
                <w:szCs w:val="22"/>
                <w:lang w:val="el-GR"/>
              </w:rPr>
              <w:t>(</w:t>
            </w:r>
            <w:r w:rsidRPr="00FC2F1F">
              <w:rPr>
                <w:b/>
                <w:noProof/>
                <w:szCs w:val="22"/>
                <w:lang w:val="el-GR"/>
              </w:rPr>
              <w:t>BLISTER</w:t>
            </w:r>
            <w:r w:rsidR="004A5320">
              <w:rPr>
                <w:b/>
                <w:noProof/>
                <w:szCs w:val="22"/>
                <w:lang w:val="el-GR"/>
              </w:rPr>
              <w:t>)</w:t>
            </w:r>
            <w:r w:rsidRPr="00FC2F1F">
              <w:rPr>
                <w:b/>
                <w:noProof/>
                <w:szCs w:val="22"/>
                <w:lang w:val="el-GR"/>
              </w:rPr>
              <w:t xml:space="preserve"> Ή ΣΤΙΣ ΤΑΙΝΙΕΣ</w:t>
            </w:r>
            <w:r w:rsidR="004A5320">
              <w:rPr>
                <w:b/>
                <w:noProof/>
                <w:szCs w:val="22"/>
                <w:lang w:val="el-GR"/>
              </w:rPr>
              <w:t xml:space="preserve"> (</w:t>
            </w:r>
            <w:r w:rsidR="004A5320">
              <w:rPr>
                <w:b/>
                <w:noProof/>
                <w:szCs w:val="22"/>
                <w:lang w:val="en-US"/>
              </w:rPr>
              <w:t>STRIPS</w:t>
            </w:r>
            <w:r w:rsidR="004A5320" w:rsidRPr="00B754A1">
              <w:rPr>
                <w:b/>
                <w:noProof/>
                <w:szCs w:val="22"/>
                <w:lang w:val="el-GR"/>
              </w:rPr>
              <w:t>)</w:t>
            </w:r>
          </w:p>
          <w:p w:rsidR="00681191" w:rsidRPr="00FC2F1F" w:rsidRDefault="00681191" w:rsidP="00D93067">
            <w:pPr>
              <w:widowControl w:val="0"/>
              <w:spacing w:line="240" w:lineRule="auto"/>
              <w:rPr>
                <w:b/>
                <w:noProof/>
                <w:szCs w:val="22"/>
                <w:lang w:val="el-GR"/>
              </w:rPr>
            </w:pPr>
          </w:p>
          <w:p w:rsidR="00681191" w:rsidRPr="00FC2F1F" w:rsidRDefault="00681191" w:rsidP="00D93067">
            <w:pPr>
              <w:widowControl w:val="0"/>
              <w:spacing w:line="240" w:lineRule="auto"/>
              <w:rPr>
                <w:b/>
                <w:noProof/>
                <w:szCs w:val="22"/>
                <w:lang w:val="el-GR"/>
              </w:rPr>
            </w:pPr>
            <w:r w:rsidRPr="00FC2F1F">
              <w:rPr>
                <w:b/>
                <w:noProof/>
                <w:szCs w:val="22"/>
                <w:lang w:val="el-GR"/>
              </w:rPr>
              <w:t>ΚΥΨΕΛΗ</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w:t>
            </w:r>
            <w:r w:rsidRPr="00FC2F1F">
              <w:rPr>
                <w:b/>
                <w:noProof/>
                <w:szCs w:val="22"/>
                <w:lang w:val="el-GR"/>
              </w:rPr>
              <w:tab/>
              <w:t>ΟΝΟΜΑΣΙΑ ΤΟΥ ΦΑΡΜΑΚΕΥΤΙΚΟΥ ΠΡΟΪΟΝΤΟΣ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Tolucombi 80</w:t>
      </w:r>
      <w:r>
        <w:rPr>
          <w:noProof/>
          <w:szCs w:val="22"/>
          <w:lang w:val="el-GR"/>
        </w:rPr>
        <w:t> mg</w:t>
      </w:r>
      <w:r w:rsidRPr="00FC2F1F">
        <w:rPr>
          <w:noProof/>
          <w:szCs w:val="22"/>
          <w:lang w:val="el-GR"/>
        </w:rPr>
        <w:t>/12,5</w:t>
      </w:r>
      <w:r>
        <w:rPr>
          <w:noProof/>
          <w:szCs w:val="22"/>
          <w:lang w:val="el-GR"/>
        </w:rPr>
        <w:t> mg</w:t>
      </w:r>
      <w:r w:rsidRPr="00FC2F1F">
        <w:rPr>
          <w:noProof/>
          <w:szCs w:val="22"/>
          <w:lang w:val="el-GR"/>
        </w:rPr>
        <w:t xml:space="preserve"> δισκία</w:t>
      </w:r>
    </w:p>
    <w:p w:rsidR="00681191" w:rsidRPr="00FC2F1F" w:rsidRDefault="00681191" w:rsidP="00681191">
      <w:pPr>
        <w:widowControl w:val="0"/>
        <w:spacing w:line="240" w:lineRule="auto"/>
        <w:rPr>
          <w:noProof/>
          <w:szCs w:val="22"/>
          <w:lang w:val="el-GR"/>
        </w:rPr>
      </w:pPr>
      <w:r w:rsidRPr="00FC2F1F">
        <w:rPr>
          <w:noProof/>
          <w:szCs w:val="22"/>
          <w:lang w:val="el-GR"/>
        </w:rPr>
        <w:t>τελμισαρτάνη/υδροχλωροθειαζίδη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ΟΝΟΜΑ ΚΑΤΟΧΟΥ ΤΗΣ ΑΔΕΙΑΣ ΚΥΚΛΟΦΟΡΙΑΣ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KRKA</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ΗΜΕΡΟΜΗΝΙΑ ΛΗΞΗΣ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EXP</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ΑΡΙΘΜΟΣ ΠΑΡΤΙΔΑΣ</w:t>
            </w:r>
          </w:p>
        </w:tc>
      </w:tr>
    </w:tbl>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szCs w:val="22"/>
          <w:lang w:val="el-GR"/>
        </w:rPr>
      </w:pPr>
      <w:r w:rsidRPr="00FC2F1F">
        <w:rPr>
          <w:noProof/>
          <w:szCs w:val="22"/>
          <w:lang w:val="el-GR"/>
        </w:rPr>
        <w:t>Lot</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ΑΛΛΑ ΣΤΟΙΧΕΙΑ</w:t>
            </w:r>
          </w:p>
        </w:tc>
      </w:tr>
    </w:tbl>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szCs w:val="22"/>
          <w:lang w:val="el-GR"/>
        </w:rPr>
      </w:pPr>
      <w:r w:rsidRPr="00FC2F1F">
        <w:rPr>
          <w:szCs w:val="22"/>
          <w:highlight w:val="lightGray"/>
          <w:lang w:val="el-GR"/>
        </w:rPr>
        <w:t>Μόνο για κυψέλες που περιέχουν 7 δισκία</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Δ</w:t>
      </w:r>
      <w:r w:rsidR="00191701">
        <w:rPr>
          <w:noProof/>
          <w:szCs w:val="22"/>
          <w:lang w:val="el-GR"/>
        </w:rPr>
        <w:t>ευ.</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Τ</w:t>
      </w:r>
      <w:r w:rsidR="00191701">
        <w:rPr>
          <w:noProof/>
          <w:szCs w:val="22"/>
          <w:lang w:val="el-GR"/>
        </w:rPr>
        <w:t>ρ.</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Τ</w:t>
      </w:r>
      <w:r w:rsidR="00191701">
        <w:rPr>
          <w:noProof/>
          <w:szCs w:val="22"/>
          <w:lang w:val="el-GR"/>
        </w:rPr>
        <w:t>ετ.</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Π</w:t>
      </w:r>
      <w:r w:rsidR="00191701">
        <w:rPr>
          <w:noProof/>
          <w:szCs w:val="22"/>
          <w:lang w:val="el-GR"/>
        </w:rPr>
        <w:t>έμ.</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Π</w:t>
      </w:r>
      <w:r w:rsidR="00191701">
        <w:rPr>
          <w:noProof/>
          <w:szCs w:val="22"/>
          <w:lang w:val="el-GR"/>
        </w:rPr>
        <w:t>αρ.</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Σ</w:t>
      </w:r>
      <w:r w:rsidR="00191701">
        <w:rPr>
          <w:noProof/>
          <w:szCs w:val="22"/>
          <w:lang w:val="el-GR"/>
        </w:rPr>
        <w:t>άβ.</w:t>
      </w:r>
    </w:p>
    <w:p w:rsidR="00681191" w:rsidRPr="00FC2F1F" w:rsidRDefault="00681191" w:rsidP="00681191">
      <w:pPr>
        <w:widowControl w:val="0"/>
        <w:tabs>
          <w:tab w:val="clear" w:pos="567"/>
        </w:tabs>
        <w:spacing w:line="240" w:lineRule="auto"/>
        <w:ind w:right="113"/>
        <w:rPr>
          <w:noProof/>
          <w:szCs w:val="22"/>
          <w:lang w:val="el-GR"/>
        </w:rPr>
      </w:pPr>
      <w:r w:rsidRPr="003D2DCD">
        <w:rPr>
          <w:noProof/>
          <w:szCs w:val="22"/>
          <w:lang w:val="el-GR"/>
        </w:rPr>
        <w:t>Κ</w:t>
      </w:r>
      <w:r w:rsidR="00191701">
        <w:rPr>
          <w:noProof/>
          <w:szCs w:val="22"/>
          <w:lang w:val="el-GR"/>
        </w:rPr>
        <w:t>υρ.</w:t>
      </w:r>
    </w:p>
    <w:p w:rsidR="00681191" w:rsidRPr="00FC2F1F" w:rsidRDefault="00681191" w:rsidP="00681191">
      <w:pPr>
        <w:widowControl w:val="0"/>
        <w:tabs>
          <w:tab w:val="clear" w:pos="567"/>
        </w:tabs>
        <w:spacing w:line="240" w:lineRule="auto"/>
        <w:ind w:right="113"/>
        <w:rPr>
          <w:noProof/>
          <w:szCs w:val="22"/>
          <w:lang w:val="el-GR"/>
        </w:rPr>
      </w:pPr>
      <w:r w:rsidRPr="00FC2F1F">
        <w:rPr>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rPr>
          <w:trHeight w:val="999"/>
        </w:trPr>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ΕΝΔΕΙΞΕΙΣ ΠΟΥ ΠΡΕΠΕΙ ΝΑ ΑΝΑΓΡΑΦΟΝΤΑΙ ΣΤΗΝ ΕΞΩΤΕΡΙΚΗ ΣΥΣΚΕΥΑΣΙΑ</w:t>
            </w:r>
          </w:p>
          <w:p w:rsidR="00681191" w:rsidRPr="00FC2F1F" w:rsidRDefault="00681191" w:rsidP="00D93067">
            <w:pPr>
              <w:widowControl w:val="0"/>
              <w:spacing w:line="240" w:lineRule="auto"/>
              <w:rPr>
                <w:noProof/>
                <w:szCs w:val="22"/>
                <w:lang w:val="el-GR"/>
              </w:rPr>
            </w:pPr>
          </w:p>
          <w:p w:rsidR="00681191" w:rsidRPr="00FC2F1F" w:rsidRDefault="00681191" w:rsidP="00D93067">
            <w:pPr>
              <w:widowControl w:val="0"/>
              <w:spacing w:line="240" w:lineRule="auto"/>
              <w:rPr>
                <w:noProof/>
                <w:szCs w:val="22"/>
                <w:lang w:val="el-GR"/>
              </w:rPr>
            </w:pPr>
            <w:r w:rsidRPr="00FC2F1F">
              <w:rPr>
                <w:b/>
                <w:noProof/>
                <w:szCs w:val="22"/>
                <w:lang w:val="el-GR"/>
              </w:rPr>
              <w:t>ΕΞΩΤΕΡΙΚΟ ΚΟΥΤΙ</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w:t>
            </w:r>
            <w:r w:rsidRPr="00FC2F1F">
              <w:rPr>
                <w:b/>
                <w:noProof/>
                <w:szCs w:val="22"/>
                <w:lang w:val="el-GR"/>
              </w:rPr>
              <w:tab/>
              <w:t>ΟΝΟΜΑΣΙΑ ΤΟΥ ΦΑΡΜΑΚΕΥΤΙΚΟΥ ΠΡΟΪΟΝΤΟΣ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Tolucombi 80</w:t>
      </w:r>
      <w:r>
        <w:rPr>
          <w:noProof/>
          <w:szCs w:val="22"/>
          <w:lang w:val="el-GR"/>
        </w:rPr>
        <w:t> mg</w:t>
      </w:r>
      <w:r w:rsidRPr="00FC2F1F">
        <w:rPr>
          <w:noProof/>
          <w:szCs w:val="22"/>
          <w:lang w:val="el-GR"/>
        </w:rPr>
        <w:t>/25</w:t>
      </w:r>
      <w:r>
        <w:rPr>
          <w:noProof/>
          <w:szCs w:val="22"/>
          <w:lang w:val="el-GR"/>
        </w:rPr>
        <w:t> mg</w:t>
      </w:r>
      <w:r w:rsidRPr="00FC2F1F">
        <w:rPr>
          <w:noProof/>
          <w:szCs w:val="22"/>
          <w:lang w:val="el-GR"/>
        </w:rPr>
        <w:t xml:space="preserve"> δισκία</w:t>
      </w:r>
    </w:p>
    <w:p w:rsidR="00681191" w:rsidRPr="00FC2F1F" w:rsidRDefault="00681191" w:rsidP="00681191">
      <w:pPr>
        <w:widowControl w:val="0"/>
        <w:spacing w:line="240" w:lineRule="auto"/>
        <w:rPr>
          <w:noProof/>
          <w:szCs w:val="22"/>
          <w:lang w:val="el-GR"/>
        </w:rPr>
      </w:pPr>
      <w:r w:rsidRPr="00FC2F1F">
        <w:rPr>
          <w:noProof/>
          <w:szCs w:val="22"/>
          <w:lang w:val="el-GR"/>
        </w:rPr>
        <w:t>τελμισαρτάνη/υδροχλωροθειαζίδη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ΣΥΝΘΕΣΗ ΣΕ ΔΡΑΣΤΙΚΗ(ΕΣ) ΟΥΣΙΑ(ΕΣ)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pStyle w:val="EMEAEnBodyText"/>
        <w:widowControl w:val="0"/>
        <w:autoSpaceDE w:val="0"/>
        <w:autoSpaceDN w:val="0"/>
        <w:adjustRightInd w:val="0"/>
        <w:spacing w:before="0" w:after="0"/>
        <w:rPr>
          <w:szCs w:val="22"/>
          <w:lang w:val="el-GR"/>
        </w:rPr>
      </w:pPr>
      <w:r w:rsidRPr="00FC2F1F">
        <w:rPr>
          <w:szCs w:val="22"/>
          <w:lang w:val="el-GR"/>
        </w:rPr>
        <w:t>Κάθε δισκίο περιέχει 80</w:t>
      </w:r>
      <w:r>
        <w:rPr>
          <w:szCs w:val="22"/>
          <w:lang w:val="el-GR"/>
        </w:rPr>
        <w:t> mg</w:t>
      </w:r>
      <w:r w:rsidRPr="00FC2F1F">
        <w:rPr>
          <w:szCs w:val="22"/>
          <w:lang w:val="el-GR"/>
        </w:rPr>
        <w:t xml:space="preserve"> τελμισαρτάνης και 25</w:t>
      </w:r>
      <w:r>
        <w:rPr>
          <w:szCs w:val="22"/>
          <w:lang w:val="el-GR"/>
        </w:rPr>
        <w:t> mg</w:t>
      </w:r>
      <w:r w:rsidRPr="00FC2F1F">
        <w:rPr>
          <w:szCs w:val="22"/>
          <w:lang w:val="el-GR"/>
        </w:rPr>
        <w:t xml:space="preserve"> υδροχλωροθειαζίδης.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ΚΑΤΑΛΟΓΟΣ ΕΚΔΟΧΩΝ</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Περιέχει λακτόζη μονοϋδρική και σορβιτόλη (E420).</w:t>
      </w:r>
    </w:p>
    <w:p w:rsidR="00681191" w:rsidRPr="00FC2F1F" w:rsidRDefault="00681191" w:rsidP="00681191">
      <w:pPr>
        <w:widowControl w:val="0"/>
        <w:spacing w:line="240" w:lineRule="auto"/>
        <w:rPr>
          <w:szCs w:val="22"/>
          <w:lang w:val="el-GR"/>
        </w:rPr>
      </w:pPr>
      <w:r w:rsidRPr="00FC2F1F">
        <w:rPr>
          <w:szCs w:val="22"/>
          <w:lang w:val="el-GR"/>
        </w:rPr>
        <w:t>Δείτε το φύλλο οδηγιών για περαιτέρω πληροφορίες.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ΦΑΡΜΑΚΟΤΕΧΝΙΚΗ ΜΟΡΦΗ ΚΑΙ ΠΕΡΙΕΧΟΜΕΝΟ</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rPr>
          <w:szCs w:val="22"/>
          <w:lang w:val="el-GR"/>
        </w:rPr>
      </w:pPr>
      <w:r w:rsidRPr="00FC2F1F">
        <w:rPr>
          <w:szCs w:val="22"/>
          <w:highlight w:val="lightGray"/>
          <w:lang w:val="el-GR"/>
        </w:rPr>
        <w:t>Δισκίο.</w:t>
      </w:r>
    </w:p>
    <w:p w:rsidR="00681191" w:rsidRPr="00FC2F1F" w:rsidRDefault="00681191" w:rsidP="00681191">
      <w:pPr>
        <w:widowControl w:val="0"/>
        <w:tabs>
          <w:tab w:val="clear" w:pos="567"/>
        </w:tabs>
        <w:spacing w:line="240" w:lineRule="auto"/>
        <w:rPr>
          <w:i/>
          <w:szCs w:val="22"/>
          <w:highlight w:val="lightGray"/>
          <w:u w:val="single"/>
          <w:lang w:val="el-GR"/>
        </w:rPr>
      </w:pPr>
    </w:p>
    <w:p w:rsidR="00681191" w:rsidRPr="00C403BB" w:rsidRDefault="00681191" w:rsidP="00681191">
      <w:pPr>
        <w:widowControl w:val="0"/>
        <w:tabs>
          <w:tab w:val="clear" w:pos="567"/>
        </w:tabs>
        <w:spacing w:line="240" w:lineRule="auto"/>
        <w:rPr>
          <w:i/>
          <w:noProof/>
          <w:szCs w:val="22"/>
          <w:u w:val="single"/>
          <w:lang w:val="it-IT"/>
        </w:rPr>
      </w:pPr>
      <w:r w:rsidRPr="00FC2F1F">
        <w:rPr>
          <w:i/>
          <w:szCs w:val="22"/>
          <w:highlight w:val="lightGray"/>
          <w:u w:val="single"/>
          <w:lang w:val="el-GR"/>
        </w:rPr>
        <w:t>Κυψέλ</w:t>
      </w:r>
      <w:r w:rsidR="001D4465">
        <w:rPr>
          <w:i/>
          <w:szCs w:val="22"/>
          <w:highlight w:val="lightGray"/>
          <w:u w:val="single"/>
          <w:lang w:val="el-GR"/>
        </w:rPr>
        <w:t>η</w:t>
      </w:r>
      <w:r w:rsidRPr="00C403BB">
        <w:rPr>
          <w:i/>
          <w:szCs w:val="22"/>
          <w:highlight w:val="lightGray"/>
          <w:u w:val="single"/>
          <w:lang w:val="it-IT"/>
        </w:rPr>
        <w:t xml:space="preserve"> (</w:t>
      </w:r>
      <w:r w:rsidRPr="00FC2F1F">
        <w:rPr>
          <w:i/>
          <w:szCs w:val="22"/>
          <w:highlight w:val="lightGray"/>
          <w:u w:val="single"/>
          <w:lang w:val="el-GR"/>
        </w:rPr>
        <w:t>φύλλο</w:t>
      </w:r>
      <w:r w:rsidRPr="00C403BB">
        <w:rPr>
          <w:i/>
          <w:szCs w:val="22"/>
          <w:highlight w:val="lightGray"/>
          <w:u w:val="single"/>
          <w:lang w:val="it-IT"/>
        </w:rPr>
        <w:t xml:space="preserve"> OPA/Al/PVC//</w:t>
      </w:r>
      <w:r w:rsidRPr="00FC2F1F">
        <w:rPr>
          <w:i/>
          <w:szCs w:val="22"/>
          <w:highlight w:val="lightGray"/>
          <w:u w:val="single"/>
          <w:lang w:val="el-GR"/>
        </w:rPr>
        <w:t>φύλλο</w:t>
      </w:r>
      <w:r w:rsidRPr="00C403BB">
        <w:rPr>
          <w:i/>
          <w:szCs w:val="22"/>
          <w:highlight w:val="lightGray"/>
          <w:u w:val="single"/>
          <w:lang w:val="it-IT"/>
        </w:rPr>
        <w:t xml:space="preserve"> Al):</w:t>
      </w:r>
    </w:p>
    <w:p w:rsidR="00681191" w:rsidRPr="00FC2F1F" w:rsidRDefault="00681191" w:rsidP="00681191">
      <w:pPr>
        <w:widowControl w:val="0"/>
        <w:tabs>
          <w:tab w:val="clear" w:pos="567"/>
          <w:tab w:val="left" w:pos="1440"/>
        </w:tabs>
        <w:spacing w:line="240" w:lineRule="auto"/>
        <w:rPr>
          <w:iCs/>
          <w:szCs w:val="22"/>
          <w:lang w:val="el-GR"/>
        </w:rPr>
      </w:pPr>
      <w:r w:rsidRPr="00FC2F1F">
        <w:rPr>
          <w:iCs/>
          <w:szCs w:val="22"/>
          <w:lang w:val="el-GR"/>
        </w:rPr>
        <w:t>14</w:t>
      </w:r>
      <w:r w:rsidR="004A5320" w:rsidRPr="004A5320">
        <w:rPr>
          <w:iCs/>
          <w:szCs w:val="22"/>
          <w:lang w:val="da-DK"/>
        </w:rPr>
        <w:t> x </w:t>
      </w:r>
      <w:r w:rsidR="004A5320" w:rsidRPr="00C403BB">
        <w:rPr>
          <w:iCs/>
          <w:szCs w:val="22"/>
          <w:lang w:val="el-GR"/>
        </w:rPr>
        <w:t>1</w:t>
      </w:r>
      <w:r w:rsidRPr="00FC2F1F">
        <w:rPr>
          <w:iCs/>
          <w:szCs w:val="22"/>
          <w:lang w:val="el-GR"/>
        </w:rPr>
        <w:t xml:space="preserve"> δισκί</w:t>
      </w:r>
      <w:r w:rsidR="004A5320">
        <w:rPr>
          <w:iCs/>
          <w:szCs w:val="22"/>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28</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30</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56</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60</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84</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90</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98</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Pr>
          <w:iCs/>
          <w:szCs w:val="22"/>
          <w:highlight w:val="lightGray"/>
          <w:lang w:val="sl-SI"/>
        </w:rPr>
        <w:t>100</w:t>
      </w:r>
      <w:r w:rsidR="004A5320" w:rsidRPr="004A5320">
        <w:rPr>
          <w:iCs/>
          <w:szCs w:val="22"/>
          <w:highlight w:val="lightGray"/>
          <w:lang w:val="da-DK"/>
        </w:rPr>
        <w:t> x </w:t>
      </w:r>
      <w:r w:rsidR="004A5320" w:rsidRPr="00C403BB">
        <w:rPr>
          <w:iCs/>
          <w:szCs w:val="22"/>
          <w:highlight w:val="lightGray"/>
          <w:lang w:val="el-GR"/>
        </w:rPr>
        <w:t>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tabs>
          <w:tab w:val="clear" w:pos="567"/>
        </w:tabs>
        <w:spacing w:line="240" w:lineRule="auto"/>
        <w:rPr>
          <w:noProof/>
          <w:szCs w:val="22"/>
          <w:lang w:val="el-GR"/>
        </w:rPr>
      </w:pPr>
    </w:p>
    <w:p w:rsidR="00681191" w:rsidRPr="00FC2F1F" w:rsidRDefault="00681191" w:rsidP="00681191">
      <w:pPr>
        <w:widowControl w:val="0"/>
        <w:tabs>
          <w:tab w:val="clear" w:pos="567"/>
        </w:tabs>
        <w:spacing w:line="240" w:lineRule="auto"/>
        <w:rPr>
          <w:i/>
          <w:szCs w:val="22"/>
          <w:u w:val="single"/>
          <w:lang w:val="el-GR"/>
        </w:rPr>
      </w:pPr>
      <w:r w:rsidRPr="00FC2F1F">
        <w:rPr>
          <w:i/>
          <w:szCs w:val="22"/>
          <w:highlight w:val="lightGray"/>
          <w:u w:val="single"/>
          <w:lang w:val="el-GR"/>
        </w:rPr>
        <w:t>Κυψέλη (φύλλο OPA/Al/PE με ξηραντικό//φύλλο Al):</w:t>
      </w:r>
    </w:p>
    <w:p w:rsidR="00681191" w:rsidRPr="00FC2F1F" w:rsidRDefault="00681191" w:rsidP="00681191">
      <w:pPr>
        <w:widowControl w:val="0"/>
        <w:tabs>
          <w:tab w:val="clear" w:pos="567"/>
          <w:tab w:val="left" w:pos="1440"/>
        </w:tabs>
        <w:spacing w:line="240" w:lineRule="auto"/>
        <w:rPr>
          <w:iCs/>
          <w:szCs w:val="22"/>
          <w:lang w:val="el-GR"/>
        </w:rPr>
      </w:pPr>
      <w:r w:rsidRPr="00FC2F1F">
        <w:rPr>
          <w:iCs/>
          <w:szCs w:val="22"/>
          <w:lang w:val="el-GR"/>
        </w:rPr>
        <w:t>14</w:t>
      </w:r>
      <w:r w:rsidR="004A5320" w:rsidRPr="004A5320">
        <w:rPr>
          <w:iCs/>
          <w:szCs w:val="22"/>
          <w:lang w:val="da-DK"/>
        </w:rPr>
        <w:t> x 1</w:t>
      </w:r>
      <w:r w:rsidRPr="00FC2F1F">
        <w:rPr>
          <w:iCs/>
          <w:szCs w:val="22"/>
          <w:lang w:val="el-GR"/>
        </w:rPr>
        <w:t xml:space="preserve"> δισκί</w:t>
      </w:r>
      <w:r w:rsidR="004A5320">
        <w:rPr>
          <w:iCs/>
          <w:szCs w:val="22"/>
          <w:lang w:val="el-GR"/>
        </w:rPr>
        <w:t>ο</w:t>
      </w:r>
    </w:p>
    <w:p w:rsidR="00681191" w:rsidRPr="00FC2F1F" w:rsidRDefault="00681191" w:rsidP="00681191">
      <w:pPr>
        <w:widowControl w:val="0"/>
        <w:tabs>
          <w:tab w:val="clear" w:pos="567"/>
          <w:tab w:val="left" w:pos="1440"/>
        </w:tabs>
        <w:spacing w:line="240" w:lineRule="auto"/>
        <w:rPr>
          <w:iCs/>
          <w:szCs w:val="22"/>
          <w:highlight w:val="lightGray"/>
          <w:lang w:val="el-GR"/>
        </w:rPr>
      </w:pPr>
      <w:r w:rsidRPr="00FC2F1F">
        <w:rPr>
          <w:iCs/>
          <w:szCs w:val="22"/>
          <w:highlight w:val="lightGray"/>
          <w:lang w:val="el-GR"/>
        </w:rPr>
        <w:t>98</w:t>
      </w:r>
      <w:r w:rsidR="004A5320" w:rsidRPr="004A5320">
        <w:rPr>
          <w:iCs/>
          <w:szCs w:val="22"/>
          <w:highlight w:val="lightGray"/>
          <w:lang w:val="da-DK"/>
        </w:rPr>
        <w:t> x 1</w:t>
      </w:r>
      <w:r w:rsidRPr="00FC2F1F">
        <w:rPr>
          <w:iCs/>
          <w:szCs w:val="22"/>
          <w:highlight w:val="lightGray"/>
          <w:lang w:val="el-GR"/>
        </w:rPr>
        <w:t xml:space="preserve"> δισκί</w:t>
      </w:r>
      <w:r w:rsidR="004A5320">
        <w:rPr>
          <w:iCs/>
          <w:szCs w:val="22"/>
          <w:highlight w:val="lightGray"/>
          <w:lang w:val="el-GR"/>
        </w:rPr>
        <w:t>ο</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ΤΡΟΠΟΣ ΚΑΙ ΟΔΟΣ(ΟΙ) ΧΟΡΗΓΗΣΗΣ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 xml:space="preserve">Διαβάστε το φύλλο οδηγιών χρήσης πριν από τη </w:t>
      </w:r>
      <w:r w:rsidR="004A5320">
        <w:rPr>
          <w:noProof/>
          <w:szCs w:val="22"/>
          <w:lang w:val="el-GR"/>
        </w:rPr>
        <w:t>χρήση</w:t>
      </w:r>
      <w:r w:rsidRPr="00FC2F1F">
        <w:rPr>
          <w:noProof/>
          <w:szCs w:val="22"/>
          <w:lang w:val="el-GR"/>
        </w:rPr>
        <w:t>.</w:t>
      </w:r>
    </w:p>
    <w:p w:rsidR="00681191" w:rsidRPr="00FC2F1F" w:rsidRDefault="00681191" w:rsidP="00681191">
      <w:pPr>
        <w:widowControl w:val="0"/>
        <w:spacing w:line="240" w:lineRule="auto"/>
        <w:rPr>
          <w:noProof/>
          <w:szCs w:val="22"/>
          <w:lang w:val="el-GR"/>
        </w:rPr>
      </w:pPr>
      <w:r w:rsidRPr="00FC2F1F">
        <w:rPr>
          <w:noProof/>
          <w:szCs w:val="22"/>
          <w:lang w:val="el-GR"/>
        </w:rPr>
        <w:t>Από στόματος χρήση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6.</w:t>
            </w:r>
            <w:r w:rsidRPr="00FC2F1F">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Να φυλάσσεται σε θέση, την οποία δεν βλέπουν και δεν προσεγγίζουν τα παιδιά.</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7.</w:t>
            </w:r>
            <w:r w:rsidRPr="00FC2F1F">
              <w:rPr>
                <w:b/>
                <w:noProof/>
                <w:szCs w:val="22"/>
                <w:lang w:val="el-GR"/>
              </w:rPr>
              <w:tab/>
              <w:t>ΑΛΛΗ(ΕΣ) ΕΙΔΙΚΗ(ΕΣ) ΠΡΟΕΙΔΟΠΟΙΗΣΗ(ΕΙΣ), ΕΑΝ ΕΙΝΑΙ ΑΠΑΡΑΙΤΗΤΗ(ΕΣ)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8.</w:t>
            </w:r>
            <w:r w:rsidRPr="00FC2F1F">
              <w:rPr>
                <w:b/>
                <w:noProof/>
                <w:szCs w:val="22"/>
                <w:lang w:val="el-GR"/>
              </w:rPr>
              <w:tab/>
              <w:t>ΗΜΕΡΟΜΗΝΙΑ ΛΗΞΗΣ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EXP</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9.</w:t>
            </w:r>
            <w:r w:rsidRPr="00FC2F1F">
              <w:rPr>
                <w:b/>
                <w:noProof/>
                <w:szCs w:val="22"/>
                <w:lang w:val="el-GR"/>
              </w:rPr>
              <w:tab/>
              <w:t>ΕΙΔΙΚΕΣ ΣΥΝΘΗΚΕΣ ΦΥΛΑΞΗΣ</w:t>
            </w:r>
          </w:p>
        </w:tc>
      </w:tr>
    </w:tbl>
    <w:p w:rsidR="00681191" w:rsidRPr="00FC2F1F" w:rsidRDefault="00681191" w:rsidP="00681191">
      <w:pPr>
        <w:widowControl w:val="0"/>
        <w:spacing w:line="240" w:lineRule="auto"/>
        <w:rPr>
          <w:noProof/>
          <w:szCs w:val="22"/>
          <w:lang w:val="el-GR"/>
        </w:rPr>
      </w:pPr>
    </w:p>
    <w:p w:rsidR="00DA2572" w:rsidRPr="00FC2F1F" w:rsidRDefault="00DA2572" w:rsidP="00DA2572">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Φυλάσσετ</w:t>
      </w:r>
      <w:r w:rsidR="004A5320">
        <w:rPr>
          <w:snapToGrid/>
          <w:szCs w:val="22"/>
          <w:lang w:val="el-GR"/>
        </w:rPr>
        <w:t>ε</w:t>
      </w:r>
      <w:r w:rsidRPr="00FC2F1F">
        <w:rPr>
          <w:snapToGrid/>
          <w:szCs w:val="22"/>
          <w:lang w:val="el-GR"/>
        </w:rPr>
        <w:t xml:space="preserve"> στην αρχική συσκευασία για να προστατεύεται από το φως.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10.</w:t>
            </w:r>
            <w:r w:rsidRPr="00FC2F1F">
              <w:rPr>
                <w:b/>
                <w:noProof/>
                <w:szCs w:val="22"/>
                <w:lang w:val="el-GR"/>
              </w:rPr>
              <w:tab/>
              <w:t>ΙΔΙΑΙΤΕΡΕΣ ΠΡΟΦΥΛΑΞΕΙΣ ΓΙΑ ΤΗΝ ΑΠΟΡΡΙΨΗ ΤΩΝ ΜΗ</w:t>
            </w:r>
            <w:r>
              <w:rPr>
                <w:b/>
                <w:noProof/>
                <w:szCs w:val="22"/>
                <w:lang w:val="sl-SI"/>
              </w:rPr>
              <w:t xml:space="preserve"> </w:t>
            </w:r>
            <w:r w:rsidRPr="00FC2F1F">
              <w:rPr>
                <w:b/>
                <w:noProof/>
                <w:szCs w:val="22"/>
                <w:lang w:val="el-GR"/>
              </w:rPr>
              <w:t>ΧΡΗΣΙΜΟΠΟΙΗΘΕΝΤΩΝ ΦΑΡΜΑΚΕΥΤΙΚΩΝ ΠΡΟΪΟΝΤΩΝ Ή ΤΩΝ</w:t>
            </w:r>
            <w:r>
              <w:rPr>
                <w:b/>
                <w:noProof/>
                <w:szCs w:val="22"/>
                <w:lang w:val="sl-SI"/>
              </w:rPr>
              <w:t xml:space="preserve"> </w:t>
            </w:r>
            <w:r w:rsidRPr="00FC2F1F">
              <w:rPr>
                <w:b/>
                <w:noProof/>
                <w:szCs w:val="22"/>
                <w:lang w:val="el-GR"/>
              </w:rPr>
              <w:t>ΥΠΟΛΕΙΜΜΑΤΩΝ ΠΟΥ ΠΡΟΕΡΧΟΝΤΑΙ ΑΠΟ ΑΥΤΑ, ΕΦΟΣΟΝ ΑΠΑΙΤΕΙΤΑΙ</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11.</w:t>
            </w:r>
            <w:r w:rsidRPr="00FC2F1F">
              <w:rPr>
                <w:b/>
                <w:noProof/>
                <w:szCs w:val="22"/>
                <w:lang w:val="el-GR"/>
              </w:rPr>
              <w:tab/>
              <w:t>ΟΝΟΜΑ ΚΑΙ ΔΙΕΥΘΥΝΣΗ ΚΑΤΟΧΟΥ ΤΗΣ ΑΔΕΙΑΣ ΚΥΚΛΟΦΟΡΙΑΣ</w:t>
            </w:r>
          </w:p>
        </w:tc>
      </w:tr>
    </w:tbl>
    <w:p w:rsidR="00681191" w:rsidRPr="00FC2F1F" w:rsidRDefault="00681191" w:rsidP="00681191">
      <w:pPr>
        <w:widowControl w:val="0"/>
        <w:spacing w:line="240" w:lineRule="auto"/>
        <w:rPr>
          <w:noProof/>
          <w:szCs w:val="22"/>
          <w:lang w:val="el-GR"/>
        </w:rPr>
      </w:pPr>
    </w:p>
    <w:p w:rsidR="00681191" w:rsidRPr="009E3FF1" w:rsidRDefault="00681191" w:rsidP="00681191">
      <w:pPr>
        <w:widowControl w:val="0"/>
        <w:spacing w:line="240" w:lineRule="auto"/>
        <w:jc w:val="both"/>
        <w:rPr>
          <w:szCs w:val="22"/>
          <w:lang w:val="en-US"/>
        </w:rPr>
      </w:pPr>
      <w:r w:rsidRPr="00B754A1">
        <w:rPr>
          <w:szCs w:val="22"/>
          <w:lang w:val="en-US"/>
        </w:rPr>
        <w:t>KRKA</w:t>
      </w:r>
      <w:r w:rsidRPr="009E3FF1">
        <w:rPr>
          <w:szCs w:val="22"/>
          <w:lang w:val="en-US"/>
        </w:rPr>
        <w:t xml:space="preserve">, </w:t>
      </w:r>
      <w:r w:rsidRPr="00B754A1">
        <w:rPr>
          <w:szCs w:val="22"/>
          <w:lang w:val="en-US"/>
        </w:rPr>
        <w:t>d</w:t>
      </w:r>
      <w:r w:rsidRPr="009E3FF1">
        <w:rPr>
          <w:szCs w:val="22"/>
          <w:lang w:val="en-US"/>
        </w:rPr>
        <w:t>.</w:t>
      </w:r>
      <w:r w:rsidRPr="00B754A1">
        <w:rPr>
          <w:szCs w:val="22"/>
          <w:lang w:val="en-US"/>
        </w:rPr>
        <w:t>d</w:t>
      </w:r>
      <w:r w:rsidRPr="009E3FF1">
        <w:rPr>
          <w:szCs w:val="22"/>
          <w:lang w:val="en-US"/>
        </w:rPr>
        <w:t xml:space="preserve">., </w:t>
      </w:r>
      <w:r w:rsidRPr="00B754A1">
        <w:rPr>
          <w:szCs w:val="22"/>
          <w:lang w:val="en-US"/>
        </w:rPr>
        <w:t>Novo</w:t>
      </w:r>
      <w:r w:rsidRPr="009E3FF1">
        <w:rPr>
          <w:szCs w:val="22"/>
          <w:lang w:val="en-US"/>
        </w:rPr>
        <w:t xml:space="preserve"> </w:t>
      </w:r>
      <w:r w:rsidRPr="00B754A1">
        <w:rPr>
          <w:szCs w:val="22"/>
          <w:lang w:val="en-US"/>
        </w:rPr>
        <w:t>mesto</w:t>
      </w:r>
      <w:r w:rsidRPr="009E3FF1">
        <w:rPr>
          <w:szCs w:val="22"/>
          <w:lang w:val="en-US"/>
        </w:rPr>
        <w:t>, Š</w:t>
      </w:r>
      <w:r w:rsidRPr="00B754A1">
        <w:rPr>
          <w:szCs w:val="22"/>
          <w:lang w:val="en-US"/>
        </w:rPr>
        <w:t>marje</w:t>
      </w:r>
      <w:r w:rsidRPr="009E3FF1">
        <w:rPr>
          <w:szCs w:val="22"/>
          <w:lang w:val="en-US"/>
        </w:rPr>
        <w:t>š</w:t>
      </w:r>
      <w:r w:rsidRPr="00B754A1">
        <w:rPr>
          <w:szCs w:val="22"/>
          <w:lang w:val="en-US"/>
        </w:rPr>
        <w:t>ka</w:t>
      </w:r>
      <w:r w:rsidRPr="009E3FF1">
        <w:rPr>
          <w:szCs w:val="22"/>
          <w:lang w:val="en-US"/>
        </w:rPr>
        <w:t xml:space="preserve"> </w:t>
      </w:r>
      <w:r w:rsidRPr="00B754A1">
        <w:rPr>
          <w:szCs w:val="22"/>
          <w:lang w:val="en-US"/>
        </w:rPr>
        <w:t>cesta</w:t>
      </w:r>
      <w:r w:rsidRPr="009E3FF1">
        <w:rPr>
          <w:szCs w:val="22"/>
          <w:lang w:val="en-US"/>
        </w:rPr>
        <w:t xml:space="preserve"> 6, 8501 </w:t>
      </w:r>
      <w:r w:rsidRPr="00B754A1">
        <w:rPr>
          <w:szCs w:val="22"/>
          <w:lang w:val="en-US"/>
        </w:rPr>
        <w:t>Novo</w:t>
      </w:r>
      <w:r w:rsidRPr="009E3FF1">
        <w:rPr>
          <w:szCs w:val="22"/>
          <w:lang w:val="en-US"/>
        </w:rPr>
        <w:t xml:space="preserve"> </w:t>
      </w:r>
      <w:r w:rsidRPr="00B754A1">
        <w:rPr>
          <w:szCs w:val="22"/>
          <w:lang w:val="en-US"/>
        </w:rPr>
        <w:t>mesto</w:t>
      </w:r>
      <w:r w:rsidRPr="009E3FF1">
        <w:rPr>
          <w:szCs w:val="22"/>
          <w:lang w:val="en-US"/>
        </w:rPr>
        <w:t xml:space="preserve">, </w:t>
      </w:r>
      <w:r w:rsidRPr="00FC2F1F">
        <w:rPr>
          <w:szCs w:val="22"/>
          <w:lang w:val="el-GR"/>
        </w:rPr>
        <w:t>Σλοβενία</w:t>
      </w:r>
    </w:p>
    <w:p w:rsidR="00681191" w:rsidRPr="009E3FF1" w:rsidRDefault="00681191" w:rsidP="00681191">
      <w:pPr>
        <w:widowControl w:val="0"/>
        <w:spacing w:line="240" w:lineRule="auto"/>
        <w:rPr>
          <w:noProof/>
          <w:szCs w:val="22"/>
          <w:lang w:val="en-US"/>
        </w:rPr>
      </w:pPr>
    </w:p>
    <w:p w:rsidR="00681191" w:rsidRPr="009E3FF1" w:rsidRDefault="00681191" w:rsidP="00681191">
      <w:pPr>
        <w:widowControl w:val="0"/>
        <w:spacing w:line="240" w:lineRule="auto"/>
        <w:rPr>
          <w:noProof/>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12.</w:t>
            </w:r>
            <w:r w:rsidRPr="00FC2F1F">
              <w:rPr>
                <w:b/>
                <w:noProof/>
                <w:szCs w:val="22"/>
                <w:lang w:val="el-GR"/>
              </w:rPr>
              <w:tab/>
              <w:t>ΑΡΙΘΜΟΣ(ΟΙ) ΑΔΕΙΑΣ ΚΥΚΛΟΦΟΡΙΑΣ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rPr>
          <w:rFonts w:eastAsia="Calibri"/>
          <w:snapToGrid/>
          <w:szCs w:val="22"/>
          <w:lang w:val="el-GR"/>
        </w:rPr>
      </w:pPr>
      <w:r w:rsidRPr="00FC2F1F">
        <w:rPr>
          <w:rFonts w:eastAsia="Calibri"/>
          <w:snapToGrid/>
          <w:szCs w:val="22"/>
          <w:lang w:val="el-GR"/>
        </w:rPr>
        <w:t>EU/1/13/821/021</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EU/1/13/821/022</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EU/1/13/821/023</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EU/1/13/821/024</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EU/1/13/821/025</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EU/1/13/821/026</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EU/1/13/821/027</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EU/1/13/821/028</w:t>
      </w:r>
    </w:p>
    <w:p w:rsidR="00681191" w:rsidRPr="00FC2F1F" w:rsidRDefault="00681191" w:rsidP="00681191">
      <w:pPr>
        <w:widowControl w:val="0"/>
        <w:tabs>
          <w:tab w:val="clear" w:pos="567"/>
        </w:tabs>
        <w:spacing w:line="240" w:lineRule="auto"/>
        <w:rPr>
          <w:rFonts w:eastAsia="Calibri"/>
          <w:snapToGrid/>
          <w:szCs w:val="22"/>
          <w:highlight w:val="lightGray"/>
          <w:lang w:val="el-GR"/>
        </w:rPr>
      </w:pPr>
      <w:r w:rsidRPr="00FC2F1F">
        <w:rPr>
          <w:rFonts w:eastAsia="Calibri"/>
          <w:snapToGrid/>
          <w:szCs w:val="22"/>
          <w:highlight w:val="lightGray"/>
          <w:lang w:val="el-GR"/>
        </w:rPr>
        <w:t>EU/1/13/821/029</w:t>
      </w:r>
    </w:p>
    <w:p w:rsidR="00681191" w:rsidRPr="00FC2F1F" w:rsidRDefault="00681191" w:rsidP="00681191">
      <w:pPr>
        <w:widowControl w:val="0"/>
        <w:tabs>
          <w:tab w:val="clear" w:pos="567"/>
        </w:tabs>
        <w:spacing w:line="240" w:lineRule="auto"/>
        <w:rPr>
          <w:rFonts w:eastAsia="Calibri"/>
          <w:snapToGrid/>
          <w:szCs w:val="22"/>
          <w:lang w:val="el-GR"/>
        </w:rPr>
      </w:pPr>
      <w:r w:rsidRPr="00FC2F1F">
        <w:rPr>
          <w:rFonts w:eastAsia="Calibri"/>
          <w:snapToGrid/>
          <w:szCs w:val="22"/>
          <w:highlight w:val="lightGray"/>
          <w:lang w:val="el-GR"/>
        </w:rPr>
        <w:t>EU/1/13/821/030</w:t>
      </w:r>
    </w:p>
    <w:p w:rsidR="00681191" w:rsidRPr="002C0868" w:rsidRDefault="00681191" w:rsidP="00681191">
      <w:pPr>
        <w:widowControl w:val="0"/>
        <w:tabs>
          <w:tab w:val="clear" w:pos="567"/>
        </w:tabs>
        <w:spacing w:line="240" w:lineRule="auto"/>
        <w:rPr>
          <w:rFonts w:eastAsia="Calibri"/>
          <w:snapToGrid/>
          <w:szCs w:val="22"/>
          <w:lang w:val="sl-SI"/>
        </w:rPr>
      </w:pPr>
      <w:r w:rsidRPr="00FC2F1F">
        <w:rPr>
          <w:rFonts w:eastAsia="Calibri"/>
          <w:snapToGrid/>
          <w:szCs w:val="22"/>
          <w:highlight w:val="lightGray"/>
          <w:lang w:val="el-GR"/>
        </w:rPr>
        <w:t>EU/1/13/</w:t>
      </w:r>
      <w:r w:rsidRPr="002C0868">
        <w:rPr>
          <w:rFonts w:eastAsia="Calibri"/>
          <w:snapToGrid/>
          <w:szCs w:val="22"/>
          <w:highlight w:val="lightGray"/>
          <w:lang w:val="el-GR"/>
        </w:rPr>
        <w:t>821/</w:t>
      </w:r>
      <w:r w:rsidRPr="002C0868">
        <w:rPr>
          <w:rFonts w:eastAsia="Calibri"/>
          <w:snapToGrid/>
          <w:szCs w:val="22"/>
          <w:highlight w:val="lightGray"/>
          <w:lang w:val="sl-SI"/>
        </w:rPr>
        <w:t>033</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13.</w:t>
            </w:r>
            <w:r w:rsidRPr="00FC2F1F">
              <w:rPr>
                <w:b/>
                <w:noProof/>
                <w:szCs w:val="22"/>
                <w:lang w:val="el-GR"/>
              </w:rPr>
              <w:tab/>
              <w:t>ΑΡΙΘΜΟΣ ΠΑΡΤΙΔΑΣ</w:t>
            </w:r>
          </w:p>
        </w:tc>
      </w:tr>
    </w:tbl>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tabs>
          <w:tab w:val="clear" w:pos="567"/>
        </w:tabs>
        <w:spacing w:line="240" w:lineRule="auto"/>
        <w:rPr>
          <w:noProof/>
          <w:szCs w:val="22"/>
          <w:lang w:val="el-GR"/>
        </w:rPr>
      </w:pPr>
      <w:r w:rsidRPr="00FC2F1F">
        <w:rPr>
          <w:noProof/>
          <w:szCs w:val="22"/>
          <w:lang w:val="el-GR"/>
        </w:rPr>
        <w:t>Lot</w:t>
      </w:r>
    </w:p>
    <w:p w:rsidR="00681191" w:rsidRPr="00FC2F1F" w:rsidRDefault="00681191" w:rsidP="00681191">
      <w:pPr>
        <w:widowControl w:val="0"/>
        <w:spacing w:line="240" w:lineRule="auto"/>
        <w:rPr>
          <w:i/>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14.</w:t>
            </w:r>
            <w:r w:rsidRPr="00FC2F1F">
              <w:rPr>
                <w:b/>
                <w:noProof/>
                <w:szCs w:val="22"/>
                <w:lang w:val="el-GR"/>
              </w:rPr>
              <w:tab/>
              <w:t>ΓΕΝΙΚΗ ΚΑΤΑΤΑΞΗ ΓΙΑ ΤΗ ΔΙΑΘΕΣΗ</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15.</w:t>
            </w:r>
            <w:r w:rsidRPr="00FC2F1F">
              <w:rPr>
                <w:b/>
                <w:noProof/>
                <w:szCs w:val="22"/>
                <w:lang w:val="el-GR"/>
              </w:rPr>
              <w:tab/>
              <w:t>ΟΔΗΓΙΕΣ ΧΡΗΣΗΣ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16.</w:t>
            </w:r>
            <w:r w:rsidRPr="00FC2F1F">
              <w:rPr>
                <w:b/>
                <w:noProof/>
                <w:szCs w:val="22"/>
                <w:lang w:val="el-GR"/>
              </w:rPr>
              <w:tab/>
              <w:t>ΠΛΗΡΟΦΟΡΙΕΣ ΣΕ BRAILLE</w:t>
            </w:r>
          </w:p>
        </w:tc>
      </w:tr>
    </w:tbl>
    <w:p w:rsidR="00681191" w:rsidRPr="002C0868" w:rsidRDefault="00681191" w:rsidP="00681191">
      <w:pPr>
        <w:widowControl w:val="0"/>
        <w:spacing w:line="240" w:lineRule="auto"/>
        <w:rPr>
          <w:noProof/>
          <w:szCs w:val="22"/>
          <w:lang w:val="sl-SI"/>
        </w:rPr>
      </w:pPr>
    </w:p>
    <w:p w:rsidR="00681191" w:rsidRDefault="00681191" w:rsidP="00681191">
      <w:pPr>
        <w:widowControl w:val="0"/>
        <w:spacing w:line="240" w:lineRule="auto"/>
        <w:rPr>
          <w:noProof/>
          <w:szCs w:val="22"/>
          <w:lang w:val="sl-SI"/>
        </w:rPr>
      </w:pPr>
      <w:r w:rsidRPr="00FC2F1F">
        <w:rPr>
          <w:noProof/>
          <w:szCs w:val="22"/>
          <w:lang w:val="el-GR"/>
        </w:rPr>
        <w:t>Tolucombi 80</w:t>
      </w:r>
      <w:r>
        <w:rPr>
          <w:noProof/>
          <w:szCs w:val="22"/>
          <w:lang w:val="el-GR"/>
        </w:rPr>
        <w:t> mg</w:t>
      </w:r>
      <w:r w:rsidRPr="00FC2F1F">
        <w:rPr>
          <w:noProof/>
          <w:szCs w:val="22"/>
          <w:lang w:val="el-GR"/>
        </w:rPr>
        <w:t>/25</w:t>
      </w:r>
      <w:r>
        <w:rPr>
          <w:noProof/>
          <w:szCs w:val="22"/>
          <w:lang w:val="el-GR"/>
        </w:rPr>
        <w:t> mg</w:t>
      </w:r>
    </w:p>
    <w:p w:rsidR="00FA4CC3" w:rsidRDefault="00FA4CC3" w:rsidP="00FA4CC3">
      <w:pPr>
        <w:widowControl w:val="0"/>
        <w:spacing w:line="240" w:lineRule="auto"/>
        <w:rPr>
          <w:szCs w:val="22"/>
          <w:highlight w:val="lightGray"/>
          <w:lang w:val="el-GR"/>
        </w:rPr>
      </w:pPr>
    </w:p>
    <w:p w:rsidR="00FA4CC3" w:rsidRPr="00193332" w:rsidRDefault="00FA4CC3" w:rsidP="00FA4CC3">
      <w:pPr>
        <w:widowControl w:val="0"/>
        <w:spacing w:line="240" w:lineRule="auto"/>
        <w:rPr>
          <w:szCs w:val="22"/>
          <w:highlight w:val="lightGray"/>
          <w:lang w:val="el-GR"/>
        </w:rPr>
      </w:pPr>
    </w:p>
    <w:p w:rsidR="00FA4CC3" w:rsidRPr="006B04A9" w:rsidRDefault="00FA4CC3" w:rsidP="00FA4CC3">
      <w:pPr>
        <w:widowControl w:val="0"/>
        <w:pBdr>
          <w:top w:val="single" w:sz="4" w:space="1" w:color="auto"/>
          <w:left w:val="single" w:sz="4" w:space="4" w:color="auto"/>
          <w:bottom w:val="single" w:sz="4" w:space="0" w:color="auto"/>
          <w:right w:val="single" w:sz="4" w:space="4" w:color="auto"/>
        </w:pBdr>
        <w:spacing w:line="240" w:lineRule="auto"/>
        <w:ind w:left="567" w:hanging="567"/>
        <w:rPr>
          <w:b/>
          <w:noProof/>
          <w:szCs w:val="22"/>
          <w:lang w:val="el-GR"/>
        </w:rPr>
      </w:pPr>
      <w:r w:rsidRPr="001A5147">
        <w:rPr>
          <w:b/>
          <w:noProof/>
          <w:szCs w:val="22"/>
          <w:lang w:val="el-GR"/>
        </w:rPr>
        <w:t>17.</w:t>
      </w:r>
      <w:r w:rsidRPr="001A5147">
        <w:rPr>
          <w:b/>
          <w:noProof/>
          <w:szCs w:val="22"/>
          <w:lang w:val="el-GR"/>
        </w:rPr>
        <w:tab/>
        <w:t>ΜΟΝΑΔΙΚΟΣ ΑΝΑΓΝΩΡΙΣΤΙΚΟΣ ΚΩΔΙΚΟΣ – ΔΙΣΔΙΑΣΤΑΤΟΣ ΓΡΑΜΜΩΤΟΣ ΚΩΔΙΚΑΣ 2</w:t>
      </w:r>
      <w:r w:rsidRPr="001A5147">
        <w:rPr>
          <w:b/>
          <w:noProof/>
          <w:szCs w:val="22"/>
        </w:rPr>
        <w:t>D</w:t>
      </w: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spacing w:line="240" w:lineRule="auto"/>
        <w:rPr>
          <w:noProof/>
          <w:szCs w:val="22"/>
          <w:shd w:val="clear" w:color="auto" w:fill="CCCCCC"/>
          <w:lang w:val="el-GR"/>
        </w:rPr>
      </w:pPr>
      <w:r w:rsidRPr="001A5147">
        <w:rPr>
          <w:noProof/>
          <w:szCs w:val="22"/>
          <w:highlight w:val="lightGray"/>
          <w:lang w:val="el-GR"/>
        </w:rPr>
        <w:t>Δισδιάστατος γραμμωτός κώδικας (2</w:t>
      </w:r>
      <w:r w:rsidRPr="001A5147">
        <w:rPr>
          <w:noProof/>
          <w:szCs w:val="22"/>
          <w:highlight w:val="lightGray"/>
        </w:rPr>
        <w:t>D</w:t>
      </w:r>
      <w:r w:rsidRPr="001A5147">
        <w:rPr>
          <w:noProof/>
          <w:szCs w:val="22"/>
          <w:highlight w:val="lightGray"/>
          <w:lang w:val="el-GR"/>
        </w:rPr>
        <w:t>) που φέρει τον περιληφθέντα μοναδικό αναγνωριστικό κωδικό.</w:t>
      </w:r>
    </w:p>
    <w:p w:rsidR="00FA4CC3" w:rsidRPr="00193332" w:rsidRDefault="00FA4CC3" w:rsidP="00FA4CC3">
      <w:pPr>
        <w:widowControl w:val="0"/>
        <w:tabs>
          <w:tab w:val="left" w:pos="1624"/>
        </w:tabs>
        <w:spacing w:line="240" w:lineRule="auto"/>
        <w:rPr>
          <w:noProof/>
          <w:szCs w:val="22"/>
          <w:lang w:val="el-GR"/>
        </w:rPr>
      </w:pP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pBdr>
          <w:top w:val="single" w:sz="4" w:space="1" w:color="auto"/>
          <w:left w:val="single" w:sz="4" w:space="4" w:color="auto"/>
          <w:bottom w:val="single" w:sz="4" w:space="0" w:color="auto"/>
          <w:right w:val="single" w:sz="4" w:space="4" w:color="auto"/>
        </w:pBdr>
        <w:spacing w:line="240" w:lineRule="auto"/>
        <w:ind w:left="567" w:hanging="567"/>
        <w:rPr>
          <w:i/>
          <w:noProof/>
          <w:szCs w:val="22"/>
          <w:lang w:val="el-GR"/>
        </w:rPr>
      </w:pPr>
      <w:r w:rsidRPr="001A5147">
        <w:rPr>
          <w:b/>
          <w:noProof/>
          <w:szCs w:val="22"/>
          <w:lang w:val="el-GR"/>
        </w:rPr>
        <w:t>18.</w:t>
      </w:r>
      <w:r w:rsidRPr="001A5147">
        <w:rPr>
          <w:b/>
          <w:noProof/>
          <w:szCs w:val="22"/>
          <w:lang w:val="el-GR"/>
        </w:rPr>
        <w:tab/>
        <w:t>ΜΟΝΑΔΙΚΟΣ ΑΝΑΓΝΩΡΙΣΤΙΚΟΣ ΚΩΔΙΚΟΣ – ΔΕΔΟΜΕΝΑ ΑΝΑΓΝΩΣΙΜΑ ΑΠΟ ΤΟΝ ΑΝΘΡΩΠΟ</w:t>
      </w:r>
    </w:p>
    <w:p w:rsidR="00FA4CC3" w:rsidRPr="001A5147" w:rsidRDefault="00FA4CC3" w:rsidP="00FA4CC3">
      <w:pPr>
        <w:widowControl w:val="0"/>
        <w:spacing w:line="240" w:lineRule="auto"/>
        <w:rPr>
          <w:noProof/>
          <w:szCs w:val="22"/>
          <w:lang w:val="el-GR"/>
        </w:rPr>
      </w:pPr>
    </w:p>
    <w:p w:rsidR="00FA4CC3" w:rsidRPr="001A5147" w:rsidRDefault="00FA4CC3" w:rsidP="00FA4CC3">
      <w:pPr>
        <w:widowControl w:val="0"/>
        <w:spacing w:line="240" w:lineRule="auto"/>
        <w:rPr>
          <w:szCs w:val="22"/>
          <w:lang w:val="el-GR"/>
        </w:rPr>
      </w:pPr>
      <w:r w:rsidRPr="001A5147">
        <w:rPr>
          <w:szCs w:val="22"/>
        </w:rPr>
        <w:t>PC</w:t>
      </w:r>
    </w:p>
    <w:p w:rsidR="00FA4CC3" w:rsidRPr="0087084D" w:rsidRDefault="00FA4CC3" w:rsidP="00FA4CC3">
      <w:pPr>
        <w:widowControl w:val="0"/>
        <w:spacing w:line="240" w:lineRule="auto"/>
        <w:rPr>
          <w:szCs w:val="22"/>
        </w:rPr>
      </w:pPr>
      <w:r w:rsidRPr="001A5147">
        <w:rPr>
          <w:szCs w:val="22"/>
        </w:rPr>
        <w:t>SN</w:t>
      </w:r>
    </w:p>
    <w:p w:rsidR="00FA4CC3" w:rsidRPr="0087084D" w:rsidRDefault="00FA4CC3" w:rsidP="0087084D">
      <w:pPr>
        <w:widowControl w:val="0"/>
        <w:spacing w:line="240" w:lineRule="auto"/>
        <w:rPr>
          <w:szCs w:val="22"/>
        </w:rPr>
      </w:pPr>
      <w:r w:rsidRPr="00712AD4">
        <w:rPr>
          <w:szCs w:val="22"/>
        </w:rPr>
        <w:t>NN</w:t>
      </w:r>
    </w:p>
    <w:p w:rsidR="00FA4CC3" w:rsidRPr="001A5147" w:rsidRDefault="00FA4CC3" w:rsidP="00FA4CC3">
      <w:pPr>
        <w:widowControl w:val="0"/>
        <w:spacing w:line="240" w:lineRule="auto"/>
        <w:rPr>
          <w:noProof/>
          <w:vanish/>
          <w:szCs w:val="22"/>
          <w:lang w:val="el-GR"/>
        </w:rPr>
      </w:pPr>
    </w:p>
    <w:p w:rsidR="00FA4CC3" w:rsidRPr="006373B5" w:rsidRDefault="00FA4CC3" w:rsidP="00681191">
      <w:pPr>
        <w:widowControl w:val="0"/>
        <w:spacing w:line="240" w:lineRule="auto"/>
        <w:rPr>
          <w:noProof/>
          <w:szCs w:val="22"/>
          <w:lang w:val="sl-SI"/>
        </w:rPr>
      </w:pPr>
    </w:p>
    <w:p w:rsidR="00681191" w:rsidRPr="00FC2F1F" w:rsidRDefault="00681191" w:rsidP="00681191">
      <w:pPr>
        <w:widowControl w:val="0"/>
        <w:spacing w:line="240" w:lineRule="auto"/>
        <w:rPr>
          <w:b/>
          <w:noProof/>
          <w:szCs w:val="22"/>
          <w:lang w:val="el-GR"/>
        </w:rPr>
      </w:pPr>
      <w:r w:rsidRPr="00FC2F1F">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B754A1" w:rsidRDefault="00681191" w:rsidP="00D93067">
            <w:pPr>
              <w:widowControl w:val="0"/>
              <w:spacing w:line="240" w:lineRule="auto"/>
              <w:rPr>
                <w:b/>
                <w:noProof/>
                <w:szCs w:val="22"/>
                <w:lang w:val="el-GR"/>
              </w:rPr>
            </w:pPr>
            <w:r w:rsidRPr="00FC2F1F">
              <w:rPr>
                <w:b/>
                <w:noProof/>
                <w:szCs w:val="22"/>
                <w:lang w:val="el-GR"/>
              </w:rPr>
              <w:t xml:space="preserve">ΕΛΑΧΙΣΤΕΣ ΕΝΔΕΙΞΕΙΣ ΠΟΥ ΠΡΕΠΕΙ ΝΑ ΑΝΑΓΡΑΦΟΝΤΑΙ ΣΤΙΣ ΣΥΣΚΕΥΑΣΙΕΣ </w:t>
            </w:r>
            <w:r w:rsidR="004A5320">
              <w:rPr>
                <w:b/>
                <w:noProof/>
                <w:szCs w:val="22"/>
                <w:lang w:val="el-GR"/>
              </w:rPr>
              <w:t>ΚΥΨΕΛΗΣ</w:t>
            </w:r>
            <w:r w:rsidRPr="00FC2F1F">
              <w:rPr>
                <w:b/>
                <w:noProof/>
                <w:szCs w:val="22"/>
                <w:lang w:val="el-GR"/>
              </w:rPr>
              <w:t xml:space="preserve"> </w:t>
            </w:r>
            <w:r w:rsidR="004A5320">
              <w:rPr>
                <w:b/>
                <w:noProof/>
                <w:szCs w:val="22"/>
                <w:lang w:val="el-GR"/>
              </w:rPr>
              <w:t>(</w:t>
            </w:r>
            <w:r w:rsidRPr="00FC2F1F">
              <w:rPr>
                <w:b/>
                <w:noProof/>
                <w:szCs w:val="22"/>
                <w:lang w:val="el-GR"/>
              </w:rPr>
              <w:t>BLISTER</w:t>
            </w:r>
            <w:r w:rsidR="004A5320">
              <w:rPr>
                <w:b/>
                <w:noProof/>
                <w:szCs w:val="22"/>
                <w:lang w:val="el-GR"/>
              </w:rPr>
              <w:t>)</w:t>
            </w:r>
            <w:r w:rsidRPr="00FC2F1F">
              <w:rPr>
                <w:b/>
                <w:noProof/>
                <w:szCs w:val="22"/>
                <w:lang w:val="el-GR"/>
              </w:rPr>
              <w:t xml:space="preserve"> Ή ΣΤΙΣ ΤΑΙΝΙΕΣ</w:t>
            </w:r>
            <w:r w:rsidR="004A5320">
              <w:rPr>
                <w:b/>
                <w:noProof/>
                <w:szCs w:val="22"/>
                <w:lang w:val="el-GR"/>
              </w:rPr>
              <w:t xml:space="preserve"> (</w:t>
            </w:r>
            <w:r w:rsidR="004A5320">
              <w:rPr>
                <w:b/>
                <w:noProof/>
                <w:szCs w:val="22"/>
                <w:lang w:val="en-US"/>
              </w:rPr>
              <w:t>STRIPS</w:t>
            </w:r>
            <w:r w:rsidR="004A5320" w:rsidRPr="00B754A1">
              <w:rPr>
                <w:b/>
                <w:noProof/>
                <w:szCs w:val="22"/>
                <w:lang w:val="el-GR"/>
              </w:rPr>
              <w:t>)</w:t>
            </w:r>
          </w:p>
          <w:p w:rsidR="00681191" w:rsidRPr="00FC2F1F" w:rsidRDefault="00681191" w:rsidP="00D93067">
            <w:pPr>
              <w:widowControl w:val="0"/>
              <w:spacing w:line="240" w:lineRule="auto"/>
              <w:rPr>
                <w:b/>
                <w:noProof/>
                <w:szCs w:val="22"/>
                <w:lang w:val="el-GR"/>
              </w:rPr>
            </w:pPr>
          </w:p>
          <w:p w:rsidR="00681191" w:rsidRPr="00FC2F1F" w:rsidRDefault="00681191" w:rsidP="00D93067">
            <w:pPr>
              <w:widowControl w:val="0"/>
              <w:spacing w:line="240" w:lineRule="auto"/>
              <w:rPr>
                <w:b/>
                <w:noProof/>
                <w:szCs w:val="22"/>
                <w:lang w:val="el-GR"/>
              </w:rPr>
            </w:pPr>
            <w:r w:rsidRPr="00FC2F1F">
              <w:rPr>
                <w:b/>
                <w:noProof/>
                <w:szCs w:val="22"/>
                <w:lang w:val="el-GR"/>
              </w:rPr>
              <w:t>ΚΥΨΕΛΗ</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tabs>
                <w:tab w:val="clear" w:pos="567"/>
              </w:tabs>
              <w:spacing w:line="240" w:lineRule="auto"/>
              <w:ind w:left="567" w:hanging="567"/>
              <w:rPr>
                <w:b/>
                <w:noProof/>
                <w:szCs w:val="22"/>
                <w:lang w:val="el-GR"/>
              </w:rPr>
            </w:pPr>
            <w:r w:rsidRPr="00FC2F1F">
              <w:rPr>
                <w:b/>
                <w:noProof/>
                <w:szCs w:val="22"/>
                <w:lang w:val="el-GR"/>
              </w:rPr>
              <w:t>1.</w:t>
            </w:r>
            <w:r w:rsidRPr="00FC2F1F">
              <w:rPr>
                <w:b/>
                <w:noProof/>
                <w:szCs w:val="22"/>
                <w:lang w:val="el-GR"/>
              </w:rPr>
              <w:tab/>
              <w:t>ΟΝΟΜΑΣΙΑ ΤΟΥ ΦΑΡΜΑΚΕΥΤΙΚΟΥ ΠΡΟΪΟΝΤΟΣ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Tolucombi 80</w:t>
      </w:r>
      <w:r>
        <w:rPr>
          <w:noProof/>
          <w:szCs w:val="22"/>
          <w:lang w:val="el-GR"/>
        </w:rPr>
        <w:t> mg</w:t>
      </w:r>
      <w:r w:rsidRPr="00FC2F1F">
        <w:rPr>
          <w:noProof/>
          <w:szCs w:val="22"/>
          <w:lang w:val="el-GR"/>
        </w:rPr>
        <w:t>/25</w:t>
      </w:r>
      <w:r>
        <w:rPr>
          <w:noProof/>
          <w:szCs w:val="22"/>
          <w:lang w:val="el-GR"/>
        </w:rPr>
        <w:t> mg</w:t>
      </w:r>
      <w:r w:rsidRPr="00FC2F1F">
        <w:rPr>
          <w:noProof/>
          <w:szCs w:val="22"/>
          <w:lang w:val="el-GR"/>
        </w:rPr>
        <w:t xml:space="preserve"> δισκία</w:t>
      </w:r>
    </w:p>
    <w:p w:rsidR="00681191" w:rsidRPr="00FC2F1F" w:rsidRDefault="00681191" w:rsidP="00681191">
      <w:pPr>
        <w:widowControl w:val="0"/>
        <w:spacing w:line="240" w:lineRule="auto"/>
        <w:rPr>
          <w:noProof/>
          <w:szCs w:val="22"/>
          <w:lang w:val="el-GR"/>
        </w:rPr>
      </w:pPr>
      <w:r w:rsidRPr="00FC2F1F">
        <w:rPr>
          <w:noProof/>
          <w:szCs w:val="22"/>
          <w:lang w:val="el-GR"/>
        </w:rPr>
        <w:t>τελμισαρτάνη/υδροχλωροθειαζίδη</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2.</w:t>
            </w:r>
            <w:r w:rsidRPr="00FC2F1F">
              <w:rPr>
                <w:b/>
                <w:noProof/>
                <w:szCs w:val="22"/>
                <w:lang w:val="el-GR"/>
              </w:rPr>
              <w:tab/>
              <w:t>ΟΝΟΜΑ ΚΑΤΟΧΟΥ ΤΗΣ ΑΔΕΙΑΣ ΚΥΚΛΟΦΟΡΙΑΣ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KRKA</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3.</w:t>
            </w:r>
            <w:r w:rsidRPr="00FC2F1F">
              <w:rPr>
                <w:b/>
                <w:noProof/>
                <w:szCs w:val="22"/>
                <w:lang w:val="el-GR"/>
              </w:rPr>
              <w:tab/>
              <w:t>ΗΜΕΡΟΜΗΝΙΑ ΛΗΞΗΣ</w:t>
            </w:r>
          </w:p>
        </w:tc>
      </w:tr>
    </w:tbl>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szCs w:val="22"/>
          <w:lang w:val="el-GR"/>
        </w:rPr>
        <w:t>EXP</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4.</w:t>
            </w:r>
            <w:r w:rsidRPr="00FC2F1F">
              <w:rPr>
                <w:b/>
                <w:noProof/>
                <w:szCs w:val="22"/>
                <w:lang w:val="el-GR"/>
              </w:rPr>
              <w:tab/>
              <w:t>ΑΡΙΘΜΟΣ ΠΑΡΤΙΔΑΣ</w:t>
            </w:r>
          </w:p>
        </w:tc>
      </w:tr>
    </w:tbl>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szCs w:val="22"/>
          <w:lang w:val="el-GR"/>
        </w:rPr>
      </w:pPr>
      <w:r w:rsidRPr="00FC2F1F">
        <w:rPr>
          <w:noProof/>
          <w:szCs w:val="22"/>
          <w:lang w:val="el-GR"/>
        </w:rPr>
        <w:t>Lot</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681191" w:rsidRPr="00FC2F1F" w:rsidTr="00D93067">
        <w:tblPrEx>
          <w:tblCellMar>
            <w:top w:w="0" w:type="dxa"/>
            <w:bottom w:w="0" w:type="dxa"/>
          </w:tblCellMar>
        </w:tblPrEx>
        <w:tc>
          <w:tcPr>
            <w:tcW w:w="9276" w:type="dxa"/>
          </w:tcPr>
          <w:p w:rsidR="00681191" w:rsidRPr="00FC2F1F" w:rsidRDefault="00681191" w:rsidP="00D93067">
            <w:pPr>
              <w:widowControl w:val="0"/>
              <w:spacing w:line="240" w:lineRule="auto"/>
              <w:rPr>
                <w:b/>
                <w:noProof/>
                <w:szCs w:val="22"/>
                <w:lang w:val="el-GR"/>
              </w:rPr>
            </w:pPr>
            <w:r w:rsidRPr="00FC2F1F">
              <w:rPr>
                <w:b/>
                <w:noProof/>
                <w:szCs w:val="22"/>
                <w:lang w:val="el-GR"/>
              </w:rPr>
              <w:t>5.</w:t>
            </w:r>
            <w:r w:rsidRPr="00FC2F1F">
              <w:rPr>
                <w:b/>
                <w:noProof/>
                <w:szCs w:val="22"/>
                <w:lang w:val="el-GR"/>
              </w:rPr>
              <w:tab/>
              <w:t>ΑΛΛΑ ΣΤΟΙΧΕΙΑ</w:t>
            </w:r>
          </w:p>
        </w:tc>
      </w:tr>
    </w:tbl>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szCs w:val="22"/>
          <w:lang w:val="el-GR"/>
        </w:rPr>
      </w:pPr>
      <w:r w:rsidRPr="00FC2F1F">
        <w:rPr>
          <w:szCs w:val="22"/>
          <w:highlight w:val="lightGray"/>
          <w:lang w:val="el-GR"/>
        </w:rPr>
        <w:t>Μόνο για κυψέλες που περιέχουν 7 δισκία</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Δ</w:t>
      </w:r>
      <w:r w:rsidR="009567F3">
        <w:rPr>
          <w:noProof/>
          <w:szCs w:val="22"/>
          <w:lang w:val="el-GR"/>
        </w:rPr>
        <w:t>ευ.</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Τ</w:t>
      </w:r>
      <w:r w:rsidR="009567F3">
        <w:rPr>
          <w:noProof/>
          <w:szCs w:val="22"/>
          <w:lang w:val="el-GR"/>
        </w:rPr>
        <w:t>ρ.</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Τ</w:t>
      </w:r>
      <w:r w:rsidR="009567F3">
        <w:rPr>
          <w:noProof/>
          <w:szCs w:val="22"/>
          <w:lang w:val="el-GR"/>
        </w:rPr>
        <w:t>ετ.</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Π</w:t>
      </w:r>
      <w:r w:rsidR="009567F3">
        <w:rPr>
          <w:noProof/>
          <w:szCs w:val="22"/>
          <w:lang w:val="el-GR"/>
        </w:rPr>
        <w:t>έμ.</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Π</w:t>
      </w:r>
      <w:r w:rsidR="009567F3">
        <w:rPr>
          <w:noProof/>
          <w:szCs w:val="22"/>
          <w:lang w:val="el-GR"/>
        </w:rPr>
        <w:t>αρ.</w:t>
      </w:r>
    </w:p>
    <w:p w:rsidR="00681191" w:rsidRPr="003D2DCD" w:rsidRDefault="00681191" w:rsidP="00681191">
      <w:pPr>
        <w:widowControl w:val="0"/>
        <w:tabs>
          <w:tab w:val="clear" w:pos="567"/>
        </w:tabs>
        <w:spacing w:line="240" w:lineRule="auto"/>
        <w:ind w:right="113"/>
        <w:rPr>
          <w:noProof/>
          <w:szCs w:val="22"/>
          <w:lang w:val="el-GR"/>
        </w:rPr>
      </w:pPr>
      <w:r w:rsidRPr="003D2DCD">
        <w:rPr>
          <w:noProof/>
          <w:szCs w:val="22"/>
          <w:lang w:val="el-GR"/>
        </w:rPr>
        <w:t>Σ</w:t>
      </w:r>
      <w:r w:rsidR="009567F3">
        <w:rPr>
          <w:noProof/>
          <w:szCs w:val="22"/>
          <w:lang w:val="el-GR"/>
        </w:rPr>
        <w:t>άβ.</w:t>
      </w:r>
    </w:p>
    <w:p w:rsidR="00681191" w:rsidRPr="00FC2F1F" w:rsidRDefault="00681191" w:rsidP="00681191">
      <w:pPr>
        <w:widowControl w:val="0"/>
        <w:tabs>
          <w:tab w:val="clear" w:pos="567"/>
        </w:tabs>
        <w:spacing w:line="240" w:lineRule="auto"/>
        <w:ind w:right="113"/>
        <w:rPr>
          <w:noProof/>
          <w:szCs w:val="22"/>
          <w:lang w:val="el-GR"/>
        </w:rPr>
      </w:pPr>
      <w:r w:rsidRPr="003D2DCD">
        <w:rPr>
          <w:noProof/>
          <w:szCs w:val="22"/>
          <w:lang w:val="el-GR"/>
        </w:rPr>
        <w:t>Κ</w:t>
      </w:r>
      <w:r w:rsidR="009567F3">
        <w:rPr>
          <w:noProof/>
          <w:szCs w:val="22"/>
          <w:lang w:val="el-GR"/>
        </w:rPr>
        <w:t>υρ.</w:t>
      </w:r>
    </w:p>
    <w:p w:rsidR="00681191" w:rsidRPr="00FC2F1F" w:rsidRDefault="00681191" w:rsidP="00681191">
      <w:pPr>
        <w:widowControl w:val="0"/>
        <w:spacing w:line="240" w:lineRule="auto"/>
        <w:jc w:val="center"/>
        <w:rPr>
          <w:noProof/>
          <w:szCs w:val="22"/>
          <w:lang w:val="el-GR"/>
        </w:rPr>
      </w:pPr>
      <w:r w:rsidRPr="00FC2F1F">
        <w:rPr>
          <w:b/>
          <w:noProof/>
          <w:szCs w:val="22"/>
          <w:lang w:val="el-GR"/>
        </w:rPr>
        <w:br w:type="page"/>
      </w: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FC2F1F"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rPr>
          <w:noProof/>
          <w:szCs w:val="22"/>
          <w:lang w:val="el-GR"/>
        </w:rPr>
      </w:pPr>
    </w:p>
    <w:p w:rsidR="00681191" w:rsidRPr="00DE6252" w:rsidRDefault="00681191" w:rsidP="00681191">
      <w:pPr>
        <w:widowControl w:val="0"/>
        <w:spacing w:line="240" w:lineRule="auto"/>
        <w:jc w:val="center"/>
        <w:rPr>
          <w:noProof/>
          <w:szCs w:val="22"/>
          <w:lang w:val="el-GR"/>
        </w:rPr>
      </w:pPr>
    </w:p>
    <w:p w:rsidR="00681191" w:rsidRPr="00FC2F1F" w:rsidRDefault="00681191" w:rsidP="00681191">
      <w:pPr>
        <w:pStyle w:val="TitleA"/>
      </w:pPr>
      <w:r w:rsidRPr="00FC2F1F">
        <w:t>Β. ΦΥΛΛΟ ΟΔΗΓΙΩΝ ΧΡΗΣΗΣ</w:t>
      </w:r>
    </w:p>
    <w:p w:rsidR="00681191" w:rsidRPr="00FC2F1F" w:rsidRDefault="00681191" w:rsidP="00681191">
      <w:pPr>
        <w:widowControl w:val="0"/>
        <w:spacing w:line="240" w:lineRule="auto"/>
        <w:jc w:val="center"/>
        <w:rPr>
          <w:b/>
          <w:noProof/>
          <w:szCs w:val="22"/>
          <w:lang w:val="el-GR"/>
        </w:rPr>
      </w:pPr>
      <w:r w:rsidRPr="00FC2F1F">
        <w:rPr>
          <w:noProof/>
          <w:szCs w:val="22"/>
          <w:lang w:val="el-GR"/>
        </w:rPr>
        <w:br w:type="page"/>
      </w:r>
      <w:r w:rsidRPr="00FC2F1F">
        <w:rPr>
          <w:b/>
          <w:noProof/>
          <w:szCs w:val="22"/>
          <w:lang w:val="el-GR"/>
        </w:rPr>
        <w:t>Φύλλο οδηγιών χρήσης: Πληροφορίες για τον ασθενή</w:t>
      </w:r>
    </w:p>
    <w:p w:rsidR="00681191" w:rsidRPr="00FC2F1F" w:rsidRDefault="00681191" w:rsidP="00681191">
      <w:pPr>
        <w:widowControl w:val="0"/>
        <w:spacing w:line="240" w:lineRule="auto"/>
        <w:jc w:val="center"/>
        <w:rPr>
          <w:b/>
          <w:noProof/>
          <w:szCs w:val="22"/>
          <w:lang w:val="el-GR"/>
        </w:rPr>
      </w:pPr>
    </w:p>
    <w:p w:rsidR="00681191" w:rsidRPr="00FC2F1F" w:rsidRDefault="00681191" w:rsidP="00681191">
      <w:pPr>
        <w:widowControl w:val="0"/>
        <w:spacing w:line="240" w:lineRule="auto"/>
        <w:jc w:val="center"/>
        <w:rPr>
          <w:b/>
          <w:noProof/>
          <w:szCs w:val="22"/>
          <w:lang w:val="el-GR"/>
        </w:rPr>
      </w:pPr>
      <w:r w:rsidRPr="00FC2F1F">
        <w:rPr>
          <w:b/>
          <w:noProof/>
          <w:szCs w:val="22"/>
          <w:lang w:val="el-GR"/>
        </w:rPr>
        <w:t>Tolucombi 40</w:t>
      </w:r>
      <w:r>
        <w:rPr>
          <w:b/>
          <w:noProof/>
          <w:szCs w:val="22"/>
          <w:lang w:val="el-GR"/>
        </w:rPr>
        <w:t> mg</w:t>
      </w:r>
      <w:r w:rsidRPr="00FC2F1F">
        <w:rPr>
          <w:b/>
          <w:noProof/>
          <w:szCs w:val="22"/>
          <w:lang w:val="el-GR"/>
        </w:rPr>
        <w:t>/12,5</w:t>
      </w:r>
      <w:r>
        <w:rPr>
          <w:b/>
          <w:noProof/>
          <w:szCs w:val="22"/>
          <w:lang w:val="el-GR"/>
        </w:rPr>
        <w:t> mg</w:t>
      </w:r>
      <w:r w:rsidRPr="00FC2F1F">
        <w:rPr>
          <w:b/>
          <w:noProof/>
          <w:szCs w:val="22"/>
          <w:lang w:val="el-GR"/>
        </w:rPr>
        <w:t xml:space="preserve"> δισκία</w:t>
      </w:r>
    </w:p>
    <w:p w:rsidR="00681191" w:rsidRPr="00FC2F1F" w:rsidRDefault="00681191" w:rsidP="00681191">
      <w:pPr>
        <w:widowControl w:val="0"/>
        <w:spacing w:line="240" w:lineRule="auto"/>
        <w:jc w:val="center"/>
        <w:rPr>
          <w:b/>
          <w:noProof/>
          <w:szCs w:val="22"/>
          <w:lang w:val="el-GR"/>
        </w:rPr>
      </w:pPr>
      <w:r w:rsidRPr="00FC2F1F">
        <w:rPr>
          <w:b/>
          <w:noProof/>
          <w:szCs w:val="22"/>
          <w:lang w:val="el-GR"/>
        </w:rPr>
        <w:t>Tolucombi 80</w:t>
      </w:r>
      <w:r>
        <w:rPr>
          <w:b/>
          <w:noProof/>
          <w:szCs w:val="22"/>
          <w:lang w:val="el-GR"/>
        </w:rPr>
        <w:t> mg</w:t>
      </w:r>
      <w:r w:rsidRPr="00FC2F1F">
        <w:rPr>
          <w:b/>
          <w:noProof/>
          <w:szCs w:val="22"/>
          <w:lang w:val="el-GR"/>
        </w:rPr>
        <w:t>/12,5</w:t>
      </w:r>
      <w:r>
        <w:rPr>
          <w:b/>
          <w:noProof/>
          <w:szCs w:val="22"/>
          <w:lang w:val="el-GR"/>
        </w:rPr>
        <w:t> mg</w:t>
      </w:r>
      <w:r w:rsidRPr="00FC2F1F">
        <w:rPr>
          <w:b/>
          <w:noProof/>
          <w:szCs w:val="22"/>
          <w:lang w:val="el-GR"/>
        </w:rPr>
        <w:t xml:space="preserve"> δισκία</w:t>
      </w:r>
    </w:p>
    <w:p w:rsidR="00681191" w:rsidRPr="00FC2F1F" w:rsidRDefault="00681191" w:rsidP="00681191">
      <w:pPr>
        <w:widowControl w:val="0"/>
        <w:spacing w:line="240" w:lineRule="auto"/>
        <w:jc w:val="center"/>
        <w:rPr>
          <w:b/>
          <w:noProof/>
          <w:szCs w:val="22"/>
          <w:lang w:val="el-GR"/>
        </w:rPr>
      </w:pPr>
      <w:r w:rsidRPr="00FC2F1F">
        <w:rPr>
          <w:b/>
          <w:noProof/>
          <w:szCs w:val="22"/>
          <w:lang w:val="el-GR"/>
        </w:rPr>
        <w:t>Tolucombi 80</w:t>
      </w:r>
      <w:r>
        <w:rPr>
          <w:b/>
          <w:noProof/>
          <w:szCs w:val="22"/>
          <w:lang w:val="el-GR"/>
        </w:rPr>
        <w:t> mg</w:t>
      </w:r>
      <w:r w:rsidRPr="00FC2F1F">
        <w:rPr>
          <w:b/>
          <w:noProof/>
          <w:szCs w:val="22"/>
          <w:lang w:val="el-GR"/>
        </w:rPr>
        <w:t>/25</w:t>
      </w:r>
      <w:r>
        <w:rPr>
          <w:b/>
          <w:noProof/>
          <w:szCs w:val="22"/>
          <w:lang w:val="el-GR"/>
        </w:rPr>
        <w:t> mg</w:t>
      </w:r>
      <w:r w:rsidRPr="00FC2F1F">
        <w:rPr>
          <w:b/>
          <w:noProof/>
          <w:szCs w:val="22"/>
          <w:lang w:val="el-GR"/>
        </w:rPr>
        <w:t xml:space="preserve"> δισκία</w:t>
      </w:r>
    </w:p>
    <w:p w:rsidR="00681191" w:rsidRPr="00FC2F1F" w:rsidRDefault="00681191" w:rsidP="00681191">
      <w:pPr>
        <w:widowControl w:val="0"/>
        <w:spacing w:line="240" w:lineRule="auto"/>
        <w:jc w:val="center"/>
        <w:rPr>
          <w:noProof/>
          <w:szCs w:val="22"/>
          <w:lang w:val="el-GR"/>
        </w:rPr>
      </w:pPr>
      <w:r w:rsidRPr="00FC2F1F">
        <w:rPr>
          <w:noProof/>
          <w:szCs w:val="22"/>
          <w:lang w:val="el-GR"/>
        </w:rPr>
        <w:t>τελμισαρτάνη/υδροχλωροθειαζίδη</w:t>
      </w:r>
    </w:p>
    <w:p w:rsidR="00681191" w:rsidRPr="00FC2F1F" w:rsidRDefault="00681191" w:rsidP="00681191">
      <w:pPr>
        <w:pStyle w:val="Header"/>
        <w:widowControl w:val="0"/>
        <w:tabs>
          <w:tab w:val="clear" w:pos="4153"/>
          <w:tab w:val="clear" w:pos="8306"/>
        </w:tabs>
        <w:spacing w:line="240" w:lineRule="auto"/>
        <w:rPr>
          <w:rFonts w:ascii="Times New Roman" w:hAnsi="Times New Roman"/>
          <w:noProof/>
          <w:sz w:val="22"/>
          <w:szCs w:val="22"/>
          <w:lang w:val="el-GR"/>
        </w:rPr>
      </w:pPr>
    </w:p>
    <w:p w:rsidR="00681191" w:rsidRPr="00FC2F1F" w:rsidRDefault="00681191" w:rsidP="00681191">
      <w:pPr>
        <w:widowControl w:val="0"/>
        <w:spacing w:line="240" w:lineRule="auto"/>
        <w:rPr>
          <w:noProof/>
          <w:szCs w:val="22"/>
          <w:lang w:val="el-GR"/>
        </w:rPr>
      </w:pPr>
      <w:r w:rsidRPr="00FC2F1F">
        <w:rPr>
          <w:b/>
          <w:noProof/>
          <w:szCs w:val="22"/>
          <w:lang w:val="el-GR"/>
        </w:rPr>
        <w:t>Διαβάστε προσεκτικά ολόκληρο το φύλλο οδηγιών χρήσης πρ</w:t>
      </w:r>
      <w:r w:rsidR="00435476">
        <w:rPr>
          <w:b/>
          <w:noProof/>
          <w:szCs w:val="22"/>
          <w:lang w:val="el-GR"/>
        </w:rPr>
        <w:t>ιν</w:t>
      </w:r>
      <w:r w:rsidRPr="00FC2F1F">
        <w:rPr>
          <w:b/>
          <w:noProof/>
          <w:szCs w:val="22"/>
          <w:lang w:val="el-GR"/>
        </w:rPr>
        <w:t xml:space="preserve"> αρχίσετε να παίρνετε αυτό το φάρμακο, διότι περιλαμβάνει σημαντικές πληροφορίες για σας.</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w:t>
      </w:r>
      <w:r w:rsidRPr="00FC2F1F">
        <w:rPr>
          <w:noProof/>
          <w:szCs w:val="22"/>
          <w:lang w:val="el-GR"/>
        </w:rPr>
        <w:tab/>
        <w:t>Φυλάξτε αυτό το φύλλο οδηγιών χρήσης. Ίσως χρειαστεί να το διαβάσετε ξανά.</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w:t>
      </w:r>
      <w:r w:rsidRPr="00FC2F1F">
        <w:rPr>
          <w:noProof/>
          <w:szCs w:val="22"/>
          <w:lang w:val="el-GR"/>
        </w:rPr>
        <w:tab/>
        <w:t>Εάν έχετε περαιτέρω απορίες, ρωτήστε τον γιατρό ή τον φαρμακοποιό σας.</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w:t>
      </w:r>
      <w:r w:rsidRPr="00FC2F1F">
        <w:rPr>
          <w:noProof/>
          <w:szCs w:val="22"/>
          <w:lang w:val="el-GR"/>
        </w:rPr>
        <w:tab/>
        <w:t>Η συνταγή γι</w:t>
      </w:r>
      <w:r w:rsidR="00435476">
        <w:rPr>
          <w:noProof/>
          <w:szCs w:val="22"/>
          <w:lang w:val="el-GR"/>
        </w:rPr>
        <w:t>α</w:t>
      </w:r>
      <w:r w:rsidRPr="00FC2F1F">
        <w:rPr>
          <w:noProof/>
          <w:szCs w:val="22"/>
          <w:lang w:val="el-GR"/>
        </w:rPr>
        <w:t xml:space="preserve"> αυτό το φάρμακο χορηγήθηκε αποκλειστικά για σας. Δεν πρέπει να δώσετε το φάρμακο σε άλλους. Μπορεί να τους προκαλέσει βλάβη, ακόμα και όταν τα </w:t>
      </w:r>
      <w:r w:rsidR="00435476">
        <w:rPr>
          <w:noProof/>
          <w:szCs w:val="22"/>
          <w:lang w:val="el-GR"/>
        </w:rPr>
        <w:t>συμπτώματα</w:t>
      </w:r>
      <w:r w:rsidRPr="00FC2F1F">
        <w:rPr>
          <w:noProof/>
          <w:szCs w:val="22"/>
          <w:lang w:val="el-GR"/>
        </w:rPr>
        <w:t xml:space="preserve"> της ασθένειάς τους είναι ίδια με τα δικά σας.</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w:t>
      </w:r>
      <w:r w:rsidRPr="00FC2F1F">
        <w:rPr>
          <w:noProof/>
          <w:szCs w:val="22"/>
          <w:lang w:val="el-GR"/>
        </w:rPr>
        <w:tab/>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w:t>
      </w:r>
      <w:r w:rsidRPr="00FC2F1F">
        <w:rPr>
          <w:szCs w:val="22"/>
          <w:lang w:val="el-GR"/>
        </w:rPr>
        <w:t>Βλέπε παράγραφο 4.</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noProof/>
          <w:szCs w:val="22"/>
          <w:lang w:val="el-GR"/>
        </w:rPr>
      </w:pPr>
      <w:r w:rsidRPr="00FC2F1F">
        <w:rPr>
          <w:b/>
          <w:noProof/>
          <w:szCs w:val="22"/>
          <w:lang w:val="el-GR"/>
        </w:rPr>
        <w:t>Τι περιέχει το παρόν φύλλο οδηγιών:</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1.</w:t>
      </w:r>
      <w:r w:rsidRPr="00FC2F1F">
        <w:rPr>
          <w:noProof/>
          <w:szCs w:val="22"/>
          <w:lang w:val="el-GR"/>
        </w:rPr>
        <w:tab/>
        <w:t>Τι είναι το Tolucombi και ποια είναι η χρήση του</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2.</w:t>
      </w:r>
      <w:r w:rsidRPr="00FC2F1F">
        <w:rPr>
          <w:noProof/>
          <w:szCs w:val="22"/>
          <w:lang w:val="el-GR"/>
        </w:rPr>
        <w:tab/>
        <w:t xml:space="preserve">Τι πρέπει να γνωρίζετε </w:t>
      </w:r>
      <w:r w:rsidR="00435476">
        <w:rPr>
          <w:noProof/>
          <w:szCs w:val="22"/>
          <w:lang w:val="el-GR"/>
        </w:rPr>
        <w:t>πριν</w:t>
      </w:r>
      <w:r w:rsidRPr="00FC2F1F">
        <w:rPr>
          <w:noProof/>
          <w:szCs w:val="22"/>
          <w:lang w:val="el-GR"/>
        </w:rPr>
        <w:t xml:space="preserve"> πάρετε το Tolucombi</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3.</w:t>
      </w:r>
      <w:r w:rsidRPr="00FC2F1F">
        <w:rPr>
          <w:noProof/>
          <w:szCs w:val="22"/>
          <w:lang w:val="el-GR"/>
        </w:rPr>
        <w:tab/>
        <w:t>Πώς να πάρετε το Tolucombi</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4.</w:t>
      </w:r>
      <w:r w:rsidRPr="00FC2F1F">
        <w:rPr>
          <w:noProof/>
          <w:szCs w:val="22"/>
          <w:lang w:val="el-GR"/>
        </w:rPr>
        <w:tab/>
        <w:t>Πιθανές ανεπιθύμητες ενέργειες</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5.</w:t>
      </w:r>
      <w:r w:rsidRPr="00FC2F1F">
        <w:rPr>
          <w:noProof/>
          <w:szCs w:val="22"/>
          <w:lang w:val="el-GR"/>
        </w:rPr>
        <w:tab/>
        <w:t>Πώς να φυλάσσετ</w:t>
      </w:r>
      <w:r w:rsidR="00435476">
        <w:rPr>
          <w:noProof/>
          <w:szCs w:val="22"/>
          <w:lang w:val="el-GR"/>
        </w:rPr>
        <w:t>ε</w:t>
      </w:r>
      <w:r w:rsidRPr="00FC2F1F">
        <w:rPr>
          <w:noProof/>
          <w:szCs w:val="22"/>
          <w:lang w:val="el-GR"/>
        </w:rPr>
        <w:t xml:space="preserve"> το Tolucombi</w:t>
      </w:r>
    </w:p>
    <w:p w:rsidR="00681191" w:rsidRPr="00FC2F1F" w:rsidRDefault="00681191" w:rsidP="00681191">
      <w:pPr>
        <w:widowControl w:val="0"/>
        <w:spacing w:line="240" w:lineRule="auto"/>
        <w:ind w:left="567" w:hanging="567"/>
        <w:rPr>
          <w:noProof/>
          <w:szCs w:val="22"/>
          <w:lang w:val="el-GR"/>
        </w:rPr>
      </w:pPr>
      <w:r w:rsidRPr="00FC2F1F">
        <w:rPr>
          <w:noProof/>
          <w:szCs w:val="22"/>
          <w:lang w:val="el-GR"/>
        </w:rPr>
        <w:t>6.</w:t>
      </w:r>
      <w:r w:rsidRPr="00FC2F1F">
        <w:rPr>
          <w:noProof/>
          <w:szCs w:val="22"/>
          <w:lang w:val="el-GR"/>
        </w:rPr>
        <w:tab/>
        <w:t>Περιεχόμεν</w:t>
      </w:r>
      <w:r w:rsidR="00435476">
        <w:rPr>
          <w:noProof/>
          <w:szCs w:val="22"/>
          <w:lang w:val="el-GR"/>
        </w:rPr>
        <w:t>α</w:t>
      </w:r>
      <w:r w:rsidRPr="00FC2F1F">
        <w:rPr>
          <w:noProof/>
          <w:szCs w:val="22"/>
          <w:lang w:val="el-GR"/>
        </w:rPr>
        <w:t xml:space="preserve"> της συσκευασίας και λοιπές πληροφορίες</w:t>
      </w:r>
    </w:p>
    <w:p w:rsidR="00681191" w:rsidRPr="00FC2F1F" w:rsidRDefault="00681191" w:rsidP="00681191">
      <w:pPr>
        <w:pStyle w:val="Header"/>
        <w:widowControl w:val="0"/>
        <w:tabs>
          <w:tab w:val="clear" w:pos="4153"/>
          <w:tab w:val="clear" w:pos="8306"/>
        </w:tabs>
        <w:spacing w:line="240" w:lineRule="auto"/>
        <w:ind w:left="567" w:hanging="567"/>
        <w:rPr>
          <w:rFonts w:ascii="Times New Roman" w:hAnsi="Times New Roman"/>
          <w:noProof/>
          <w:sz w:val="22"/>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noProof/>
          <w:szCs w:val="22"/>
          <w:lang w:val="el-GR"/>
        </w:rPr>
      </w:pPr>
      <w:r w:rsidRPr="00FC2F1F">
        <w:rPr>
          <w:b/>
          <w:noProof/>
          <w:szCs w:val="22"/>
          <w:lang w:val="el-GR"/>
        </w:rPr>
        <w:t>1.</w:t>
      </w:r>
      <w:r w:rsidRPr="00FC2F1F">
        <w:rPr>
          <w:b/>
          <w:noProof/>
          <w:szCs w:val="22"/>
          <w:lang w:val="el-GR"/>
        </w:rPr>
        <w:tab/>
        <w:t>Τι είναι το Tolucombi και ποια είναι η χρήση του</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noProof/>
          <w:szCs w:val="22"/>
          <w:lang w:val="el-GR"/>
        </w:rPr>
        <w:t xml:space="preserve">Tolucombi </w:t>
      </w:r>
      <w:r w:rsidRPr="00FC2F1F">
        <w:rPr>
          <w:snapToGrid/>
          <w:szCs w:val="22"/>
          <w:lang w:val="el-GR"/>
        </w:rPr>
        <w:t>είναι ένας συνδυασμός δύο δραστικών ουσιών, της τελμισαρτάνης και της υδροχλωροθειαζίδης σε ένα δισκίο. Και οι δύο αυτές ουσίες βοηθούν στον έλεγχο της υψηλής αρτηριακής πίεσης.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 xml:space="preserve">Η τελμισαρτάνη ανήκει σε μία ομάδα φαρμάκων που </w:t>
      </w:r>
      <w:r w:rsidR="0078358E">
        <w:rPr>
          <w:snapToGrid/>
          <w:szCs w:val="22"/>
          <w:lang w:val="el-GR"/>
        </w:rPr>
        <w:t>ονομάζονται</w:t>
      </w:r>
      <w:r w:rsidRPr="00FC2F1F">
        <w:rPr>
          <w:snapToGrid/>
          <w:szCs w:val="22"/>
          <w:lang w:val="el-GR"/>
        </w:rPr>
        <w:t xml:space="preserve"> ανταγωνιστές των υποδοχέων της αγγειοτενσίνης ΙΙ. Η αγγειοτενσίνη ΙΙ είναι μια ουσία που παράγεται στο σώμα σας και </w:t>
      </w:r>
      <w:r w:rsidR="00AF0776">
        <w:rPr>
          <w:snapToGrid/>
          <w:szCs w:val="22"/>
          <w:lang w:val="el-GR"/>
        </w:rPr>
        <w:t>η οποία προκαλεί</w:t>
      </w:r>
      <w:r w:rsidR="0078358E">
        <w:rPr>
          <w:snapToGrid/>
          <w:szCs w:val="22"/>
          <w:lang w:val="el-GR"/>
        </w:rPr>
        <w:t xml:space="preserve"> στένωση των αιμοφόρων</w:t>
      </w:r>
      <w:r w:rsidRPr="00FC2F1F">
        <w:rPr>
          <w:snapToGrid/>
          <w:szCs w:val="22"/>
          <w:lang w:val="el-GR"/>
        </w:rPr>
        <w:t xml:space="preserve"> αγγεί</w:t>
      </w:r>
      <w:r w:rsidR="0078358E">
        <w:rPr>
          <w:snapToGrid/>
          <w:szCs w:val="22"/>
          <w:lang w:val="el-GR"/>
        </w:rPr>
        <w:t>ων</w:t>
      </w:r>
      <w:r w:rsidRPr="00FC2F1F">
        <w:rPr>
          <w:snapToGrid/>
          <w:szCs w:val="22"/>
          <w:lang w:val="el-GR"/>
        </w:rPr>
        <w:t xml:space="preserve"> σας οπότε η αρτηριακή σας πίεση αυξάνεται. Η τελμισαρτάνη </w:t>
      </w:r>
      <w:r w:rsidR="00427B4D">
        <w:rPr>
          <w:snapToGrid/>
          <w:szCs w:val="22"/>
          <w:lang w:val="el-GR"/>
        </w:rPr>
        <w:t>εμποδίζει</w:t>
      </w:r>
      <w:r w:rsidRPr="00FC2F1F">
        <w:rPr>
          <w:snapToGrid/>
          <w:szCs w:val="22"/>
          <w:lang w:val="el-GR"/>
        </w:rPr>
        <w:t xml:space="preserve"> αυτή την επίδραση της αγγειοτενσίνης ΙΙ κάνοντας τα αγγεία σας να χαλαρώνουν, και </w:t>
      </w:r>
      <w:r w:rsidR="002A32A2">
        <w:rPr>
          <w:snapToGrid/>
          <w:szCs w:val="22"/>
          <w:lang w:val="el-GR"/>
        </w:rPr>
        <w:t>τ</w:t>
      </w:r>
      <w:r w:rsidRPr="00FC2F1F">
        <w:rPr>
          <w:snapToGrid/>
          <w:szCs w:val="22"/>
          <w:lang w:val="el-GR"/>
        </w:rPr>
        <w:t>η</w:t>
      </w:r>
      <w:r w:rsidR="002A32A2">
        <w:rPr>
          <w:snapToGrid/>
          <w:szCs w:val="22"/>
          <w:lang w:val="el-GR"/>
        </w:rPr>
        <w:t>ν</w:t>
      </w:r>
      <w:r w:rsidRPr="00FC2F1F">
        <w:rPr>
          <w:snapToGrid/>
          <w:szCs w:val="22"/>
          <w:lang w:val="el-GR"/>
        </w:rPr>
        <w:t xml:space="preserve"> αρτηριακή σας πίεση </w:t>
      </w:r>
      <w:r w:rsidR="002A32A2">
        <w:rPr>
          <w:snapToGrid/>
          <w:szCs w:val="22"/>
          <w:lang w:val="el-GR"/>
        </w:rPr>
        <w:t xml:space="preserve">να </w:t>
      </w:r>
      <w:r w:rsidRPr="00FC2F1F">
        <w:rPr>
          <w:snapToGrid/>
          <w:szCs w:val="22"/>
          <w:lang w:val="el-GR"/>
        </w:rPr>
        <w:t>μειώνεται.</w:t>
      </w:r>
    </w:p>
    <w:p w:rsidR="00681191" w:rsidRPr="00FC2F1F" w:rsidRDefault="00681191" w:rsidP="00681191">
      <w:pPr>
        <w:widowControl w:val="0"/>
        <w:tabs>
          <w:tab w:val="clear" w:pos="567"/>
          <w:tab w:val="left" w:pos="540"/>
        </w:tabs>
        <w:autoSpaceDE w:val="0"/>
        <w:autoSpaceDN w:val="0"/>
        <w:adjustRightInd w:val="0"/>
        <w:spacing w:line="240" w:lineRule="auto"/>
        <w:ind w:left="540" w:hanging="540"/>
        <w:rPr>
          <w:snapToGrid/>
          <w:szCs w:val="22"/>
          <w:lang w:val="el-GR"/>
        </w:rPr>
      </w:pP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Η υδροχλωροθειαζίδη ανήκει σε μία κατηγορία φαρμάκων που ονομάζονται θειαζιδικά διουρητικά, τα οποία προκαλούν αύξηση της διούρησης, η οποία οδηγεί σε μείωση της αρτηριακής σας πίεση</w:t>
      </w:r>
      <w:r w:rsidR="0078358E">
        <w:rPr>
          <w:snapToGrid/>
          <w:szCs w:val="22"/>
          <w:lang w:val="el-GR"/>
        </w:rPr>
        <w:t>ς</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Η υψηλή αρτηριακή πίεση, εάν δε</w:t>
      </w:r>
      <w:r w:rsidR="00091A3D">
        <w:rPr>
          <w:snapToGrid/>
          <w:szCs w:val="22"/>
          <w:lang w:val="el-GR"/>
        </w:rPr>
        <w:t>ν</w:t>
      </w:r>
      <w:r w:rsidRPr="00FC2F1F">
        <w:rPr>
          <w:snapToGrid/>
          <w:szCs w:val="22"/>
          <w:lang w:val="el-GR"/>
        </w:rPr>
        <w:t xml:space="preserve"> </w:t>
      </w:r>
      <w:r w:rsidR="00091A3D">
        <w:rPr>
          <w:snapToGrid/>
          <w:szCs w:val="22"/>
          <w:lang w:val="el-GR"/>
        </w:rPr>
        <w:t xml:space="preserve">αντιμετωπιστεί </w:t>
      </w:r>
      <w:r w:rsidRPr="00FC2F1F">
        <w:rPr>
          <w:snapToGrid/>
          <w:szCs w:val="22"/>
          <w:lang w:val="el-GR"/>
        </w:rPr>
        <w:t>θεραπευ</w:t>
      </w:r>
      <w:r w:rsidR="00091A3D">
        <w:rPr>
          <w:snapToGrid/>
          <w:szCs w:val="22"/>
          <w:lang w:val="el-GR"/>
        </w:rPr>
        <w:t>τικά</w:t>
      </w:r>
      <w:r w:rsidRPr="00FC2F1F">
        <w:rPr>
          <w:snapToGrid/>
          <w:szCs w:val="22"/>
          <w:lang w:val="el-GR"/>
        </w:rPr>
        <w:t>, μπορεί να βλάψει τα αιμοφόρα αγγεία σε διάφορα όργανα, το οποίο μπορεί να οδηγήσει κάποιες φορές σε καρδιακή προσβολή, καρδιακή ή νεφρική ανεπάρκεια, εγκεφαλικό</w:t>
      </w:r>
      <w:r w:rsidR="00091A3D">
        <w:rPr>
          <w:snapToGrid/>
          <w:szCs w:val="22"/>
          <w:lang w:val="el-GR"/>
        </w:rPr>
        <w:t xml:space="preserve"> επεισόδιο</w:t>
      </w:r>
      <w:r w:rsidRPr="00FC2F1F">
        <w:rPr>
          <w:snapToGrid/>
          <w:szCs w:val="22"/>
          <w:lang w:val="el-GR"/>
        </w:rPr>
        <w:t>, ή τύφλωση. Η υψηλή αρτηριακή πίεση συνήθως δεν έχει συμπτώματα πρ</w:t>
      </w:r>
      <w:r w:rsidR="00091A3D">
        <w:rPr>
          <w:snapToGrid/>
          <w:szCs w:val="22"/>
          <w:lang w:val="el-GR"/>
        </w:rPr>
        <w:t>ιν</w:t>
      </w:r>
      <w:r w:rsidRPr="00FC2F1F">
        <w:rPr>
          <w:snapToGrid/>
          <w:szCs w:val="22"/>
          <w:lang w:val="el-GR"/>
        </w:rPr>
        <w:t xml:space="preserve"> </w:t>
      </w:r>
      <w:r w:rsidR="00091A3D">
        <w:rPr>
          <w:snapToGrid/>
          <w:szCs w:val="22"/>
          <w:lang w:val="el-GR"/>
        </w:rPr>
        <w:t>συμβούν</w:t>
      </w:r>
      <w:r w:rsidRPr="00FC2F1F">
        <w:rPr>
          <w:snapToGrid/>
          <w:szCs w:val="22"/>
          <w:lang w:val="el-GR"/>
        </w:rPr>
        <w:t xml:space="preserve"> οι βλάβες. Οπότε είναι σημαντική η τακτική παρακολούθηση της αρτηριακής πίεσης προκειμένου να διαπιστώνεται εάν είναι εντός των φυσιολογικών ορίων.</w:t>
      </w:r>
    </w:p>
    <w:p w:rsidR="00681191" w:rsidRPr="00FC2F1F" w:rsidRDefault="00681191" w:rsidP="00681191">
      <w:pPr>
        <w:widowControl w:val="0"/>
        <w:tabs>
          <w:tab w:val="clear" w:pos="567"/>
        </w:tabs>
        <w:autoSpaceDE w:val="0"/>
        <w:autoSpaceDN w:val="0"/>
        <w:adjustRightInd w:val="0"/>
        <w:spacing w:line="240" w:lineRule="auto"/>
        <w:rPr>
          <w:b/>
          <w:bCs/>
          <w:snapToGrid/>
          <w:szCs w:val="22"/>
          <w:lang w:val="el-GR"/>
        </w:rPr>
      </w:pPr>
    </w:p>
    <w:p w:rsidR="00681191" w:rsidRPr="00FC2F1F" w:rsidRDefault="00681191" w:rsidP="00B754A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Το </w:t>
      </w:r>
      <w:r w:rsidRPr="00FC2F1F">
        <w:rPr>
          <w:b/>
          <w:snapToGrid/>
          <w:szCs w:val="22"/>
          <w:lang w:val="el-GR"/>
        </w:rPr>
        <w:t>Tolucombi (40</w:t>
      </w:r>
      <w:r>
        <w:rPr>
          <w:b/>
          <w:snapToGrid/>
          <w:szCs w:val="22"/>
          <w:lang w:val="el-GR"/>
        </w:rPr>
        <w:t> mg</w:t>
      </w:r>
      <w:r w:rsidRPr="00FC2F1F">
        <w:rPr>
          <w:b/>
          <w:snapToGrid/>
          <w:szCs w:val="22"/>
          <w:lang w:val="el-GR"/>
        </w:rPr>
        <w:t>/12,5</w:t>
      </w:r>
      <w:r>
        <w:rPr>
          <w:b/>
          <w:snapToGrid/>
          <w:szCs w:val="22"/>
          <w:lang w:val="el-GR"/>
        </w:rPr>
        <w:t> mg</w:t>
      </w:r>
      <w:r w:rsidRPr="00FC2F1F">
        <w:rPr>
          <w:b/>
          <w:snapToGrid/>
          <w:szCs w:val="22"/>
          <w:lang w:val="el-GR"/>
        </w:rPr>
        <w:t>, 80</w:t>
      </w:r>
      <w:r>
        <w:rPr>
          <w:b/>
          <w:snapToGrid/>
          <w:szCs w:val="22"/>
          <w:lang w:val="el-GR"/>
        </w:rPr>
        <w:t> mg</w:t>
      </w:r>
      <w:r w:rsidRPr="00FC2F1F">
        <w:rPr>
          <w:b/>
          <w:snapToGrid/>
          <w:szCs w:val="22"/>
          <w:lang w:val="el-GR"/>
        </w:rPr>
        <w:t>/12,5</w:t>
      </w:r>
      <w:r>
        <w:rPr>
          <w:b/>
          <w:snapToGrid/>
          <w:szCs w:val="22"/>
          <w:lang w:val="el-GR"/>
        </w:rPr>
        <w:t> mg</w:t>
      </w:r>
      <w:r w:rsidRPr="00FC2F1F">
        <w:rPr>
          <w:b/>
          <w:snapToGrid/>
          <w:szCs w:val="22"/>
          <w:lang w:val="el-GR"/>
        </w:rPr>
        <w:t>) χρησιμοποιείται ως</w:t>
      </w:r>
      <w:r w:rsidRPr="00FC2F1F">
        <w:rPr>
          <w:snapToGrid/>
          <w:szCs w:val="22"/>
          <w:lang w:val="el-GR"/>
        </w:rPr>
        <w:t xml:space="preserve"> αγωγή για την υψηλή αρτηριακή πίεση (ιδιοπαθής</w:t>
      </w:r>
      <w:r w:rsidR="00091A3D">
        <w:rPr>
          <w:snapToGrid/>
          <w:szCs w:val="22"/>
          <w:lang w:val="el-GR"/>
        </w:rPr>
        <w:t xml:space="preserve"> </w:t>
      </w:r>
      <w:r w:rsidRPr="00FC2F1F">
        <w:rPr>
          <w:snapToGrid/>
          <w:szCs w:val="22"/>
          <w:lang w:val="el-GR"/>
        </w:rPr>
        <w:t>υπέρταση) σε ενήλικες των οποίων η αρτηριακή</w:t>
      </w:r>
      <w:r w:rsidRPr="00FC2F1F">
        <w:rPr>
          <w:noProof/>
          <w:szCs w:val="22"/>
          <w:lang w:val="el-GR"/>
        </w:rPr>
        <w:t xml:space="preserve"> </w:t>
      </w:r>
      <w:r w:rsidR="00FD3095">
        <w:rPr>
          <w:noProof/>
          <w:szCs w:val="22"/>
          <w:lang w:val="el-GR"/>
        </w:rPr>
        <w:t xml:space="preserve">πίεση </w:t>
      </w:r>
      <w:r w:rsidRPr="00FC2F1F">
        <w:rPr>
          <w:noProof/>
          <w:szCs w:val="22"/>
          <w:lang w:val="el-GR"/>
        </w:rPr>
        <w:t>δεν ελέγχεται επαρκώς με τελμισαρτάνη ως μονοθεραπεία.</w:t>
      </w:r>
    </w:p>
    <w:p w:rsidR="00681191" w:rsidRPr="00FC2F1F" w:rsidRDefault="00681191" w:rsidP="00681191">
      <w:pPr>
        <w:widowControl w:val="0"/>
        <w:tabs>
          <w:tab w:val="clear" w:pos="567"/>
        </w:tabs>
        <w:autoSpaceDE w:val="0"/>
        <w:autoSpaceDN w:val="0"/>
        <w:adjustRightInd w:val="0"/>
        <w:spacing w:line="240" w:lineRule="auto"/>
        <w:rPr>
          <w:bCs/>
          <w:noProof/>
          <w:snapToGrid/>
          <w:szCs w:val="22"/>
          <w:lang w:val="el-GR"/>
        </w:rPr>
      </w:pPr>
      <w:r w:rsidRPr="00FC2F1F">
        <w:rPr>
          <w:bCs/>
          <w:noProof/>
          <w:snapToGrid/>
          <w:szCs w:val="22"/>
          <w:lang w:val="el-GR"/>
        </w:rPr>
        <w:t xml:space="preserve">Το </w:t>
      </w:r>
      <w:r w:rsidRPr="00FC2F1F">
        <w:rPr>
          <w:b/>
          <w:bCs/>
          <w:noProof/>
          <w:snapToGrid/>
          <w:szCs w:val="22"/>
          <w:lang w:val="el-GR"/>
        </w:rPr>
        <w:t>Tolucombi (80</w:t>
      </w:r>
      <w:r>
        <w:rPr>
          <w:b/>
          <w:bCs/>
          <w:noProof/>
          <w:snapToGrid/>
          <w:szCs w:val="22"/>
          <w:lang w:val="el-GR"/>
        </w:rPr>
        <w:t> mg</w:t>
      </w:r>
      <w:r w:rsidRPr="00FC2F1F">
        <w:rPr>
          <w:b/>
          <w:bCs/>
          <w:noProof/>
          <w:snapToGrid/>
          <w:szCs w:val="22"/>
          <w:lang w:val="el-GR"/>
        </w:rPr>
        <w:t>/25</w:t>
      </w:r>
      <w:r>
        <w:rPr>
          <w:b/>
          <w:bCs/>
          <w:noProof/>
          <w:snapToGrid/>
          <w:szCs w:val="22"/>
          <w:lang w:val="el-GR"/>
        </w:rPr>
        <w:t> mg</w:t>
      </w:r>
      <w:r w:rsidRPr="00FC2F1F">
        <w:rPr>
          <w:b/>
          <w:bCs/>
          <w:noProof/>
          <w:snapToGrid/>
          <w:szCs w:val="22"/>
          <w:lang w:val="el-GR"/>
        </w:rPr>
        <w:t>) χρησιμοποιείται ως</w:t>
      </w:r>
      <w:r w:rsidRPr="00FC2F1F">
        <w:rPr>
          <w:bCs/>
          <w:noProof/>
          <w:snapToGrid/>
          <w:szCs w:val="22"/>
          <w:lang w:val="el-GR"/>
        </w:rPr>
        <w:t xml:space="preserve"> αγωγή για την υψηλή αρτηριακή πίεση (ιδιοπαθής υπέρταση) σε ενήλικες</w:t>
      </w:r>
      <w:r w:rsidR="00B804BF">
        <w:rPr>
          <w:bCs/>
          <w:noProof/>
          <w:snapToGrid/>
          <w:szCs w:val="22"/>
          <w:lang w:val="el-GR"/>
        </w:rPr>
        <w:t xml:space="preserve"> </w:t>
      </w:r>
      <w:r w:rsidRPr="00FC2F1F">
        <w:rPr>
          <w:bCs/>
          <w:noProof/>
          <w:snapToGrid/>
          <w:szCs w:val="22"/>
          <w:lang w:val="el-GR"/>
        </w:rPr>
        <w:t>των οποίων η αρτηριακή πίεση δεν ελέγχεται ικανοποιητικά με Tolucombi 80</w:t>
      </w:r>
      <w:r>
        <w:rPr>
          <w:bCs/>
          <w:noProof/>
          <w:snapToGrid/>
          <w:szCs w:val="22"/>
          <w:lang w:val="sl-SI"/>
        </w:rPr>
        <w:t> mg</w:t>
      </w:r>
      <w:r w:rsidRPr="00FC2F1F">
        <w:rPr>
          <w:bCs/>
          <w:noProof/>
          <w:snapToGrid/>
          <w:szCs w:val="22"/>
          <w:lang w:val="el-GR"/>
        </w:rPr>
        <w:t>/12,5</w:t>
      </w:r>
      <w:r>
        <w:rPr>
          <w:bCs/>
          <w:noProof/>
          <w:snapToGrid/>
          <w:szCs w:val="22"/>
          <w:lang w:val="sl-SI"/>
        </w:rPr>
        <w:t> mg</w:t>
      </w:r>
      <w:r w:rsidRPr="00FC2F1F">
        <w:rPr>
          <w:bCs/>
          <w:noProof/>
          <w:snapToGrid/>
          <w:szCs w:val="22"/>
          <w:lang w:val="el-GR"/>
        </w:rPr>
        <w:t xml:space="preserve"> ή σε ασθενείς που έχουν προηγουμένως σταθεροποιηθεί με τελμισαρτάνη και υδροχλωρ</w:t>
      </w:r>
      <w:r w:rsidR="00B804BF">
        <w:rPr>
          <w:bCs/>
          <w:noProof/>
          <w:snapToGrid/>
          <w:szCs w:val="22"/>
          <w:lang w:val="el-GR"/>
        </w:rPr>
        <w:t>ο</w:t>
      </w:r>
      <w:r w:rsidRPr="00FC2F1F">
        <w:rPr>
          <w:bCs/>
          <w:noProof/>
          <w:snapToGrid/>
          <w:szCs w:val="22"/>
          <w:lang w:val="el-GR"/>
        </w:rPr>
        <w:t>θειαζίδη που δίδονται χωριστά.</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2.</w:t>
      </w:r>
      <w:r w:rsidRPr="00FC2F1F">
        <w:rPr>
          <w:b/>
          <w:noProof/>
          <w:szCs w:val="22"/>
          <w:lang w:val="el-GR"/>
        </w:rPr>
        <w:tab/>
        <w:t>Τι πρέπει να γνωρίζετε πριν πάρετε το Tolucombi</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szCs w:val="22"/>
          <w:lang w:val="el-GR"/>
        </w:rPr>
      </w:pPr>
      <w:r w:rsidRPr="00FC2F1F">
        <w:rPr>
          <w:b/>
          <w:noProof/>
          <w:szCs w:val="22"/>
          <w:lang w:val="el-GR"/>
        </w:rPr>
        <w:t xml:space="preserve">Μην πάρετε το </w:t>
      </w:r>
      <w:r w:rsidRPr="00FC2F1F">
        <w:rPr>
          <w:b/>
          <w:szCs w:val="22"/>
          <w:lang w:val="el-GR"/>
        </w:rPr>
        <w:t>Tolucombi</w:t>
      </w:r>
      <w:r w:rsidRPr="003D2DCD">
        <w:rPr>
          <w:b/>
          <w:bCs/>
          <w:szCs w:val="22"/>
          <w:lang w:val="el-GR"/>
        </w:rPr>
        <w:t>:</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σε περίπτωση αλλεργίας στη</w:t>
      </w:r>
      <w:r w:rsidR="00B804BF">
        <w:rPr>
          <w:snapToGrid/>
          <w:szCs w:val="22"/>
          <w:lang w:val="el-GR"/>
        </w:rPr>
        <w:t>ν</w:t>
      </w:r>
      <w:r w:rsidRPr="00FC2F1F">
        <w:rPr>
          <w:snapToGrid/>
          <w:szCs w:val="22"/>
          <w:lang w:val="el-GR"/>
        </w:rPr>
        <w:t xml:space="preserve"> τελμισαρτάνη ή σε οποιοδήποτε άλλο από τα συστατικά αυτού του φαρμάκου (αναφέρονται στην παράγραφο 6).</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σε περίπτωση αλλεργίας στην υδροχλωροθειαζίδη ή σε οποιοδήποτε άλλο φάρμακο παράγωγο σουλφοναμίδης.</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εάν έχετε περάσει το πρώτο τρίμηνο της κύησης. (Είναι επίσης προτιμότερο να αποφεύγετε το Tolucombi στην αρχή της κύησης – δείτε την παράγραφο Κύηση).</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εάν έχετε σοβαρά προβλήματα με το ήπαρ σας όπως χολόσταση ή απόφραξη των χοληφόρων (προβλήματα με τη ροή της χολής από το ήπαρ και τη χοληδόχο κύστη) ή οποιαδήποτε άλλη σοβαρή ηπατική νόσο.</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εάν έχετε σοβαρή νεφρική νόσο.</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εάν ο γιατρός σας καθορίσει ότι έχετε χαμηλά επίπεδα καλίου ή υψηλά επίπεδα ασβεστίου στο αίμα σας τα οποία δεν βελτιώνονται με αγωγή.</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77057C">
        <w:rPr>
          <w:snapToGrid/>
          <w:szCs w:val="22"/>
          <w:lang w:val="el-GR"/>
        </w:rPr>
        <w:t xml:space="preserve">εάν έχετε διαβήτη ή διαταραγμένη νεφρική λειτουργία και λαμβάνετε αγωγή με ένα φάρμακο που μειώνει την αρτηριακή </w:t>
      </w:r>
      <w:r>
        <w:rPr>
          <w:snapToGrid/>
          <w:szCs w:val="22"/>
          <w:lang w:val="el-GR"/>
        </w:rPr>
        <w:t>πίεση και περιέχει αλισκιρένη</w:t>
      </w:r>
      <w:r w:rsidRPr="00FC2F1F">
        <w:rPr>
          <w:snapToGrid/>
          <w:szCs w:val="22"/>
          <w:lang w:val="el-GR"/>
        </w:rPr>
        <w:t>.</w:t>
      </w:r>
    </w:p>
    <w:p w:rsidR="00681191" w:rsidRPr="00FC2F1F" w:rsidRDefault="00681191" w:rsidP="00681191">
      <w:pPr>
        <w:widowControl w:val="0"/>
        <w:spacing w:line="240" w:lineRule="auto"/>
        <w:ind w:left="567" w:hanging="567"/>
        <w:jc w:val="both"/>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noProof/>
          <w:szCs w:val="22"/>
          <w:lang w:val="el-GR"/>
        </w:rPr>
        <w:t>Αν κάτι από τα παραπάνω ισχύει για εσάς, ενημερώστε τον γιατρό ή τον φαρμακοποιό σας πριν πάρετε το Tolucombi.</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b/>
          <w:noProof/>
          <w:szCs w:val="22"/>
          <w:lang w:val="el-GR"/>
        </w:rPr>
        <w:t>Προειδοποιήσεις και προφυλάξεις</w:t>
      </w:r>
    </w:p>
    <w:p w:rsidR="00681191" w:rsidRPr="00FC2F1F" w:rsidRDefault="00681191" w:rsidP="00681191">
      <w:pPr>
        <w:widowControl w:val="0"/>
        <w:spacing w:line="240" w:lineRule="auto"/>
        <w:jc w:val="both"/>
        <w:rPr>
          <w:snapToGrid/>
          <w:szCs w:val="22"/>
          <w:lang w:val="el-GR"/>
        </w:rPr>
      </w:pPr>
      <w:r w:rsidRPr="00FC2F1F">
        <w:rPr>
          <w:noProof/>
          <w:szCs w:val="22"/>
          <w:lang w:val="el-GR"/>
        </w:rPr>
        <w:t xml:space="preserve">Απευθυνθείτε στον γιατρό </w:t>
      </w:r>
      <w:r w:rsidRPr="00FC2F1F">
        <w:rPr>
          <w:snapToGrid/>
          <w:szCs w:val="22"/>
          <w:lang w:val="el-GR"/>
        </w:rPr>
        <w:t xml:space="preserve">σας </w:t>
      </w:r>
      <w:r w:rsidR="005339D9">
        <w:rPr>
          <w:snapToGrid/>
          <w:szCs w:val="22"/>
          <w:lang w:val="el-GR"/>
        </w:rPr>
        <w:t xml:space="preserve">πριν πάρετε το </w:t>
      </w:r>
      <w:r w:rsidR="005339D9">
        <w:rPr>
          <w:snapToGrid/>
          <w:szCs w:val="22"/>
          <w:lang w:val="en-US"/>
        </w:rPr>
        <w:t>Tolucombi</w:t>
      </w:r>
      <w:r w:rsidR="005339D9" w:rsidRPr="00B754A1">
        <w:rPr>
          <w:snapToGrid/>
          <w:szCs w:val="22"/>
          <w:lang w:val="el-GR"/>
        </w:rPr>
        <w:t xml:space="preserve"> </w:t>
      </w:r>
      <w:r w:rsidRPr="00FC2F1F">
        <w:rPr>
          <w:snapToGrid/>
          <w:szCs w:val="22"/>
          <w:lang w:val="el-GR"/>
        </w:rPr>
        <w:t>εάν πάσχετε ή εάν είχατε ποτέ εμφανίσει κάποια από τις ακόλουθες καταστάσεις ή νόσους:</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 xml:space="preserve">Χαμηλή αρτηριακή πίεση (υπόταση), πιθανόν να συμβεί εάν έχετε αφυδατωθεί (εκτεταμένη απώλεια υγρών του σώματος) ή έχετε έλλειψη άλατος λόγω διουρητικής αγωγής (‘δισκία νερού’), δίαιτα χαμηλή σε </w:t>
      </w:r>
      <w:r w:rsidR="00D3376B">
        <w:rPr>
          <w:snapToGrid/>
          <w:szCs w:val="22"/>
          <w:lang w:val="el-GR"/>
        </w:rPr>
        <w:t>α</w:t>
      </w:r>
      <w:r w:rsidRPr="00FC2F1F">
        <w:rPr>
          <w:snapToGrid/>
          <w:szCs w:val="22"/>
          <w:lang w:val="el-GR"/>
        </w:rPr>
        <w:t>λ</w:t>
      </w:r>
      <w:r w:rsidR="00D3376B">
        <w:rPr>
          <w:snapToGrid/>
          <w:szCs w:val="22"/>
          <w:lang w:val="el-GR"/>
        </w:rPr>
        <w:t>ά</w:t>
      </w:r>
      <w:r w:rsidRPr="00FC2F1F">
        <w:rPr>
          <w:snapToGrid/>
          <w:szCs w:val="22"/>
          <w:lang w:val="el-GR"/>
        </w:rPr>
        <w:t>τ</w:t>
      </w:r>
      <w:r w:rsidR="00D3376B">
        <w:rPr>
          <w:snapToGrid/>
          <w:szCs w:val="22"/>
          <w:lang w:val="el-GR"/>
        </w:rPr>
        <w:t>ι</w:t>
      </w:r>
      <w:r w:rsidRPr="00FC2F1F">
        <w:rPr>
          <w:snapToGrid/>
          <w:szCs w:val="22"/>
          <w:lang w:val="el-GR"/>
        </w:rPr>
        <w:t>, διάρροια, έμετο, ή αιμοκάθαρση.</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Νεφρική νόσο ή μεταμόσχευση νεφρού.</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Στένωση νεφρική αρτηρίας (στένωση των αιμοφόρων αγγείων σε έναν ή και στους δύο νεφρούς).</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Ηπατική νόσο.</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Καρδιακό πρόβλημα.</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Διαβήτη.</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Ουρική αρθρίτιδα.</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Υψηλά επίπεδα αλδοστερόνης (κατακράτηση ύδατος και άλατος στο σώμα σε συνδυασμό με διαταραχή της ισορροπίας διαφόρων ιχνοστοιχείων του αίματος).</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 xml:space="preserve">Συστηματικό ερυθηματώδη λύκο (αναφέρεται επίσης, ως «λύκος» ή «SLE») μία νόσος </w:t>
      </w:r>
      <w:r w:rsidR="00BC2C71">
        <w:rPr>
          <w:snapToGrid/>
          <w:szCs w:val="22"/>
          <w:lang w:val="el-GR"/>
        </w:rPr>
        <w:t>ό</w:t>
      </w:r>
      <w:r w:rsidRPr="00FC2F1F">
        <w:rPr>
          <w:snapToGrid/>
          <w:szCs w:val="22"/>
          <w:lang w:val="el-GR"/>
        </w:rPr>
        <w:t>που το ανοσοποιητικό σύστημα του οργανισμού επιτίθεται στον ίδιο τον οργανισμό.</w:t>
      </w:r>
    </w:p>
    <w:p w:rsidR="00681191" w:rsidRDefault="005339D9"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Pr>
          <w:snapToGrid/>
          <w:szCs w:val="22"/>
          <w:lang w:val="el-GR"/>
        </w:rPr>
        <w:t>Η</w:t>
      </w:r>
      <w:r w:rsidR="00681191" w:rsidRPr="00FC2F1F">
        <w:rPr>
          <w:snapToGrid/>
          <w:szCs w:val="22"/>
          <w:lang w:val="el-GR"/>
        </w:rPr>
        <w:t xml:space="preserve"> δραστικ</w:t>
      </w:r>
      <w:r>
        <w:rPr>
          <w:snapToGrid/>
          <w:szCs w:val="22"/>
          <w:lang w:val="el-GR"/>
        </w:rPr>
        <w:t>ή</w:t>
      </w:r>
      <w:r w:rsidR="00681191" w:rsidRPr="00FC2F1F">
        <w:rPr>
          <w:snapToGrid/>
          <w:szCs w:val="22"/>
          <w:lang w:val="el-GR"/>
        </w:rPr>
        <w:t xml:space="preserve"> </w:t>
      </w:r>
      <w:r>
        <w:rPr>
          <w:snapToGrid/>
          <w:szCs w:val="22"/>
          <w:lang w:val="el-GR"/>
        </w:rPr>
        <w:t>ουσία</w:t>
      </w:r>
      <w:r w:rsidR="00681191" w:rsidRPr="00FC2F1F">
        <w:rPr>
          <w:snapToGrid/>
          <w:szCs w:val="22"/>
          <w:lang w:val="el-GR"/>
        </w:rPr>
        <w:t xml:space="preserve"> υδροχλωροθειαζίδη μπορεί να προκαλέσει μια ασυνήθιστη αντίδραση, που επιφέρει μείωση στην όραση και πόνο στ</w:t>
      </w:r>
      <w:r w:rsidR="00BC2C71">
        <w:rPr>
          <w:snapToGrid/>
          <w:szCs w:val="22"/>
          <w:lang w:val="el-GR"/>
        </w:rPr>
        <w:t>α μάτια</w:t>
      </w:r>
      <w:r w:rsidR="00681191" w:rsidRPr="00FC2F1F">
        <w:rPr>
          <w:snapToGrid/>
          <w:szCs w:val="22"/>
          <w:lang w:val="el-GR"/>
        </w:rPr>
        <w:t xml:space="preserve">. Αυτά </w:t>
      </w:r>
      <w:r w:rsidR="002F5711">
        <w:rPr>
          <w:snapToGrid/>
          <w:szCs w:val="22"/>
          <w:lang w:val="el-GR"/>
        </w:rPr>
        <w:t xml:space="preserve">θα </w:t>
      </w:r>
      <w:r w:rsidR="00681191" w:rsidRPr="00FC2F1F">
        <w:rPr>
          <w:snapToGrid/>
          <w:szCs w:val="22"/>
          <w:lang w:val="el-GR"/>
        </w:rPr>
        <w:t>μπορ</w:t>
      </w:r>
      <w:r w:rsidR="002F5711">
        <w:rPr>
          <w:snapToGrid/>
          <w:szCs w:val="22"/>
          <w:lang w:val="el-GR"/>
        </w:rPr>
        <w:t>ούσαν</w:t>
      </w:r>
      <w:r w:rsidR="00681191" w:rsidRPr="00FC2F1F">
        <w:rPr>
          <w:snapToGrid/>
          <w:szCs w:val="22"/>
          <w:lang w:val="el-GR"/>
        </w:rPr>
        <w:t xml:space="preserve"> να είναι συμπτώματα </w:t>
      </w:r>
      <w:r w:rsidR="002F5711">
        <w:rPr>
          <w:bCs/>
          <w:szCs w:val="22"/>
          <w:shd w:val="clear" w:color="auto" w:fill="FFFFFF"/>
          <w:lang w:val="el-GR"/>
        </w:rPr>
        <w:t>συσσώρευσης υγρού στην αγγειακή στιβάδα του οφθαλμού (αποκόλληση χοριοειδούς) ή</w:t>
      </w:r>
      <w:r w:rsidR="00681191" w:rsidRPr="00FC2F1F">
        <w:rPr>
          <w:snapToGrid/>
          <w:szCs w:val="22"/>
          <w:lang w:val="el-GR"/>
        </w:rPr>
        <w:t xml:space="preserve"> αύξησης της πίεσης </w:t>
      </w:r>
      <w:r w:rsidR="00E0688F">
        <w:rPr>
          <w:snapToGrid/>
          <w:szCs w:val="22"/>
          <w:lang w:val="el-GR"/>
        </w:rPr>
        <w:t>στο</w:t>
      </w:r>
      <w:r w:rsidR="00BC2C71">
        <w:rPr>
          <w:snapToGrid/>
          <w:szCs w:val="22"/>
          <w:lang w:val="el-GR"/>
        </w:rPr>
        <w:t xml:space="preserve"> μ</w:t>
      </w:r>
      <w:r w:rsidR="00E0688F">
        <w:rPr>
          <w:snapToGrid/>
          <w:szCs w:val="22"/>
          <w:lang w:val="el-GR"/>
        </w:rPr>
        <w:t>ά</w:t>
      </w:r>
      <w:r w:rsidR="00BC2C71">
        <w:rPr>
          <w:snapToGrid/>
          <w:szCs w:val="22"/>
          <w:lang w:val="el-GR"/>
        </w:rPr>
        <w:t>τι</w:t>
      </w:r>
      <w:r w:rsidR="00681191" w:rsidRPr="00FC2F1F">
        <w:rPr>
          <w:snapToGrid/>
          <w:szCs w:val="22"/>
          <w:lang w:val="el-GR"/>
        </w:rPr>
        <w:t xml:space="preserve"> </w:t>
      </w:r>
      <w:r w:rsidR="00E0688F">
        <w:rPr>
          <w:snapToGrid/>
          <w:szCs w:val="22"/>
          <w:lang w:val="el-GR"/>
        </w:rPr>
        <w:t xml:space="preserve">σας </w:t>
      </w:r>
      <w:r w:rsidR="00681191" w:rsidRPr="00FC2F1F">
        <w:rPr>
          <w:snapToGrid/>
          <w:szCs w:val="22"/>
          <w:lang w:val="el-GR"/>
        </w:rPr>
        <w:t xml:space="preserve">και μπορεί να παρουσιαστούν εντός ωρών </w:t>
      </w:r>
      <w:r w:rsidR="00BC2C71">
        <w:rPr>
          <w:snapToGrid/>
          <w:szCs w:val="22"/>
          <w:lang w:val="el-GR"/>
        </w:rPr>
        <w:t>έως</w:t>
      </w:r>
      <w:r w:rsidR="00681191" w:rsidRPr="00FC2F1F">
        <w:rPr>
          <w:snapToGrid/>
          <w:szCs w:val="22"/>
          <w:lang w:val="el-GR"/>
        </w:rPr>
        <w:t xml:space="preserve"> εβδομάδων μετά τη λήψη του Tolucombi. Αυτό μπορεί να οδηγήσει σε μόνιμη απώλεια όρασης, εάν δεν αντιμετωπισ</w:t>
      </w:r>
      <w:r w:rsidR="00E0688F">
        <w:rPr>
          <w:snapToGrid/>
          <w:szCs w:val="22"/>
          <w:lang w:val="el-GR"/>
        </w:rPr>
        <w:t>τ</w:t>
      </w:r>
      <w:r w:rsidR="00681191" w:rsidRPr="00FC2F1F">
        <w:rPr>
          <w:snapToGrid/>
          <w:szCs w:val="22"/>
          <w:lang w:val="el-GR"/>
        </w:rPr>
        <w:t>εί</w:t>
      </w:r>
      <w:r w:rsidR="00E0688F">
        <w:rPr>
          <w:snapToGrid/>
          <w:szCs w:val="22"/>
          <w:lang w:val="el-GR"/>
        </w:rPr>
        <w:t xml:space="preserve"> θεραπευτικά</w:t>
      </w:r>
      <w:r w:rsidR="00681191" w:rsidRPr="00FC2F1F">
        <w:rPr>
          <w:snapToGrid/>
          <w:szCs w:val="22"/>
          <w:lang w:val="el-GR"/>
        </w:rPr>
        <w:t>.</w:t>
      </w:r>
    </w:p>
    <w:p w:rsidR="00FD3095" w:rsidRPr="00FC2F1F" w:rsidRDefault="00FD3095"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Pr>
          <w:szCs w:val="22"/>
          <w:lang w:val="el-GR"/>
        </w:rPr>
        <w:t>εά</w:t>
      </w:r>
      <w:r w:rsidRPr="00F41A29">
        <w:rPr>
          <w:szCs w:val="22"/>
          <w:lang w:val="el-GR"/>
        </w:rPr>
        <w:t xml:space="preserve">ν είχατε εμφανίσει καρκίνο του δέρματος στο παρελθόν ή </w:t>
      </w:r>
      <w:r>
        <w:rPr>
          <w:szCs w:val="22"/>
          <w:lang w:val="el-GR"/>
        </w:rPr>
        <w:t>εά</w:t>
      </w:r>
      <w:r w:rsidRPr="00F41A29">
        <w:rPr>
          <w:szCs w:val="22"/>
          <w:lang w:val="el-GR"/>
        </w:rPr>
        <w:t xml:space="preserve">ν εκδηλώσετε μη αναμενόμενες δερματικές βλάβες κατά τη διάρκεια της θεραπείας. Η θεραπεία με υδροχλωροθειαζίδη, ιδίως για μακροχρόνια χρήση σε υψηλές δόσεις, ενδέχεται να αυξήσει τον κίνδυνο εμφάνισης ορισμένων τύπων καρκίνου του δέρματος και των χειλιών (μη μελανωματικός καρκίνος του δέρματος). Προστατεύετε το δέρμα σας από την ηλιακή και την υπεριώδη ακτινοβολία κατά τη </w:t>
      </w:r>
      <w:r>
        <w:rPr>
          <w:szCs w:val="22"/>
          <w:lang w:val="el-GR"/>
        </w:rPr>
        <w:t xml:space="preserve">λήψη </w:t>
      </w:r>
      <w:r w:rsidRPr="00F41A29">
        <w:rPr>
          <w:szCs w:val="22"/>
          <w:lang w:val="el-GR"/>
        </w:rPr>
        <w:t>του</w:t>
      </w:r>
      <w:r>
        <w:rPr>
          <w:szCs w:val="22"/>
          <w:lang w:val="el-GR"/>
        </w:rPr>
        <w:t xml:space="preserve"> </w:t>
      </w:r>
      <w:r>
        <w:rPr>
          <w:snapToGrid/>
          <w:szCs w:val="22"/>
          <w:lang w:val="en-US"/>
        </w:rPr>
        <w:t>Tolucombi</w:t>
      </w:r>
      <w:r w:rsidR="00F903B6">
        <w:rPr>
          <w:snapToGrid/>
          <w:szCs w:val="22"/>
          <w:lang w:val="el-GR"/>
        </w:rPr>
        <w:t>.</w:t>
      </w:r>
    </w:p>
    <w:p w:rsidR="00681191" w:rsidRPr="00FC2F1F" w:rsidRDefault="00681191" w:rsidP="00681191">
      <w:pPr>
        <w:widowControl w:val="0"/>
        <w:spacing w:line="240" w:lineRule="auto"/>
        <w:ind w:left="567" w:hanging="567"/>
        <w:jc w:val="both"/>
        <w:rPr>
          <w:noProof/>
          <w:szCs w:val="22"/>
          <w:lang w:val="el-GR"/>
        </w:rPr>
      </w:pPr>
    </w:p>
    <w:p w:rsidR="00681191" w:rsidRPr="00FC2F1F" w:rsidRDefault="00681191" w:rsidP="00681191">
      <w:pPr>
        <w:widowControl w:val="0"/>
        <w:spacing w:line="240" w:lineRule="auto"/>
        <w:ind w:left="567" w:hanging="567"/>
        <w:jc w:val="both"/>
        <w:rPr>
          <w:noProof/>
          <w:szCs w:val="22"/>
          <w:lang w:val="el-GR"/>
        </w:rPr>
      </w:pPr>
      <w:r w:rsidRPr="00FC2F1F">
        <w:rPr>
          <w:noProof/>
          <w:szCs w:val="22"/>
          <w:lang w:val="el-GR"/>
        </w:rPr>
        <w:t xml:space="preserve">Απευθυνθείτε στον γιατρό σας </w:t>
      </w:r>
      <w:r w:rsidR="005339D9">
        <w:rPr>
          <w:noProof/>
          <w:szCs w:val="22"/>
          <w:lang w:val="el-GR"/>
        </w:rPr>
        <w:t>πριν</w:t>
      </w:r>
      <w:r w:rsidRPr="00FC2F1F">
        <w:rPr>
          <w:noProof/>
          <w:szCs w:val="22"/>
          <w:lang w:val="el-GR"/>
        </w:rPr>
        <w:t xml:space="preserve"> πάρετε το Tolucombi</w:t>
      </w:r>
      <w:r w:rsidR="005339D9">
        <w:rPr>
          <w:noProof/>
          <w:szCs w:val="22"/>
          <w:lang w:val="el-GR"/>
        </w:rPr>
        <w:t>, εάν παίρνετε</w:t>
      </w:r>
      <w:r w:rsidRPr="00FC2F1F">
        <w:rPr>
          <w:noProof/>
          <w:szCs w:val="22"/>
          <w:lang w:val="el-GR"/>
        </w:rPr>
        <w:t>:</w:t>
      </w:r>
    </w:p>
    <w:p w:rsidR="00681191" w:rsidRPr="00311F0B" w:rsidRDefault="00681191" w:rsidP="00681191">
      <w:pPr>
        <w:widowControl w:val="0"/>
        <w:numPr>
          <w:ilvl w:val="0"/>
          <w:numId w:val="5"/>
        </w:numPr>
        <w:tabs>
          <w:tab w:val="clear" w:pos="720"/>
          <w:tab w:val="num" w:pos="567"/>
        </w:tabs>
        <w:spacing w:line="240" w:lineRule="auto"/>
        <w:ind w:left="567" w:hanging="567"/>
        <w:jc w:val="both"/>
        <w:rPr>
          <w:noProof/>
          <w:szCs w:val="22"/>
          <w:lang w:val="el-GR"/>
        </w:rPr>
      </w:pPr>
      <w:r w:rsidRPr="00FC2F1F">
        <w:rPr>
          <w:noProof/>
          <w:szCs w:val="22"/>
          <w:lang w:val="el-GR"/>
        </w:rPr>
        <w:t>διγοξίνη.</w:t>
      </w:r>
    </w:p>
    <w:p w:rsidR="00681191" w:rsidRPr="00311F0B" w:rsidRDefault="00681191" w:rsidP="00681191">
      <w:pPr>
        <w:widowControl w:val="0"/>
        <w:numPr>
          <w:ilvl w:val="0"/>
          <w:numId w:val="5"/>
        </w:numPr>
        <w:tabs>
          <w:tab w:val="clear" w:pos="720"/>
          <w:tab w:val="num" w:pos="567"/>
        </w:tabs>
        <w:spacing w:line="240" w:lineRule="auto"/>
        <w:ind w:left="567" w:hanging="567"/>
        <w:jc w:val="both"/>
        <w:rPr>
          <w:noProof/>
          <w:szCs w:val="22"/>
          <w:lang w:val="el-GR"/>
        </w:rPr>
      </w:pPr>
      <w:r w:rsidRPr="0077057C">
        <w:rPr>
          <w:noProof/>
          <w:szCs w:val="22"/>
          <w:lang w:val="el-GR"/>
        </w:rPr>
        <w:t>οποιοδήποτε από τα παρακάτω φάρμακα που χρησιμοποιούνται για τη θεραπεία της υψηλής αρτηριακής πίεσης:</w:t>
      </w:r>
    </w:p>
    <w:p w:rsidR="00681191" w:rsidRPr="0077057C" w:rsidRDefault="00681191" w:rsidP="00681191">
      <w:pPr>
        <w:widowControl w:val="0"/>
        <w:numPr>
          <w:ilvl w:val="0"/>
          <w:numId w:val="5"/>
        </w:numPr>
        <w:tabs>
          <w:tab w:val="clear" w:pos="567"/>
          <w:tab w:val="clear" w:pos="720"/>
          <w:tab w:val="left" w:pos="1134"/>
        </w:tabs>
        <w:spacing w:line="240" w:lineRule="auto"/>
        <w:ind w:left="1134" w:hanging="567"/>
        <w:jc w:val="both"/>
        <w:rPr>
          <w:noProof/>
          <w:szCs w:val="22"/>
          <w:lang w:val="el-GR"/>
        </w:rPr>
      </w:pPr>
      <w:r w:rsidRPr="0077057C">
        <w:rPr>
          <w:noProof/>
          <w:szCs w:val="22"/>
          <w:lang w:val="el-GR"/>
        </w:rPr>
        <w:t>έναν αναστολέα ΜΕΑ (για παράδειγμα εναλαπρίλη, λισινοπρίλη, ραμιπρίλη), ιδιαίτερα εάν έχετε νεφρικά προβλήματα που σχετίζονται με διαβήτη.</w:t>
      </w:r>
    </w:p>
    <w:p w:rsidR="00681191" w:rsidRPr="00311F0B" w:rsidRDefault="005339D9" w:rsidP="00681191">
      <w:pPr>
        <w:widowControl w:val="0"/>
        <w:numPr>
          <w:ilvl w:val="0"/>
          <w:numId w:val="5"/>
        </w:numPr>
        <w:tabs>
          <w:tab w:val="clear" w:pos="567"/>
          <w:tab w:val="clear" w:pos="720"/>
          <w:tab w:val="num" w:pos="1134"/>
        </w:tabs>
        <w:spacing w:line="240" w:lineRule="auto"/>
        <w:ind w:left="1134" w:hanging="567"/>
        <w:jc w:val="both"/>
        <w:rPr>
          <w:noProof/>
          <w:szCs w:val="22"/>
          <w:lang w:val="el-GR"/>
        </w:rPr>
      </w:pPr>
      <w:r>
        <w:rPr>
          <w:noProof/>
          <w:szCs w:val="22"/>
          <w:lang w:val="el-GR"/>
        </w:rPr>
        <w:t>α</w:t>
      </w:r>
      <w:r w:rsidR="00681191" w:rsidRPr="00311F0B">
        <w:rPr>
          <w:noProof/>
          <w:szCs w:val="22"/>
          <w:lang w:val="el-GR"/>
        </w:rPr>
        <w:t>λισκιρένη</w:t>
      </w:r>
      <w:r w:rsidR="00681191">
        <w:rPr>
          <w:noProof/>
          <w:szCs w:val="22"/>
          <w:lang w:val="sl-SI"/>
        </w:rPr>
        <w:t>.</w:t>
      </w:r>
    </w:p>
    <w:p w:rsidR="00681191" w:rsidRPr="00FC2F1F" w:rsidRDefault="00681191" w:rsidP="00681191">
      <w:pPr>
        <w:widowControl w:val="0"/>
        <w:spacing w:line="240" w:lineRule="auto"/>
        <w:ind w:left="567" w:hanging="567"/>
        <w:jc w:val="both"/>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Θα πρέπει να αναφέρετε στον γιατρό σας εάν νομίζετε ότι είσ</w:t>
      </w:r>
      <w:r w:rsidR="005339D9">
        <w:rPr>
          <w:snapToGrid/>
          <w:szCs w:val="22"/>
          <w:lang w:val="el-GR"/>
        </w:rPr>
        <w:t>τ</w:t>
      </w:r>
      <w:r w:rsidRPr="00FC2F1F">
        <w:rPr>
          <w:snapToGrid/>
          <w:szCs w:val="22"/>
          <w:lang w:val="el-GR"/>
        </w:rPr>
        <w:t>ε (</w:t>
      </w:r>
      <w:r w:rsidRPr="00FC2F1F">
        <w:rPr>
          <w:snapToGrid/>
          <w:szCs w:val="22"/>
          <w:u w:val="single"/>
          <w:lang w:val="el-GR"/>
        </w:rPr>
        <w:t>ή μπορεί να μείνετε</w:t>
      </w:r>
      <w:r w:rsidRPr="00FC2F1F">
        <w:rPr>
          <w:snapToGrid/>
          <w:szCs w:val="22"/>
          <w:lang w:val="el-GR"/>
        </w:rPr>
        <w:t xml:space="preserve">) έγκυος. Το </w:t>
      </w:r>
      <w:r w:rsidRPr="00FC2F1F">
        <w:rPr>
          <w:szCs w:val="22"/>
          <w:lang w:val="el-GR"/>
        </w:rPr>
        <w:t xml:space="preserve">Tolucombi </w:t>
      </w:r>
      <w:r w:rsidRPr="00FC2F1F">
        <w:rPr>
          <w:snapToGrid/>
          <w:szCs w:val="22"/>
          <w:lang w:val="el-GR"/>
        </w:rPr>
        <w:t>δε</w:t>
      </w:r>
      <w:r w:rsidR="00BC2C71">
        <w:rPr>
          <w:snapToGrid/>
          <w:szCs w:val="22"/>
          <w:lang w:val="el-GR"/>
        </w:rPr>
        <w:t>ν</w:t>
      </w:r>
      <w:r w:rsidRPr="00FC2F1F">
        <w:rPr>
          <w:snapToGrid/>
          <w:szCs w:val="22"/>
          <w:lang w:val="el-GR"/>
        </w:rPr>
        <w:t xml:space="preserve"> συνιστάται στην αρχή της κύησης, και δε</w:t>
      </w:r>
      <w:r w:rsidR="00BC2C71">
        <w:rPr>
          <w:snapToGrid/>
          <w:szCs w:val="22"/>
          <w:lang w:val="el-GR"/>
        </w:rPr>
        <w:t>ν</w:t>
      </w:r>
      <w:r w:rsidRPr="00FC2F1F">
        <w:rPr>
          <w:snapToGrid/>
          <w:szCs w:val="22"/>
          <w:lang w:val="el-GR"/>
        </w:rPr>
        <w:t xml:space="preserve"> θα πρέπει να λαμβάνεται εάν έχετε περάσει το πρώτο τρίμηνο της κύησης, καθώς μπορεί να προκαλέσει σοβαρή βλάβη στο </w:t>
      </w:r>
      <w:r w:rsidR="00BC2C71">
        <w:rPr>
          <w:snapToGrid/>
          <w:szCs w:val="22"/>
          <w:lang w:val="el-GR"/>
        </w:rPr>
        <w:t>μωρό</w:t>
      </w:r>
      <w:r w:rsidRPr="00FC2F1F">
        <w:rPr>
          <w:snapToGrid/>
          <w:szCs w:val="22"/>
          <w:lang w:val="el-GR"/>
        </w:rPr>
        <w:t xml:space="preserve"> σας εάν χρησιμοποιηθεί σε αυτό το στάδιο (δείτε την παράγραφο Κύηση).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αγωγή με υδροχλωροθειαζίδη μπορεί να προκαλέσει διαταραχή </w:t>
      </w:r>
      <w:r w:rsidR="00E91573">
        <w:rPr>
          <w:snapToGrid/>
          <w:szCs w:val="22"/>
          <w:lang w:val="el-GR"/>
        </w:rPr>
        <w:t xml:space="preserve">του ισοζυγίου </w:t>
      </w:r>
      <w:r w:rsidRPr="00FC2F1F">
        <w:rPr>
          <w:snapToGrid/>
          <w:szCs w:val="22"/>
          <w:lang w:val="el-GR"/>
        </w:rPr>
        <w:t xml:space="preserve">των ηλεκτρολυτών </w:t>
      </w:r>
      <w:r w:rsidR="00E91573">
        <w:rPr>
          <w:snapToGrid/>
          <w:szCs w:val="22"/>
          <w:lang w:val="el-GR"/>
        </w:rPr>
        <w:t>σ</w:t>
      </w:r>
      <w:r w:rsidRPr="00FC2F1F">
        <w:rPr>
          <w:snapToGrid/>
          <w:szCs w:val="22"/>
          <w:lang w:val="el-GR"/>
        </w:rPr>
        <w:t>το</w:t>
      </w:r>
      <w:r w:rsidR="00E91573">
        <w:rPr>
          <w:snapToGrid/>
          <w:szCs w:val="22"/>
          <w:lang w:val="el-GR"/>
        </w:rPr>
        <w:t>ν</w:t>
      </w:r>
      <w:r w:rsidRPr="00FC2F1F">
        <w:rPr>
          <w:snapToGrid/>
          <w:szCs w:val="22"/>
          <w:lang w:val="el-GR"/>
        </w:rPr>
        <w:t xml:space="preserve"> οργανισμ</w:t>
      </w:r>
      <w:r w:rsidR="00E91573">
        <w:rPr>
          <w:snapToGrid/>
          <w:szCs w:val="22"/>
          <w:lang w:val="el-GR"/>
        </w:rPr>
        <w:t>ό σας</w:t>
      </w:r>
      <w:r w:rsidRPr="00FC2F1F">
        <w:rPr>
          <w:snapToGrid/>
          <w:szCs w:val="22"/>
          <w:lang w:val="el-GR"/>
        </w:rPr>
        <w:t xml:space="preserve">. Τυπικά συμπτώματα διαταραχής </w:t>
      </w:r>
      <w:r w:rsidR="00E91573">
        <w:rPr>
          <w:snapToGrid/>
          <w:szCs w:val="22"/>
          <w:lang w:val="el-GR"/>
        </w:rPr>
        <w:t xml:space="preserve">του ισοζυγίου </w:t>
      </w:r>
      <w:r w:rsidRPr="00FC2F1F">
        <w:rPr>
          <w:snapToGrid/>
          <w:szCs w:val="22"/>
          <w:lang w:val="el-GR"/>
        </w:rPr>
        <w:t xml:space="preserve">των υγρών ή </w:t>
      </w:r>
      <w:r w:rsidR="00306A90">
        <w:rPr>
          <w:snapToGrid/>
          <w:szCs w:val="22"/>
          <w:lang w:val="el-GR"/>
        </w:rPr>
        <w:t xml:space="preserve">των </w:t>
      </w:r>
      <w:r w:rsidRPr="00FC2F1F">
        <w:rPr>
          <w:snapToGrid/>
          <w:szCs w:val="22"/>
          <w:lang w:val="el-GR"/>
        </w:rPr>
        <w:t xml:space="preserve">ηλεκτρολυτών περιλαμβάνουν ξηροστομία, </w:t>
      </w:r>
      <w:r w:rsidR="00306A90">
        <w:rPr>
          <w:snapToGrid/>
          <w:szCs w:val="22"/>
          <w:lang w:val="el-GR"/>
        </w:rPr>
        <w:t>αδυναμία</w:t>
      </w:r>
      <w:r w:rsidRPr="00FC2F1F">
        <w:rPr>
          <w:snapToGrid/>
          <w:szCs w:val="22"/>
          <w:lang w:val="el-GR"/>
        </w:rPr>
        <w:t xml:space="preserve">, λήθαργο, υπνηλία, </w:t>
      </w:r>
      <w:r w:rsidR="00306A90">
        <w:rPr>
          <w:snapToGrid/>
          <w:szCs w:val="22"/>
          <w:lang w:val="el-GR"/>
        </w:rPr>
        <w:t>ανησυχία</w:t>
      </w:r>
      <w:r w:rsidRPr="00FC2F1F">
        <w:rPr>
          <w:snapToGrid/>
          <w:szCs w:val="22"/>
          <w:lang w:val="el-GR"/>
        </w:rPr>
        <w:t xml:space="preserve">, μυϊκό πόνο ή κράμπες, ναυτία (τάση προς έμετο), έμετο, κόπωση των μυών, και </w:t>
      </w:r>
      <w:r w:rsidR="00CE1000">
        <w:rPr>
          <w:snapToGrid/>
          <w:szCs w:val="22"/>
          <w:lang w:val="el-GR"/>
        </w:rPr>
        <w:t>μη φυσιολογικά</w:t>
      </w:r>
      <w:r w:rsidRPr="00FC2F1F">
        <w:rPr>
          <w:snapToGrid/>
          <w:szCs w:val="22"/>
          <w:lang w:val="el-GR"/>
        </w:rPr>
        <w:t xml:space="preserve"> γρήγορο καρδιακό ρυθμό (γρηγορότερο από 100 παλμούς ανά λεπτό). Εάν εμφανίσετε κάτι από αυτά θα πρέπει να το αναφέρετε στον γιατρό σας.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Θα πρέπει επίσης να αναφέρετε στον γιατρό σας, εάν παρατηρήσετε αυξημένη ευαισθησία του δέρματος στον ήλιο με συμπτώματα ηλιακού εγκαύματος (όπως </w:t>
      </w:r>
      <w:r w:rsidR="00CE1000">
        <w:rPr>
          <w:snapToGrid/>
          <w:szCs w:val="22"/>
          <w:lang w:val="el-GR"/>
        </w:rPr>
        <w:t>κοκκίνισμα</w:t>
      </w:r>
      <w:r w:rsidRPr="00FC2F1F">
        <w:rPr>
          <w:snapToGrid/>
          <w:szCs w:val="22"/>
          <w:lang w:val="el-GR"/>
        </w:rPr>
        <w:t xml:space="preserve">, </w:t>
      </w:r>
      <w:r w:rsidR="00CE1000">
        <w:rPr>
          <w:snapToGrid/>
          <w:szCs w:val="22"/>
          <w:lang w:val="el-GR"/>
        </w:rPr>
        <w:t>φαγούρα</w:t>
      </w:r>
      <w:r w:rsidRPr="00FC2F1F">
        <w:rPr>
          <w:snapToGrid/>
          <w:szCs w:val="22"/>
          <w:lang w:val="el-GR"/>
        </w:rPr>
        <w:t xml:space="preserve">, </w:t>
      </w:r>
      <w:r w:rsidR="00CE1000">
        <w:rPr>
          <w:snapToGrid/>
          <w:szCs w:val="22"/>
          <w:lang w:val="el-GR"/>
        </w:rPr>
        <w:t>πρήξιμο</w:t>
      </w:r>
      <w:r w:rsidRPr="00FC2F1F">
        <w:rPr>
          <w:snapToGrid/>
          <w:szCs w:val="22"/>
          <w:lang w:val="el-GR"/>
        </w:rPr>
        <w:t>, φ</w:t>
      </w:r>
      <w:r w:rsidR="00CE1000">
        <w:rPr>
          <w:snapToGrid/>
          <w:szCs w:val="22"/>
          <w:lang w:val="el-GR"/>
        </w:rPr>
        <w:t>ουσκάλες</w:t>
      </w:r>
      <w:r w:rsidRPr="00FC2F1F">
        <w:rPr>
          <w:snapToGrid/>
          <w:szCs w:val="22"/>
          <w:lang w:val="el-GR"/>
        </w:rPr>
        <w:t>)</w:t>
      </w:r>
      <w:r w:rsidR="00E91573">
        <w:rPr>
          <w:snapToGrid/>
          <w:szCs w:val="22"/>
          <w:lang w:val="el-GR"/>
        </w:rPr>
        <w:t>,</w:t>
      </w:r>
      <w:r w:rsidRPr="00FC2F1F">
        <w:rPr>
          <w:snapToGrid/>
          <w:szCs w:val="22"/>
          <w:lang w:val="el-GR"/>
        </w:rPr>
        <w:t xml:space="preserve"> η οποία συμβαίνει ταχύτερα από το συνηθισμένο.</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περίπτωση χειρουργ</w:t>
      </w:r>
      <w:r w:rsidR="00AD5EB5">
        <w:rPr>
          <w:snapToGrid/>
          <w:szCs w:val="22"/>
          <w:lang w:val="el-GR"/>
        </w:rPr>
        <w:t>ικής επέμβασης</w:t>
      </w:r>
      <w:r w:rsidRPr="00FC2F1F">
        <w:rPr>
          <w:snapToGrid/>
          <w:szCs w:val="22"/>
          <w:lang w:val="el-GR"/>
        </w:rPr>
        <w:t xml:space="preserve"> ή </w:t>
      </w:r>
      <w:r w:rsidR="00AD5EB5">
        <w:rPr>
          <w:snapToGrid/>
          <w:szCs w:val="22"/>
          <w:lang w:val="el-GR"/>
        </w:rPr>
        <w:t xml:space="preserve">χορήγησης </w:t>
      </w:r>
      <w:r w:rsidRPr="00FC2F1F">
        <w:rPr>
          <w:snapToGrid/>
          <w:szCs w:val="22"/>
          <w:lang w:val="el-GR"/>
        </w:rPr>
        <w:t>αναισθητικών, θα πρέπει να αναφέρετε στον γιατρό σας ότι παίρνετ</w:t>
      </w:r>
      <w:r w:rsidR="00F903B6">
        <w:rPr>
          <w:snapToGrid/>
          <w:szCs w:val="22"/>
          <w:lang w:val="el-GR"/>
        </w:rPr>
        <w:t>ε</w:t>
      </w:r>
      <w:r w:rsidRPr="00FC2F1F">
        <w:rPr>
          <w:snapToGrid/>
          <w:szCs w:val="22"/>
          <w:lang w:val="el-GR"/>
        </w:rPr>
        <w:t xml:space="preserve"> </w:t>
      </w:r>
      <w:r w:rsidRPr="00FC2F1F">
        <w:rPr>
          <w:szCs w:val="22"/>
          <w:lang w:val="el-GR"/>
        </w:rPr>
        <w:t>Tolucombi</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Tolucombi</w:t>
      </w:r>
      <w:r w:rsidRPr="00FC2F1F">
        <w:rPr>
          <w:snapToGrid/>
          <w:szCs w:val="22"/>
          <w:lang w:val="el-GR"/>
        </w:rPr>
        <w:t xml:space="preserve"> μπορεί να είναι λιγότερο αποτελεσματικό στη μείωση της αρτηριακής πίεσης σε </w:t>
      </w:r>
      <w:r w:rsidR="00AD5EB5">
        <w:rPr>
          <w:snapToGrid/>
          <w:szCs w:val="22"/>
          <w:lang w:val="el-GR"/>
        </w:rPr>
        <w:t>έγχρωμους</w:t>
      </w:r>
      <w:r w:rsidRPr="00FC2F1F">
        <w:rPr>
          <w:snapToGrid/>
          <w:szCs w:val="22"/>
          <w:lang w:val="el-GR"/>
        </w:rPr>
        <w:t xml:space="preserve"> ασθενείς.</w:t>
      </w:r>
    </w:p>
    <w:p w:rsidR="00681191" w:rsidRPr="00311F0B" w:rsidRDefault="00681191" w:rsidP="00681191">
      <w:pPr>
        <w:widowControl w:val="0"/>
        <w:tabs>
          <w:tab w:val="clear" w:pos="567"/>
        </w:tabs>
        <w:autoSpaceDE w:val="0"/>
        <w:autoSpaceDN w:val="0"/>
        <w:adjustRightInd w:val="0"/>
        <w:spacing w:line="240" w:lineRule="auto"/>
        <w:rPr>
          <w:bCs/>
          <w:snapToGrid/>
          <w:szCs w:val="22"/>
          <w:lang w:val="sl-SI"/>
        </w:rPr>
      </w:pPr>
    </w:p>
    <w:p w:rsidR="00681191" w:rsidRPr="00311F0B" w:rsidRDefault="00681191" w:rsidP="00681191">
      <w:pPr>
        <w:widowControl w:val="0"/>
        <w:tabs>
          <w:tab w:val="clear" w:pos="567"/>
        </w:tabs>
        <w:autoSpaceDE w:val="0"/>
        <w:autoSpaceDN w:val="0"/>
        <w:adjustRightInd w:val="0"/>
        <w:spacing w:line="240" w:lineRule="auto"/>
        <w:rPr>
          <w:bCs/>
          <w:snapToGrid/>
          <w:szCs w:val="22"/>
          <w:lang w:val="el-GR"/>
        </w:rPr>
      </w:pPr>
      <w:r w:rsidRPr="00311F0B">
        <w:rPr>
          <w:bCs/>
          <w:snapToGrid/>
          <w:szCs w:val="22"/>
          <w:lang w:val="el-GR"/>
        </w:rPr>
        <w:t xml:space="preserve">Ο </w:t>
      </w:r>
      <w:r w:rsidR="005339D9">
        <w:rPr>
          <w:bCs/>
          <w:snapToGrid/>
          <w:szCs w:val="22"/>
          <w:lang w:val="el-GR"/>
        </w:rPr>
        <w:t>γ</w:t>
      </w:r>
      <w:r w:rsidRPr="00311F0B">
        <w:rPr>
          <w:bCs/>
          <w:snapToGrid/>
          <w:szCs w:val="22"/>
          <w:lang w:val="el-GR"/>
        </w:rPr>
        <w:t>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w:t>
      </w:r>
    </w:p>
    <w:p w:rsidR="00681191" w:rsidRDefault="00681191" w:rsidP="00681191">
      <w:pPr>
        <w:widowControl w:val="0"/>
        <w:tabs>
          <w:tab w:val="clear" w:pos="567"/>
        </w:tabs>
        <w:autoSpaceDE w:val="0"/>
        <w:autoSpaceDN w:val="0"/>
        <w:adjustRightInd w:val="0"/>
        <w:spacing w:line="240" w:lineRule="auto"/>
        <w:rPr>
          <w:bCs/>
          <w:snapToGrid/>
          <w:szCs w:val="22"/>
          <w:lang w:val="sl-SI"/>
        </w:rPr>
      </w:pPr>
      <w:r w:rsidRPr="00311F0B">
        <w:rPr>
          <w:bCs/>
          <w:snapToGrid/>
          <w:szCs w:val="22"/>
          <w:lang w:val="el-GR"/>
        </w:rPr>
        <w:t>Βλ</w:t>
      </w:r>
      <w:r w:rsidR="00AD5EB5">
        <w:rPr>
          <w:bCs/>
          <w:snapToGrid/>
          <w:szCs w:val="22"/>
          <w:lang w:val="el-GR"/>
        </w:rPr>
        <w:t>.</w:t>
      </w:r>
      <w:r w:rsidRPr="00311F0B">
        <w:rPr>
          <w:bCs/>
          <w:snapToGrid/>
          <w:szCs w:val="22"/>
          <w:lang w:val="el-GR"/>
        </w:rPr>
        <w:t xml:space="preserve"> επίσης πληροφορίες στην παράγραφο «</w:t>
      </w:r>
      <w:r w:rsidRPr="00333643">
        <w:rPr>
          <w:bCs/>
          <w:snapToGrid/>
          <w:szCs w:val="22"/>
          <w:lang w:val="el-GR"/>
        </w:rPr>
        <w:t>Μην πάρετε το Tolucombi</w:t>
      </w:r>
      <w:r w:rsidRPr="00311F0B">
        <w:rPr>
          <w:bCs/>
          <w:snapToGrid/>
          <w:szCs w:val="22"/>
          <w:lang w:val="el-GR"/>
        </w:rPr>
        <w:t>»</w:t>
      </w:r>
      <w:r w:rsidR="00AD5EB5">
        <w:rPr>
          <w:bCs/>
          <w:snapToGrid/>
          <w:szCs w:val="22"/>
          <w:lang w:val="el-GR"/>
        </w:rPr>
        <w:t>.</w:t>
      </w:r>
    </w:p>
    <w:p w:rsidR="00681191" w:rsidRPr="00311F0B" w:rsidRDefault="00681191" w:rsidP="00681191">
      <w:pPr>
        <w:widowControl w:val="0"/>
        <w:tabs>
          <w:tab w:val="clear" w:pos="567"/>
        </w:tabs>
        <w:autoSpaceDE w:val="0"/>
        <w:autoSpaceDN w:val="0"/>
        <w:adjustRightInd w:val="0"/>
        <w:spacing w:line="240" w:lineRule="auto"/>
        <w:rPr>
          <w:bCs/>
          <w:snapToGrid/>
          <w:szCs w:val="22"/>
          <w:lang w:val="sl-SI"/>
        </w:rPr>
      </w:pPr>
    </w:p>
    <w:p w:rsidR="00681191" w:rsidRPr="00FC2F1F" w:rsidRDefault="00681191" w:rsidP="00681191">
      <w:pPr>
        <w:widowControl w:val="0"/>
        <w:tabs>
          <w:tab w:val="clear" w:pos="567"/>
        </w:tabs>
        <w:autoSpaceDE w:val="0"/>
        <w:autoSpaceDN w:val="0"/>
        <w:adjustRightInd w:val="0"/>
        <w:spacing w:line="240" w:lineRule="auto"/>
        <w:rPr>
          <w:b/>
          <w:bCs/>
          <w:snapToGrid/>
          <w:szCs w:val="22"/>
          <w:lang w:val="el-GR"/>
        </w:rPr>
      </w:pPr>
      <w:r w:rsidRPr="00FC2F1F">
        <w:rPr>
          <w:b/>
          <w:bCs/>
          <w:snapToGrid/>
          <w:szCs w:val="22"/>
          <w:lang w:val="el-GR"/>
        </w:rPr>
        <w:t>Παιδιά και έφηβοι</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Η χρήση του </w:t>
      </w:r>
      <w:r w:rsidRPr="00FC2F1F">
        <w:rPr>
          <w:szCs w:val="22"/>
          <w:lang w:val="el-GR"/>
        </w:rPr>
        <w:t>Tolucombi</w:t>
      </w:r>
      <w:r w:rsidRPr="00FC2F1F">
        <w:rPr>
          <w:snapToGrid/>
          <w:szCs w:val="22"/>
          <w:lang w:val="el-GR"/>
        </w:rPr>
        <w:t xml:space="preserve"> σε παιδιά και εφήβους έως την ηλικία των 18 ετών δε</w:t>
      </w:r>
      <w:r w:rsidR="00AD5EB5">
        <w:rPr>
          <w:snapToGrid/>
          <w:szCs w:val="22"/>
          <w:lang w:val="el-GR"/>
        </w:rPr>
        <w:t>ν</w:t>
      </w:r>
      <w:r w:rsidRPr="00FC2F1F">
        <w:rPr>
          <w:snapToGrid/>
          <w:szCs w:val="22"/>
          <w:lang w:val="el-GR"/>
        </w:rPr>
        <w:t xml:space="preserve"> συνιστάται.</w:t>
      </w:r>
    </w:p>
    <w:p w:rsidR="00681191" w:rsidRPr="00FC2F1F" w:rsidRDefault="00681191" w:rsidP="00681191">
      <w:pPr>
        <w:widowControl w:val="0"/>
        <w:spacing w:line="240" w:lineRule="auto"/>
        <w:rPr>
          <w:b/>
          <w:bCs/>
          <w:snapToGrid/>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t xml:space="preserve">Άλλα φάρμακα και </w:t>
      </w:r>
      <w:r w:rsidRPr="00FC2F1F">
        <w:rPr>
          <w:b/>
          <w:szCs w:val="22"/>
          <w:lang w:val="el-GR"/>
        </w:rPr>
        <w:t>Tolucombi</w:t>
      </w:r>
    </w:p>
    <w:p w:rsidR="00681191" w:rsidRPr="00FC2F1F" w:rsidRDefault="00681191" w:rsidP="00681191">
      <w:pPr>
        <w:widowControl w:val="0"/>
        <w:spacing w:line="240" w:lineRule="auto"/>
        <w:rPr>
          <w:snapToGrid/>
          <w:szCs w:val="22"/>
          <w:lang w:val="el-GR"/>
        </w:rPr>
      </w:pPr>
      <w:r w:rsidRPr="00FC2F1F">
        <w:rPr>
          <w:noProof/>
          <w:szCs w:val="22"/>
          <w:lang w:val="el-GR"/>
        </w:rPr>
        <w:t>Ενημερώστε τον γιατρό ή τον φαρμακοποιό σας εάν παίρνετε, έχετε πρόσφατα πάρει ή μπορεί να πάρετε άλλα φάρμακα.</w:t>
      </w:r>
      <w:r w:rsidR="00F903B6">
        <w:rPr>
          <w:noProof/>
          <w:szCs w:val="22"/>
          <w:lang w:val="el-GR"/>
        </w:rPr>
        <w:t xml:space="preserve"> </w:t>
      </w:r>
      <w:r w:rsidRPr="00FC2F1F">
        <w:rPr>
          <w:snapToGrid/>
          <w:szCs w:val="22"/>
          <w:lang w:val="el-GR"/>
        </w:rPr>
        <w:t xml:space="preserve">Ο γιατρός σας μπορεί να χρειαστεί να αλλάξει τη δόση αυτών των άλλων φαρμακευτικών αγωγών ή να λάβει άλλες προφυλάξεις. Σε μερικές περιπτώσεις μπορεί να χρειαστεί να σταματήσετε να λαμβάνετε κάποιο από τα φάρμακα. Αυτό αφορά κυρίως τα φάρμακα που καταγράφονται παρακάτω και λαμβάνονται ταυτόχρονα με το </w:t>
      </w:r>
      <w:r w:rsidRPr="00FC2F1F">
        <w:rPr>
          <w:szCs w:val="22"/>
          <w:lang w:val="el-GR"/>
        </w:rPr>
        <w:t>Tolucombi</w:t>
      </w:r>
      <w:r w:rsidRPr="00FC2F1F">
        <w:rPr>
          <w:snapToGrid/>
          <w:szCs w:val="22"/>
          <w:lang w:val="el-GR"/>
        </w:rPr>
        <w:t>:</w:t>
      </w:r>
    </w:p>
    <w:p w:rsidR="00681191" w:rsidRPr="00FC2F1F" w:rsidRDefault="00681191" w:rsidP="00681191">
      <w:pPr>
        <w:widowControl w:val="0"/>
        <w:spacing w:line="240" w:lineRule="auto"/>
        <w:jc w:val="both"/>
        <w:rPr>
          <w:snapToGrid/>
          <w:szCs w:val="22"/>
          <w:lang w:val="el-GR"/>
        </w:rPr>
      </w:pP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Φάρμακα που χρησιμοποιούνται για την αντιμετώπιση κάποιων μορφών κατάθλιψης και περιέχουν λίθιο.</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Φάρμακα που συσχετίζονται με χαμηλό κάλιο στο αίμα (υποκαλιαιμία) όπως άλλα διουρητικά («δισκία νερού»), καθαρτικά (π.χ. καστορέλαιο), κορτικοστεροειδή (π.χ. πρεδνιζόνη), ACTH (μία ορμόνη), αμφοτερικίνη (ένα αντιμ</w:t>
      </w:r>
      <w:r w:rsidR="00025786">
        <w:rPr>
          <w:snapToGrid/>
          <w:szCs w:val="22"/>
          <w:lang w:val="el-GR"/>
        </w:rPr>
        <w:t>υ</w:t>
      </w:r>
      <w:r w:rsidRPr="00FC2F1F">
        <w:rPr>
          <w:snapToGrid/>
          <w:szCs w:val="22"/>
          <w:lang w:val="el-GR"/>
        </w:rPr>
        <w:t>κ</w:t>
      </w:r>
      <w:r w:rsidR="00025786">
        <w:rPr>
          <w:snapToGrid/>
          <w:szCs w:val="22"/>
          <w:lang w:val="el-GR"/>
        </w:rPr>
        <w:t>η</w:t>
      </w:r>
      <w:r w:rsidRPr="00FC2F1F">
        <w:rPr>
          <w:snapToGrid/>
          <w:szCs w:val="22"/>
          <w:lang w:val="el-GR"/>
        </w:rPr>
        <w:t>τι</w:t>
      </w:r>
      <w:r w:rsidR="00EB4B4F">
        <w:rPr>
          <w:snapToGrid/>
          <w:szCs w:val="22"/>
          <w:lang w:val="el-GR"/>
        </w:rPr>
        <w:t>ασι</w:t>
      </w:r>
      <w:r w:rsidRPr="00FC2F1F">
        <w:rPr>
          <w:snapToGrid/>
          <w:szCs w:val="22"/>
          <w:lang w:val="el-GR"/>
        </w:rPr>
        <w:t xml:space="preserve">κό φάρμακο), καρβενοξολόνη (χρησιμοποιείται για τη </w:t>
      </w:r>
      <w:r w:rsidR="00EB4B4F">
        <w:rPr>
          <w:snapToGrid/>
          <w:szCs w:val="22"/>
          <w:lang w:val="el-GR"/>
        </w:rPr>
        <w:t>θεραπεία</w:t>
      </w:r>
      <w:r w:rsidRPr="00FC2F1F">
        <w:rPr>
          <w:snapToGrid/>
          <w:szCs w:val="22"/>
          <w:lang w:val="el-GR"/>
        </w:rPr>
        <w:t xml:space="preserve"> </w:t>
      </w:r>
      <w:r w:rsidR="00EB4B4F">
        <w:rPr>
          <w:snapToGrid/>
          <w:szCs w:val="22"/>
          <w:lang w:val="el-GR"/>
        </w:rPr>
        <w:t xml:space="preserve">των </w:t>
      </w:r>
      <w:r w:rsidRPr="00FC2F1F">
        <w:rPr>
          <w:snapToGrid/>
          <w:szCs w:val="22"/>
          <w:lang w:val="el-GR"/>
        </w:rPr>
        <w:t>ελκών του στόματος), νατριούχος πενικιλλίνη G (αντιβιοτικό), και σαλικυλικό οξύ και παράγωγα.</w:t>
      </w:r>
    </w:p>
    <w:p w:rsidR="00681191" w:rsidRPr="00FC2F1F" w:rsidRDefault="00EB4B4F"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Pr>
          <w:snapToGrid/>
          <w:szCs w:val="22"/>
          <w:lang w:val="el-GR"/>
        </w:rPr>
        <w:t>Φάρμακα που μπορεί να αυξήσουν</w:t>
      </w:r>
      <w:r w:rsidR="007A0129">
        <w:rPr>
          <w:snapToGrid/>
          <w:szCs w:val="22"/>
          <w:lang w:val="el-GR"/>
        </w:rPr>
        <w:t xml:space="preserve"> τα επίπεδα καλίου του αίματος όπως κ</w:t>
      </w:r>
      <w:r w:rsidR="00681191" w:rsidRPr="00FC2F1F">
        <w:rPr>
          <w:snapToGrid/>
          <w:szCs w:val="22"/>
          <w:lang w:val="el-GR"/>
        </w:rPr>
        <w:t xml:space="preserve">αλιοσυντηρητικά διουρητικά, </w:t>
      </w:r>
      <w:r w:rsidR="007A0129">
        <w:rPr>
          <w:snapToGrid/>
          <w:szCs w:val="22"/>
          <w:lang w:val="el-GR"/>
        </w:rPr>
        <w:t>συμπληρώματα</w:t>
      </w:r>
      <w:r w:rsidR="00681191" w:rsidRPr="00FC2F1F">
        <w:rPr>
          <w:snapToGrid/>
          <w:szCs w:val="22"/>
          <w:lang w:val="el-GR"/>
        </w:rPr>
        <w:t xml:space="preserve"> καλίου, υποκατάστατα αλάτων που περιέχουν κάλιο, αναστολείς του μετατρεπτικού ενζύμου της αγγειοτενσίνης (</w:t>
      </w:r>
      <w:r w:rsidR="007A0129">
        <w:rPr>
          <w:snapToGrid/>
          <w:szCs w:val="22"/>
          <w:lang w:val="el-GR"/>
        </w:rPr>
        <w:t>ΜΕΑ</w:t>
      </w:r>
      <w:r w:rsidR="00681191" w:rsidRPr="00FC2F1F">
        <w:rPr>
          <w:snapToGrid/>
          <w:szCs w:val="22"/>
          <w:lang w:val="el-GR"/>
        </w:rPr>
        <w:t>)</w:t>
      </w:r>
      <w:r w:rsidR="007A0129">
        <w:rPr>
          <w:snapToGrid/>
          <w:szCs w:val="22"/>
          <w:lang w:val="el-GR"/>
        </w:rPr>
        <w:t>, κυκλοσπορίνη (</w:t>
      </w:r>
      <w:r w:rsidR="007A0129">
        <w:rPr>
          <w:lang w:val="el-GR"/>
        </w:rPr>
        <w:t>ανοσοκατασταλτικό φάρμακο) και άλλα φαρμακευτικά προϊόντα όπως η νατριούχος ηπαρίνη (αντιπηκτικό</w:t>
      </w:r>
      <w:r w:rsidR="008057A4" w:rsidRPr="002210C0">
        <w:rPr>
          <w:lang w:val="el-GR"/>
        </w:rPr>
        <w:t>)</w:t>
      </w:r>
      <w:r w:rsidR="00681191" w:rsidRPr="00FC2F1F">
        <w:rPr>
          <w:snapToGrid/>
          <w:szCs w:val="22"/>
          <w:lang w:val="el-GR"/>
        </w:rPr>
        <w:t>.</w:t>
      </w:r>
    </w:p>
    <w:p w:rsidR="008D1C67" w:rsidRDefault="008D1C67" w:rsidP="008D1C67">
      <w:pPr>
        <w:widowControl w:val="0"/>
        <w:numPr>
          <w:ilvl w:val="0"/>
          <w:numId w:val="26"/>
        </w:numPr>
        <w:spacing w:line="240" w:lineRule="auto"/>
        <w:rPr>
          <w:snapToGrid/>
          <w:lang w:val="el-GR"/>
        </w:rPr>
      </w:pPr>
      <w:r>
        <w:rPr>
          <w:noProof/>
          <w:lang w:val="el-GR"/>
        </w:rPr>
        <w:t xml:space="preserve">Φάρμακα που επηρεάζονται από αλλαγές του επιπέδου καλίου στο αίμα όπως καρδιολογικά φάρμακα (π.χ. διγοξίνη) ή φάρμακα για τον έλεγχο του καρδιακού σας ρυθμού (π.χ. κινιδίνη, δισοπυραμίδη, αμιωδαρόνη, σοταλόλη), φάρμακα που χρησιμοποιούνται για ψυχικές διαταραχές (π.χ. </w:t>
      </w:r>
      <w:r>
        <w:rPr>
          <w:lang w:val="el-GR"/>
        </w:rPr>
        <w:t>θειοριδαζίνη, χλωροπρομαζίνη, λεβομεπρομαζίνη</w:t>
      </w:r>
      <w:r>
        <w:rPr>
          <w:noProof/>
          <w:lang w:val="el-GR"/>
        </w:rPr>
        <w:t>) και άλλα φάρμακα όπως ορισμένα αντιβιοτικά (π.χ. σπαρφλοξασίνη, πενταμιδίνη) ή ορισμένα φάρμακα για τη θεραπεία αλλεργικών αντιδράσεων (π.χ. τερφεναδίνη).</w:t>
      </w:r>
    </w:p>
    <w:p w:rsidR="00046A07" w:rsidRDefault="00046A07" w:rsidP="00046A07">
      <w:pPr>
        <w:widowControl w:val="0"/>
        <w:numPr>
          <w:ilvl w:val="0"/>
          <w:numId w:val="26"/>
        </w:numPr>
        <w:spacing w:line="240" w:lineRule="auto"/>
        <w:rPr>
          <w:noProof/>
          <w:snapToGrid/>
          <w:lang w:val="el-GR"/>
        </w:rPr>
      </w:pPr>
      <w:r>
        <w:rPr>
          <w:noProof/>
          <w:lang w:val="el-GR"/>
        </w:rPr>
        <w:t>Φάρμακα για τη θεραπεία του διαβήτη (ινσουλίνες ή από του στόματος παράγοντες όπως μετφορμίνη).</w:t>
      </w:r>
    </w:p>
    <w:p w:rsidR="00046A07" w:rsidRDefault="00046A07" w:rsidP="00046A07">
      <w:pPr>
        <w:widowControl w:val="0"/>
        <w:numPr>
          <w:ilvl w:val="0"/>
          <w:numId w:val="26"/>
        </w:numPr>
        <w:spacing w:line="240" w:lineRule="auto"/>
        <w:rPr>
          <w:noProof/>
          <w:lang w:val="el-GR"/>
        </w:rPr>
      </w:pPr>
      <w:r>
        <w:rPr>
          <w:noProof/>
          <w:lang w:val="el-GR"/>
        </w:rPr>
        <w:t>Χολεστυραμίνη και κολεστιπόλη, φάρμακα για τη μείωση των επιπέδων λιπιδίων στο αίμα.</w:t>
      </w:r>
    </w:p>
    <w:p w:rsidR="00046A07" w:rsidRDefault="00046A07" w:rsidP="00046A07">
      <w:pPr>
        <w:widowControl w:val="0"/>
        <w:numPr>
          <w:ilvl w:val="0"/>
          <w:numId w:val="26"/>
        </w:numPr>
        <w:spacing w:line="240" w:lineRule="auto"/>
        <w:rPr>
          <w:noProof/>
          <w:lang w:val="el-GR"/>
        </w:rPr>
      </w:pPr>
      <w:r>
        <w:rPr>
          <w:noProof/>
          <w:lang w:val="el-GR"/>
        </w:rPr>
        <w:t>Φάρμακα για την αύξηση της αρτηριακής πίεσης, όπως νοραδρεναλίνη.</w:t>
      </w:r>
    </w:p>
    <w:p w:rsidR="00046A07" w:rsidRDefault="00046A07" w:rsidP="00046A07">
      <w:pPr>
        <w:widowControl w:val="0"/>
        <w:numPr>
          <w:ilvl w:val="0"/>
          <w:numId w:val="26"/>
        </w:numPr>
        <w:spacing w:line="240" w:lineRule="auto"/>
        <w:rPr>
          <w:noProof/>
          <w:lang w:val="el-GR"/>
        </w:rPr>
      </w:pPr>
      <w:r>
        <w:rPr>
          <w:noProof/>
          <w:lang w:val="el-GR"/>
        </w:rPr>
        <w:t>Φάρμακα για τη χαλάρωση των μυών, όπως τουβοκουραρίνη.</w:t>
      </w:r>
    </w:p>
    <w:p w:rsidR="00046A07" w:rsidRDefault="00046A07" w:rsidP="00046A07">
      <w:pPr>
        <w:widowControl w:val="0"/>
        <w:numPr>
          <w:ilvl w:val="0"/>
          <w:numId w:val="26"/>
        </w:numPr>
        <w:spacing w:line="240" w:lineRule="auto"/>
        <w:rPr>
          <w:noProof/>
          <w:lang w:val="el-GR"/>
        </w:rPr>
      </w:pPr>
      <w:r>
        <w:rPr>
          <w:noProof/>
          <w:lang w:val="el-GR"/>
        </w:rPr>
        <w:t xml:space="preserve">Συμπληρώματα ασβεστίου </w:t>
      </w:r>
      <w:r>
        <w:rPr>
          <w:lang w:val="el-GR"/>
        </w:rPr>
        <w:t>και/ή συμπληρώματα βιταμίνης D</w:t>
      </w:r>
      <w:r>
        <w:rPr>
          <w:noProof/>
          <w:lang w:val="el-GR"/>
        </w:rPr>
        <w:t>.</w:t>
      </w:r>
    </w:p>
    <w:p w:rsidR="00046A07" w:rsidRDefault="00046A07" w:rsidP="00046A07">
      <w:pPr>
        <w:widowControl w:val="0"/>
        <w:numPr>
          <w:ilvl w:val="0"/>
          <w:numId w:val="26"/>
        </w:numPr>
        <w:spacing w:line="240" w:lineRule="auto"/>
        <w:rPr>
          <w:noProof/>
          <w:lang w:val="el-GR"/>
        </w:rPr>
      </w:pPr>
      <w:r>
        <w:rPr>
          <w:noProof/>
          <w:lang w:val="el-GR"/>
        </w:rPr>
        <w:t>Αντιχολινεργικά φάρμακα (φάρμακα που χρησιμοποιούνται για την αντιμετώπιση μιας σειράς διαταραχών όπως κράμπες του γαστρεντερικού, σπασμός ουροδόχου κύστης, άσθμα, νόσος από μετακινήσεις, μυϊκοί σπασμοί, νόσος του Πάρκινσον και ως βοηθητικά σε αναισθησία) όπως ατροπίνη και βιπεριδένη.</w:t>
      </w:r>
    </w:p>
    <w:p w:rsidR="00046A07" w:rsidRDefault="00046A07" w:rsidP="00046A07">
      <w:pPr>
        <w:widowControl w:val="0"/>
        <w:numPr>
          <w:ilvl w:val="0"/>
          <w:numId w:val="26"/>
        </w:numPr>
        <w:spacing w:line="240" w:lineRule="auto"/>
        <w:rPr>
          <w:lang w:val="el-GR"/>
        </w:rPr>
      </w:pPr>
      <w:r>
        <w:rPr>
          <w:noProof/>
          <w:lang w:val="el-GR"/>
        </w:rPr>
        <w:t>Αμανταδίνη (φάρμακο που χρησιμοποιείται για τη θεραπεία της νόσου του Πάρκινσον και επίσης χρησιμοποιείται για τη θεραπεία ή την πρόληψη ορισμένων νόσων που προκαλούνται από ιούς).</w:t>
      </w:r>
    </w:p>
    <w:p w:rsidR="00046A07" w:rsidRDefault="00046A07" w:rsidP="00046A07">
      <w:pPr>
        <w:widowControl w:val="0"/>
        <w:numPr>
          <w:ilvl w:val="0"/>
          <w:numId w:val="26"/>
        </w:numPr>
        <w:spacing w:line="240" w:lineRule="auto"/>
        <w:rPr>
          <w:lang w:val="el-GR"/>
        </w:rPr>
      </w:pPr>
      <w:r>
        <w:rPr>
          <w:lang w:val="el-GR"/>
        </w:rPr>
        <w:t>Άλλα φάρμακα που χρησιμοποιούνται για τη θεραπεία της υψηλής αρτηριακής πίεσης, κορτικοστεροειδή, παυσίπονα (όπως μη στεροειδή αντιφλεγμονώδη φάρμακα [ΜΣΑΦ]), φάρμακα για τη θεραπεία του καρκίνου, την ουρική αρθρίτιδα ή την αρθρίτιδα.</w:t>
      </w:r>
    </w:p>
    <w:p w:rsidR="00681191" w:rsidRPr="00FC2F1F" w:rsidRDefault="00046A07" w:rsidP="002210C0">
      <w:pPr>
        <w:widowControl w:val="0"/>
        <w:numPr>
          <w:ilvl w:val="0"/>
          <w:numId w:val="12"/>
        </w:numPr>
        <w:tabs>
          <w:tab w:val="clear" w:pos="567"/>
        </w:tabs>
        <w:autoSpaceDE w:val="0"/>
        <w:autoSpaceDN w:val="0"/>
        <w:adjustRightInd w:val="0"/>
        <w:spacing w:line="240" w:lineRule="auto"/>
        <w:ind w:left="567" w:hanging="567"/>
        <w:rPr>
          <w:snapToGrid/>
          <w:szCs w:val="22"/>
          <w:lang w:val="el-GR"/>
        </w:rPr>
      </w:pPr>
      <w:r>
        <w:rPr>
          <w:lang w:val="el-GR"/>
        </w:rPr>
        <w:t>Εάν παίρνετε έναν αναστολέα ΜΕΑ ή αλισκιρένη (βλ</w:t>
      </w:r>
      <w:r w:rsidR="0040725E">
        <w:rPr>
          <w:lang w:val="el-GR"/>
        </w:rPr>
        <w:t>.</w:t>
      </w:r>
      <w:r>
        <w:rPr>
          <w:lang w:val="el-GR"/>
        </w:rPr>
        <w:t xml:space="preserve"> επίσης πληροφορίες στην παράγραφο «Μην </w:t>
      </w:r>
      <w:r w:rsidR="0040725E">
        <w:rPr>
          <w:lang w:val="el-GR"/>
        </w:rPr>
        <w:t xml:space="preserve">πάρετε το </w:t>
      </w:r>
      <w:r w:rsidR="0040725E">
        <w:rPr>
          <w:lang w:val="en-US"/>
        </w:rPr>
        <w:t>Tolucombi</w:t>
      </w:r>
      <w:r>
        <w:rPr>
          <w:lang w:val="el-GR"/>
        </w:rPr>
        <w:t>» και «Προειδοποιήσεις και προφυλάξεις»).</w:t>
      </w:r>
    </w:p>
    <w:p w:rsidR="00681191" w:rsidRPr="00FC2F1F" w:rsidRDefault="00681191" w:rsidP="00681191">
      <w:pPr>
        <w:widowControl w:val="0"/>
        <w:numPr>
          <w:ilvl w:val="0"/>
          <w:numId w:val="12"/>
        </w:numPr>
        <w:tabs>
          <w:tab w:val="clear" w:pos="567"/>
        </w:tabs>
        <w:autoSpaceDE w:val="0"/>
        <w:autoSpaceDN w:val="0"/>
        <w:adjustRightInd w:val="0"/>
        <w:spacing w:line="240" w:lineRule="auto"/>
        <w:ind w:left="567" w:hanging="567"/>
        <w:rPr>
          <w:snapToGrid/>
          <w:szCs w:val="22"/>
          <w:lang w:val="el-GR"/>
        </w:rPr>
      </w:pPr>
      <w:r w:rsidRPr="00FC2F1F">
        <w:rPr>
          <w:snapToGrid/>
          <w:szCs w:val="22"/>
          <w:lang w:val="el-GR"/>
        </w:rPr>
        <w:t>Διγοξίνη.</w:t>
      </w:r>
    </w:p>
    <w:p w:rsidR="00681191" w:rsidRPr="00FC2F1F" w:rsidRDefault="00681191" w:rsidP="00681191">
      <w:pPr>
        <w:widowControl w:val="0"/>
        <w:spacing w:line="240" w:lineRule="auto"/>
        <w:ind w:left="567" w:hanging="567"/>
        <w:jc w:val="both"/>
        <w:rPr>
          <w:noProof/>
          <w:szCs w:val="22"/>
          <w:lang w:val="el-GR"/>
        </w:rPr>
      </w:pPr>
    </w:p>
    <w:p w:rsidR="00245134"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Το </w:t>
      </w:r>
      <w:r w:rsidRPr="00FC2F1F">
        <w:rPr>
          <w:szCs w:val="22"/>
          <w:lang w:val="el-GR"/>
        </w:rPr>
        <w:t>Tolucombi</w:t>
      </w:r>
      <w:r w:rsidRPr="00FC2F1F">
        <w:rPr>
          <w:snapToGrid/>
          <w:szCs w:val="22"/>
          <w:lang w:val="el-GR"/>
        </w:rPr>
        <w:t xml:space="preserve"> μπορεί να αυξήσει την αντιυπερτασική δράση άλλων φαρμάκων</w:t>
      </w:r>
      <w:r w:rsidR="0040725E" w:rsidRPr="002210C0">
        <w:rPr>
          <w:snapToGrid/>
          <w:szCs w:val="22"/>
          <w:lang w:val="el-GR"/>
        </w:rPr>
        <w:t xml:space="preserve"> </w:t>
      </w:r>
      <w:r w:rsidR="0040725E">
        <w:rPr>
          <w:snapToGrid/>
          <w:szCs w:val="22"/>
          <w:lang w:val="el-GR"/>
        </w:rPr>
        <w:t>που χρησιμοποιούνται στη θεραπεία της υψηλής αρτηριακής πίεσης</w:t>
      </w:r>
      <w:r w:rsidRPr="00FC2F1F">
        <w:rPr>
          <w:snapToGrid/>
          <w:szCs w:val="22"/>
          <w:lang w:val="el-GR"/>
        </w:rPr>
        <w:t xml:space="preserve"> ή φαρμάκων με δυνατότητα μείωσης της αρτηριακής πίεσης (π.χ. </w:t>
      </w:r>
      <w:r w:rsidR="0040725E">
        <w:rPr>
          <w:snapToGrid/>
          <w:szCs w:val="22"/>
          <w:lang w:val="el-GR"/>
        </w:rPr>
        <w:t>βακλοφαίνη</w:t>
      </w:r>
      <w:r w:rsidRPr="00FC2F1F">
        <w:rPr>
          <w:snapToGrid/>
          <w:szCs w:val="22"/>
          <w:lang w:val="el-GR"/>
        </w:rPr>
        <w:t xml:space="preserve">, </w:t>
      </w:r>
      <w:r w:rsidR="00245134">
        <w:rPr>
          <w:snapToGrid/>
          <w:szCs w:val="22"/>
          <w:lang w:val="el-GR"/>
        </w:rPr>
        <w:t>αμιφοστίνη</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Επιπλέον, η χαμηλή αρτηριακή πίεση μπορεί να επιδεινωθεί από τη χρήση </w:t>
      </w:r>
      <w:r w:rsidR="00245134">
        <w:rPr>
          <w:snapToGrid/>
          <w:szCs w:val="22"/>
          <w:lang w:val="el-GR"/>
        </w:rPr>
        <w:t>οινοπνευματωδών</w:t>
      </w:r>
      <w:r w:rsidRPr="00FC2F1F">
        <w:rPr>
          <w:snapToGrid/>
          <w:szCs w:val="22"/>
          <w:lang w:val="el-GR"/>
        </w:rPr>
        <w:t>, βαρβιτουρικών, ναρκωτικών ή αντικαταθλιπτικών. Αυτό μπορεί να το παρατηρήσετε ως ζάλη όταν σηκώνεστε όρθιοι. Θα πρέπει να συμβουλευτείτε το</w:t>
      </w:r>
      <w:r w:rsidR="00245134">
        <w:rPr>
          <w:snapToGrid/>
          <w:szCs w:val="22"/>
          <w:lang w:val="el-GR"/>
        </w:rPr>
        <w:t>ν</w:t>
      </w:r>
      <w:r w:rsidRPr="00FC2F1F">
        <w:rPr>
          <w:snapToGrid/>
          <w:szCs w:val="22"/>
          <w:lang w:val="el-GR"/>
        </w:rPr>
        <w:t xml:space="preserve"> γιατρό σας εάν πρέπει να ρυθμίσετε τη δόση του άλλου φαρμάκου </w:t>
      </w:r>
      <w:r w:rsidR="00245134">
        <w:rPr>
          <w:snapToGrid/>
          <w:szCs w:val="22"/>
          <w:lang w:val="el-GR"/>
        </w:rPr>
        <w:t xml:space="preserve">σας </w:t>
      </w:r>
      <w:r w:rsidRPr="00FC2F1F">
        <w:rPr>
          <w:snapToGrid/>
          <w:szCs w:val="22"/>
          <w:lang w:val="el-GR"/>
        </w:rPr>
        <w:t xml:space="preserve">ενώ λαμβάνετε το </w:t>
      </w:r>
      <w:r w:rsidRPr="00FC2F1F">
        <w:rPr>
          <w:szCs w:val="22"/>
          <w:lang w:val="el-GR"/>
        </w:rPr>
        <w:t>Tolucombi</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Η δράση του </w:t>
      </w:r>
      <w:r w:rsidRPr="00FC2F1F">
        <w:rPr>
          <w:szCs w:val="22"/>
          <w:lang w:val="el-GR"/>
        </w:rPr>
        <w:t>Tolucombi</w:t>
      </w:r>
      <w:r w:rsidRPr="00FC2F1F">
        <w:rPr>
          <w:snapToGrid/>
          <w:szCs w:val="22"/>
          <w:lang w:val="el-GR"/>
        </w:rPr>
        <w:t xml:space="preserve"> μπορεί να μειωθεί όταν λαμβάνετε ΜΣΑΦ (μη στεροειδή αντιφλεγμονώδη φάρμακα</w:t>
      </w:r>
      <w:r w:rsidR="00245134">
        <w:rPr>
          <w:snapToGrid/>
          <w:szCs w:val="22"/>
          <w:lang w:val="el-GR"/>
        </w:rPr>
        <w:t>,</w:t>
      </w:r>
      <w:r w:rsidRPr="00FC2F1F">
        <w:rPr>
          <w:snapToGrid/>
          <w:szCs w:val="22"/>
          <w:lang w:val="el-GR"/>
        </w:rPr>
        <w:t xml:space="preserve"> π.χ. </w:t>
      </w:r>
      <w:r w:rsidR="005339D9">
        <w:rPr>
          <w:snapToGrid/>
          <w:szCs w:val="22"/>
          <w:lang w:val="el-GR"/>
        </w:rPr>
        <w:t>ακετυλοσαλικυλικό οξύ</w:t>
      </w:r>
      <w:r w:rsidRPr="00FC2F1F">
        <w:rPr>
          <w:snapToGrid/>
          <w:szCs w:val="22"/>
          <w:lang w:val="el-GR"/>
        </w:rPr>
        <w:t xml:space="preserve"> ή ιβουπροφαίνη).</w:t>
      </w:r>
    </w:p>
    <w:p w:rsidR="00681191" w:rsidRPr="00FC2F1F" w:rsidRDefault="00681191" w:rsidP="00681191">
      <w:pPr>
        <w:widowControl w:val="0"/>
        <w:spacing w:line="240" w:lineRule="auto"/>
        <w:rPr>
          <w:b/>
          <w:noProof/>
          <w:szCs w:val="22"/>
          <w:lang w:val="el-GR"/>
        </w:rPr>
      </w:pPr>
    </w:p>
    <w:p w:rsidR="00245134" w:rsidRDefault="00245134" w:rsidP="00245134">
      <w:pPr>
        <w:widowControl w:val="0"/>
        <w:spacing w:line="240" w:lineRule="auto"/>
        <w:rPr>
          <w:b/>
          <w:noProof/>
          <w:szCs w:val="22"/>
          <w:lang w:val="el-GR"/>
        </w:rPr>
      </w:pPr>
      <w:r>
        <w:rPr>
          <w:b/>
          <w:noProof/>
          <w:szCs w:val="22"/>
          <w:lang w:val="el-GR"/>
        </w:rPr>
        <w:t xml:space="preserve">Το </w:t>
      </w:r>
      <w:r w:rsidRPr="00FC2F1F">
        <w:rPr>
          <w:b/>
          <w:bCs/>
          <w:szCs w:val="22"/>
          <w:lang w:val="el-GR"/>
        </w:rPr>
        <w:t>Tolucombi</w:t>
      </w:r>
      <w:r>
        <w:rPr>
          <w:b/>
          <w:bCs/>
          <w:szCs w:val="22"/>
          <w:lang w:val="el-GR"/>
        </w:rPr>
        <w:t xml:space="preserve"> με τροφή και οινοπνευματώδη</w:t>
      </w:r>
    </w:p>
    <w:p w:rsidR="00245134" w:rsidRDefault="00245134" w:rsidP="00245134">
      <w:pPr>
        <w:widowControl w:val="0"/>
        <w:spacing w:line="240" w:lineRule="auto"/>
        <w:rPr>
          <w:lang w:val="el-GR"/>
        </w:rPr>
      </w:pPr>
    </w:p>
    <w:p w:rsidR="00245134" w:rsidRDefault="00245134" w:rsidP="00245134">
      <w:pPr>
        <w:widowControl w:val="0"/>
        <w:spacing w:line="240" w:lineRule="auto"/>
        <w:rPr>
          <w:b/>
          <w:noProof/>
          <w:szCs w:val="22"/>
          <w:lang w:val="el-GR"/>
        </w:rPr>
      </w:pPr>
      <w:r>
        <w:rPr>
          <w:lang w:val="el-GR"/>
        </w:rPr>
        <w:t xml:space="preserve">Μπορείτε να παίρνετε το </w:t>
      </w:r>
      <w:r w:rsidRPr="00FC2F1F">
        <w:rPr>
          <w:szCs w:val="22"/>
          <w:lang w:val="el-GR"/>
        </w:rPr>
        <w:t>Tolucomb</w:t>
      </w:r>
      <w:r>
        <w:rPr>
          <w:szCs w:val="22"/>
          <w:lang w:val="en-US"/>
        </w:rPr>
        <w:t>i</w:t>
      </w:r>
      <w:r w:rsidRPr="002210C0">
        <w:rPr>
          <w:szCs w:val="22"/>
          <w:lang w:val="el-GR"/>
        </w:rPr>
        <w:t xml:space="preserve"> </w:t>
      </w:r>
      <w:r>
        <w:rPr>
          <w:lang w:val="el-GR"/>
        </w:rPr>
        <w:t>με ή χωρίς τροφή.</w:t>
      </w:r>
    </w:p>
    <w:p w:rsidR="00245134" w:rsidRPr="002210C0" w:rsidRDefault="00245134" w:rsidP="002210C0">
      <w:pPr>
        <w:widowControl w:val="0"/>
        <w:spacing w:line="240" w:lineRule="auto"/>
        <w:rPr>
          <w:b/>
          <w:noProof/>
          <w:szCs w:val="22"/>
          <w:lang w:val="el-GR"/>
        </w:rPr>
      </w:pPr>
      <w:r>
        <w:rPr>
          <w:lang w:val="el-GR"/>
        </w:rPr>
        <w:t xml:space="preserve">Αποφύγετε την κατανάλωση οινοπνευματωδών μέχρι να απευθυνθείτε στον γιατρό σας. Τα οινοπνευματώδη μπορεί να προκαλέσουν περαιτέρω μείωση στην αρτηριακή σας πίεση </w:t>
      </w:r>
      <w:r w:rsidR="00E50CB6">
        <w:rPr>
          <w:lang w:val="el-GR"/>
        </w:rPr>
        <w:t>και</w:t>
      </w:r>
      <w:r>
        <w:rPr>
          <w:lang w:val="el-GR"/>
        </w:rPr>
        <w:t>/</w:t>
      </w:r>
      <w:r w:rsidR="00E50CB6">
        <w:rPr>
          <w:lang w:val="el-GR"/>
        </w:rPr>
        <w:t>ή</w:t>
      </w:r>
      <w:r>
        <w:rPr>
          <w:lang w:val="el-GR"/>
        </w:rPr>
        <w:t xml:space="preserve"> να αυξήσουν τον κίνδυνο να αισθανθείτε ζάλη ή αδυναμία.</w:t>
      </w:r>
    </w:p>
    <w:p w:rsidR="00245134" w:rsidRDefault="00245134"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t>Κύηση και θηλασμός</w:t>
      </w:r>
    </w:p>
    <w:p w:rsidR="00681191" w:rsidRPr="00FC2F1F" w:rsidRDefault="00681191" w:rsidP="00681191">
      <w:pPr>
        <w:widowControl w:val="0"/>
        <w:spacing w:line="240" w:lineRule="auto"/>
        <w:jc w:val="both"/>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u w:val="single"/>
          <w:lang w:val="el-GR"/>
        </w:rPr>
      </w:pPr>
      <w:r w:rsidRPr="00FC2F1F">
        <w:rPr>
          <w:snapToGrid/>
          <w:szCs w:val="22"/>
          <w:u w:val="single"/>
          <w:lang w:val="el-GR"/>
        </w:rPr>
        <w:t>Κύηση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Θα πρέπει να </w:t>
      </w:r>
      <w:r w:rsidR="00E50CB6">
        <w:rPr>
          <w:snapToGrid/>
          <w:szCs w:val="22"/>
          <w:lang w:val="el-GR"/>
        </w:rPr>
        <w:t>ενημερώσετε</w:t>
      </w:r>
      <w:r w:rsidRPr="00FC2F1F">
        <w:rPr>
          <w:snapToGrid/>
          <w:szCs w:val="22"/>
          <w:lang w:val="el-GR"/>
        </w:rPr>
        <w:t xml:space="preserve"> τον γιατρό σας εάν νομίζετε ότι είσ</w:t>
      </w:r>
      <w:r w:rsidR="000D395B">
        <w:rPr>
          <w:snapToGrid/>
          <w:szCs w:val="22"/>
          <w:lang w:val="el-GR"/>
        </w:rPr>
        <w:t>τ</w:t>
      </w:r>
      <w:r w:rsidRPr="00FC2F1F">
        <w:rPr>
          <w:snapToGrid/>
          <w:szCs w:val="22"/>
          <w:lang w:val="el-GR"/>
        </w:rPr>
        <w:t>ε (</w:t>
      </w:r>
      <w:r w:rsidRPr="00FC2F1F">
        <w:rPr>
          <w:snapToGrid/>
          <w:szCs w:val="22"/>
          <w:u w:val="single"/>
          <w:lang w:val="el-GR"/>
        </w:rPr>
        <w:t>ή μπορεί να μείνετε</w:t>
      </w:r>
      <w:r w:rsidRPr="00FC2F1F">
        <w:rPr>
          <w:snapToGrid/>
          <w:szCs w:val="22"/>
          <w:lang w:val="el-GR"/>
        </w:rPr>
        <w:t xml:space="preserve">) έγκυος. Κανονικά ο γιατρός σας θα σας συμβουλέψει να σταματήσετε να λαμβάνετε το </w:t>
      </w:r>
      <w:r w:rsidRPr="00FC2F1F">
        <w:rPr>
          <w:szCs w:val="22"/>
          <w:lang w:val="el-GR"/>
        </w:rPr>
        <w:t xml:space="preserve">Tolucombi </w:t>
      </w:r>
      <w:r w:rsidRPr="00FC2F1F">
        <w:rPr>
          <w:snapToGrid/>
          <w:szCs w:val="22"/>
          <w:lang w:val="el-GR"/>
        </w:rPr>
        <w:t>πρ</w:t>
      </w:r>
      <w:r w:rsidR="00BC64E4">
        <w:rPr>
          <w:snapToGrid/>
          <w:szCs w:val="22"/>
          <w:lang w:val="el-GR"/>
        </w:rPr>
        <w:t>ιν</w:t>
      </w:r>
      <w:r w:rsidRPr="00FC2F1F">
        <w:rPr>
          <w:snapToGrid/>
          <w:szCs w:val="22"/>
          <w:lang w:val="el-GR"/>
        </w:rPr>
        <w:t xml:space="preserve"> μείνετε έγκυος ή μόλις μάθετε ότι </w:t>
      </w:r>
      <w:r w:rsidR="00BC64E4">
        <w:rPr>
          <w:snapToGrid/>
          <w:szCs w:val="22"/>
          <w:lang w:val="el-GR"/>
        </w:rPr>
        <w:t>είστε έγκυος</w:t>
      </w:r>
      <w:r w:rsidRPr="00FC2F1F">
        <w:rPr>
          <w:snapToGrid/>
          <w:szCs w:val="22"/>
          <w:lang w:val="el-GR"/>
        </w:rPr>
        <w:t xml:space="preserve"> και θα σας συμβουλεύσει να λάβετε άλλο φάρμακο αντί του </w:t>
      </w:r>
      <w:bookmarkStart w:id="14" w:name="_Hlk500160343"/>
      <w:r w:rsidRPr="00FC2F1F">
        <w:rPr>
          <w:szCs w:val="22"/>
          <w:lang w:val="el-GR"/>
        </w:rPr>
        <w:t>Tolucomb</w:t>
      </w:r>
      <w:bookmarkEnd w:id="14"/>
      <w:r w:rsidRPr="00FC2F1F">
        <w:rPr>
          <w:szCs w:val="22"/>
          <w:lang w:val="el-GR"/>
        </w:rPr>
        <w:t>i</w:t>
      </w:r>
      <w:r w:rsidRPr="00FC2F1F">
        <w:rPr>
          <w:snapToGrid/>
          <w:szCs w:val="22"/>
          <w:lang w:val="el-GR"/>
        </w:rPr>
        <w:t xml:space="preserve">. Το </w:t>
      </w:r>
      <w:r w:rsidRPr="00FC2F1F">
        <w:rPr>
          <w:szCs w:val="22"/>
          <w:lang w:val="el-GR"/>
        </w:rPr>
        <w:t>Tolucombi</w:t>
      </w:r>
      <w:r w:rsidRPr="00FC2F1F">
        <w:rPr>
          <w:snapToGrid/>
          <w:szCs w:val="22"/>
          <w:lang w:val="el-GR"/>
        </w:rPr>
        <w:t xml:space="preserve"> δε</w:t>
      </w:r>
      <w:r w:rsidR="00BC64E4">
        <w:rPr>
          <w:snapToGrid/>
          <w:szCs w:val="22"/>
          <w:lang w:val="el-GR"/>
        </w:rPr>
        <w:t>ν</w:t>
      </w:r>
      <w:r w:rsidRPr="00FC2F1F">
        <w:rPr>
          <w:snapToGrid/>
          <w:szCs w:val="22"/>
          <w:lang w:val="el-GR"/>
        </w:rPr>
        <w:t xml:space="preserve"> συνιστάται κατά τη διάρκεια της κύησης, και δε</w:t>
      </w:r>
      <w:r w:rsidR="00BC64E4">
        <w:rPr>
          <w:snapToGrid/>
          <w:szCs w:val="22"/>
          <w:lang w:val="el-GR"/>
        </w:rPr>
        <w:t>ν</w:t>
      </w:r>
      <w:r w:rsidRPr="00FC2F1F">
        <w:rPr>
          <w:snapToGrid/>
          <w:szCs w:val="22"/>
          <w:lang w:val="el-GR"/>
        </w:rPr>
        <w:t xml:space="preserve"> θα πρέπει να λαμβάνεται μετά το πρώτο τρίμηνο της κύησης, καθώς μπορεί να προκαλέσει σοβαρή βλάβη στο </w:t>
      </w:r>
      <w:r w:rsidR="00BC64E4">
        <w:rPr>
          <w:snapToGrid/>
          <w:szCs w:val="22"/>
          <w:lang w:val="el-GR"/>
        </w:rPr>
        <w:t>μωρό</w:t>
      </w:r>
      <w:r w:rsidRPr="00FC2F1F">
        <w:rPr>
          <w:snapToGrid/>
          <w:szCs w:val="22"/>
          <w:lang w:val="el-GR"/>
        </w:rPr>
        <w:t xml:space="preserve"> σας εάν χρησιμοποιηθεί μετά το πρώτο τρίμηνο της κύησης.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0D395B" w:rsidP="00681191">
      <w:pPr>
        <w:widowControl w:val="0"/>
        <w:tabs>
          <w:tab w:val="clear" w:pos="567"/>
        </w:tabs>
        <w:autoSpaceDE w:val="0"/>
        <w:autoSpaceDN w:val="0"/>
        <w:adjustRightInd w:val="0"/>
        <w:spacing w:line="240" w:lineRule="auto"/>
        <w:rPr>
          <w:snapToGrid/>
          <w:szCs w:val="22"/>
          <w:u w:val="single"/>
          <w:lang w:val="el-GR"/>
        </w:rPr>
      </w:pPr>
      <w:r>
        <w:rPr>
          <w:snapToGrid/>
          <w:szCs w:val="22"/>
          <w:u w:val="single"/>
          <w:lang w:val="el-GR"/>
        </w:rPr>
        <w:t>Θηλασμός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Ενημερώστε τον γιατρό σας εάν θηλάζετε ή πρόκειται να ξεκινήσετε το θηλασμό. To </w:t>
      </w:r>
      <w:r w:rsidRPr="00FC2F1F">
        <w:rPr>
          <w:szCs w:val="22"/>
          <w:lang w:val="el-GR"/>
        </w:rPr>
        <w:t>Tolucombi</w:t>
      </w:r>
      <w:r w:rsidRPr="00FC2F1F">
        <w:rPr>
          <w:snapToGrid/>
          <w:szCs w:val="22"/>
          <w:lang w:val="el-GR"/>
        </w:rPr>
        <w:t xml:space="preserve"> δε</w:t>
      </w:r>
      <w:r w:rsidR="00BC64E4">
        <w:rPr>
          <w:snapToGrid/>
          <w:szCs w:val="22"/>
          <w:lang w:val="el-GR"/>
        </w:rPr>
        <w:t>ν</w:t>
      </w:r>
      <w:r w:rsidRPr="00FC2F1F">
        <w:rPr>
          <w:snapToGrid/>
          <w:szCs w:val="22"/>
          <w:lang w:val="el-GR"/>
        </w:rPr>
        <w:t xml:space="preserve"> συνιστάται σε μητέρες οι οποίες θηλάζουν, και ο γιατρός σας μπορεί να επιλέξει </w:t>
      </w:r>
      <w:r w:rsidR="00BC64E4">
        <w:rPr>
          <w:snapToGrid/>
          <w:szCs w:val="22"/>
          <w:lang w:val="el-GR"/>
        </w:rPr>
        <w:t>κάποια άλλη</w:t>
      </w:r>
      <w:r w:rsidRPr="00FC2F1F">
        <w:rPr>
          <w:snapToGrid/>
          <w:szCs w:val="22"/>
          <w:lang w:val="el-GR"/>
        </w:rPr>
        <w:t xml:space="preserve"> θεραπεία για εσάς εάν επιθυμείτε να θηλάσετε.</w:t>
      </w:r>
    </w:p>
    <w:p w:rsidR="00681191" w:rsidRPr="00FC2F1F" w:rsidRDefault="00681191" w:rsidP="00681191">
      <w:pPr>
        <w:widowControl w:val="0"/>
        <w:spacing w:line="240" w:lineRule="auto"/>
        <w:rPr>
          <w:noProof/>
          <w:szCs w:val="22"/>
          <w:lang w:val="el-GR"/>
        </w:rPr>
      </w:pPr>
    </w:p>
    <w:p w:rsidR="00681191" w:rsidRPr="00FC2F1F" w:rsidRDefault="00681191" w:rsidP="00681191">
      <w:pPr>
        <w:pStyle w:val="Header"/>
        <w:widowControl w:val="0"/>
        <w:tabs>
          <w:tab w:val="clear" w:pos="4153"/>
          <w:tab w:val="clear" w:pos="8306"/>
        </w:tabs>
        <w:spacing w:line="240" w:lineRule="auto"/>
        <w:rPr>
          <w:rFonts w:ascii="Times New Roman" w:hAnsi="Times New Roman"/>
          <w:b/>
          <w:noProof/>
          <w:sz w:val="22"/>
          <w:szCs w:val="22"/>
          <w:lang w:val="el-GR"/>
        </w:rPr>
      </w:pPr>
      <w:r w:rsidRPr="00FC2F1F">
        <w:rPr>
          <w:rFonts w:ascii="Times New Roman" w:hAnsi="Times New Roman"/>
          <w:b/>
          <w:noProof/>
          <w:sz w:val="22"/>
          <w:szCs w:val="22"/>
          <w:lang w:val="el-GR"/>
        </w:rPr>
        <w:t>Οδήγηση και χειρισμός μηχαν</w:t>
      </w:r>
      <w:r w:rsidR="000D395B">
        <w:rPr>
          <w:rFonts w:ascii="Times New Roman" w:hAnsi="Times New Roman"/>
          <w:b/>
          <w:noProof/>
          <w:sz w:val="22"/>
          <w:szCs w:val="22"/>
          <w:lang w:val="el-GR"/>
        </w:rPr>
        <w:t>ημάτων</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Μερικά άτομα αισθάνονται ζάλη ή κόπωση κατά τη διάρκεια της θεραπείας με </w:t>
      </w:r>
      <w:r w:rsidRPr="00FC2F1F">
        <w:rPr>
          <w:szCs w:val="22"/>
          <w:lang w:val="el-GR"/>
        </w:rPr>
        <w:t>Tolucombi</w:t>
      </w:r>
      <w:r w:rsidRPr="00FC2F1F">
        <w:rPr>
          <w:snapToGrid/>
          <w:szCs w:val="22"/>
          <w:lang w:val="el-GR"/>
        </w:rPr>
        <w:t>. Αν αισθανθείτε ζάλη ή κόπωση, μην οδηγήσετε ή χειριστείτε μηχαν</w:t>
      </w:r>
      <w:r w:rsidR="000D395B">
        <w:rPr>
          <w:snapToGrid/>
          <w:szCs w:val="22"/>
          <w:lang w:val="el-GR"/>
        </w:rPr>
        <w:t>ήματα</w:t>
      </w:r>
      <w:r w:rsidRPr="00FC2F1F">
        <w:rPr>
          <w:snapToGrid/>
          <w:szCs w:val="22"/>
          <w:lang w:val="el-GR"/>
        </w:rPr>
        <w:t>.</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b/>
          <w:noProof/>
          <w:szCs w:val="22"/>
          <w:lang w:val="el-GR"/>
        </w:rPr>
      </w:pPr>
      <w:bookmarkStart w:id="15" w:name="_Hlk500164051"/>
      <w:r w:rsidRPr="00FC2F1F">
        <w:rPr>
          <w:b/>
          <w:noProof/>
          <w:szCs w:val="22"/>
          <w:lang w:val="el-GR"/>
        </w:rPr>
        <w:t xml:space="preserve">Το </w:t>
      </w:r>
      <w:r w:rsidRPr="00FC2F1F">
        <w:rPr>
          <w:b/>
          <w:bCs/>
          <w:szCs w:val="22"/>
          <w:lang w:val="el-GR"/>
        </w:rPr>
        <w:t>Tolucombi</w:t>
      </w:r>
      <w:r w:rsidRPr="00FC2F1F">
        <w:rPr>
          <w:b/>
          <w:noProof/>
          <w:szCs w:val="22"/>
          <w:lang w:val="el-GR"/>
        </w:rPr>
        <w:t xml:space="preserve"> περιέχει λακτόζη</w:t>
      </w:r>
      <w:r w:rsidR="00C772C4">
        <w:rPr>
          <w:b/>
          <w:noProof/>
          <w:szCs w:val="22"/>
          <w:lang w:val="el-GR"/>
        </w:rPr>
        <w:t>,</w:t>
      </w:r>
      <w:r w:rsidRPr="00FC2F1F">
        <w:rPr>
          <w:b/>
          <w:noProof/>
          <w:szCs w:val="22"/>
          <w:lang w:val="el-GR"/>
        </w:rPr>
        <w:t xml:space="preserve"> σορβιτόλη</w:t>
      </w:r>
      <w:r w:rsidR="00C772C4">
        <w:rPr>
          <w:b/>
          <w:noProof/>
          <w:szCs w:val="22"/>
          <w:lang w:val="el-GR"/>
        </w:rPr>
        <w:t xml:space="preserve"> και νάτριο</w:t>
      </w:r>
    </w:p>
    <w:bookmarkEnd w:id="15"/>
    <w:p w:rsidR="00681191" w:rsidRDefault="00681191" w:rsidP="00681191">
      <w:pPr>
        <w:widowControl w:val="0"/>
        <w:spacing w:line="240" w:lineRule="auto"/>
        <w:rPr>
          <w:noProof/>
          <w:szCs w:val="22"/>
          <w:lang w:val="sl-SI"/>
        </w:rPr>
      </w:pPr>
      <w:r w:rsidRPr="00BB658C">
        <w:rPr>
          <w:noProof/>
          <w:szCs w:val="22"/>
          <w:lang w:val="sl-SI"/>
        </w:rPr>
        <w:t>Αν ο γιατρός σας, σας</w:t>
      </w:r>
      <w:r w:rsidR="006732FF">
        <w:rPr>
          <w:noProof/>
          <w:szCs w:val="22"/>
          <w:lang w:val="el-GR"/>
        </w:rPr>
        <w:t xml:space="preserve"> έχει</w:t>
      </w:r>
      <w:r w:rsidRPr="00BB658C">
        <w:rPr>
          <w:noProof/>
          <w:szCs w:val="22"/>
          <w:lang w:val="sl-SI"/>
        </w:rPr>
        <w:t xml:space="preserve"> ενημ</w:t>
      </w:r>
      <w:r w:rsidR="006732FF">
        <w:rPr>
          <w:noProof/>
          <w:szCs w:val="22"/>
          <w:lang w:val="el-GR"/>
        </w:rPr>
        <w:t>ε</w:t>
      </w:r>
      <w:r w:rsidRPr="00BB658C">
        <w:rPr>
          <w:noProof/>
          <w:szCs w:val="22"/>
          <w:lang w:val="sl-SI"/>
        </w:rPr>
        <w:t>ρ</w:t>
      </w:r>
      <w:r w:rsidR="006732FF">
        <w:rPr>
          <w:noProof/>
          <w:szCs w:val="22"/>
          <w:lang w:val="el-GR"/>
        </w:rPr>
        <w:t>ώ</w:t>
      </w:r>
      <w:r w:rsidRPr="00BB658C">
        <w:rPr>
          <w:noProof/>
          <w:szCs w:val="22"/>
          <w:lang w:val="sl-SI"/>
        </w:rPr>
        <w:t>σε</w:t>
      </w:r>
      <w:r w:rsidR="006732FF">
        <w:rPr>
          <w:noProof/>
          <w:szCs w:val="22"/>
          <w:lang w:val="el-GR"/>
        </w:rPr>
        <w:t>ι</w:t>
      </w:r>
      <w:r w:rsidRPr="00BB658C">
        <w:rPr>
          <w:noProof/>
          <w:szCs w:val="22"/>
          <w:lang w:val="sl-SI"/>
        </w:rPr>
        <w:t xml:space="preserve"> ότι έχετε δυσανεξία </w:t>
      </w:r>
      <w:r w:rsidR="006732FF">
        <w:rPr>
          <w:noProof/>
          <w:szCs w:val="22"/>
          <w:lang w:val="el-GR"/>
        </w:rPr>
        <w:t>για</w:t>
      </w:r>
      <w:r w:rsidRPr="00BB658C">
        <w:rPr>
          <w:noProof/>
          <w:szCs w:val="22"/>
          <w:lang w:val="sl-SI"/>
        </w:rPr>
        <w:t xml:space="preserve"> ορισμένα σάκχαρα, επικοινωνήστε με τον γιατρό σας πριν πάρετε αυτό το φαρμακευτικό προϊόν</w:t>
      </w:r>
      <w:r>
        <w:rPr>
          <w:noProof/>
          <w:szCs w:val="22"/>
          <w:lang w:val="sl-SI"/>
        </w:rPr>
        <w:t>.</w:t>
      </w:r>
    </w:p>
    <w:p w:rsidR="00681191" w:rsidRPr="00BB658C" w:rsidRDefault="00681191" w:rsidP="00681191">
      <w:pPr>
        <w:widowControl w:val="0"/>
        <w:spacing w:line="240" w:lineRule="auto"/>
        <w:rPr>
          <w:noProof/>
          <w:szCs w:val="22"/>
          <w:lang w:val="sl-SI"/>
        </w:rPr>
      </w:pPr>
    </w:p>
    <w:p w:rsidR="006732FF" w:rsidRDefault="006732FF" w:rsidP="006732FF">
      <w:pPr>
        <w:widowControl w:val="0"/>
        <w:tabs>
          <w:tab w:val="clear" w:pos="567"/>
        </w:tabs>
        <w:autoSpaceDE w:val="0"/>
        <w:autoSpaceDN w:val="0"/>
        <w:adjustRightInd w:val="0"/>
        <w:spacing w:line="240" w:lineRule="auto"/>
        <w:rPr>
          <w:szCs w:val="22"/>
          <w:lang w:val="el-GR"/>
        </w:rPr>
      </w:pPr>
      <w:r>
        <w:rPr>
          <w:snapToGrid/>
          <w:szCs w:val="22"/>
          <w:lang w:val="el-GR"/>
        </w:rPr>
        <w:t>Το</w:t>
      </w:r>
      <w:r w:rsidRPr="00F41A29">
        <w:rPr>
          <w:snapToGrid/>
          <w:szCs w:val="22"/>
          <w:lang w:val="el-GR"/>
        </w:rPr>
        <w:t xml:space="preserve"> </w:t>
      </w:r>
      <w:r w:rsidRPr="00F41A29">
        <w:rPr>
          <w:szCs w:val="22"/>
          <w:lang w:val="en-US"/>
        </w:rPr>
        <w:t>Tolucombi</w:t>
      </w:r>
      <w:r w:rsidRPr="00F41A29">
        <w:rPr>
          <w:szCs w:val="22"/>
          <w:lang w:val="el-GR"/>
        </w:rPr>
        <w:t xml:space="preserve"> 40 </w:t>
      </w:r>
      <w:r>
        <w:rPr>
          <w:szCs w:val="22"/>
          <w:lang w:val="en-US"/>
        </w:rPr>
        <w:t>mg</w:t>
      </w:r>
      <w:r w:rsidRPr="00F41A29">
        <w:rPr>
          <w:szCs w:val="22"/>
          <w:lang w:val="el-GR"/>
        </w:rPr>
        <w:t xml:space="preserve">/12,5 </w:t>
      </w:r>
      <w:r>
        <w:rPr>
          <w:szCs w:val="22"/>
          <w:lang w:val="en-US"/>
        </w:rPr>
        <w:t>mg</w:t>
      </w:r>
      <w:r w:rsidRPr="00F41A29">
        <w:rPr>
          <w:szCs w:val="22"/>
          <w:lang w:val="el-GR"/>
        </w:rPr>
        <w:t xml:space="preserve"> </w:t>
      </w:r>
      <w:r>
        <w:rPr>
          <w:szCs w:val="22"/>
          <w:lang w:val="el-GR"/>
        </w:rPr>
        <w:t xml:space="preserve">περιέχει 147,04 </w:t>
      </w:r>
      <w:r>
        <w:rPr>
          <w:szCs w:val="22"/>
          <w:lang w:val="en-US"/>
        </w:rPr>
        <w:t>mg</w:t>
      </w:r>
      <w:r>
        <w:rPr>
          <w:szCs w:val="22"/>
          <w:lang w:val="el-GR"/>
        </w:rPr>
        <w:t xml:space="preserve"> σορβιτόλης σε κάθε δισκίο, το οποίο ισοδυναμεί με 5 </w:t>
      </w:r>
      <w:r>
        <w:rPr>
          <w:szCs w:val="22"/>
          <w:lang w:val="en-US"/>
        </w:rPr>
        <w:t>mg</w:t>
      </w:r>
      <w:r w:rsidRPr="00F41A29">
        <w:rPr>
          <w:szCs w:val="22"/>
          <w:lang w:val="el-GR"/>
        </w:rPr>
        <w:t>/</w:t>
      </w:r>
      <w:r>
        <w:rPr>
          <w:szCs w:val="22"/>
          <w:lang w:val="en-US"/>
        </w:rPr>
        <w:t>kg</w:t>
      </w:r>
      <w:r w:rsidRPr="00F41A29">
        <w:rPr>
          <w:szCs w:val="22"/>
          <w:lang w:val="el-GR"/>
        </w:rPr>
        <w:t>/</w:t>
      </w:r>
      <w:r>
        <w:rPr>
          <w:szCs w:val="22"/>
          <w:lang w:val="el-GR"/>
        </w:rPr>
        <w:t>ημέρα, εάν το σωματικό βάρος είναι 29,8</w:t>
      </w:r>
      <w:r w:rsidRPr="00F41A29">
        <w:rPr>
          <w:szCs w:val="22"/>
          <w:lang w:val="el-GR"/>
        </w:rPr>
        <w:t xml:space="preserve"> </w:t>
      </w:r>
      <w:r>
        <w:rPr>
          <w:szCs w:val="22"/>
          <w:lang w:val="en-US"/>
        </w:rPr>
        <w:t>kg</w:t>
      </w:r>
      <w:r>
        <w:rPr>
          <w:szCs w:val="22"/>
          <w:lang w:val="el-GR"/>
        </w:rPr>
        <w:t>.</w:t>
      </w:r>
    </w:p>
    <w:p w:rsidR="006732FF" w:rsidRDefault="006732FF" w:rsidP="006732FF">
      <w:pPr>
        <w:widowControl w:val="0"/>
        <w:tabs>
          <w:tab w:val="clear" w:pos="567"/>
        </w:tabs>
        <w:autoSpaceDE w:val="0"/>
        <w:autoSpaceDN w:val="0"/>
        <w:adjustRightInd w:val="0"/>
        <w:spacing w:line="240" w:lineRule="auto"/>
        <w:rPr>
          <w:snapToGrid/>
          <w:szCs w:val="22"/>
          <w:lang w:val="el-GR"/>
        </w:rPr>
      </w:pPr>
    </w:p>
    <w:p w:rsidR="006732FF" w:rsidRDefault="006732FF" w:rsidP="006732FF">
      <w:pPr>
        <w:widowControl w:val="0"/>
        <w:tabs>
          <w:tab w:val="clear" w:pos="567"/>
        </w:tabs>
        <w:autoSpaceDE w:val="0"/>
        <w:autoSpaceDN w:val="0"/>
        <w:adjustRightInd w:val="0"/>
        <w:spacing w:line="240" w:lineRule="auto"/>
        <w:rPr>
          <w:szCs w:val="22"/>
          <w:lang w:val="el-GR"/>
        </w:rPr>
      </w:pPr>
      <w:r>
        <w:rPr>
          <w:snapToGrid/>
          <w:szCs w:val="22"/>
          <w:lang w:val="el-GR"/>
        </w:rPr>
        <w:t>Το</w:t>
      </w:r>
      <w:r w:rsidRPr="0017281A">
        <w:rPr>
          <w:snapToGrid/>
          <w:szCs w:val="22"/>
          <w:lang w:val="el-GR"/>
        </w:rPr>
        <w:t xml:space="preserve"> </w:t>
      </w:r>
      <w:bookmarkStart w:id="16" w:name="_Hlk528678974"/>
      <w:r w:rsidRPr="0017281A">
        <w:rPr>
          <w:szCs w:val="22"/>
          <w:lang w:val="en-US"/>
        </w:rPr>
        <w:t>Tolucombi</w:t>
      </w:r>
      <w:r w:rsidRPr="0017281A">
        <w:rPr>
          <w:szCs w:val="22"/>
          <w:lang w:val="el-GR"/>
        </w:rPr>
        <w:t xml:space="preserve"> </w:t>
      </w:r>
      <w:r>
        <w:rPr>
          <w:szCs w:val="22"/>
          <w:lang w:val="el-GR"/>
        </w:rPr>
        <w:t>8</w:t>
      </w:r>
      <w:r w:rsidRPr="0017281A">
        <w:rPr>
          <w:szCs w:val="22"/>
          <w:lang w:val="el-GR"/>
        </w:rPr>
        <w:t xml:space="preserve">0 </w:t>
      </w:r>
      <w:r>
        <w:rPr>
          <w:szCs w:val="22"/>
          <w:lang w:val="en-US"/>
        </w:rPr>
        <w:t>mg</w:t>
      </w:r>
      <w:r w:rsidRPr="0017281A">
        <w:rPr>
          <w:szCs w:val="22"/>
          <w:lang w:val="el-GR"/>
        </w:rPr>
        <w:t xml:space="preserve">/12,5 </w:t>
      </w:r>
      <w:r>
        <w:rPr>
          <w:szCs w:val="22"/>
          <w:lang w:val="en-US"/>
        </w:rPr>
        <w:t>mg</w:t>
      </w:r>
      <w:r w:rsidRPr="0017281A">
        <w:rPr>
          <w:szCs w:val="22"/>
          <w:lang w:val="el-GR"/>
        </w:rPr>
        <w:t xml:space="preserve"> </w:t>
      </w:r>
      <w:bookmarkEnd w:id="16"/>
      <w:r>
        <w:rPr>
          <w:szCs w:val="22"/>
          <w:lang w:val="el-GR"/>
        </w:rPr>
        <w:t xml:space="preserve">και το </w:t>
      </w:r>
      <w:r w:rsidRPr="0017281A">
        <w:rPr>
          <w:szCs w:val="22"/>
          <w:lang w:val="en-US"/>
        </w:rPr>
        <w:t>Tolucombi</w:t>
      </w:r>
      <w:r w:rsidRPr="0017281A">
        <w:rPr>
          <w:szCs w:val="22"/>
          <w:lang w:val="el-GR"/>
        </w:rPr>
        <w:t xml:space="preserve"> </w:t>
      </w:r>
      <w:r>
        <w:rPr>
          <w:szCs w:val="22"/>
          <w:lang w:val="el-GR"/>
        </w:rPr>
        <w:t>8</w:t>
      </w:r>
      <w:r w:rsidRPr="0017281A">
        <w:rPr>
          <w:szCs w:val="22"/>
          <w:lang w:val="el-GR"/>
        </w:rPr>
        <w:t xml:space="preserve">0 </w:t>
      </w:r>
      <w:r>
        <w:rPr>
          <w:szCs w:val="22"/>
          <w:lang w:val="en-US"/>
        </w:rPr>
        <w:t>mg</w:t>
      </w:r>
      <w:r w:rsidRPr="0017281A">
        <w:rPr>
          <w:szCs w:val="22"/>
          <w:lang w:val="el-GR"/>
        </w:rPr>
        <w:t>/</w:t>
      </w:r>
      <w:r>
        <w:rPr>
          <w:szCs w:val="22"/>
          <w:lang w:val="el-GR"/>
        </w:rPr>
        <w:t>25</w:t>
      </w:r>
      <w:r w:rsidRPr="0017281A">
        <w:rPr>
          <w:szCs w:val="22"/>
          <w:lang w:val="el-GR"/>
        </w:rPr>
        <w:t xml:space="preserve"> </w:t>
      </w:r>
      <w:r>
        <w:rPr>
          <w:szCs w:val="22"/>
          <w:lang w:val="en-US"/>
        </w:rPr>
        <w:t>mg</w:t>
      </w:r>
      <w:r w:rsidRPr="0017281A">
        <w:rPr>
          <w:szCs w:val="22"/>
          <w:lang w:val="el-GR"/>
        </w:rPr>
        <w:t xml:space="preserve"> </w:t>
      </w:r>
      <w:r>
        <w:rPr>
          <w:szCs w:val="22"/>
          <w:lang w:val="el-GR"/>
        </w:rPr>
        <w:t xml:space="preserve">περιέχουν 294,08 </w:t>
      </w:r>
      <w:r>
        <w:rPr>
          <w:szCs w:val="22"/>
          <w:lang w:val="en-US"/>
        </w:rPr>
        <w:t>mg</w:t>
      </w:r>
      <w:r>
        <w:rPr>
          <w:szCs w:val="22"/>
          <w:lang w:val="el-GR"/>
        </w:rPr>
        <w:t xml:space="preserve"> σορβιτόλης σε κάθε δισκίο</w:t>
      </w:r>
      <w:r w:rsidRPr="00F41A29">
        <w:rPr>
          <w:szCs w:val="22"/>
          <w:lang w:val="el-GR"/>
        </w:rPr>
        <w:t>,</w:t>
      </w:r>
      <w:r w:rsidRPr="005B4A59">
        <w:rPr>
          <w:szCs w:val="22"/>
          <w:lang w:val="el-GR"/>
        </w:rPr>
        <w:t xml:space="preserve"> </w:t>
      </w:r>
      <w:r>
        <w:rPr>
          <w:szCs w:val="22"/>
          <w:lang w:val="el-GR"/>
        </w:rPr>
        <w:t xml:space="preserve">το οποίο ισοδυναμεί με 5 </w:t>
      </w:r>
      <w:r>
        <w:rPr>
          <w:szCs w:val="22"/>
          <w:lang w:val="en-US"/>
        </w:rPr>
        <w:t>mg</w:t>
      </w:r>
      <w:r w:rsidRPr="00F41A29">
        <w:rPr>
          <w:szCs w:val="22"/>
          <w:lang w:val="el-GR"/>
        </w:rPr>
        <w:t>/</w:t>
      </w:r>
      <w:r>
        <w:rPr>
          <w:szCs w:val="22"/>
          <w:lang w:val="en-US"/>
        </w:rPr>
        <w:t>kg</w:t>
      </w:r>
      <w:r w:rsidRPr="00F41A29">
        <w:rPr>
          <w:szCs w:val="22"/>
          <w:lang w:val="el-GR"/>
        </w:rPr>
        <w:t>/</w:t>
      </w:r>
      <w:r>
        <w:rPr>
          <w:szCs w:val="22"/>
          <w:lang w:val="el-GR"/>
        </w:rPr>
        <w:t>ημέρα, εάν το σωματικό βάρος είναι 58,8</w:t>
      </w:r>
      <w:r w:rsidRPr="00F41A29">
        <w:rPr>
          <w:szCs w:val="22"/>
          <w:lang w:val="el-GR"/>
        </w:rPr>
        <w:t xml:space="preserve"> </w:t>
      </w:r>
      <w:r>
        <w:rPr>
          <w:szCs w:val="22"/>
          <w:lang w:val="en-US"/>
        </w:rPr>
        <w:t>kg</w:t>
      </w:r>
      <w:r>
        <w:rPr>
          <w:szCs w:val="22"/>
          <w:lang w:val="el-GR"/>
        </w:rPr>
        <w:t>.</w:t>
      </w:r>
    </w:p>
    <w:p w:rsidR="006732FF" w:rsidRPr="00A61F09" w:rsidRDefault="00D06DFD" w:rsidP="00D06DFD">
      <w:pPr>
        <w:widowControl w:val="0"/>
        <w:tabs>
          <w:tab w:val="clear" w:pos="567"/>
        </w:tabs>
        <w:autoSpaceDE w:val="0"/>
        <w:autoSpaceDN w:val="0"/>
        <w:adjustRightInd w:val="0"/>
        <w:spacing w:line="240" w:lineRule="auto"/>
        <w:rPr>
          <w:snapToGrid/>
          <w:szCs w:val="22"/>
          <w:lang w:val="el-GR"/>
        </w:rPr>
      </w:pPr>
      <w:r>
        <w:rPr>
          <w:snapToGrid/>
          <w:szCs w:val="22"/>
          <w:lang w:val="el-GR"/>
        </w:rPr>
        <w:t xml:space="preserve">Ασθενείς που ζυγίζουν 58,8 </w:t>
      </w:r>
      <w:r>
        <w:rPr>
          <w:snapToGrid/>
          <w:szCs w:val="22"/>
          <w:lang w:val="en-US"/>
        </w:rPr>
        <w:t>kg</w:t>
      </w:r>
      <w:r>
        <w:rPr>
          <w:snapToGrid/>
          <w:szCs w:val="22"/>
          <w:lang w:val="el-GR"/>
        </w:rPr>
        <w:t xml:space="preserve"> ή λιγότερο πρέπει να λάβουν υπόψη τους ότι η</w:t>
      </w:r>
      <w:r w:rsidRPr="00A61F09">
        <w:rPr>
          <w:snapToGrid/>
          <w:szCs w:val="22"/>
          <w:lang w:val="el-GR"/>
        </w:rPr>
        <w:t xml:space="preserve"> σορβιτόλη είναι πηγή φρουκτόζης</w:t>
      </w:r>
      <w:r>
        <w:rPr>
          <w:snapToGrid/>
          <w:szCs w:val="22"/>
          <w:lang w:val="el-GR"/>
        </w:rPr>
        <w:t xml:space="preserve"> και α</w:t>
      </w:r>
      <w:r w:rsidRPr="00A61F09">
        <w:rPr>
          <w:snapToGrid/>
          <w:szCs w:val="22"/>
          <w:lang w:val="el-GR"/>
        </w:rPr>
        <w:t>ν ο γιατρός</w:t>
      </w:r>
      <w:r>
        <w:rPr>
          <w:snapToGrid/>
          <w:szCs w:val="22"/>
          <w:lang w:val="el-GR"/>
        </w:rPr>
        <w:t xml:space="preserve"> </w:t>
      </w:r>
      <w:r w:rsidRPr="00A61F09">
        <w:rPr>
          <w:snapToGrid/>
          <w:szCs w:val="22"/>
          <w:lang w:val="el-GR"/>
        </w:rPr>
        <w:t>σας, σας έχει πει ότι εσείς (ή το παιδί σας) έχετε</w:t>
      </w:r>
      <w:r>
        <w:rPr>
          <w:snapToGrid/>
          <w:szCs w:val="22"/>
          <w:lang w:val="el-GR"/>
        </w:rPr>
        <w:t xml:space="preserve"> </w:t>
      </w:r>
      <w:r w:rsidRPr="00A61F09">
        <w:rPr>
          <w:snapToGrid/>
          <w:szCs w:val="22"/>
          <w:lang w:val="el-GR"/>
        </w:rPr>
        <w:t>δυσανεξία σε ορισμένα σάκχαρα, ή έχετε</w:t>
      </w:r>
      <w:r>
        <w:rPr>
          <w:snapToGrid/>
          <w:szCs w:val="22"/>
          <w:lang w:val="el-GR"/>
        </w:rPr>
        <w:t xml:space="preserve"> </w:t>
      </w:r>
      <w:r w:rsidRPr="00A61F09">
        <w:rPr>
          <w:snapToGrid/>
          <w:szCs w:val="22"/>
          <w:lang w:val="el-GR"/>
        </w:rPr>
        <w:t>διαγνωστεί με κληρονομική δυσανεξία στην</w:t>
      </w:r>
      <w:r>
        <w:rPr>
          <w:snapToGrid/>
          <w:szCs w:val="22"/>
          <w:lang w:val="el-GR"/>
        </w:rPr>
        <w:t xml:space="preserve"> </w:t>
      </w:r>
      <w:r w:rsidRPr="00A61F09">
        <w:rPr>
          <w:snapToGrid/>
          <w:szCs w:val="22"/>
          <w:lang w:val="el-GR"/>
        </w:rPr>
        <w:t>φρουκτόζη (</w:t>
      </w:r>
      <w:r w:rsidRPr="00D06DFD">
        <w:rPr>
          <w:snapToGrid/>
          <w:szCs w:val="22"/>
          <w:lang w:val="en-US"/>
        </w:rPr>
        <w:t>HFI</w:t>
      </w:r>
      <w:r w:rsidRPr="00A61F09">
        <w:rPr>
          <w:snapToGrid/>
          <w:szCs w:val="22"/>
          <w:lang w:val="el-GR"/>
        </w:rPr>
        <w:t>), μία σπάνια γενετική διαταραχή,</w:t>
      </w:r>
      <w:r>
        <w:rPr>
          <w:snapToGrid/>
          <w:szCs w:val="22"/>
          <w:lang w:val="el-GR"/>
        </w:rPr>
        <w:t xml:space="preserve"> </w:t>
      </w:r>
      <w:r w:rsidRPr="00A61F09">
        <w:rPr>
          <w:snapToGrid/>
          <w:szCs w:val="22"/>
          <w:lang w:val="el-GR"/>
        </w:rPr>
        <w:t>στην οποία το άτομο δεν μπορεί να διασπάσει την</w:t>
      </w:r>
      <w:r>
        <w:rPr>
          <w:snapToGrid/>
          <w:szCs w:val="22"/>
          <w:lang w:val="el-GR"/>
        </w:rPr>
        <w:t xml:space="preserve"> </w:t>
      </w:r>
      <w:r w:rsidRPr="00A61F09">
        <w:rPr>
          <w:snapToGrid/>
          <w:szCs w:val="22"/>
          <w:lang w:val="el-GR"/>
        </w:rPr>
        <w:t>φρουκτόζη, επικοινωνήστε με τον γιατρό σας πριν</w:t>
      </w:r>
      <w:r>
        <w:rPr>
          <w:snapToGrid/>
          <w:szCs w:val="22"/>
          <w:lang w:val="el-GR"/>
        </w:rPr>
        <w:t xml:space="preserve"> </w:t>
      </w:r>
      <w:r w:rsidRPr="00A61F09">
        <w:rPr>
          <w:snapToGrid/>
          <w:szCs w:val="22"/>
          <w:lang w:val="el-GR"/>
        </w:rPr>
        <w:t>εσείς (ή το παιδί σας) πάρετε ή λάβετε αυτό το</w:t>
      </w:r>
      <w:r>
        <w:rPr>
          <w:snapToGrid/>
          <w:szCs w:val="22"/>
          <w:lang w:val="el-GR"/>
        </w:rPr>
        <w:t xml:space="preserve"> </w:t>
      </w:r>
      <w:r w:rsidRPr="00A61F09">
        <w:rPr>
          <w:snapToGrid/>
          <w:szCs w:val="22"/>
          <w:lang w:val="el-GR"/>
        </w:rPr>
        <w:t>φάρμακο.</w:t>
      </w:r>
    </w:p>
    <w:p w:rsidR="006732FF" w:rsidRDefault="006732FF" w:rsidP="006732FF">
      <w:pPr>
        <w:widowControl w:val="0"/>
        <w:tabs>
          <w:tab w:val="clear" w:pos="567"/>
        </w:tabs>
        <w:autoSpaceDE w:val="0"/>
        <w:autoSpaceDN w:val="0"/>
        <w:adjustRightInd w:val="0"/>
        <w:spacing w:line="240" w:lineRule="auto"/>
        <w:rPr>
          <w:snapToGrid/>
          <w:szCs w:val="22"/>
          <w:lang w:val="el-GR"/>
        </w:rPr>
      </w:pPr>
    </w:p>
    <w:p w:rsidR="006732FF" w:rsidRPr="00F41A29" w:rsidRDefault="006732FF" w:rsidP="006732FF">
      <w:pPr>
        <w:widowControl w:val="0"/>
        <w:tabs>
          <w:tab w:val="clear" w:pos="567"/>
        </w:tabs>
        <w:autoSpaceDE w:val="0"/>
        <w:autoSpaceDN w:val="0"/>
        <w:adjustRightInd w:val="0"/>
        <w:spacing w:line="240" w:lineRule="auto"/>
        <w:rPr>
          <w:snapToGrid/>
          <w:szCs w:val="22"/>
          <w:lang w:val="el-GR"/>
        </w:rPr>
      </w:pPr>
      <w:r w:rsidRPr="00F41A29">
        <w:rPr>
          <w:snapToGrid/>
          <w:szCs w:val="22"/>
          <w:lang w:val="el-GR"/>
        </w:rPr>
        <w:t xml:space="preserve">Το φάρμακο αυτό περιέχει λιγότερο από 1 </w:t>
      </w:r>
      <w:r w:rsidRPr="00F41A29">
        <w:rPr>
          <w:snapToGrid/>
          <w:szCs w:val="22"/>
          <w:lang w:val="en-US"/>
        </w:rPr>
        <w:t>mmol</w:t>
      </w:r>
      <w:r>
        <w:rPr>
          <w:snapToGrid/>
          <w:szCs w:val="22"/>
          <w:lang w:val="el-GR"/>
        </w:rPr>
        <w:t xml:space="preserve"> </w:t>
      </w:r>
      <w:r w:rsidRPr="00F41A29">
        <w:rPr>
          <w:snapToGrid/>
          <w:szCs w:val="22"/>
          <w:lang w:val="el-GR"/>
        </w:rPr>
        <w:t xml:space="preserve">νατρίου (23 </w:t>
      </w:r>
      <w:r w:rsidRPr="00F41A29">
        <w:rPr>
          <w:snapToGrid/>
          <w:szCs w:val="22"/>
          <w:lang w:val="en-US"/>
        </w:rPr>
        <w:t>mg</w:t>
      </w:r>
      <w:r w:rsidRPr="00F41A29">
        <w:rPr>
          <w:snapToGrid/>
          <w:szCs w:val="22"/>
          <w:lang w:val="el-GR"/>
        </w:rPr>
        <w:t xml:space="preserve">) ανά </w:t>
      </w:r>
      <w:r>
        <w:rPr>
          <w:snapToGrid/>
          <w:szCs w:val="22"/>
          <w:lang w:val="el-GR"/>
        </w:rPr>
        <w:t>δισκίο</w:t>
      </w:r>
      <w:r w:rsidRPr="00F41A29">
        <w:rPr>
          <w:snapToGrid/>
          <w:szCs w:val="22"/>
          <w:lang w:val="el-GR"/>
        </w:rPr>
        <w:t>, είναι αυτό που ονομάζουμε «ελεύθερο</w:t>
      </w:r>
      <w:r>
        <w:rPr>
          <w:snapToGrid/>
          <w:szCs w:val="22"/>
          <w:lang w:val="el-GR"/>
        </w:rPr>
        <w:t xml:space="preserve"> </w:t>
      </w:r>
      <w:r w:rsidRPr="00F41A29">
        <w:rPr>
          <w:snapToGrid/>
          <w:szCs w:val="22"/>
          <w:lang w:val="el-GR"/>
        </w:rPr>
        <w:t>νατρίου».</w:t>
      </w:r>
    </w:p>
    <w:p w:rsidR="00681191" w:rsidRDefault="00681191" w:rsidP="00681191">
      <w:pPr>
        <w:widowControl w:val="0"/>
        <w:spacing w:line="240" w:lineRule="auto"/>
        <w:rPr>
          <w:noProof/>
          <w:szCs w:val="22"/>
          <w:lang w:val="el-GR"/>
        </w:rPr>
      </w:pPr>
    </w:p>
    <w:p w:rsidR="00D06DFD" w:rsidRPr="00FC2F1F" w:rsidRDefault="00D06DFD"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3.</w:t>
      </w:r>
      <w:r w:rsidRPr="00FC2F1F">
        <w:rPr>
          <w:b/>
          <w:noProof/>
          <w:szCs w:val="22"/>
          <w:lang w:val="el-GR"/>
        </w:rPr>
        <w:tab/>
        <w:t>Πώς να πάρετε το Tolucombi</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jc w:val="both"/>
        <w:rPr>
          <w:noProof/>
          <w:szCs w:val="22"/>
          <w:lang w:val="el-GR"/>
        </w:rPr>
      </w:pPr>
      <w:r w:rsidRPr="00FC2F1F">
        <w:rPr>
          <w:noProof/>
          <w:szCs w:val="22"/>
          <w:lang w:val="el-GR"/>
        </w:rPr>
        <w:t>Πάντοτε να παίρνετε το φάρμακο αυτό αυστηρά σύμφωνα με τις οδηγίες του γιατρού σας. Εάν έχετε αμφιβολίες, ρωτήστε τον γιατρό ή τον φαρμακοποιό σας.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H συνιστώμενη δόση του </w:t>
      </w:r>
      <w:r w:rsidRPr="00FC2F1F">
        <w:rPr>
          <w:bCs/>
          <w:szCs w:val="22"/>
          <w:lang w:val="el-GR"/>
        </w:rPr>
        <w:t>Tolucombi</w:t>
      </w:r>
      <w:r w:rsidRPr="00FC2F1F">
        <w:rPr>
          <w:snapToGrid/>
          <w:szCs w:val="22"/>
          <w:lang w:val="el-GR"/>
        </w:rPr>
        <w:t xml:space="preserve"> είναι ένα δισκίο μία φορά την ημέρα. Προσπαθήστε να λαμβάνετε το δισκίο την ίδια ώρα καθημερινά. Μπορείτε να παίρνετε το </w:t>
      </w:r>
      <w:r w:rsidRPr="00FC2F1F">
        <w:rPr>
          <w:bCs/>
          <w:szCs w:val="22"/>
          <w:lang w:val="el-GR"/>
        </w:rPr>
        <w:t>Tolucombi</w:t>
      </w:r>
      <w:r w:rsidRPr="00FC2F1F">
        <w:rPr>
          <w:snapToGrid/>
          <w:szCs w:val="22"/>
          <w:lang w:val="el-GR"/>
        </w:rPr>
        <w:t xml:space="preserve"> με ή χωρίς τροφή. Τα δισκία θα πρέπει να καταπίνονται μαζί με λίγο νερό ή άλλο μη αλκοολούχο ποτό. Είναι σημαντικό να λαμβάνετε το </w:t>
      </w:r>
      <w:r w:rsidRPr="00FC2F1F">
        <w:rPr>
          <w:bCs/>
          <w:szCs w:val="22"/>
          <w:lang w:val="el-GR"/>
        </w:rPr>
        <w:t>Tolucombi</w:t>
      </w:r>
      <w:r w:rsidRPr="00FC2F1F">
        <w:rPr>
          <w:snapToGrid/>
          <w:szCs w:val="22"/>
          <w:lang w:val="el-GR"/>
        </w:rPr>
        <w:t xml:space="preserve"> κάθε ημέρα μέχρι ο γιατρός σας να </w:t>
      </w:r>
      <w:r w:rsidR="003A0A68">
        <w:rPr>
          <w:snapToGrid/>
          <w:szCs w:val="22"/>
          <w:lang w:val="el-GR"/>
        </w:rPr>
        <w:t>σας ενημερώσει</w:t>
      </w:r>
      <w:r w:rsidRPr="00FC2F1F">
        <w:rPr>
          <w:snapToGrid/>
          <w:szCs w:val="22"/>
          <w:lang w:val="el-GR"/>
        </w:rPr>
        <w:t xml:space="preserve"> διαφορετικ</w:t>
      </w:r>
      <w:r w:rsidR="003A0A68">
        <w:rPr>
          <w:snapToGrid/>
          <w:szCs w:val="22"/>
          <w:lang w:val="el-GR"/>
        </w:rPr>
        <w:t>ά</w:t>
      </w:r>
      <w:r w:rsidRPr="00FC2F1F">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Εάν το ήπαρ σας δε</w:t>
      </w:r>
      <w:r w:rsidR="003A0A68">
        <w:rPr>
          <w:snapToGrid/>
          <w:szCs w:val="22"/>
          <w:lang w:val="el-GR"/>
        </w:rPr>
        <w:t>ν</w:t>
      </w:r>
      <w:r w:rsidRPr="00FC2F1F">
        <w:rPr>
          <w:snapToGrid/>
          <w:szCs w:val="22"/>
          <w:lang w:val="el-GR"/>
        </w:rPr>
        <w:t xml:space="preserve"> λειτουργεί σωστά</w:t>
      </w:r>
      <w:r w:rsidR="003A0A68">
        <w:rPr>
          <w:snapToGrid/>
          <w:szCs w:val="22"/>
          <w:lang w:val="el-GR"/>
        </w:rPr>
        <w:t>,</w:t>
      </w:r>
      <w:r w:rsidRPr="00FC2F1F">
        <w:rPr>
          <w:snapToGrid/>
          <w:szCs w:val="22"/>
          <w:lang w:val="el-GR"/>
        </w:rPr>
        <w:t xml:space="preserve"> η συνήθης δόση δε</w:t>
      </w:r>
      <w:r w:rsidR="003A0A68">
        <w:rPr>
          <w:snapToGrid/>
          <w:szCs w:val="22"/>
          <w:lang w:val="el-GR"/>
        </w:rPr>
        <w:t>ν</w:t>
      </w:r>
      <w:r w:rsidRPr="00FC2F1F">
        <w:rPr>
          <w:snapToGrid/>
          <w:szCs w:val="22"/>
          <w:lang w:val="el-GR"/>
        </w:rPr>
        <w:t xml:space="preserve"> θα πρέπει να υπερβαίνει τα 40</w:t>
      </w:r>
      <w:r>
        <w:rPr>
          <w:snapToGrid/>
          <w:szCs w:val="22"/>
          <w:lang w:val="el-GR"/>
        </w:rPr>
        <w:t> mg</w:t>
      </w:r>
      <w:r w:rsidRPr="00FC2F1F">
        <w:rPr>
          <w:snapToGrid/>
          <w:szCs w:val="22"/>
          <w:lang w:val="el-GR"/>
        </w:rPr>
        <w:t>/12,5</w:t>
      </w:r>
      <w:r>
        <w:rPr>
          <w:snapToGrid/>
          <w:szCs w:val="22"/>
          <w:lang w:val="el-GR"/>
        </w:rPr>
        <w:t> mg</w:t>
      </w:r>
      <w:r w:rsidRPr="00FC2F1F">
        <w:rPr>
          <w:snapToGrid/>
          <w:szCs w:val="22"/>
          <w:lang w:val="el-GR"/>
        </w:rPr>
        <w:t xml:space="preserve"> μια φορά την ημέρα.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b/>
          <w:noProof/>
          <w:szCs w:val="22"/>
          <w:lang w:val="el-GR"/>
        </w:rPr>
        <w:t xml:space="preserve">Εάν πάρετε μεγαλύτερη δόση </w:t>
      </w:r>
      <w:r w:rsidRPr="00FC2F1F">
        <w:rPr>
          <w:b/>
          <w:bCs/>
          <w:szCs w:val="22"/>
          <w:lang w:val="el-GR"/>
        </w:rPr>
        <w:t>Tolucombi</w:t>
      </w:r>
      <w:r w:rsidRPr="00FC2F1F">
        <w:rPr>
          <w:b/>
          <w:noProof/>
          <w:szCs w:val="22"/>
          <w:lang w:val="el-GR"/>
        </w:rPr>
        <w:t xml:space="preserve"> από την κανονική</w:t>
      </w:r>
    </w:p>
    <w:p w:rsidR="003A0A68" w:rsidRDefault="003A0A68" w:rsidP="003A0A68">
      <w:pPr>
        <w:rPr>
          <w:snapToGrid/>
          <w:lang w:val="el-GR"/>
        </w:rPr>
      </w:pPr>
      <w:r>
        <w:rPr>
          <w:lang w:val="el-GR"/>
        </w:rPr>
        <w:t xml:space="preserve">Αν </w:t>
      </w:r>
      <w:r w:rsidR="0065655B">
        <w:rPr>
          <w:lang w:val="el-GR"/>
        </w:rPr>
        <w:t>πάρετε κατά λάθος</w:t>
      </w:r>
      <w:r>
        <w:rPr>
          <w:lang w:val="el-GR"/>
        </w:rPr>
        <w:t xml:space="preserve"> </w:t>
      </w:r>
      <w:r w:rsidR="0065655B">
        <w:rPr>
          <w:lang w:val="el-GR"/>
        </w:rPr>
        <w:t>πάρα πολλά</w:t>
      </w:r>
      <w:r>
        <w:rPr>
          <w:lang w:val="el-GR"/>
        </w:rPr>
        <w:t xml:space="preserve"> δισκί</w:t>
      </w:r>
      <w:r w:rsidR="0065655B">
        <w:rPr>
          <w:lang w:val="el-GR"/>
        </w:rPr>
        <w:t>α</w:t>
      </w:r>
      <w:r>
        <w:rPr>
          <w:lang w:val="el-GR"/>
        </w:rPr>
        <w:t xml:space="preserve"> μπορεί να εμφανίσετε συμπτώματα όπως χαμηλή</w:t>
      </w:r>
      <w:r w:rsidR="0013710A" w:rsidRPr="002210C0">
        <w:rPr>
          <w:lang w:val="el-GR"/>
        </w:rPr>
        <w:t xml:space="preserve"> </w:t>
      </w:r>
      <w:r w:rsidR="0013710A">
        <w:rPr>
          <w:lang w:val="el-GR"/>
        </w:rPr>
        <w:t>αρτηριακή</w:t>
      </w:r>
      <w:r>
        <w:rPr>
          <w:lang w:val="el-GR"/>
        </w:rPr>
        <w:t xml:space="preserve"> πίεση και ταχυκαρδία. Έχουν επίσης αναφερθεί βραδυκαρδία, ζάλη, έμετος</w:t>
      </w:r>
      <w:r w:rsidR="0013710A">
        <w:rPr>
          <w:lang w:val="el-GR"/>
        </w:rPr>
        <w:t>,</w:t>
      </w:r>
      <w:r>
        <w:rPr>
          <w:lang w:val="el-GR"/>
        </w:rPr>
        <w:t xml:space="preserve"> μειωμένη νεφρική λειτουργία περιλαμβανομένης </w:t>
      </w:r>
      <w:r w:rsidR="0013710A">
        <w:rPr>
          <w:lang w:val="el-GR"/>
        </w:rPr>
        <w:t xml:space="preserve">της </w:t>
      </w:r>
      <w:r>
        <w:rPr>
          <w:lang w:val="el-GR"/>
        </w:rPr>
        <w:t xml:space="preserve">νεφρικής ανεπάρκειας. Λόγω του συστατικού υδροχλωροθειαζίδη, </w:t>
      </w:r>
      <w:r w:rsidR="00350B58">
        <w:rPr>
          <w:lang w:val="el-GR"/>
        </w:rPr>
        <w:t xml:space="preserve">μπορεί επίσης να συμβούν </w:t>
      </w:r>
      <w:r>
        <w:rPr>
          <w:lang w:val="el-GR"/>
        </w:rPr>
        <w:t xml:space="preserve">σημαντικά χαμηλή </w:t>
      </w:r>
      <w:r w:rsidR="00350B58">
        <w:rPr>
          <w:lang w:val="el-GR"/>
        </w:rPr>
        <w:t xml:space="preserve">αρτηριακή </w:t>
      </w:r>
      <w:r>
        <w:rPr>
          <w:lang w:val="el-GR"/>
        </w:rPr>
        <w:t>πίεση και χαμηλά επίπεδα καλίου</w:t>
      </w:r>
      <w:r w:rsidR="00350B58">
        <w:rPr>
          <w:lang w:val="el-GR"/>
        </w:rPr>
        <w:t xml:space="preserve"> του αίματος</w:t>
      </w:r>
      <w:r>
        <w:rPr>
          <w:lang w:val="el-GR"/>
        </w:rPr>
        <w:t xml:space="preserve">, </w:t>
      </w:r>
      <w:r w:rsidR="00350B58">
        <w:rPr>
          <w:lang w:val="el-GR"/>
        </w:rPr>
        <w:t>τα οποία</w:t>
      </w:r>
      <w:r>
        <w:rPr>
          <w:lang w:val="el-GR"/>
        </w:rPr>
        <w:t xml:space="preserve"> μπορεί να οδηγήσουν σε ναυτία, υπνηλία και μυϊκές κράμπες </w:t>
      </w:r>
      <w:r w:rsidR="00350B58">
        <w:rPr>
          <w:lang w:val="el-GR"/>
        </w:rPr>
        <w:t>και</w:t>
      </w:r>
      <w:r>
        <w:rPr>
          <w:lang w:val="el-GR"/>
        </w:rPr>
        <w:t>/</w:t>
      </w:r>
      <w:r w:rsidR="00350B58">
        <w:rPr>
          <w:lang w:val="el-GR"/>
        </w:rPr>
        <w:t>ή</w:t>
      </w:r>
      <w:r>
        <w:rPr>
          <w:lang w:val="el-GR"/>
        </w:rPr>
        <w:t xml:space="preserve"> ακανόνιστο καρδιακό ρυθμό </w:t>
      </w:r>
      <w:r w:rsidR="00350B58">
        <w:rPr>
          <w:lang w:val="el-GR"/>
        </w:rPr>
        <w:t>που σχετίζεται</w:t>
      </w:r>
      <w:r>
        <w:rPr>
          <w:lang w:val="el-GR"/>
        </w:rPr>
        <w:t xml:space="preserve"> με </w:t>
      </w:r>
      <w:r w:rsidR="00350B58">
        <w:rPr>
          <w:lang w:val="el-GR"/>
        </w:rPr>
        <w:t xml:space="preserve">την </w:t>
      </w:r>
      <w:r>
        <w:rPr>
          <w:lang w:val="el-GR"/>
        </w:rPr>
        <w:t xml:space="preserve">ταυτόχρονη χρήση φαρμάκων όπως η δακτυλίτιδα ή συγκεκριμένες αντιαρρυθμικές </w:t>
      </w:r>
      <w:r w:rsidR="00350B58">
        <w:rPr>
          <w:lang w:val="el-GR"/>
        </w:rPr>
        <w:t>θεραπείες</w:t>
      </w:r>
      <w:r>
        <w:rPr>
          <w:lang w:val="el-GR"/>
        </w:rPr>
        <w:t xml:space="preserve">. Επικοινωνήστε αμέσως με τον γιατρό σας, τον φαρμακοποιό </w:t>
      </w:r>
      <w:r w:rsidR="00350B58">
        <w:rPr>
          <w:lang w:val="el-GR"/>
        </w:rPr>
        <w:t>σας,</w:t>
      </w:r>
      <w:r>
        <w:rPr>
          <w:lang w:val="el-GR"/>
        </w:rPr>
        <w:t xml:space="preserve"> ή με το τμήμα επειγόντων περιστατικών του πλησιέστερου νοσοκομείου.</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t xml:space="preserve">Εάν ξεχάσετε να πάρετε το </w:t>
      </w:r>
      <w:r w:rsidRPr="00FC2F1F">
        <w:rPr>
          <w:b/>
          <w:bCs/>
          <w:szCs w:val="22"/>
          <w:lang w:val="el-GR"/>
        </w:rPr>
        <w:t>Tolucombi</w:t>
      </w:r>
    </w:p>
    <w:p w:rsidR="00681191" w:rsidRPr="00FC2F1F" w:rsidRDefault="00681191" w:rsidP="00681191">
      <w:pPr>
        <w:widowControl w:val="0"/>
        <w:tabs>
          <w:tab w:val="clear" w:pos="567"/>
        </w:tabs>
        <w:autoSpaceDE w:val="0"/>
        <w:autoSpaceDN w:val="0"/>
        <w:adjustRightInd w:val="0"/>
        <w:spacing w:line="240" w:lineRule="auto"/>
        <w:rPr>
          <w:noProof/>
          <w:szCs w:val="22"/>
          <w:lang w:val="el-GR"/>
        </w:rPr>
      </w:pPr>
      <w:r w:rsidRPr="00FC2F1F">
        <w:rPr>
          <w:snapToGrid/>
          <w:szCs w:val="22"/>
          <w:lang w:val="el-GR"/>
        </w:rPr>
        <w:t xml:space="preserve">Αν ξεχάσετε να πάρετε μία δόση, μην ανησυχήσετε. Πάρτε τη δόση αμέσως μόλις το θυμηθείτε και κατόπιν συνεχίστε όπως προηγουμένως. Αν δεν πάρετε το δισκίο κάποια ημέρα, πάρτε την κανονική δόση την επόμενη ημέρα. </w:t>
      </w:r>
      <w:r w:rsidRPr="00B754A1">
        <w:rPr>
          <w:b/>
          <w:i/>
          <w:noProof/>
          <w:szCs w:val="22"/>
          <w:lang w:val="el-GR"/>
        </w:rPr>
        <w:t>Μην πάρετε</w:t>
      </w:r>
      <w:r w:rsidRPr="00FC2F1F">
        <w:rPr>
          <w:noProof/>
          <w:szCs w:val="22"/>
          <w:lang w:val="el-GR"/>
        </w:rPr>
        <w:t xml:space="preserve"> διπλή δόση για να αναπληρώσετε τη δόση που ξεχάσατε.</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Εάν έχετε περισσότερες ερωτήσεις σχετικά με τη χρήση αυτού του φαρμάκου, ρωτήστε τον γιατρό ή τον φαρμακοποιό σας.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4.</w:t>
      </w:r>
      <w:r w:rsidRPr="00FC2F1F">
        <w:rPr>
          <w:b/>
          <w:noProof/>
          <w:szCs w:val="22"/>
          <w:lang w:val="el-GR"/>
        </w:rPr>
        <w:tab/>
        <w:t>Πιθανές ανεπιθύμητες ενέργειες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autoSpaceDE w:val="0"/>
        <w:autoSpaceDN w:val="0"/>
        <w:adjustRightInd w:val="0"/>
        <w:spacing w:line="240" w:lineRule="auto"/>
        <w:rPr>
          <w:b/>
          <w:bCs/>
          <w:snapToGrid/>
          <w:szCs w:val="22"/>
          <w:lang w:val="el-GR"/>
        </w:rPr>
      </w:pPr>
      <w:r w:rsidRPr="00FC2F1F">
        <w:rPr>
          <w:b/>
          <w:bCs/>
          <w:snapToGrid/>
          <w:szCs w:val="22"/>
          <w:lang w:val="el-GR"/>
        </w:rPr>
        <w:t>Κάποιες ανεπιθύμητες ενέργειες μπορεί να είναι σοβαρές και να χρειάζονται άμεση ιατρική παρακολούθηση:</w:t>
      </w:r>
    </w:p>
    <w:p w:rsidR="00681191" w:rsidRPr="00FC2F1F" w:rsidRDefault="00681191" w:rsidP="00681191">
      <w:pPr>
        <w:widowControl w:val="0"/>
        <w:autoSpaceDE w:val="0"/>
        <w:autoSpaceDN w:val="0"/>
        <w:adjustRightInd w:val="0"/>
        <w:spacing w:line="240" w:lineRule="auto"/>
        <w:rPr>
          <w:b/>
          <w:bCs/>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Θα πρέπει να επισκεφθείτε τον γιατρό σας αμέσως εάν εμφανίσετε κάποιο από τα παρακάτω συμπτώματα: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E06660"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Σήψη* (συχνά αποκαλούμενη «δηλητηρίαση αίματος»), είναι μια σοβαρή </w:t>
      </w:r>
      <w:r w:rsidR="00C47CA6">
        <w:rPr>
          <w:snapToGrid/>
          <w:szCs w:val="22"/>
          <w:lang w:val="el-GR"/>
        </w:rPr>
        <w:t>λοίμωξη</w:t>
      </w:r>
      <w:r w:rsidRPr="00FC2F1F">
        <w:rPr>
          <w:snapToGrid/>
          <w:szCs w:val="22"/>
          <w:lang w:val="el-GR"/>
        </w:rPr>
        <w:t xml:space="preserve"> με φλεγμονώδη απάντηση σε όλο το σώμα, </w:t>
      </w:r>
      <w:r w:rsidR="00500B43">
        <w:rPr>
          <w:snapToGrid/>
          <w:szCs w:val="22"/>
          <w:lang w:val="el-GR"/>
        </w:rPr>
        <w:t>γρήγορο πρήξιμο</w:t>
      </w:r>
      <w:r w:rsidRPr="00FC2F1F">
        <w:rPr>
          <w:snapToGrid/>
          <w:szCs w:val="22"/>
          <w:lang w:val="el-GR"/>
        </w:rPr>
        <w:t xml:space="preserve"> του δέρματος και των βλεννογόνων (αγγειοοίδημα)</w:t>
      </w:r>
      <w:r w:rsidR="00500B43">
        <w:rPr>
          <w:snapToGrid/>
          <w:szCs w:val="22"/>
          <w:lang w:val="el-GR"/>
        </w:rPr>
        <w:t xml:space="preserve"> </w:t>
      </w:r>
      <w:r w:rsidR="00500B43">
        <w:rPr>
          <w:szCs w:val="22"/>
          <w:lang w:val="el-GR"/>
        </w:rPr>
        <w:t>σχηματισμός φουσκαλών και ξεφλούδισμα της ανώτερης στοιβάδας του δέρματος (τοξική επιδερμική νεκρόλυση)</w:t>
      </w:r>
      <w:r w:rsidR="00E06660">
        <w:rPr>
          <w:snapToGrid/>
          <w:szCs w:val="22"/>
          <w:lang w:val="el-GR"/>
        </w:rPr>
        <w:t>. Α</w:t>
      </w:r>
      <w:r w:rsidRPr="00FC2F1F">
        <w:rPr>
          <w:snapToGrid/>
          <w:szCs w:val="22"/>
          <w:lang w:val="el-GR"/>
        </w:rPr>
        <w:t xml:space="preserve">υτές οι ανεπιθύμητες ενέργειες είναι σπάνιες (μπορεί να επηρεάσουν έως 1 στους 1.000 ανθρώπους) </w:t>
      </w:r>
      <w:r w:rsidR="00E06660">
        <w:rPr>
          <w:snapToGrid/>
          <w:szCs w:val="22"/>
          <w:lang w:val="el-GR"/>
        </w:rPr>
        <w:t xml:space="preserve">ή μη γνωστής συχνότητας (τοξική επιδερμική νεκρόλυση) </w:t>
      </w:r>
      <w:r w:rsidRPr="00FC2F1F">
        <w:rPr>
          <w:snapToGrid/>
          <w:szCs w:val="22"/>
          <w:lang w:val="el-GR"/>
        </w:rPr>
        <w:t>αλλά είναι εξαιρετικά σοβαρές και οι ασθενείς θα πρέπει να διακόψουν τη λήψη του φαρμάκου και να επισκεφθούν τον γιατρό τους αμέσως.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Εάν αυτές οι επιδράσεις δεν αντιμετωπιστούν μπορεί να έχουν </w:t>
      </w:r>
      <w:r w:rsidR="00E06660">
        <w:rPr>
          <w:snapToGrid/>
          <w:szCs w:val="22"/>
          <w:lang w:val="el-GR"/>
        </w:rPr>
        <w:t>θανατηφόρα</w:t>
      </w:r>
      <w:r w:rsidRPr="00FC2F1F">
        <w:rPr>
          <w:snapToGrid/>
          <w:szCs w:val="22"/>
          <w:lang w:val="el-GR"/>
        </w:rPr>
        <w:t xml:space="preserve"> έκβαση. Έχει παρατηρηθεί αυξημένη συχνότητα εμφάνισης σήψης με τελμισαρτάνη ως μονοθεραπεία, ωστόσο δεν μπορεί να αποκλεισθεί για το </w:t>
      </w:r>
      <w:r w:rsidRPr="00FC2F1F">
        <w:rPr>
          <w:szCs w:val="22"/>
          <w:lang w:val="el-GR"/>
        </w:rPr>
        <w:t>Tolucombi.</w:t>
      </w:r>
    </w:p>
    <w:p w:rsidR="00681191" w:rsidRPr="00FC2F1F" w:rsidRDefault="00681191" w:rsidP="00681191">
      <w:pPr>
        <w:widowControl w:val="0"/>
        <w:tabs>
          <w:tab w:val="clear" w:pos="567"/>
        </w:tabs>
        <w:autoSpaceDE w:val="0"/>
        <w:autoSpaceDN w:val="0"/>
        <w:adjustRightInd w:val="0"/>
        <w:spacing w:line="240" w:lineRule="auto"/>
        <w:rPr>
          <w:b/>
          <w:bCs/>
          <w:snapToGrid/>
          <w:szCs w:val="22"/>
          <w:lang w:val="el-GR"/>
        </w:rPr>
      </w:pPr>
    </w:p>
    <w:p w:rsidR="00681191" w:rsidRPr="00FC2F1F" w:rsidRDefault="00681191" w:rsidP="00681191">
      <w:pPr>
        <w:widowControl w:val="0"/>
        <w:autoSpaceDE w:val="0"/>
        <w:autoSpaceDN w:val="0"/>
        <w:adjustRightInd w:val="0"/>
        <w:spacing w:line="240" w:lineRule="auto"/>
        <w:rPr>
          <w:b/>
          <w:bCs/>
          <w:snapToGrid/>
          <w:szCs w:val="22"/>
          <w:lang w:val="el-GR"/>
        </w:rPr>
      </w:pPr>
      <w:r w:rsidRPr="00FC2F1F">
        <w:rPr>
          <w:b/>
          <w:bCs/>
          <w:snapToGrid/>
          <w:szCs w:val="22"/>
          <w:lang w:val="el-GR"/>
        </w:rPr>
        <w:t xml:space="preserve">Πιθανές ανεπιθύμητες ενέργειες του </w:t>
      </w:r>
      <w:r w:rsidRPr="00FC2F1F">
        <w:rPr>
          <w:b/>
          <w:szCs w:val="22"/>
          <w:lang w:val="el-GR"/>
        </w:rPr>
        <w:t>Tolucombi</w:t>
      </w:r>
      <w:r w:rsidRPr="00FC2F1F">
        <w:rPr>
          <w:b/>
          <w:bCs/>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bookmarkStart w:id="17" w:name="_Hlk497751398"/>
      <w:r w:rsidRPr="00FC2F1F">
        <w:rPr>
          <w:snapToGrid/>
          <w:szCs w:val="22"/>
          <w:u w:val="single"/>
          <w:lang w:val="el-GR"/>
        </w:rPr>
        <w:t>Συχνές ανεπιθύμητες ενέργειες</w:t>
      </w:r>
      <w:r w:rsidRPr="00FC2F1F">
        <w:rPr>
          <w:snapToGrid/>
          <w:szCs w:val="22"/>
          <w:lang w:val="el-GR"/>
        </w:rPr>
        <w:t xml:space="preserve"> (μπορεί να επηρεάσουν έως 1 στους 10 ανθρώπους):</w:t>
      </w:r>
    </w:p>
    <w:bookmarkEnd w:id="17"/>
    <w:p w:rsidR="00681191" w:rsidRPr="00DD3AE8"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Ζάλη</w:t>
      </w:r>
      <w:r w:rsidR="002017F4" w:rsidRPr="00DD3AE8">
        <w:rPr>
          <w:snapToGrid/>
          <w:szCs w:val="22"/>
          <w:lang w:val="el-GR"/>
        </w:rPr>
        <w:t>.</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Όχι συχνές ανεπιθύμητες ενέργειες</w:t>
      </w:r>
      <w:r w:rsidRPr="00FC2F1F">
        <w:rPr>
          <w:snapToGrid/>
          <w:szCs w:val="22"/>
          <w:lang w:val="el-GR"/>
        </w:rPr>
        <w:t xml:space="preserve"> (μπορεί να επηρεάσουν έως 1 στους 100 ανθρώπους):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Μειωμένα επίπεδα καλίου αίματος, άγχος, λιποθυμία (συγκοπή), αίσθημα </w:t>
      </w:r>
      <w:r w:rsidR="00E06660">
        <w:rPr>
          <w:snapToGrid/>
          <w:szCs w:val="22"/>
          <w:lang w:val="el-GR"/>
        </w:rPr>
        <w:t>μυρμηκίασης</w:t>
      </w:r>
      <w:r w:rsidRPr="00FC2F1F">
        <w:rPr>
          <w:snapToGrid/>
          <w:szCs w:val="22"/>
          <w:lang w:val="el-GR"/>
        </w:rPr>
        <w:t xml:space="preserve">, αίσθημα </w:t>
      </w:r>
      <w:r w:rsidR="00CA1727">
        <w:rPr>
          <w:snapToGrid/>
          <w:szCs w:val="22"/>
          <w:lang w:val="el-GR"/>
        </w:rPr>
        <w:t>τρυπήματος καρφίτσας</w:t>
      </w:r>
      <w:r w:rsidRPr="00FC2F1F">
        <w:rPr>
          <w:snapToGrid/>
          <w:szCs w:val="22"/>
          <w:lang w:val="el-GR"/>
        </w:rPr>
        <w:t xml:space="preserve"> και βελ</w:t>
      </w:r>
      <w:r w:rsidR="00CA1727">
        <w:rPr>
          <w:snapToGrid/>
          <w:szCs w:val="22"/>
          <w:lang w:val="el-GR"/>
        </w:rPr>
        <w:t>όνης</w:t>
      </w:r>
      <w:r w:rsidRPr="00FC2F1F">
        <w:rPr>
          <w:snapToGrid/>
          <w:szCs w:val="22"/>
          <w:lang w:val="el-GR"/>
        </w:rPr>
        <w:t xml:space="preserve"> (παραισθησία), αίσθημα περιστροφής (ίλιγγος), γρήγορος καρδιακός ρυθμός (ταχυκαρδία), διαταραχές καρδιακού ρυθμού, χαμηλή αρτηριακή πίεση, απότομη πτώση αρτηριακής πίεσης κατά την έγερση, λαχάνιασμα (δύσπνοια), διάρροια, ξηροστομία, μετεωρισμός, </w:t>
      </w:r>
      <w:r w:rsidR="00CA1727">
        <w:rPr>
          <w:snapToGrid/>
          <w:szCs w:val="22"/>
          <w:lang w:val="el-GR"/>
        </w:rPr>
        <w:t>πόνος στην πλάτη</w:t>
      </w:r>
      <w:r w:rsidRPr="00FC2F1F">
        <w:rPr>
          <w:snapToGrid/>
          <w:szCs w:val="22"/>
          <w:lang w:val="el-GR"/>
        </w:rPr>
        <w:t>, μυϊκός σπασμός, μυϊκός πόνος, στυτική δυσλειτουργία (ανικανότητα απόκτησης ή διατήρησης στύσης), πόνος</w:t>
      </w:r>
      <w:r w:rsidR="007C754B">
        <w:rPr>
          <w:snapToGrid/>
          <w:szCs w:val="22"/>
          <w:lang w:val="el-GR"/>
        </w:rPr>
        <w:t xml:space="preserve"> στο στήθος</w:t>
      </w:r>
      <w:r w:rsidRPr="00FC2F1F">
        <w:rPr>
          <w:snapToGrid/>
          <w:szCs w:val="22"/>
          <w:lang w:val="el-GR"/>
        </w:rPr>
        <w:t>, αυξημένα επίπεδα ουρικού οξέος στο αίμα.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 xml:space="preserve">Σπάνιες ανεπιθύμητες ενέργειες </w:t>
      </w:r>
      <w:r w:rsidRPr="00FC2F1F">
        <w:rPr>
          <w:snapToGrid/>
          <w:szCs w:val="22"/>
          <w:lang w:val="el-GR"/>
        </w:rPr>
        <w:t>(μπορεί να επηρεάσουν έως 1 στους 1.000 ανθρώπους):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Φλεγμονή του πνεύμονα (βρογχίτιδα), ενεργοποίηση ή επιδείνωση συστηματικού ερυθηματώδους λύκου (μια ασθένεια κατά την οποία το ανοσοποιητικό σύστημα του </w:t>
      </w:r>
      <w:r w:rsidR="007C754B">
        <w:rPr>
          <w:snapToGrid/>
          <w:szCs w:val="22"/>
          <w:lang w:val="el-GR"/>
        </w:rPr>
        <w:t>οργανισμού</w:t>
      </w:r>
      <w:r w:rsidRPr="00FC2F1F">
        <w:rPr>
          <w:snapToGrid/>
          <w:szCs w:val="22"/>
          <w:lang w:val="el-GR"/>
        </w:rPr>
        <w:t xml:space="preserve"> επιτίθεται </w:t>
      </w:r>
      <w:r w:rsidR="007C754B">
        <w:rPr>
          <w:snapToGrid/>
          <w:szCs w:val="22"/>
          <w:lang w:val="el-GR"/>
        </w:rPr>
        <w:t>σ</w:t>
      </w:r>
      <w:r w:rsidRPr="00FC2F1F">
        <w:rPr>
          <w:snapToGrid/>
          <w:szCs w:val="22"/>
          <w:lang w:val="el-GR"/>
        </w:rPr>
        <w:t>το</w:t>
      </w:r>
      <w:r w:rsidR="007C754B">
        <w:rPr>
          <w:snapToGrid/>
          <w:szCs w:val="22"/>
          <w:lang w:val="el-GR"/>
        </w:rPr>
        <w:t>ν</w:t>
      </w:r>
      <w:r w:rsidRPr="00FC2F1F">
        <w:rPr>
          <w:snapToGrid/>
          <w:szCs w:val="22"/>
          <w:lang w:val="el-GR"/>
        </w:rPr>
        <w:t xml:space="preserve"> </w:t>
      </w:r>
      <w:r w:rsidR="007C754B">
        <w:rPr>
          <w:snapToGrid/>
          <w:szCs w:val="22"/>
          <w:lang w:val="el-GR"/>
        </w:rPr>
        <w:t>οργανισμό</w:t>
      </w:r>
      <w:r w:rsidRPr="00FC2F1F">
        <w:rPr>
          <w:snapToGrid/>
          <w:szCs w:val="22"/>
          <w:lang w:val="el-GR"/>
        </w:rPr>
        <w:t xml:space="preserve"> και προκαλεί πόνο στην άρθρωση, δερματικά εξανθήματα και πυρετό)</w:t>
      </w:r>
      <w:r w:rsidR="007C754B">
        <w:rPr>
          <w:snapToGrid/>
          <w:szCs w:val="22"/>
          <w:lang w:val="el-GR"/>
        </w:rPr>
        <w:t>,</w:t>
      </w:r>
      <w:r w:rsidR="00456CDA">
        <w:rPr>
          <w:snapToGrid/>
          <w:szCs w:val="22"/>
          <w:lang w:val="el-GR"/>
        </w:rPr>
        <w:t xml:space="preserve"> </w:t>
      </w:r>
      <w:r w:rsidR="007C754B">
        <w:rPr>
          <w:snapToGrid/>
          <w:szCs w:val="22"/>
          <w:lang w:val="el-GR"/>
        </w:rPr>
        <w:t>πονόλαιμος</w:t>
      </w:r>
      <w:r w:rsidRPr="00FC2F1F">
        <w:rPr>
          <w:snapToGrid/>
          <w:szCs w:val="22"/>
          <w:lang w:val="el-GR"/>
        </w:rPr>
        <w:t xml:space="preserve">, φλεγμονώδεις κόλποι, αίσθημα θλίψης (κατάθλιψη), δυσκολία επέλευσης ύπνου (αϋπνία), διαταραγμένη όραση, δυσκολία </w:t>
      </w:r>
      <w:r w:rsidR="00AD4213">
        <w:rPr>
          <w:snapToGrid/>
          <w:szCs w:val="22"/>
          <w:lang w:val="el-GR"/>
        </w:rPr>
        <w:t xml:space="preserve">στην </w:t>
      </w:r>
      <w:r w:rsidRPr="00FC2F1F">
        <w:rPr>
          <w:snapToGrid/>
          <w:szCs w:val="22"/>
          <w:lang w:val="el-GR"/>
        </w:rPr>
        <w:t xml:space="preserve">αναπνοή, κοιλιακός πόνος, δυσκοιλιότητα, </w:t>
      </w:r>
      <w:r w:rsidR="00AD4213">
        <w:rPr>
          <w:snapToGrid/>
          <w:szCs w:val="22"/>
          <w:lang w:val="el-GR"/>
        </w:rPr>
        <w:t>φούσκωμα</w:t>
      </w:r>
      <w:r w:rsidRPr="00FC2F1F">
        <w:rPr>
          <w:snapToGrid/>
          <w:szCs w:val="22"/>
          <w:lang w:val="el-GR"/>
        </w:rPr>
        <w:t xml:space="preserve"> (δυσπεψία), αίσθημα </w:t>
      </w:r>
      <w:r w:rsidR="00845C7B">
        <w:rPr>
          <w:snapToGrid/>
          <w:szCs w:val="22"/>
          <w:lang w:val="el-GR"/>
        </w:rPr>
        <w:t>αδιαθεσίας</w:t>
      </w:r>
      <w:r w:rsidR="00AD4213">
        <w:rPr>
          <w:snapToGrid/>
          <w:szCs w:val="22"/>
          <w:lang w:val="el-GR"/>
        </w:rPr>
        <w:t xml:space="preserve"> (έμετος)</w:t>
      </w:r>
      <w:r w:rsidRPr="00FC2F1F">
        <w:rPr>
          <w:snapToGrid/>
          <w:szCs w:val="22"/>
          <w:lang w:val="el-GR"/>
        </w:rPr>
        <w:t>, φλεγμονή του στομάχου (γαστρίτιδα), μη φυσιολογική ηπατική λειτουργία (</w:t>
      </w:r>
      <w:r w:rsidR="00845C7B">
        <w:rPr>
          <w:snapToGrid/>
          <w:szCs w:val="22"/>
          <w:lang w:val="el-GR"/>
        </w:rPr>
        <w:t xml:space="preserve">οι </w:t>
      </w:r>
      <w:r w:rsidRPr="00FC2F1F">
        <w:rPr>
          <w:snapToGrid/>
          <w:szCs w:val="22"/>
          <w:lang w:val="el-GR"/>
        </w:rPr>
        <w:t>Ιάπωνες ασθενείς είναι πιθανότερο να παρουσιάσουν αυτ</w:t>
      </w:r>
      <w:r w:rsidR="00845C7B">
        <w:rPr>
          <w:snapToGrid/>
          <w:szCs w:val="22"/>
          <w:lang w:val="el-GR"/>
        </w:rPr>
        <w:t>ή</w:t>
      </w:r>
      <w:r w:rsidRPr="00FC2F1F">
        <w:rPr>
          <w:snapToGrid/>
          <w:szCs w:val="22"/>
          <w:lang w:val="el-GR"/>
        </w:rPr>
        <w:t xml:space="preserve"> τ</w:t>
      </w:r>
      <w:r w:rsidR="00845C7B">
        <w:rPr>
          <w:snapToGrid/>
          <w:szCs w:val="22"/>
          <w:lang w:val="el-GR"/>
        </w:rPr>
        <w:t>ην</w:t>
      </w:r>
      <w:r w:rsidRPr="00FC2F1F">
        <w:rPr>
          <w:snapToGrid/>
          <w:szCs w:val="22"/>
          <w:lang w:val="el-GR"/>
        </w:rPr>
        <w:t xml:space="preserve"> ανεπιθύμητ</w:t>
      </w:r>
      <w:r w:rsidR="00845C7B">
        <w:rPr>
          <w:snapToGrid/>
          <w:szCs w:val="22"/>
          <w:lang w:val="el-GR"/>
        </w:rPr>
        <w:t>η</w:t>
      </w:r>
      <w:r w:rsidRPr="00FC2F1F">
        <w:rPr>
          <w:snapToGrid/>
          <w:szCs w:val="22"/>
          <w:lang w:val="el-GR"/>
        </w:rPr>
        <w:t xml:space="preserve"> ενέργει</w:t>
      </w:r>
      <w:r w:rsidR="00845C7B">
        <w:rPr>
          <w:snapToGrid/>
          <w:szCs w:val="22"/>
          <w:lang w:val="el-GR"/>
        </w:rPr>
        <w:t>α</w:t>
      </w:r>
      <w:r w:rsidRPr="00FC2F1F">
        <w:rPr>
          <w:snapToGrid/>
          <w:szCs w:val="22"/>
          <w:lang w:val="el-GR"/>
        </w:rPr>
        <w:t xml:space="preserve">), </w:t>
      </w:r>
      <w:r w:rsidR="00845C7B">
        <w:rPr>
          <w:snapToGrid/>
          <w:szCs w:val="22"/>
          <w:lang w:val="el-GR"/>
        </w:rPr>
        <w:t>κοκκίνισμα</w:t>
      </w:r>
      <w:r w:rsidRPr="00FC2F1F">
        <w:rPr>
          <w:snapToGrid/>
          <w:szCs w:val="22"/>
          <w:lang w:val="el-GR"/>
        </w:rPr>
        <w:t xml:space="preserve"> δέρματος (ερύθημα), αλλεργικές αντιδράσεις όπως </w:t>
      </w:r>
      <w:r w:rsidR="00845C7B">
        <w:rPr>
          <w:snapToGrid/>
          <w:szCs w:val="22"/>
          <w:lang w:val="el-GR"/>
        </w:rPr>
        <w:t>φαγούρα</w:t>
      </w:r>
      <w:r w:rsidRPr="00FC2F1F">
        <w:rPr>
          <w:snapToGrid/>
          <w:szCs w:val="22"/>
          <w:lang w:val="el-GR"/>
        </w:rPr>
        <w:t xml:space="preserve"> ή εξάνθημα, αυξημένη εφίδρωση, εξάνθημα (κνίδωση), πόνος αρθρώσεων (αρθραλγία) και πόνος στα άκρα, μυϊκές κράμπες, </w:t>
      </w:r>
      <w:r w:rsidR="00845C7B">
        <w:rPr>
          <w:snapToGrid/>
          <w:szCs w:val="22"/>
          <w:lang w:val="el-GR"/>
        </w:rPr>
        <w:t>συμπτώματα που μοιάζουν με γρίππη</w:t>
      </w:r>
      <w:r w:rsidRPr="00FC2F1F">
        <w:rPr>
          <w:snapToGrid/>
          <w:szCs w:val="22"/>
          <w:lang w:val="el-GR"/>
        </w:rPr>
        <w:t>, πόνος, χαμηλά επίπεδα νατρίου, αυξημένα επίπεδα κρεατινίνης, ηπατικών ενζύμων ή κρεατινοφωσφοκινάσης στο αίμα.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Ανεπιθύμητες ενέργειες που έχουν αναφερθεί με κάθε ένα από τα μεμονωμένα συστατικά μπορεί να αποτελούν πιθανές ανεπιθύμητες ενέργειες του </w:t>
      </w:r>
      <w:r w:rsidRPr="00FC2F1F">
        <w:rPr>
          <w:szCs w:val="22"/>
          <w:lang w:val="el-GR"/>
        </w:rPr>
        <w:t>Tolucombi</w:t>
      </w:r>
      <w:r w:rsidRPr="00FC2F1F">
        <w:rPr>
          <w:snapToGrid/>
          <w:szCs w:val="22"/>
          <w:lang w:val="el-GR"/>
        </w:rPr>
        <w:t xml:space="preserve">, αν και δεν έχουν παρατηρηθεί σε κλινικές </w:t>
      </w:r>
      <w:r w:rsidR="002242EE">
        <w:rPr>
          <w:snapToGrid/>
          <w:szCs w:val="22"/>
          <w:lang w:val="el-GR"/>
        </w:rPr>
        <w:t>δοκιμές</w:t>
      </w:r>
      <w:r w:rsidRPr="00FC2F1F">
        <w:rPr>
          <w:snapToGrid/>
          <w:szCs w:val="22"/>
          <w:lang w:val="el-GR"/>
        </w:rPr>
        <w:t xml:space="preserve"> με αυτό το προϊόν.</w:t>
      </w:r>
    </w:p>
    <w:p w:rsidR="00681191" w:rsidRPr="00FC2F1F" w:rsidRDefault="00681191" w:rsidP="00681191">
      <w:pPr>
        <w:widowControl w:val="0"/>
        <w:tabs>
          <w:tab w:val="clear" w:pos="567"/>
        </w:tabs>
        <w:autoSpaceDE w:val="0"/>
        <w:autoSpaceDN w:val="0"/>
        <w:adjustRightInd w:val="0"/>
        <w:spacing w:line="240" w:lineRule="auto"/>
        <w:rPr>
          <w:b/>
          <w:bCs/>
          <w:snapToGrid/>
          <w:szCs w:val="22"/>
          <w:lang w:val="el-GR"/>
        </w:rPr>
      </w:pPr>
    </w:p>
    <w:p w:rsidR="00681191" w:rsidRPr="00FC2F1F" w:rsidRDefault="00681191" w:rsidP="00681191">
      <w:pPr>
        <w:widowControl w:val="0"/>
        <w:autoSpaceDE w:val="0"/>
        <w:autoSpaceDN w:val="0"/>
        <w:adjustRightInd w:val="0"/>
        <w:spacing w:line="240" w:lineRule="auto"/>
        <w:rPr>
          <w:b/>
          <w:bCs/>
          <w:snapToGrid/>
          <w:szCs w:val="22"/>
          <w:u w:val="single"/>
          <w:lang w:val="el-GR"/>
        </w:rPr>
      </w:pPr>
      <w:r w:rsidRPr="00FC2F1F">
        <w:rPr>
          <w:b/>
          <w:bCs/>
          <w:snapToGrid/>
          <w:szCs w:val="22"/>
          <w:u w:val="single"/>
          <w:lang w:val="el-GR"/>
        </w:rPr>
        <w:t>Τελμισαρτάνη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ασθενείς που λαμβάνουν τελμισαρτάνη ως μονοθεραπεία</w:t>
      </w:r>
      <w:r w:rsidR="00090BD7">
        <w:rPr>
          <w:snapToGrid/>
          <w:szCs w:val="22"/>
          <w:lang w:val="el-GR"/>
        </w:rPr>
        <w:t>,</w:t>
      </w:r>
      <w:r w:rsidRPr="00FC2F1F">
        <w:rPr>
          <w:snapToGrid/>
          <w:szCs w:val="22"/>
          <w:lang w:val="el-GR"/>
        </w:rPr>
        <w:t xml:space="preserve"> οι ακόλουθες επιπρόσθετες ανεπιθύμητες ενέργειες έχουν αναφερθεί:</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Όχι συχνές ανεπιθύμητες ενέργειες</w:t>
      </w:r>
      <w:r w:rsidRPr="00FC2F1F">
        <w:rPr>
          <w:snapToGrid/>
          <w:szCs w:val="22"/>
          <w:lang w:val="el-GR"/>
        </w:rPr>
        <w:t xml:space="preserve"> (μπορεί να επηρεάσουν έως 1 στους 100 ανθρώπους):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Λοίμωξη του ανώτερου αναπνευστικού συστήματος (π.χ. </w:t>
      </w:r>
      <w:r w:rsidR="002242EE">
        <w:rPr>
          <w:snapToGrid/>
          <w:szCs w:val="22"/>
          <w:lang w:val="el-GR"/>
        </w:rPr>
        <w:t>πονόλαιμος</w:t>
      </w:r>
      <w:r w:rsidRPr="00FC2F1F">
        <w:rPr>
          <w:snapToGrid/>
          <w:szCs w:val="22"/>
          <w:lang w:val="el-GR"/>
        </w:rPr>
        <w:t>, φλεγμονώδεις κόλποι, κοινό κρυολόγημα), ουρολοιμώξεις, ανεπάρκεια ερυθροκυττάρων (αναιμία), υψηλά επίπεδα καλίου, χαμηλός καρδιακός ρυθμός (βραδυκαρδία), νεφρική δυσλειτουργία συμπεριλαμβανομένης οξείας νεφρικής ανεπάρκειας, αδυναμία, βήχας.</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bookmarkStart w:id="18" w:name="_Hlk497751428"/>
      <w:r w:rsidRPr="00FC2F1F">
        <w:rPr>
          <w:snapToGrid/>
          <w:szCs w:val="22"/>
          <w:u w:val="single"/>
          <w:lang w:val="el-GR"/>
        </w:rPr>
        <w:t>Σπάνιες ανεπιθύμητες ενέργειες</w:t>
      </w:r>
      <w:r w:rsidRPr="00FC2F1F">
        <w:rPr>
          <w:snapToGrid/>
          <w:szCs w:val="22"/>
          <w:lang w:val="el-GR"/>
        </w:rPr>
        <w:t xml:space="preserve"> (μπορεί να επηρεάσουν έως 1 στους 1.000 ανθρώπους):</w:t>
      </w:r>
    </w:p>
    <w:bookmarkEnd w:id="18"/>
    <w:p w:rsidR="00681191" w:rsidRPr="00FC2F1F" w:rsidRDefault="002242EE" w:rsidP="00681191">
      <w:pPr>
        <w:widowControl w:val="0"/>
        <w:tabs>
          <w:tab w:val="clear" w:pos="567"/>
        </w:tabs>
        <w:autoSpaceDE w:val="0"/>
        <w:autoSpaceDN w:val="0"/>
        <w:adjustRightInd w:val="0"/>
        <w:spacing w:line="240" w:lineRule="auto"/>
        <w:rPr>
          <w:snapToGrid/>
          <w:szCs w:val="22"/>
          <w:lang w:val="el-GR"/>
        </w:rPr>
      </w:pPr>
      <w:r>
        <w:rPr>
          <w:snapToGrid/>
          <w:szCs w:val="22"/>
          <w:lang w:val="el-GR"/>
        </w:rPr>
        <w:t>Χ</w:t>
      </w:r>
      <w:r w:rsidR="00681191" w:rsidRPr="00FC2F1F">
        <w:rPr>
          <w:snapToGrid/>
          <w:szCs w:val="22"/>
          <w:lang w:val="el-GR"/>
        </w:rPr>
        <w:t>αμηλό</w:t>
      </w:r>
      <w:r>
        <w:rPr>
          <w:snapToGrid/>
          <w:szCs w:val="22"/>
          <w:lang w:val="el-GR"/>
        </w:rPr>
        <w:t>ς</w:t>
      </w:r>
      <w:r w:rsidR="00681191" w:rsidRPr="00FC2F1F">
        <w:rPr>
          <w:snapToGrid/>
          <w:szCs w:val="22"/>
          <w:lang w:val="el-GR"/>
        </w:rPr>
        <w:t xml:space="preserve"> αριθμό</w:t>
      </w:r>
      <w:r>
        <w:rPr>
          <w:snapToGrid/>
          <w:szCs w:val="22"/>
          <w:lang w:val="el-GR"/>
        </w:rPr>
        <w:t>ς</w:t>
      </w:r>
      <w:r w:rsidR="00681191" w:rsidRPr="00FC2F1F">
        <w:rPr>
          <w:snapToGrid/>
          <w:szCs w:val="22"/>
          <w:lang w:val="el-GR"/>
        </w:rPr>
        <w:t xml:space="preserve"> αιμοπεταλίων (θρομβοπενία), αύξηση συγκεκριμένων λευκοκυττάρων (ηωσινοφιλία), σοβαρή αλλεργική αντίδραση (π.χ. υπερευαισθησία, αναφυλακτική αντίδραση, φαρμακευτικό εξάνθημα), χαμηλά επίπεδα σακχάρου στο αίμα (σε διαβητικούς ασθενείς), διαταραχές στομάχου, έκζεμα (μια διαταραχή του δέρματος), </w:t>
      </w:r>
      <w:r w:rsidR="00CC6152">
        <w:rPr>
          <w:snapToGrid/>
          <w:szCs w:val="22"/>
          <w:lang w:val="el-GR"/>
        </w:rPr>
        <w:t>αρθροπάθεια</w:t>
      </w:r>
      <w:r w:rsidR="00681191" w:rsidRPr="00FC2F1F">
        <w:rPr>
          <w:snapToGrid/>
          <w:szCs w:val="22"/>
          <w:lang w:val="el-GR"/>
        </w:rPr>
        <w:t>, φλεγμονή των τενόντων, μειωμένη αιμοσφαιρίνη (μια πρωτεΐνη του αίματος), υπνηλία.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bookmarkStart w:id="19" w:name="_Hlk497751441"/>
      <w:r w:rsidRPr="00FC2F1F">
        <w:rPr>
          <w:snapToGrid/>
          <w:szCs w:val="22"/>
          <w:u w:val="single"/>
          <w:lang w:val="el-GR"/>
        </w:rPr>
        <w:t>Πολύ σπάνιες ανεπιθύμητες ενέργειες</w:t>
      </w:r>
      <w:r w:rsidRPr="00FC2F1F">
        <w:rPr>
          <w:snapToGrid/>
          <w:szCs w:val="22"/>
          <w:lang w:val="el-GR"/>
        </w:rPr>
        <w:t xml:space="preserve"> (μπορεί να επηρεάσουν έως 1 στους 10.000 ανθρώπους):</w:t>
      </w:r>
    </w:p>
    <w:bookmarkEnd w:id="19"/>
    <w:p w:rsidR="00681191" w:rsidRPr="00FC2F1F" w:rsidRDefault="00090BD7" w:rsidP="00681191">
      <w:pPr>
        <w:widowControl w:val="0"/>
        <w:tabs>
          <w:tab w:val="clear" w:pos="567"/>
        </w:tabs>
        <w:autoSpaceDE w:val="0"/>
        <w:autoSpaceDN w:val="0"/>
        <w:adjustRightInd w:val="0"/>
        <w:spacing w:line="240" w:lineRule="auto"/>
        <w:rPr>
          <w:snapToGrid/>
          <w:szCs w:val="22"/>
          <w:lang w:val="el-GR"/>
        </w:rPr>
      </w:pPr>
      <w:r>
        <w:rPr>
          <w:snapToGrid/>
          <w:szCs w:val="22"/>
          <w:lang w:val="el-GR"/>
        </w:rPr>
        <w:t>Εξελισσόμενη</w:t>
      </w:r>
      <w:r w:rsidR="00681191" w:rsidRPr="00FC2F1F">
        <w:rPr>
          <w:snapToGrid/>
          <w:szCs w:val="22"/>
          <w:lang w:val="el-GR"/>
        </w:rPr>
        <w:t xml:space="preserve"> δημιουργία ουλής του πνευμονικού ιστού (διάμεση πνευμονοπάθεια)**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w:t>
      </w:r>
      <w:r>
        <w:rPr>
          <w:snapToGrid/>
          <w:szCs w:val="22"/>
          <w:lang w:val="sl-SI"/>
        </w:rPr>
        <w:t xml:space="preserve"> </w:t>
      </w:r>
      <w:r w:rsidRPr="00FC2F1F">
        <w:rPr>
          <w:snapToGrid/>
          <w:szCs w:val="22"/>
          <w:lang w:val="el-GR"/>
        </w:rPr>
        <w:t>Το συμβάν μπορεί να συνέβει τυχαία ή θα μπορούσε να σχετίζεται με ένα προς το παρόν άγνωστο μηχανισμό.</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 xml:space="preserve">** Έχουν αναφερθεί περιπτώσεις </w:t>
      </w:r>
      <w:r w:rsidR="00090BD7">
        <w:rPr>
          <w:snapToGrid/>
          <w:szCs w:val="22"/>
          <w:lang w:val="el-GR"/>
        </w:rPr>
        <w:t>εξελισσόμενης</w:t>
      </w:r>
      <w:r w:rsidRPr="00FC2F1F">
        <w:rPr>
          <w:snapToGrid/>
          <w:szCs w:val="22"/>
          <w:lang w:val="el-GR"/>
        </w:rPr>
        <w:t xml:space="preserve"> δημιουργίας ουλής του πνευμονικού ιστού κατά τη λήψη τελμισαρτάνης. Ωστόσο, δεν είναι γνωστό εάν </w:t>
      </w:r>
      <w:r w:rsidR="00CC6152">
        <w:rPr>
          <w:snapToGrid/>
          <w:szCs w:val="22"/>
          <w:lang w:val="el-GR"/>
        </w:rPr>
        <w:t xml:space="preserve">η </w:t>
      </w:r>
      <w:r w:rsidRPr="00FC2F1F">
        <w:rPr>
          <w:snapToGrid/>
          <w:szCs w:val="22"/>
          <w:lang w:val="el-GR"/>
        </w:rPr>
        <w:t>αιτία ήταν η τελμισαρτάνη.</w:t>
      </w:r>
    </w:p>
    <w:p w:rsidR="00681191" w:rsidRPr="00FC2F1F" w:rsidRDefault="00681191" w:rsidP="00681191">
      <w:pPr>
        <w:widowControl w:val="0"/>
        <w:autoSpaceDE w:val="0"/>
        <w:autoSpaceDN w:val="0"/>
        <w:adjustRightInd w:val="0"/>
        <w:spacing w:line="240" w:lineRule="auto"/>
        <w:rPr>
          <w:b/>
          <w:bCs/>
          <w:snapToGrid/>
          <w:szCs w:val="22"/>
          <w:u w:val="single"/>
          <w:lang w:val="el-GR"/>
        </w:rPr>
      </w:pPr>
    </w:p>
    <w:p w:rsidR="00681191" w:rsidRPr="00FC2F1F" w:rsidRDefault="00681191" w:rsidP="00681191">
      <w:pPr>
        <w:widowControl w:val="0"/>
        <w:autoSpaceDE w:val="0"/>
        <w:autoSpaceDN w:val="0"/>
        <w:adjustRightInd w:val="0"/>
        <w:spacing w:line="240" w:lineRule="auto"/>
        <w:rPr>
          <w:b/>
          <w:bCs/>
          <w:snapToGrid/>
          <w:szCs w:val="22"/>
          <w:u w:val="single"/>
          <w:lang w:val="el-GR"/>
        </w:rPr>
      </w:pPr>
      <w:r w:rsidRPr="00FC2F1F">
        <w:rPr>
          <w:b/>
          <w:bCs/>
          <w:snapToGrid/>
          <w:szCs w:val="22"/>
          <w:u w:val="single"/>
          <w:lang w:val="el-GR"/>
        </w:rPr>
        <w:t>Υδροχλωροθειαζίδη</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Σε ασθενείς που λαμβάνουν υδροχλωροθειαζίδη ως μονοθεραπεία</w:t>
      </w:r>
      <w:r w:rsidR="00090BD7">
        <w:rPr>
          <w:snapToGrid/>
          <w:szCs w:val="22"/>
          <w:lang w:val="el-GR"/>
        </w:rPr>
        <w:t>,</w:t>
      </w:r>
      <w:r w:rsidRPr="00FC2F1F">
        <w:rPr>
          <w:snapToGrid/>
          <w:szCs w:val="22"/>
          <w:lang w:val="el-GR"/>
        </w:rPr>
        <w:t xml:space="preserve"> οι ακόλουθες επιπρόσθετες ανεπιθύμητες ενέργειες έχουν αναφερθεί:</w:t>
      </w:r>
    </w:p>
    <w:p w:rsidR="000D395B" w:rsidRDefault="000D395B" w:rsidP="000D395B">
      <w:pPr>
        <w:widowControl w:val="0"/>
        <w:tabs>
          <w:tab w:val="clear" w:pos="567"/>
        </w:tabs>
        <w:autoSpaceDE w:val="0"/>
        <w:autoSpaceDN w:val="0"/>
        <w:adjustRightInd w:val="0"/>
        <w:spacing w:line="240" w:lineRule="auto"/>
        <w:rPr>
          <w:snapToGrid/>
          <w:szCs w:val="22"/>
          <w:u w:val="single"/>
          <w:lang w:val="el-GR"/>
        </w:rPr>
      </w:pPr>
    </w:p>
    <w:p w:rsidR="000D395B" w:rsidRPr="00FC2F1F" w:rsidRDefault="000D395B" w:rsidP="000D395B">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Συχνές ανεπιθύμητες ενέργειες</w:t>
      </w:r>
      <w:r w:rsidRPr="00FC2F1F">
        <w:rPr>
          <w:snapToGrid/>
          <w:szCs w:val="22"/>
          <w:lang w:val="el-GR"/>
        </w:rPr>
        <w:t xml:space="preserve"> (μπορεί να επηρεάσουν έως 1 στους 10 ανθρώπους):</w:t>
      </w:r>
    </w:p>
    <w:p w:rsidR="000A61D8" w:rsidRPr="00B754A1" w:rsidRDefault="0077175C" w:rsidP="000A61D8">
      <w:pPr>
        <w:widowControl w:val="0"/>
        <w:tabs>
          <w:tab w:val="clear" w:pos="567"/>
        </w:tabs>
        <w:autoSpaceDE w:val="0"/>
        <w:autoSpaceDN w:val="0"/>
        <w:adjustRightInd w:val="0"/>
        <w:spacing w:line="240" w:lineRule="auto"/>
        <w:rPr>
          <w:snapToGrid/>
          <w:szCs w:val="22"/>
          <w:lang w:val="el-GR"/>
        </w:rPr>
      </w:pPr>
      <w:r w:rsidRPr="00B754A1">
        <w:rPr>
          <w:snapToGrid/>
          <w:szCs w:val="22"/>
          <w:lang w:val="el-GR"/>
        </w:rPr>
        <w:t>Αίσθημα αδιαθεσίας</w:t>
      </w:r>
      <w:r w:rsidR="000A61D8" w:rsidRPr="00B754A1">
        <w:rPr>
          <w:snapToGrid/>
          <w:szCs w:val="22"/>
          <w:lang w:val="el-GR"/>
        </w:rPr>
        <w:t xml:space="preserve"> (ναυτία), χαμηλό επίπεδο μαγνησίου στο αίμα.</w:t>
      </w:r>
    </w:p>
    <w:p w:rsidR="000D395B" w:rsidRDefault="000D395B" w:rsidP="000D395B">
      <w:pPr>
        <w:widowControl w:val="0"/>
        <w:tabs>
          <w:tab w:val="clear" w:pos="567"/>
        </w:tabs>
        <w:autoSpaceDE w:val="0"/>
        <w:autoSpaceDN w:val="0"/>
        <w:adjustRightInd w:val="0"/>
        <w:spacing w:line="240" w:lineRule="auto"/>
        <w:rPr>
          <w:snapToGrid/>
          <w:szCs w:val="22"/>
          <w:u w:val="single"/>
          <w:lang w:val="el-GR"/>
        </w:rPr>
      </w:pPr>
    </w:p>
    <w:p w:rsidR="000D395B" w:rsidRPr="00FC2F1F" w:rsidRDefault="000D395B" w:rsidP="000D395B">
      <w:pPr>
        <w:widowControl w:val="0"/>
        <w:tabs>
          <w:tab w:val="clear" w:pos="567"/>
        </w:tabs>
        <w:autoSpaceDE w:val="0"/>
        <w:autoSpaceDN w:val="0"/>
        <w:adjustRightInd w:val="0"/>
        <w:spacing w:line="240" w:lineRule="auto"/>
        <w:rPr>
          <w:snapToGrid/>
          <w:szCs w:val="22"/>
          <w:lang w:val="el-GR"/>
        </w:rPr>
      </w:pPr>
      <w:r w:rsidRPr="00FC2F1F">
        <w:rPr>
          <w:snapToGrid/>
          <w:szCs w:val="22"/>
          <w:u w:val="single"/>
          <w:lang w:val="el-GR"/>
        </w:rPr>
        <w:t>Σπάνιες ανεπιθύμητες ενέργειες</w:t>
      </w:r>
      <w:r w:rsidRPr="00FC2F1F">
        <w:rPr>
          <w:snapToGrid/>
          <w:szCs w:val="22"/>
          <w:lang w:val="el-GR"/>
        </w:rPr>
        <w:t xml:space="preserve"> (μπορεί να επηρεάσουν έως 1 στους 1.000 ανθρώπους):</w:t>
      </w:r>
    </w:p>
    <w:p w:rsidR="000A61D8" w:rsidRPr="00B754A1" w:rsidRDefault="000A61D8" w:rsidP="000A61D8">
      <w:pPr>
        <w:widowControl w:val="0"/>
        <w:tabs>
          <w:tab w:val="clear" w:pos="567"/>
        </w:tabs>
        <w:autoSpaceDE w:val="0"/>
        <w:autoSpaceDN w:val="0"/>
        <w:adjustRightInd w:val="0"/>
        <w:spacing w:line="240" w:lineRule="auto"/>
        <w:rPr>
          <w:snapToGrid/>
          <w:szCs w:val="22"/>
          <w:lang w:val="el-GR"/>
        </w:rPr>
      </w:pPr>
      <w:r w:rsidRPr="00B754A1">
        <w:rPr>
          <w:snapToGrid/>
          <w:szCs w:val="22"/>
          <w:lang w:val="el-GR"/>
        </w:rPr>
        <w:t xml:space="preserve">Μείωση αιμοπεταλίων, </w:t>
      </w:r>
      <w:r w:rsidR="00CC6152">
        <w:rPr>
          <w:snapToGrid/>
          <w:szCs w:val="22"/>
          <w:lang w:val="el-GR"/>
        </w:rPr>
        <w:t xml:space="preserve">γεγονός </w:t>
      </w:r>
      <w:r w:rsidRPr="00B754A1">
        <w:rPr>
          <w:snapToGrid/>
          <w:szCs w:val="22"/>
          <w:lang w:val="el-GR"/>
        </w:rPr>
        <w:t xml:space="preserve">το οποίο αυξάνει τον κίνδυνο αιμορραγίας ή </w:t>
      </w:r>
      <w:r w:rsidR="00821055">
        <w:rPr>
          <w:snapToGrid/>
          <w:szCs w:val="22"/>
          <w:lang w:val="el-GR"/>
        </w:rPr>
        <w:t>εμφάνισης μωλώπων</w:t>
      </w:r>
      <w:r w:rsidR="00F11374" w:rsidRPr="00B754A1">
        <w:rPr>
          <w:snapToGrid/>
          <w:szCs w:val="22"/>
          <w:lang w:val="el-GR"/>
        </w:rPr>
        <w:t xml:space="preserve"> (μικρά μω</w:t>
      </w:r>
      <w:r w:rsidRPr="00B754A1">
        <w:rPr>
          <w:snapToGrid/>
          <w:szCs w:val="22"/>
          <w:lang w:val="el-GR"/>
        </w:rPr>
        <w:t xml:space="preserve">β-κόκκινα σημάδια στο δέρμα ή </w:t>
      </w:r>
      <w:r w:rsidR="00F11374">
        <w:rPr>
          <w:snapToGrid/>
          <w:szCs w:val="22"/>
          <w:lang w:val="el-GR"/>
        </w:rPr>
        <w:t xml:space="preserve">σε </w:t>
      </w:r>
      <w:r w:rsidRPr="00B754A1">
        <w:rPr>
          <w:snapToGrid/>
          <w:szCs w:val="22"/>
          <w:lang w:val="el-GR"/>
        </w:rPr>
        <w:t>άλλο ιστό που προκαλούνται από αιμορραγία), υψηλό επίπεδο ασβεστίου στο αίμα, πονοκέφαλος.</w:t>
      </w:r>
    </w:p>
    <w:p w:rsidR="000D395B" w:rsidRDefault="000D395B" w:rsidP="000D395B">
      <w:pPr>
        <w:widowControl w:val="0"/>
        <w:tabs>
          <w:tab w:val="clear" w:pos="567"/>
        </w:tabs>
        <w:autoSpaceDE w:val="0"/>
        <w:autoSpaceDN w:val="0"/>
        <w:adjustRightInd w:val="0"/>
        <w:spacing w:line="240" w:lineRule="auto"/>
        <w:rPr>
          <w:snapToGrid/>
          <w:szCs w:val="22"/>
          <w:u w:val="single"/>
          <w:lang w:val="el-GR"/>
        </w:rPr>
      </w:pPr>
    </w:p>
    <w:p w:rsidR="000D395B" w:rsidRPr="000D395B" w:rsidRDefault="000D395B" w:rsidP="000D395B">
      <w:pPr>
        <w:widowControl w:val="0"/>
        <w:tabs>
          <w:tab w:val="clear" w:pos="567"/>
        </w:tabs>
        <w:autoSpaceDE w:val="0"/>
        <w:autoSpaceDN w:val="0"/>
        <w:adjustRightInd w:val="0"/>
        <w:spacing w:line="240" w:lineRule="auto"/>
        <w:rPr>
          <w:snapToGrid/>
          <w:szCs w:val="22"/>
          <w:lang w:val="el-GR"/>
        </w:rPr>
      </w:pPr>
      <w:r w:rsidRPr="000D395B">
        <w:rPr>
          <w:snapToGrid/>
          <w:szCs w:val="22"/>
          <w:u w:val="single"/>
          <w:lang w:val="el-GR"/>
        </w:rPr>
        <w:t>Πολύ σπάνιες ανεπιθύμητες ενέργειες</w:t>
      </w:r>
      <w:r w:rsidRPr="000D395B">
        <w:rPr>
          <w:snapToGrid/>
          <w:szCs w:val="22"/>
          <w:lang w:val="el-GR"/>
        </w:rPr>
        <w:t xml:space="preserve"> (μπορεί να επηρεάσουν έως 1 στους 10.000 ανθρώπους):</w:t>
      </w:r>
    </w:p>
    <w:p w:rsidR="000A61D8" w:rsidRPr="000A61D8" w:rsidRDefault="000A61D8" w:rsidP="000A61D8">
      <w:pPr>
        <w:widowControl w:val="0"/>
        <w:tabs>
          <w:tab w:val="clear" w:pos="567"/>
        </w:tabs>
        <w:autoSpaceDE w:val="0"/>
        <w:autoSpaceDN w:val="0"/>
        <w:adjustRightInd w:val="0"/>
        <w:spacing w:line="240" w:lineRule="auto"/>
        <w:rPr>
          <w:snapToGrid/>
          <w:szCs w:val="22"/>
          <w:lang w:val="el-GR"/>
        </w:rPr>
      </w:pPr>
      <w:r w:rsidRPr="000A61D8">
        <w:rPr>
          <w:snapToGrid/>
          <w:szCs w:val="22"/>
          <w:lang w:val="el-GR"/>
        </w:rPr>
        <w:t xml:space="preserve">Αυξημένο </w:t>
      </w:r>
      <w:r w:rsidRPr="000A61D8">
        <w:rPr>
          <w:snapToGrid/>
          <w:szCs w:val="22"/>
          <w:lang w:val="en-US"/>
        </w:rPr>
        <w:t>p</w:t>
      </w:r>
      <w:r w:rsidRPr="000A61D8">
        <w:rPr>
          <w:snapToGrid/>
          <w:szCs w:val="22"/>
          <w:lang w:val="el-GR"/>
        </w:rPr>
        <w:t>H (διαταραχή της οξεοβασικής ισορροπία</w:t>
      </w:r>
      <w:r w:rsidR="00F11374">
        <w:rPr>
          <w:snapToGrid/>
          <w:szCs w:val="22"/>
          <w:lang w:val="el-GR"/>
        </w:rPr>
        <w:t>ς) λόγω χαμηλού επιπέδου χλωριούχων</w:t>
      </w:r>
      <w:r w:rsidRPr="000A61D8">
        <w:rPr>
          <w:snapToGrid/>
          <w:szCs w:val="22"/>
          <w:lang w:val="el-GR"/>
        </w:rPr>
        <w:t xml:space="preserve"> στο αίμα.</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p>
    <w:p w:rsidR="00681191" w:rsidRPr="00FC2F1F" w:rsidRDefault="00681191" w:rsidP="00681191">
      <w:pPr>
        <w:widowControl w:val="0"/>
        <w:spacing w:line="240" w:lineRule="auto"/>
        <w:rPr>
          <w:snapToGrid/>
          <w:szCs w:val="22"/>
          <w:lang w:val="el-GR"/>
        </w:rPr>
      </w:pPr>
      <w:r w:rsidRPr="00FC2F1F">
        <w:rPr>
          <w:snapToGrid/>
          <w:szCs w:val="22"/>
          <w:u w:val="single"/>
          <w:lang w:val="el-GR"/>
        </w:rPr>
        <w:t>Ανεπιθύμητες ενέργειες μη γνωστή</w:t>
      </w:r>
      <w:r w:rsidR="00CA462A">
        <w:rPr>
          <w:snapToGrid/>
          <w:szCs w:val="22"/>
          <w:u w:val="single"/>
          <w:lang w:val="el-GR"/>
        </w:rPr>
        <w:t>ς</w:t>
      </w:r>
      <w:r w:rsidRPr="00FC2F1F">
        <w:rPr>
          <w:snapToGrid/>
          <w:szCs w:val="22"/>
          <w:u w:val="single"/>
          <w:lang w:val="el-GR"/>
        </w:rPr>
        <w:t xml:space="preserve"> συχνότητα</w:t>
      </w:r>
      <w:r w:rsidR="00CA462A">
        <w:rPr>
          <w:snapToGrid/>
          <w:szCs w:val="22"/>
          <w:u w:val="single"/>
          <w:lang w:val="el-GR"/>
        </w:rPr>
        <w:t>ς</w:t>
      </w:r>
      <w:r w:rsidRPr="00FC2F1F">
        <w:rPr>
          <w:snapToGrid/>
          <w:szCs w:val="22"/>
          <w:lang w:val="el-GR"/>
        </w:rPr>
        <w:t xml:space="preserve"> (η συχνότητα δεν μπορεί να εκτιμηθεί </w:t>
      </w:r>
      <w:r w:rsidR="00CA462A">
        <w:rPr>
          <w:snapToGrid/>
          <w:szCs w:val="22"/>
          <w:lang w:val="el-GR"/>
        </w:rPr>
        <w:t>με βάση</w:t>
      </w:r>
      <w:r w:rsidRPr="00FC2F1F">
        <w:rPr>
          <w:snapToGrid/>
          <w:szCs w:val="22"/>
          <w:lang w:val="el-GR"/>
        </w:rPr>
        <w:t xml:space="preserve"> τα διαθέσιμα δεδομένα):</w:t>
      </w:r>
    </w:p>
    <w:p w:rsidR="00681191" w:rsidRPr="00FC2F1F" w:rsidRDefault="000D395B" w:rsidP="00681191">
      <w:pPr>
        <w:widowControl w:val="0"/>
        <w:spacing w:line="240" w:lineRule="auto"/>
        <w:rPr>
          <w:snapToGrid/>
          <w:szCs w:val="22"/>
          <w:lang w:val="el-GR"/>
        </w:rPr>
      </w:pPr>
      <w:r>
        <w:rPr>
          <w:snapToGrid/>
          <w:szCs w:val="22"/>
          <w:lang w:val="el-GR"/>
        </w:rPr>
        <w:t>Φ</w:t>
      </w:r>
      <w:r w:rsidR="00681191" w:rsidRPr="00FC2F1F">
        <w:rPr>
          <w:snapToGrid/>
          <w:szCs w:val="22"/>
          <w:lang w:val="el-GR"/>
        </w:rPr>
        <w:t xml:space="preserve">λεγμονή του σιελογόνου αδένα, </w:t>
      </w:r>
      <w:r w:rsidR="00456CDA">
        <w:rPr>
          <w:snapToGrid/>
          <w:szCs w:val="22"/>
          <w:lang w:val="el-GR"/>
        </w:rPr>
        <w:t>κ</w:t>
      </w:r>
      <w:r w:rsidR="00456CDA" w:rsidRPr="00456CDA">
        <w:rPr>
          <w:snapToGrid/>
          <w:szCs w:val="22"/>
          <w:lang w:val="el-GR"/>
        </w:rPr>
        <w:t>αρκίνος του δέρματος και των χειλιών (μη μελανωματικός καρκίνος του δέρματος)</w:t>
      </w:r>
      <w:r w:rsidR="00456CDA">
        <w:rPr>
          <w:snapToGrid/>
          <w:szCs w:val="22"/>
          <w:lang w:val="el-GR"/>
        </w:rPr>
        <w:t xml:space="preserve">, </w:t>
      </w:r>
      <w:r w:rsidR="00681191" w:rsidRPr="00FC2F1F">
        <w:rPr>
          <w:snapToGrid/>
          <w:szCs w:val="22"/>
          <w:lang w:val="el-GR"/>
        </w:rPr>
        <w:t xml:space="preserve">μείωση του αριθμού </w:t>
      </w:r>
      <w:r w:rsidR="00CA462A">
        <w:rPr>
          <w:snapToGrid/>
          <w:szCs w:val="22"/>
          <w:lang w:val="el-GR"/>
        </w:rPr>
        <w:t xml:space="preserve">(ή ακόμα και έλλειψη) </w:t>
      </w:r>
      <w:r w:rsidR="00681191" w:rsidRPr="00FC2F1F">
        <w:rPr>
          <w:snapToGrid/>
          <w:szCs w:val="22"/>
          <w:lang w:val="el-GR"/>
        </w:rPr>
        <w:t>των κυττάρων στο αίμα, συμπεριλαμβαν</w:t>
      </w:r>
      <w:r w:rsidR="00CA462A">
        <w:rPr>
          <w:snapToGrid/>
          <w:szCs w:val="22"/>
          <w:lang w:val="el-GR"/>
        </w:rPr>
        <w:t>ο</w:t>
      </w:r>
      <w:r w:rsidR="00681191" w:rsidRPr="00FC2F1F">
        <w:rPr>
          <w:snapToGrid/>
          <w:szCs w:val="22"/>
          <w:lang w:val="el-GR"/>
        </w:rPr>
        <w:t>μ</w:t>
      </w:r>
      <w:r w:rsidR="00CA462A">
        <w:rPr>
          <w:snapToGrid/>
          <w:szCs w:val="22"/>
          <w:lang w:val="el-GR"/>
        </w:rPr>
        <w:t>έ</w:t>
      </w:r>
      <w:r w:rsidR="00681191" w:rsidRPr="00FC2F1F">
        <w:rPr>
          <w:snapToGrid/>
          <w:szCs w:val="22"/>
          <w:lang w:val="el-GR"/>
        </w:rPr>
        <w:t xml:space="preserve">νου του χαμηλού αριθμού ερυθρών και λευκών αιμοσφαιρίων, σοβαρές αλλεργικές αντιδράσεις (π.χ. υπερευαισθησία, αναφυλακτική αντίδραση), μειωμένη </w:t>
      </w:r>
      <w:r w:rsidR="00EF671D">
        <w:rPr>
          <w:snapToGrid/>
          <w:szCs w:val="22"/>
          <w:lang w:val="el-GR"/>
        </w:rPr>
        <w:t xml:space="preserve">όρεξη </w:t>
      </w:r>
      <w:r w:rsidR="00681191" w:rsidRPr="00FC2F1F">
        <w:rPr>
          <w:snapToGrid/>
          <w:szCs w:val="22"/>
          <w:lang w:val="el-GR"/>
        </w:rPr>
        <w:t xml:space="preserve">ή απώλεια όρεξης, ανησυχία, </w:t>
      </w:r>
      <w:r w:rsidR="009A2279">
        <w:rPr>
          <w:snapToGrid/>
          <w:szCs w:val="22"/>
          <w:lang w:val="el-GR"/>
        </w:rPr>
        <w:t>τάση για λιποθυμία</w:t>
      </w:r>
      <w:r w:rsidR="00681191" w:rsidRPr="00FC2F1F">
        <w:rPr>
          <w:snapToGrid/>
          <w:szCs w:val="22"/>
          <w:lang w:val="el-GR"/>
        </w:rPr>
        <w:t>, θάμβος ή κιτρίνισμα της όρασης, μείωση της όρασης και πόνος στο μάτι (πιθαν</w:t>
      </w:r>
      <w:r w:rsidR="007644B0">
        <w:rPr>
          <w:snapToGrid/>
          <w:szCs w:val="22"/>
          <w:lang w:val="el-GR"/>
        </w:rPr>
        <w:t>ές</w:t>
      </w:r>
      <w:r w:rsidR="00681191" w:rsidRPr="00FC2F1F">
        <w:rPr>
          <w:snapToGrid/>
          <w:szCs w:val="22"/>
          <w:lang w:val="el-GR"/>
        </w:rPr>
        <w:t xml:space="preserve"> </w:t>
      </w:r>
      <w:r w:rsidR="007644B0">
        <w:rPr>
          <w:snapToGrid/>
          <w:szCs w:val="22"/>
          <w:lang w:val="el-GR"/>
        </w:rPr>
        <w:t>ενδείξεις</w:t>
      </w:r>
      <w:r w:rsidR="007644B0" w:rsidRPr="007644B0">
        <w:rPr>
          <w:snapToGrid/>
          <w:szCs w:val="22"/>
          <w:lang w:val="el-GR"/>
        </w:rPr>
        <w:t xml:space="preserve"> συσσώρευσης υγρού στην αγγειακή στιβάδα του οφθαλμού (αποκόλληση χοριοειδούς)</w:t>
      </w:r>
      <w:r w:rsidR="00681191" w:rsidRPr="00FC2F1F">
        <w:rPr>
          <w:snapToGrid/>
          <w:szCs w:val="22"/>
          <w:lang w:val="el-GR"/>
        </w:rPr>
        <w:t xml:space="preserve"> </w:t>
      </w:r>
      <w:r w:rsidR="007644B0">
        <w:rPr>
          <w:snapToGrid/>
          <w:szCs w:val="22"/>
          <w:lang w:val="el-GR"/>
        </w:rPr>
        <w:t xml:space="preserve">ή </w:t>
      </w:r>
      <w:r w:rsidR="00681191" w:rsidRPr="00FC2F1F">
        <w:rPr>
          <w:snapToGrid/>
          <w:szCs w:val="22"/>
          <w:lang w:val="el-GR"/>
        </w:rPr>
        <w:t xml:space="preserve">οξείας μυωπίας ή οξέος γλαυκώματος κλειστής γωνίας), φλεγμονή αιμοφόρων αγγείων (νεκρωτική αγγειίτιδα), φλεγμονή του παγκρέατος, διαταραχές στομάχου, κιτρίνισμα του δέρματος ή των </w:t>
      </w:r>
      <w:r w:rsidR="009A2279">
        <w:rPr>
          <w:snapToGrid/>
          <w:szCs w:val="22"/>
          <w:lang w:val="el-GR"/>
        </w:rPr>
        <w:t>ματι</w:t>
      </w:r>
      <w:r w:rsidR="00681191" w:rsidRPr="00FC2F1F">
        <w:rPr>
          <w:snapToGrid/>
          <w:szCs w:val="22"/>
          <w:lang w:val="el-GR"/>
        </w:rPr>
        <w:t xml:space="preserve">ών (ίκτερος), σύνδρομο προσομοιάζον με λύκο (μια κατάσταση που μιμείται μια ασθένεια </w:t>
      </w:r>
      <w:r w:rsidR="009A2279">
        <w:rPr>
          <w:snapToGrid/>
          <w:szCs w:val="22"/>
          <w:lang w:val="el-GR"/>
        </w:rPr>
        <w:t>που ονομάζεται</w:t>
      </w:r>
      <w:r w:rsidR="00681191" w:rsidRPr="00FC2F1F">
        <w:rPr>
          <w:snapToGrid/>
          <w:szCs w:val="22"/>
          <w:lang w:val="el-GR"/>
        </w:rPr>
        <w:t xml:space="preserve"> συστηματικός ερυθηματώδης λύκος κατά την οποία το ανοσοποιητικό σύστημα του </w:t>
      </w:r>
      <w:r w:rsidR="009A2279">
        <w:rPr>
          <w:snapToGrid/>
          <w:szCs w:val="22"/>
          <w:lang w:val="el-GR"/>
        </w:rPr>
        <w:t>οργανισμού</w:t>
      </w:r>
      <w:r w:rsidR="00681191" w:rsidRPr="00FC2F1F">
        <w:rPr>
          <w:snapToGrid/>
          <w:szCs w:val="22"/>
          <w:lang w:val="el-GR"/>
        </w:rPr>
        <w:t xml:space="preserve"> επιτίθεται </w:t>
      </w:r>
      <w:r w:rsidR="009A2279">
        <w:rPr>
          <w:snapToGrid/>
          <w:szCs w:val="22"/>
          <w:lang w:val="el-GR"/>
        </w:rPr>
        <w:t>σ</w:t>
      </w:r>
      <w:r w:rsidR="00681191" w:rsidRPr="00FC2F1F">
        <w:rPr>
          <w:snapToGrid/>
          <w:szCs w:val="22"/>
          <w:lang w:val="el-GR"/>
        </w:rPr>
        <w:t>το</w:t>
      </w:r>
      <w:r w:rsidR="009A2279">
        <w:rPr>
          <w:snapToGrid/>
          <w:szCs w:val="22"/>
          <w:lang w:val="el-GR"/>
        </w:rPr>
        <w:t>ν</w:t>
      </w:r>
      <w:r w:rsidR="00681191" w:rsidRPr="00FC2F1F">
        <w:rPr>
          <w:snapToGrid/>
          <w:szCs w:val="22"/>
          <w:lang w:val="el-GR"/>
        </w:rPr>
        <w:t xml:space="preserve"> </w:t>
      </w:r>
      <w:r w:rsidR="009A2279">
        <w:rPr>
          <w:snapToGrid/>
          <w:szCs w:val="22"/>
          <w:lang w:val="el-GR"/>
        </w:rPr>
        <w:t>οργανισμό</w:t>
      </w:r>
      <w:r w:rsidR="00681191" w:rsidRPr="00FC2F1F">
        <w:rPr>
          <w:snapToGrid/>
          <w:szCs w:val="22"/>
          <w:lang w:val="el-GR"/>
        </w:rPr>
        <w:t>)</w:t>
      </w:r>
      <w:r w:rsidR="009A2279">
        <w:rPr>
          <w:snapToGrid/>
          <w:szCs w:val="22"/>
          <w:lang w:val="el-GR"/>
        </w:rPr>
        <w:t xml:space="preserve">, </w:t>
      </w:r>
      <w:r w:rsidR="00681191" w:rsidRPr="00FC2F1F">
        <w:rPr>
          <w:snapToGrid/>
          <w:szCs w:val="22"/>
          <w:lang w:val="el-GR"/>
        </w:rPr>
        <w:t xml:space="preserve">διαταραχές του δέρματος όπως φλεγμονή των </w:t>
      </w:r>
      <w:r w:rsidR="009A2279">
        <w:rPr>
          <w:snapToGrid/>
          <w:szCs w:val="22"/>
          <w:lang w:val="el-GR"/>
        </w:rPr>
        <w:t xml:space="preserve">αιμοφόρων </w:t>
      </w:r>
      <w:r w:rsidR="00681191" w:rsidRPr="00FC2F1F">
        <w:rPr>
          <w:snapToGrid/>
          <w:szCs w:val="22"/>
          <w:lang w:val="el-GR"/>
        </w:rPr>
        <w:t xml:space="preserve">αγγείων στο δέρμα, αυξημένη ευαισθησία στο ηλιακό φως, </w:t>
      </w:r>
      <w:r w:rsidR="00CA462A">
        <w:rPr>
          <w:szCs w:val="22"/>
          <w:lang w:val="el-GR" w:eastAsia="zh-CN" w:bidi="th-TH"/>
        </w:rPr>
        <w:t xml:space="preserve">εξάνθημα, </w:t>
      </w:r>
      <w:r w:rsidR="009A2279">
        <w:rPr>
          <w:szCs w:val="22"/>
          <w:lang w:val="el-GR" w:eastAsia="zh-CN" w:bidi="th-TH"/>
        </w:rPr>
        <w:t>κοκκίνισμα</w:t>
      </w:r>
      <w:r w:rsidR="00CA462A">
        <w:rPr>
          <w:szCs w:val="22"/>
          <w:lang w:val="el-GR" w:eastAsia="zh-CN" w:bidi="th-TH"/>
        </w:rPr>
        <w:t xml:space="preserve"> του δέρματος, φ</w:t>
      </w:r>
      <w:r w:rsidR="009A2279">
        <w:rPr>
          <w:szCs w:val="22"/>
          <w:lang w:val="el-GR" w:eastAsia="zh-CN" w:bidi="th-TH"/>
        </w:rPr>
        <w:t>ουσκάλες</w:t>
      </w:r>
      <w:r w:rsidR="00CA462A">
        <w:rPr>
          <w:szCs w:val="22"/>
          <w:lang w:val="el-GR" w:eastAsia="zh-CN" w:bidi="th-TH"/>
        </w:rPr>
        <w:t xml:space="preserve"> </w:t>
      </w:r>
      <w:r w:rsidR="00B62201">
        <w:rPr>
          <w:szCs w:val="22"/>
          <w:lang w:val="el-GR" w:eastAsia="zh-CN" w:bidi="th-TH"/>
        </w:rPr>
        <w:t>στα χείλη</w:t>
      </w:r>
      <w:r w:rsidR="00CA462A">
        <w:rPr>
          <w:szCs w:val="22"/>
          <w:lang w:val="el-GR" w:eastAsia="zh-CN" w:bidi="th-TH"/>
        </w:rPr>
        <w:t xml:space="preserve">, </w:t>
      </w:r>
      <w:r w:rsidR="00B62201">
        <w:rPr>
          <w:szCs w:val="22"/>
          <w:lang w:val="el-GR" w:eastAsia="zh-CN" w:bidi="th-TH"/>
        </w:rPr>
        <w:t>στα μάτια</w:t>
      </w:r>
      <w:r w:rsidR="00CA462A">
        <w:rPr>
          <w:szCs w:val="22"/>
          <w:lang w:val="el-GR" w:eastAsia="zh-CN" w:bidi="th-TH"/>
        </w:rPr>
        <w:t xml:space="preserve"> ή </w:t>
      </w:r>
      <w:r w:rsidR="00B62201">
        <w:rPr>
          <w:szCs w:val="22"/>
          <w:lang w:val="el-GR" w:eastAsia="zh-CN" w:bidi="th-TH"/>
        </w:rPr>
        <w:t>σ</w:t>
      </w:r>
      <w:r w:rsidR="00CA462A">
        <w:rPr>
          <w:szCs w:val="22"/>
          <w:lang w:val="el-GR" w:eastAsia="zh-CN" w:bidi="th-TH"/>
        </w:rPr>
        <w:t xml:space="preserve">το στόμα, ξεφλούδισμα του δέρματος, πυρετός (πιθανά σημεία </w:t>
      </w:r>
      <w:r w:rsidR="00CA462A">
        <w:rPr>
          <w:szCs w:val="22"/>
          <w:lang w:val="el-GR"/>
        </w:rPr>
        <w:t>πολύμορφου ερυθήματος</w:t>
      </w:r>
      <w:r w:rsidR="00CA462A">
        <w:rPr>
          <w:szCs w:val="22"/>
          <w:lang w:val="el-GR" w:eastAsia="zh-CN" w:bidi="th-TH"/>
        </w:rPr>
        <w:t>)</w:t>
      </w:r>
      <w:r w:rsidR="00681191" w:rsidRPr="00FC2F1F">
        <w:rPr>
          <w:snapToGrid/>
          <w:szCs w:val="22"/>
          <w:lang w:val="el-GR"/>
        </w:rPr>
        <w:t xml:space="preserve">, αδυναμία, φλεγμονή των νεφρών ή διαταραχή της νεφρικής λειτουργίας, γλυκόζη στα ούρα (γλυκοζουρία), πυρετός, διαταραγμένη ισορροπία ηλεκτρολυτών, αυξημένα επίπεδα χοληστερόλης αίματος, μειωμένος όγκος αίματος, αυξημένα επίπεδα γλυκόζης, </w:t>
      </w:r>
      <w:r w:rsidR="00B62201">
        <w:rPr>
          <w:lang w:val="el-GR"/>
        </w:rPr>
        <w:t>δυσκολία στον έλεγχο των επιπέδων γλυκόζης στο αίμα/στα ούρα ασθενών με διάγνωση σακχαρώδους διαβήτη</w:t>
      </w:r>
      <w:r w:rsidR="00B62201" w:rsidRPr="00FC2F1F">
        <w:rPr>
          <w:snapToGrid/>
          <w:szCs w:val="22"/>
          <w:lang w:val="el-GR"/>
        </w:rPr>
        <w:t xml:space="preserve"> </w:t>
      </w:r>
      <w:r w:rsidR="00681191" w:rsidRPr="00FC2F1F">
        <w:rPr>
          <w:snapToGrid/>
          <w:szCs w:val="22"/>
          <w:lang w:val="el-GR"/>
        </w:rPr>
        <w:t>ή λιπιδίων στο αίμα.</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rPr>
          <w:b/>
          <w:noProof/>
          <w:szCs w:val="22"/>
          <w:lang w:val="el-GR"/>
        </w:rPr>
      </w:pPr>
      <w:r w:rsidRPr="00FC2F1F">
        <w:rPr>
          <w:b/>
          <w:noProof/>
          <w:szCs w:val="22"/>
          <w:lang w:val="el-GR"/>
        </w:rPr>
        <w:t>Αναφορά ανεπιθύμητων ενεργειών</w:t>
      </w:r>
    </w:p>
    <w:p w:rsidR="00681191" w:rsidRPr="00FC2F1F" w:rsidRDefault="00681191" w:rsidP="00681191">
      <w:pPr>
        <w:widowControl w:val="0"/>
        <w:rPr>
          <w:noProof/>
          <w:szCs w:val="22"/>
          <w:lang w:val="el-GR"/>
        </w:rPr>
      </w:pPr>
      <w:r w:rsidRPr="00FC2F1F">
        <w:rPr>
          <w:lang w:val="el-GR"/>
        </w:rPr>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w:t>
      </w:r>
      <w:r w:rsidRPr="00FC2F1F">
        <w:rPr>
          <w:noProof/>
          <w:szCs w:val="22"/>
          <w:lang w:val="el-GR"/>
        </w:rPr>
        <w:t xml:space="preserve"> </w:t>
      </w:r>
      <w:r w:rsidRPr="00FC2F1F">
        <w:rPr>
          <w:szCs w:val="22"/>
          <w:lang w:val="el-GR"/>
        </w:rPr>
        <w:t>Μπορείτε επίσης να αναφέρετε ανεπιθύμητες ενέργειες</w:t>
      </w:r>
      <w:r w:rsidRPr="00FC2F1F">
        <w:rPr>
          <w:noProof/>
          <w:szCs w:val="22"/>
          <w:lang w:val="el-GR"/>
        </w:rPr>
        <w:t xml:space="preserve"> </w:t>
      </w:r>
      <w:r w:rsidRPr="00FC2F1F">
        <w:rPr>
          <w:szCs w:val="22"/>
          <w:lang w:val="el-GR"/>
        </w:rPr>
        <w:t>απευθείας</w:t>
      </w:r>
      <w:r w:rsidRPr="00FC2F1F">
        <w:rPr>
          <w:noProof/>
          <w:szCs w:val="22"/>
          <w:lang w:val="el-GR"/>
        </w:rPr>
        <w:t xml:space="preserve">, μέσω </w:t>
      </w:r>
      <w:r w:rsidRPr="00FC2F1F">
        <w:rPr>
          <w:noProof/>
          <w:szCs w:val="22"/>
          <w:highlight w:val="lightGray"/>
          <w:lang w:val="el-GR"/>
        </w:rPr>
        <w:t xml:space="preserve">του εθνικού συστήματος αναφοράς που αναγράφεται στο </w:t>
      </w:r>
      <w:hyperlink r:id="rId15" w:history="1">
        <w:r w:rsidRPr="00FC2F1F">
          <w:rPr>
            <w:rStyle w:val="Hyperlink"/>
            <w:highlight w:val="lightGray"/>
            <w:lang w:val="el-GR"/>
          </w:rPr>
          <w:t>Παράρτημα V</w:t>
        </w:r>
      </w:hyperlink>
      <w:r w:rsidRPr="00FC2F1F">
        <w:rPr>
          <w:noProof/>
          <w:szCs w:val="22"/>
          <w:lang w:val="el-GR"/>
        </w:rPr>
        <w:t>.</w:t>
      </w:r>
      <w:r w:rsidRPr="00FC2F1F">
        <w:rPr>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FC2F1F">
        <w:rPr>
          <w:noProof/>
          <w:szCs w:val="22"/>
          <w:lang w:val="el-GR"/>
        </w:rPr>
        <w:t>.</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5.</w:t>
      </w:r>
      <w:r w:rsidRPr="00FC2F1F">
        <w:rPr>
          <w:b/>
          <w:noProof/>
          <w:szCs w:val="22"/>
          <w:lang w:val="el-GR"/>
        </w:rPr>
        <w:tab/>
        <w:t>Πώς να φυλάσσετ</w:t>
      </w:r>
      <w:r w:rsidR="000A61D8">
        <w:rPr>
          <w:b/>
          <w:noProof/>
          <w:szCs w:val="22"/>
          <w:lang w:val="el-GR"/>
        </w:rPr>
        <w:t>ε</w:t>
      </w:r>
      <w:r w:rsidRPr="00FC2F1F">
        <w:rPr>
          <w:b/>
          <w:noProof/>
          <w:szCs w:val="22"/>
          <w:lang w:val="el-GR"/>
        </w:rPr>
        <w:t xml:space="preserve"> το Tolucombi</w:t>
      </w:r>
    </w:p>
    <w:p w:rsidR="00681191" w:rsidRPr="00FC2F1F" w:rsidRDefault="00681191" w:rsidP="00681191">
      <w:pPr>
        <w:widowControl w:val="0"/>
        <w:spacing w:line="240" w:lineRule="auto"/>
        <w:rPr>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Το φάρμακο αυτό πρέπει να φυλάσσεται σε μέρη που δεν το βλέπουν και δεν το φθάνουν τα παιδιά.</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 xml:space="preserve">Να μη χρησιμοποιείτε αυτό το φάρμακο μετά την ημερομηνία λήξης που αναφέρεται στο κουτί και στην κυψέλη μετά το </w:t>
      </w:r>
      <w:r>
        <w:rPr>
          <w:noProof/>
          <w:szCs w:val="22"/>
          <w:lang w:val="sl-SI"/>
        </w:rPr>
        <w:t>»</w:t>
      </w:r>
      <w:r w:rsidRPr="00FC2F1F">
        <w:rPr>
          <w:noProof/>
          <w:szCs w:val="22"/>
          <w:lang w:val="el-GR"/>
        </w:rPr>
        <w:t>EXP</w:t>
      </w:r>
      <w:r>
        <w:rPr>
          <w:noProof/>
          <w:szCs w:val="22"/>
          <w:lang w:val="sl-SI"/>
        </w:rPr>
        <w:t>«</w:t>
      </w:r>
      <w:r w:rsidRPr="00FC2F1F">
        <w:rPr>
          <w:noProof/>
          <w:szCs w:val="22"/>
          <w:lang w:val="el-GR"/>
        </w:rPr>
        <w:t>. Η ημερομηνία λήξης είναι η τελευταία ημέρα του μήνα που αναφέρεται εκεί.</w:t>
      </w:r>
    </w:p>
    <w:p w:rsidR="00681191" w:rsidRPr="00FC2F1F" w:rsidRDefault="00681191" w:rsidP="00681191">
      <w:pPr>
        <w:widowControl w:val="0"/>
        <w:numPr>
          <w:ilvl w:val="12"/>
          <w:numId w:val="0"/>
        </w:numPr>
        <w:spacing w:line="240" w:lineRule="auto"/>
        <w:ind w:right="-2"/>
        <w:rPr>
          <w:noProof/>
          <w:szCs w:val="22"/>
          <w:lang w:val="el-GR"/>
        </w:rPr>
      </w:pPr>
    </w:p>
    <w:p w:rsidR="00DA2572" w:rsidRPr="00FC2F1F" w:rsidRDefault="00DA2572" w:rsidP="00DA2572">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Το φαρμακευτικό αυτό προϊόν δεν απαιτεί ιδιαίτερες συνθήκες θερμοκρασίας για τη φύλαξή του.</w:t>
      </w:r>
    </w:p>
    <w:p w:rsidR="00DA2572" w:rsidRPr="00FC2F1F" w:rsidRDefault="00DA2572" w:rsidP="00DA2572">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Φυλάσσετ</w:t>
      </w:r>
      <w:r w:rsidR="00460F60">
        <w:rPr>
          <w:snapToGrid/>
          <w:szCs w:val="22"/>
          <w:lang w:val="el-GR"/>
        </w:rPr>
        <w:t>ε</w:t>
      </w:r>
      <w:r w:rsidRPr="00FC2F1F">
        <w:rPr>
          <w:snapToGrid/>
          <w:szCs w:val="22"/>
          <w:lang w:val="el-GR"/>
        </w:rPr>
        <w:t xml:space="preserve"> στην αρχική συσκευασία για να προστατεύεται από το φως.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r w:rsidRPr="00FC2F1F">
        <w:rPr>
          <w:noProof/>
          <w:szCs w:val="22"/>
          <w:lang w:val="el-GR"/>
        </w:rPr>
        <w:t xml:space="preserve">Μην πετάτε φάρμακα στο νερό της αποχέτευσης ή στα </w:t>
      </w:r>
      <w:r w:rsidR="00460F60">
        <w:rPr>
          <w:noProof/>
          <w:szCs w:val="22"/>
          <w:lang w:val="el-GR"/>
        </w:rPr>
        <w:t>οικιακά απορρίμματα</w:t>
      </w:r>
      <w:r w:rsidRPr="00FC2F1F">
        <w:rPr>
          <w:noProof/>
          <w:szCs w:val="22"/>
          <w:lang w:val="el-GR"/>
        </w:rPr>
        <w:t>.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spacing w:line="240" w:lineRule="auto"/>
        <w:ind w:left="567" w:hanging="567"/>
        <w:rPr>
          <w:b/>
          <w:noProof/>
          <w:szCs w:val="22"/>
          <w:lang w:val="el-GR"/>
        </w:rPr>
      </w:pPr>
      <w:r w:rsidRPr="00FC2F1F">
        <w:rPr>
          <w:b/>
          <w:noProof/>
          <w:szCs w:val="22"/>
          <w:lang w:val="el-GR"/>
        </w:rPr>
        <w:t>6.</w:t>
      </w:r>
      <w:r w:rsidRPr="00FC2F1F">
        <w:rPr>
          <w:b/>
          <w:noProof/>
          <w:szCs w:val="22"/>
          <w:lang w:val="el-GR"/>
        </w:rPr>
        <w:tab/>
        <w:t>Περιεχόμεν</w:t>
      </w:r>
      <w:r w:rsidR="00460F60">
        <w:rPr>
          <w:b/>
          <w:noProof/>
          <w:szCs w:val="22"/>
          <w:lang w:val="el-GR"/>
        </w:rPr>
        <w:t>α</w:t>
      </w:r>
      <w:r w:rsidRPr="00FC2F1F">
        <w:rPr>
          <w:b/>
          <w:noProof/>
          <w:szCs w:val="22"/>
          <w:lang w:val="el-GR"/>
        </w:rPr>
        <w:t xml:space="preserve"> της συσκευασίας και λοιπές πληροφορίες</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t>Τι περιέχει το Tolucombi</w:t>
      </w:r>
    </w:p>
    <w:p w:rsidR="00681191" w:rsidRPr="00FC2F1F" w:rsidRDefault="00681191" w:rsidP="00681191">
      <w:pPr>
        <w:widowControl w:val="0"/>
        <w:numPr>
          <w:ilvl w:val="0"/>
          <w:numId w:val="3"/>
        </w:numPr>
        <w:tabs>
          <w:tab w:val="clear" w:pos="567"/>
          <w:tab w:val="clear" w:pos="1050"/>
        </w:tabs>
        <w:spacing w:line="240" w:lineRule="auto"/>
        <w:ind w:left="567" w:hanging="567"/>
        <w:rPr>
          <w:noProof/>
          <w:szCs w:val="22"/>
          <w:lang w:val="el-GR"/>
        </w:rPr>
      </w:pPr>
      <w:r w:rsidRPr="00FC2F1F">
        <w:rPr>
          <w:noProof/>
          <w:szCs w:val="22"/>
          <w:lang w:val="el-GR"/>
        </w:rPr>
        <w:t>Οι δραστικές ουσίες είναι η τελμισαρτάνη και η υδροχλωροθειαζίδη.</w:t>
      </w:r>
    </w:p>
    <w:p w:rsidR="00681191" w:rsidRPr="00FC2F1F" w:rsidRDefault="00681191" w:rsidP="00681191">
      <w:pPr>
        <w:widowControl w:val="0"/>
        <w:tabs>
          <w:tab w:val="clear" w:pos="567"/>
        </w:tabs>
        <w:spacing w:line="240" w:lineRule="auto"/>
        <w:ind w:left="567"/>
        <w:rPr>
          <w:noProof/>
          <w:szCs w:val="22"/>
          <w:lang w:val="el-GR"/>
        </w:rPr>
      </w:pPr>
      <w:r w:rsidRPr="00FC2F1F">
        <w:rPr>
          <w:noProof/>
          <w:szCs w:val="22"/>
          <w:lang w:val="el-GR"/>
        </w:rPr>
        <w:t>Κάθε δισκίο περιέχει 40</w:t>
      </w:r>
      <w:r>
        <w:rPr>
          <w:noProof/>
          <w:szCs w:val="22"/>
          <w:lang w:val="el-GR"/>
        </w:rPr>
        <w:t> mg</w:t>
      </w:r>
      <w:r w:rsidRPr="00FC2F1F">
        <w:rPr>
          <w:noProof/>
          <w:szCs w:val="22"/>
          <w:lang w:val="el-GR"/>
        </w:rPr>
        <w:t xml:space="preserve"> τελμισαρτάνης και 12,5</w:t>
      </w:r>
      <w:r>
        <w:rPr>
          <w:noProof/>
          <w:szCs w:val="22"/>
          <w:lang w:val="el-GR"/>
        </w:rPr>
        <w:t> mg</w:t>
      </w:r>
      <w:r w:rsidRPr="00FC2F1F">
        <w:rPr>
          <w:noProof/>
          <w:szCs w:val="22"/>
          <w:lang w:val="el-GR"/>
        </w:rPr>
        <w:t xml:space="preserve"> υδροχλωροθειαζίδης.</w:t>
      </w:r>
    </w:p>
    <w:p w:rsidR="00681191" w:rsidRPr="00FC2F1F" w:rsidRDefault="00681191" w:rsidP="00681191">
      <w:pPr>
        <w:widowControl w:val="0"/>
        <w:tabs>
          <w:tab w:val="clear" w:pos="567"/>
        </w:tabs>
        <w:autoSpaceDE w:val="0"/>
        <w:autoSpaceDN w:val="0"/>
        <w:adjustRightInd w:val="0"/>
        <w:spacing w:line="240" w:lineRule="auto"/>
        <w:ind w:left="567"/>
        <w:rPr>
          <w:noProof/>
          <w:szCs w:val="22"/>
          <w:lang w:val="el-GR"/>
        </w:rPr>
      </w:pPr>
      <w:r w:rsidRPr="00FC2F1F">
        <w:rPr>
          <w:szCs w:val="22"/>
          <w:lang w:val="el-GR" w:eastAsia="sl-SI"/>
        </w:rPr>
        <w:t>Κάθε δισκίο περιέχει 80</w:t>
      </w:r>
      <w:r>
        <w:rPr>
          <w:szCs w:val="22"/>
          <w:lang w:val="el-GR" w:eastAsia="sl-SI"/>
        </w:rPr>
        <w:t> mg</w:t>
      </w:r>
      <w:r w:rsidRPr="00FC2F1F">
        <w:rPr>
          <w:szCs w:val="22"/>
          <w:lang w:val="el-GR" w:eastAsia="sl-SI"/>
        </w:rPr>
        <w:t xml:space="preserve"> τελμισαρτάνης και 12,5</w:t>
      </w:r>
      <w:r>
        <w:rPr>
          <w:szCs w:val="22"/>
          <w:lang w:val="el-GR" w:eastAsia="sl-SI"/>
        </w:rPr>
        <w:t> mg</w:t>
      </w:r>
      <w:r w:rsidRPr="00FC2F1F">
        <w:rPr>
          <w:szCs w:val="22"/>
          <w:lang w:val="el-GR" w:eastAsia="sl-SI"/>
        </w:rPr>
        <w:t xml:space="preserve"> υδροχλωροθειαζίδης</w:t>
      </w:r>
      <w:r w:rsidRPr="00FC2F1F">
        <w:rPr>
          <w:szCs w:val="22"/>
          <w:lang w:val="el-GR"/>
        </w:rPr>
        <w:t>.</w:t>
      </w:r>
    </w:p>
    <w:p w:rsidR="00681191" w:rsidRPr="00FC2F1F" w:rsidRDefault="00681191" w:rsidP="00681191">
      <w:pPr>
        <w:widowControl w:val="0"/>
        <w:tabs>
          <w:tab w:val="clear" w:pos="567"/>
        </w:tabs>
        <w:autoSpaceDE w:val="0"/>
        <w:autoSpaceDN w:val="0"/>
        <w:adjustRightInd w:val="0"/>
        <w:spacing w:line="240" w:lineRule="auto"/>
        <w:ind w:left="567"/>
        <w:rPr>
          <w:noProof/>
          <w:szCs w:val="22"/>
          <w:lang w:val="el-GR"/>
        </w:rPr>
      </w:pPr>
      <w:r w:rsidRPr="00FC2F1F">
        <w:rPr>
          <w:szCs w:val="22"/>
          <w:lang w:val="el-GR" w:eastAsia="sl-SI"/>
        </w:rPr>
        <w:t>Κάθε δισκίο περιέχει 80</w:t>
      </w:r>
      <w:r>
        <w:rPr>
          <w:szCs w:val="22"/>
          <w:lang w:val="el-GR" w:eastAsia="sl-SI"/>
        </w:rPr>
        <w:t> mg</w:t>
      </w:r>
      <w:r w:rsidRPr="00FC2F1F">
        <w:rPr>
          <w:szCs w:val="22"/>
          <w:lang w:val="el-GR" w:eastAsia="sl-SI"/>
        </w:rPr>
        <w:t xml:space="preserve"> τελμισαρτάνης και 25</w:t>
      </w:r>
      <w:r>
        <w:rPr>
          <w:szCs w:val="22"/>
          <w:lang w:val="el-GR" w:eastAsia="sl-SI"/>
        </w:rPr>
        <w:t> mg</w:t>
      </w:r>
      <w:r w:rsidRPr="00FC2F1F">
        <w:rPr>
          <w:szCs w:val="22"/>
          <w:lang w:val="el-GR" w:eastAsia="sl-SI"/>
        </w:rPr>
        <w:t xml:space="preserve"> υδροχλωροθειαζίδης</w:t>
      </w:r>
      <w:r w:rsidRPr="00FC2F1F">
        <w:rPr>
          <w:szCs w:val="22"/>
          <w:lang w:val="el-GR"/>
        </w:rPr>
        <w:t>.</w:t>
      </w:r>
    </w:p>
    <w:p w:rsidR="00681191" w:rsidRPr="007B0F65" w:rsidRDefault="00681191" w:rsidP="007B0F65">
      <w:pPr>
        <w:widowControl w:val="0"/>
        <w:numPr>
          <w:ilvl w:val="0"/>
          <w:numId w:val="3"/>
        </w:numPr>
        <w:tabs>
          <w:tab w:val="clear" w:pos="567"/>
          <w:tab w:val="clear" w:pos="1050"/>
        </w:tabs>
        <w:autoSpaceDE w:val="0"/>
        <w:autoSpaceDN w:val="0"/>
        <w:adjustRightInd w:val="0"/>
        <w:spacing w:line="240" w:lineRule="auto"/>
        <w:ind w:left="567" w:hanging="567"/>
        <w:rPr>
          <w:iCs/>
          <w:noProof/>
          <w:szCs w:val="22"/>
          <w:lang w:val="el-GR"/>
        </w:rPr>
      </w:pPr>
      <w:r w:rsidRPr="00FC2F1F">
        <w:rPr>
          <w:noProof/>
          <w:szCs w:val="22"/>
          <w:lang w:val="el-GR"/>
        </w:rPr>
        <w:t>Τα άλλα συστατικά είναι υ</w:t>
      </w:r>
      <w:r w:rsidRPr="00FC2F1F">
        <w:rPr>
          <w:snapToGrid/>
          <w:szCs w:val="22"/>
          <w:lang w:val="el-GR"/>
        </w:rPr>
        <w:t>δροξυπροπυλοκυτταρίνη, λακτόζη μονοϋδρική, μαγνήσιο στεατικό, μαννιτόλη, μεγλουμίνη, ποβιδόνη (K30), σιδήρου οξείδιο ερυθρό (E172)</w:t>
      </w:r>
      <w:r w:rsidRPr="00FC2F1F">
        <w:rPr>
          <w:szCs w:val="22"/>
          <w:lang w:val="el-GR"/>
        </w:rPr>
        <w:t xml:space="preserve"> – </w:t>
      </w:r>
      <w:r w:rsidRPr="00FC2F1F">
        <w:rPr>
          <w:iCs/>
          <w:noProof/>
          <w:szCs w:val="22"/>
          <w:lang w:val="el-GR"/>
        </w:rPr>
        <w:t xml:space="preserve">μόνο </w:t>
      </w:r>
      <w:r w:rsidRPr="00FC2F1F">
        <w:rPr>
          <w:szCs w:val="22"/>
          <w:lang w:val="el-GR"/>
        </w:rPr>
        <w:t xml:space="preserve">στα </w:t>
      </w:r>
      <w:r w:rsidR="007B0F65">
        <w:rPr>
          <w:szCs w:val="22"/>
          <w:lang w:val="el-GR"/>
        </w:rPr>
        <w:t xml:space="preserve">δισκία </w:t>
      </w:r>
      <w:r w:rsidRPr="00FC2F1F">
        <w:rPr>
          <w:szCs w:val="22"/>
          <w:lang w:val="el-GR"/>
        </w:rPr>
        <w:t>40</w:t>
      </w:r>
      <w:r>
        <w:rPr>
          <w:szCs w:val="22"/>
          <w:lang w:val="el-GR"/>
        </w:rPr>
        <w:t> mg</w:t>
      </w:r>
      <w:r w:rsidRPr="00FC2F1F">
        <w:rPr>
          <w:szCs w:val="22"/>
          <w:lang w:val="el-GR"/>
        </w:rPr>
        <w:t>/12,5</w:t>
      </w:r>
      <w:r>
        <w:rPr>
          <w:szCs w:val="22"/>
          <w:lang w:val="el-GR"/>
        </w:rPr>
        <w:t> mg</w:t>
      </w:r>
      <w:r w:rsidRPr="00FC2F1F">
        <w:rPr>
          <w:szCs w:val="22"/>
          <w:lang w:val="el-GR"/>
        </w:rPr>
        <w:t xml:space="preserve"> και 80</w:t>
      </w:r>
      <w:r>
        <w:rPr>
          <w:szCs w:val="22"/>
          <w:lang w:val="el-GR"/>
        </w:rPr>
        <w:t> mg</w:t>
      </w:r>
      <w:r w:rsidRPr="00FC2F1F">
        <w:rPr>
          <w:szCs w:val="22"/>
          <w:lang w:val="el-GR"/>
        </w:rPr>
        <w:t>/12,5</w:t>
      </w:r>
      <w:r>
        <w:rPr>
          <w:szCs w:val="22"/>
          <w:lang w:val="el-GR"/>
        </w:rPr>
        <w:t> mg</w:t>
      </w:r>
      <w:r w:rsidRPr="00FC2F1F">
        <w:rPr>
          <w:szCs w:val="22"/>
          <w:lang w:val="el-GR"/>
        </w:rPr>
        <w:t>, ο</w:t>
      </w:r>
      <w:r w:rsidRPr="00FC2F1F">
        <w:rPr>
          <w:snapToGrid/>
          <w:szCs w:val="22"/>
          <w:lang w:val="el-GR"/>
        </w:rPr>
        <w:t>ξείδιο του πυριτίου κολλοειδές άνυδρο, νατρίου υδροξείδιο (Ε524), νάτριο στεατυλοφουμαρικό, σορβιτόλη (E420)</w:t>
      </w:r>
      <w:r w:rsidRPr="00FC2F1F">
        <w:rPr>
          <w:iCs/>
          <w:noProof/>
          <w:szCs w:val="22"/>
          <w:lang w:val="el-GR"/>
        </w:rPr>
        <w:t xml:space="preserve"> και σιδήρου οξείδιο κίτρινο (E172) – μόνο στα δισκία 80</w:t>
      </w:r>
      <w:r>
        <w:rPr>
          <w:iCs/>
          <w:noProof/>
          <w:szCs w:val="22"/>
          <w:lang w:val="el-GR"/>
        </w:rPr>
        <w:t> mg</w:t>
      </w:r>
      <w:r w:rsidRPr="00FC2F1F">
        <w:rPr>
          <w:iCs/>
          <w:noProof/>
          <w:szCs w:val="22"/>
          <w:lang w:val="el-GR"/>
        </w:rPr>
        <w:t>/25</w:t>
      </w:r>
      <w:r>
        <w:rPr>
          <w:iCs/>
          <w:noProof/>
          <w:szCs w:val="22"/>
          <w:lang w:val="el-GR"/>
        </w:rPr>
        <w:t> mg</w:t>
      </w:r>
      <w:r w:rsidRPr="00FC2F1F">
        <w:rPr>
          <w:iCs/>
          <w:noProof/>
          <w:szCs w:val="22"/>
          <w:lang w:val="el-GR"/>
        </w:rPr>
        <w:t>.</w:t>
      </w:r>
      <w:r w:rsidR="007B0F65">
        <w:rPr>
          <w:iCs/>
          <w:noProof/>
          <w:szCs w:val="22"/>
          <w:lang w:val="el-GR"/>
        </w:rPr>
        <w:t xml:space="preserve"> Βλ. παράγραφο 2 «</w:t>
      </w:r>
      <w:r w:rsidR="007B0F65" w:rsidRPr="002210C0">
        <w:rPr>
          <w:iCs/>
          <w:noProof/>
          <w:szCs w:val="22"/>
          <w:lang w:val="el-GR"/>
        </w:rPr>
        <w:t xml:space="preserve">Το </w:t>
      </w:r>
      <w:r w:rsidR="007B0F65" w:rsidRPr="002210C0">
        <w:rPr>
          <w:bCs/>
          <w:iCs/>
          <w:noProof/>
          <w:szCs w:val="22"/>
          <w:lang w:val="el-GR"/>
        </w:rPr>
        <w:t>Tolucombi</w:t>
      </w:r>
      <w:r w:rsidR="007B0F65" w:rsidRPr="002210C0">
        <w:rPr>
          <w:iCs/>
          <w:noProof/>
          <w:szCs w:val="22"/>
          <w:lang w:val="el-GR"/>
        </w:rPr>
        <w:t xml:space="preserve"> περιέχει λακτόζη</w:t>
      </w:r>
      <w:r w:rsidR="0014268C">
        <w:rPr>
          <w:iCs/>
          <w:noProof/>
          <w:szCs w:val="22"/>
          <w:lang w:val="el-GR"/>
        </w:rPr>
        <w:t>,</w:t>
      </w:r>
      <w:r w:rsidR="007B0F65" w:rsidRPr="002210C0">
        <w:rPr>
          <w:iCs/>
          <w:noProof/>
          <w:szCs w:val="22"/>
          <w:lang w:val="el-GR"/>
        </w:rPr>
        <w:t xml:space="preserve"> σορβιτόλη</w:t>
      </w:r>
      <w:r w:rsidR="0014268C">
        <w:rPr>
          <w:iCs/>
          <w:noProof/>
          <w:szCs w:val="22"/>
          <w:lang w:val="el-GR"/>
        </w:rPr>
        <w:t xml:space="preserve"> και νάτριο</w:t>
      </w:r>
      <w:r w:rsidR="007B0F65">
        <w:rPr>
          <w:iCs/>
          <w:noProof/>
          <w:szCs w:val="22"/>
          <w:lang w:val="el-GR"/>
        </w:rPr>
        <w:t>».</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t xml:space="preserve">Εμφάνιση του </w:t>
      </w:r>
      <w:r w:rsidRPr="00FC2F1F">
        <w:rPr>
          <w:b/>
          <w:bCs/>
          <w:noProof/>
          <w:szCs w:val="22"/>
          <w:lang w:val="el-GR"/>
        </w:rPr>
        <w:t>Tolucombi</w:t>
      </w:r>
      <w:r w:rsidRPr="00FC2F1F">
        <w:rPr>
          <w:b/>
          <w:noProof/>
          <w:szCs w:val="22"/>
          <w:lang w:val="el-GR"/>
        </w:rPr>
        <w:t xml:space="preserve"> και περιεχόμεν</w:t>
      </w:r>
      <w:r w:rsidR="00460F60">
        <w:rPr>
          <w:b/>
          <w:noProof/>
          <w:szCs w:val="22"/>
          <w:lang w:val="el-GR"/>
        </w:rPr>
        <w:t>α</w:t>
      </w:r>
      <w:r w:rsidRPr="00FC2F1F">
        <w:rPr>
          <w:b/>
          <w:noProof/>
          <w:szCs w:val="22"/>
          <w:lang w:val="el-GR"/>
        </w:rPr>
        <w:t xml:space="preserve"> της συσκευασίας</w:t>
      </w:r>
    </w:p>
    <w:p w:rsidR="00681191" w:rsidRPr="00FC2F1F" w:rsidRDefault="00681191" w:rsidP="00681191">
      <w:pPr>
        <w:widowControl w:val="0"/>
        <w:spacing w:line="240" w:lineRule="auto"/>
        <w:rPr>
          <w:noProof/>
          <w:szCs w:val="22"/>
          <w:lang w:val="el-GR"/>
        </w:rPr>
      </w:pPr>
      <w:r w:rsidRPr="00FC2F1F">
        <w:rPr>
          <w:noProof/>
          <w:szCs w:val="22"/>
          <w:lang w:val="el-GR"/>
        </w:rPr>
        <w:t>Δισκία 40</w:t>
      </w:r>
      <w:r>
        <w:rPr>
          <w:noProof/>
          <w:szCs w:val="22"/>
          <w:lang w:val="el-GR"/>
        </w:rPr>
        <w:t> mg</w:t>
      </w:r>
      <w:r w:rsidRPr="00FC2F1F">
        <w:rPr>
          <w:noProof/>
          <w:szCs w:val="22"/>
          <w:lang w:val="el-GR"/>
        </w:rPr>
        <w:t>/12,5</w:t>
      </w:r>
      <w:r>
        <w:rPr>
          <w:noProof/>
          <w:szCs w:val="22"/>
          <w:lang w:val="el-GR"/>
        </w:rPr>
        <w:t> mg</w:t>
      </w:r>
      <w:r w:rsidRPr="00FC2F1F">
        <w:rPr>
          <w:noProof/>
          <w:szCs w:val="22"/>
          <w:lang w:val="el-GR"/>
        </w:rPr>
        <w:t>: Λευκά έως υπόλευκα ή ελαφρώς ροδόχρουν-λευκά στη μία όψη και ροδόχρουν με νερά μαρμάρου στην αντίθετη όψη του αμφίκυρτου οβάλ δισκίου δύο στρωμάτων, διαστάσεις δισκίου 15 mm x 7 mm.</w:t>
      </w:r>
    </w:p>
    <w:p w:rsidR="00681191" w:rsidRPr="00FC2F1F" w:rsidRDefault="00681191" w:rsidP="00681191">
      <w:pPr>
        <w:widowControl w:val="0"/>
        <w:spacing w:line="240" w:lineRule="auto"/>
        <w:rPr>
          <w:noProof/>
          <w:szCs w:val="22"/>
          <w:lang w:val="el-GR"/>
        </w:rPr>
      </w:pPr>
      <w:r w:rsidRPr="00FC2F1F">
        <w:rPr>
          <w:noProof/>
          <w:szCs w:val="22"/>
          <w:lang w:val="el-GR"/>
        </w:rPr>
        <w:t>Δισκία 80</w:t>
      </w:r>
      <w:r>
        <w:rPr>
          <w:noProof/>
          <w:szCs w:val="22"/>
          <w:lang w:val="el-GR"/>
        </w:rPr>
        <w:t> mg</w:t>
      </w:r>
      <w:r w:rsidRPr="00FC2F1F">
        <w:rPr>
          <w:noProof/>
          <w:szCs w:val="22"/>
          <w:lang w:val="el-GR"/>
        </w:rPr>
        <w:t>/12,5</w:t>
      </w:r>
      <w:r>
        <w:rPr>
          <w:noProof/>
          <w:szCs w:val="22"/>
          <w:lang w:val="el-GR"/>
        </w:rPr>
        <w:t> mg</w:t>
      </w:r>
      <w:r w:rsidRPr="00FC2F1F">
        <w:rPr>
          <w:noProof/>
          <w:szCs w:val="22"/>
          <w:lang w:val="el-GR"/>
        </w:rPr>
        <w:t>: Λευκά έως υπόλευκα ή ελαφρώς ροδόχρουν-λευκά στη μία όψη και ροδόχρουν με νερά μαρμάρου στην αντίθετη όψη του αμφίκυρτου οβάλ δισκίου δύο στρωμάτων, διαστάσεις δισκίου 18 mm x 9 mm.</w:t>
      </w:r>
    </w:p>
    <w:p w:rsidR="00681191" w:rsidRPr="00FC2F1F" w:rsidRDefault="00681191" w:rsidP="00681191">
      <w:pPr>
        <w:widowControl w:val="0"/>
        <w:spacing w:line="240" w:lineRule="auto"/>
        <w:rPr>
          <w:noProof/>
          <w:szCs w:val="22"/>
          <w:lang w:val="el-GR"/>
        </w:rPr>
      </w:pPr>
      <w:r w:rsidRPr="00FC2F1F">
        <w:rPr>
          <w:noProof/>
          <w:szCs w:val="22"/>
          <w:lang w:val="el-GR"/>
        </w:rPr>
        <w:t>Δισκία 80</w:t>
      </w:r>
      <w:r>
        <w:rPr>
          <w:noProof/>
          <w:szCs w:val="22"/>
          <w:lang w:val="el-GR"/>
        </w:rPr>
        <w:t> mg</w:t>
      </w:r>
      <w:r w:rsidRPr="00FC2F1F">
        <w:rPr>
          <w:noProof/>
          <w:szCs w:val="22"/>
          <w:lang w:val="el-GR"/>
        </w:rPr>
        <w:t>/25</w:t>
      </w:r>
      <w:r>
        <w:rPr>
          <w:noProof/>
          <w:szCs w:val="22"/>
          <w:lang w:val="el-GR"/>
        </w:rPr>
        <w:t> mg</w:t>
      </w:r>
      <w:r w:rsidRPr="00FC2F1F">
        <w:rPr>
          <w:noProof/>
          <w:szCs w:val="22"/>
          <w:lang w:val="el-GR"/>
        </w:rPr>
        <w:t>: Λευκά έως ελαφρώς κιτρινωπά-λευκά στη μία όψη και κιτρινωπά με νερά μαρμάρου στην αντίθετη όψη του αμφίκυρτου οβάλ δισκίου δύο στρωμάτων, διαστάσεις δισκίου 18 mm x 9 mm.</w:t>
      </w:r>
    </w:p>
    <w:p w:rsidR="00681191" w:rsidRPr="00FC2F1F" w:rsidRDefault="00681191" w:rsidP="00681191">
      <w:pPr>
        <w:widowControl w:val="0"/>
        <w:spacing w:line="240" w:lineRule="auto"/>
        <w:rPr>
          <w:noProof/>
          <w:szCs w:val="22"/>
          <w:lang w:val="el-GR"/>
        </w:rPr>
      </w:pPr>
    </w:p>
    <w:p w:rsidR="00681191" w:rsidRPr="00FC2F1F" w:rsidRDefault="00681191" w:rsidP="00681191">
      <w:pPr>
        <w:widowControl w:val="0"/>
        <w:tabs>
          <w:tab w:val="clear" w:pos="567"/>
        </w:tabs>
        <w:autoSpaceDE w:val="0"/>
        <w:autoSpaceDN w:val="0"/>
        <w:adjustRightInd w:val="0"/>
        <w:spacing w:line="240" w:lineRule="auto"/>
        <w:rPr>
          <w:szCs w:val="22"/>
          <w:lang w:val="el-GR"/>
        </w:rPr>
      </w:pPr>
      <w:r w:rsidRPr="00FC2F1F">
        <w:rPr>
          <w:snapToGrid/>
          <w:szCs w:val="22"/>
          <w:lang w:val="el-GR"/>
        </w:rPr>
        <w:t xml:space="preserve">Κυψέλες </w:t>
      </w:r>
      <w:r w:rsidRPr="00FC2F1F">
        <w:rPr>
          <w:szCs w:val="22"/>
          <w:lang w:val="el-GR"/>
        </w:rPr>
        <w:t>(φύλλο OPA/Al/PVC//φύλλο Al): 14</w:t>
      </w:r>
      <w:r w:rsidR="00BC381B" w:rsidRPr="00BC381B">
        <w:rPr>
          <w:szCs w:val="22"/>
        </w:rPr>
        <w:t> x </w:t>
      </w:r>
      <w:r w:rsidR="00BC381B" w:rsidRPr="00B754A1">
        <w:rPr>
          <w:szCs w:val="22"/>
          <w:lang w:val="el-GR"/>
        </w:rPr>
        <w:t>1</w:t>
      </w:r>
      <w:r w:rsidRPr="00FC2F1F">
        <w:rPr>
          <w:szCs w:val="22"/>
          <w:lang w:val="el-GR"/>
        </w:rPr>
        <w:t>, 28</w:t>
      </w:r>
      <w:r w:rsidR="00BC381B" w:rsidRPr="00BC381B">
        <w:rPr>
          <w:szCs w:val="22"/>
        </w:rPr>
        <w:t> x </w:t>
      </w:r>
      <w:r w:rsidR="00BC381B" w:rsidRPr="00B754A1">
        <w:rPr>
          <w:szCs w:val="22"/>
          <w:lang w:val="el-GR"/>
        </w:rPr>
        <w:t>1</w:t>
      </w:r>
      <w:r w:rsidRPr="00FC2F1F">
        <w:rPr>
          <w:szCs w:val="22"/>
          <w:lang w:val="el-GR"/>
        </w:rPr>
        <w:t>, 30</w:t>
      </w:r>
      <w:r w:rsidR="00BC381B" w:rsidRPr="00BC381B">
        <w:rPr>
          <w:szCs w:val="22"/>
        </w:rPr>
        <w:t> x </w:t>
      </w:r>
      <w:r w:rsidR="00BC381B" w:rsidRPr="00B754A1">
        <w:rPr>
          <w:szCs w:val="22"/>
          <w:lang w:val="el-GR"/>
        </w:rPr>
        <w:t>1</w:t>
      </w:r>
      <w:r w:rsidRPr="00FC2F1F">
        <w:rPr>
          <w:szCs w:val="22"/>
          <w:lang w:val="el-GR"/>
        </w:rPr>
        <w:t>, 56</w:t>
      </w:r>
      <w:r w:rsidR="00BC381B" w:rsidRPr="00BC381B">
        <w:rPr>
          <w:szCs w:val="22"/>
        </w:rPr>
        <w:t> x </w:t>
      </w:r>
      <w:r w:rsidR="00BC381B" w:rsidRPr="00B754A1">
        <w:rPr>
          <w:szCs w:val="22"/>
          <w:lang w:val="el-GR"/>
        </w:rPr>
        <w:t>1</w:t>
      </w:r>
      <w:r w:rsidRPr="00FC2F1F">
        <w:rPr>
          <w:szCs w:val="22"/>
          <w:lang w:val="el-GR"/>
        </w:rPr>
        <w:t>, 60</w:t>
      </w:r>
      <w:r w:rsidR="00BC381B" w:rsidRPr="00B754A1">
        <w:rPr>
          <w:snapToGrid/>
          <w:szCs w:val="22"/>
          <w:lang w:val="el-GR"/>
        </w:rPr>
        <w:t xml:space="preserve"> </w:t>
      </w:r>
      <w:r w:rsidR="00BC381B" w:rsidRPr="00BC381B">
        <w:rPr>
          <w:szCs w:val="22"/>
        </w:rPr>
        <w:t>x </w:t>
      </w:r>
      <w:r w:rsidR="00BC381B" w:rsidRPr="00B754A1">
        <w:rPr>
          <w:szCs w:val="22"/>
          <w:lang w:val="el-GR"/>
        </w:rPr>
        <w:t>1</w:t>
      </w:r>
      <w:r w:rsidRPr="00FC2F1F">
        <w:rPr>
          <w:szCs w:val="22"/>
          <w:lang w:val="el-GR"/>
        </w:rPr>
        <w:t>, 84</w:t>
      </w:r>
      <w:r w:rsidR="00BC381B" w:rsidRPr="00BC381B">
        <w:rPr>
          <w:szCs w:val="22"/>
        </w:rPr>
        <w:t> x </w:t>
      </w:r>
      <w:r w:rsidR="00BC381B" w:rsidRPr="00B754A1">
        <w:rPr>
          <w:szCs w:val="22"/>
          <w:lang w:val="el-GR"/>
        </w:rPr>
        <w:t>1</w:t>
      </w:r>
      <w:r w:rsidRPr="00FC2F1F">
        <w:rPr>
          <w:szCs w:val="22"/>
          <w:lang w:val="el-GR"/>
        </w:rPr>
        <w:t>, 90</w:t>
      </w:r>
      <w:r w:rsidR="00BC381B" w:rsidRPr="00BC381B">
        <w:rPr>
          <w:szCs w:val="22"/>
        </w:rPr>
        <w:t> x </w:t>
      </w:r>
      <w:r w:rsidR="00BC381B" w:rsidRPr="00B754A1">
        <w:rPr>
          <w:szCs w:val="22"/>
          <w:lang w:val="el-GR"/>
        </w:rPr>
        <w:t>1</w:t>
      </w:r>
      <w:r>
        <w:rPr>
          <w:szCs w:val="22"/>
          <w:lang w:val="sl-SI"/>
        </w:rPr>
        <w:t>,</w:t>
      </w:r>
      <w:r w:rsidRPr="00FC2F1F">
        <w:rPr>
          <w:szCs w:val="22"/>
          <w:lang w:val="el-GR"/>
        </w:rPr>
        <w:t xml:space="preserve"> 98</w:t>
      </w:r>
      <w:r w:rsidR="00BC381B" w:rsidRPr="00BC381B">
        <w:rPr>
          <w:szCs w:val="22"/>
        </w:rPr>
        <w:t> x </w:t>
      </w:r>
      <w:r w:rsidR="00BC381B" w:rsidRPr="00B754A1">
        <w:rPr>
          <w:szCs w:val="22"/>
          <w:lang w:val="el-GR"/>
        </w:rPr>
        <w:t>1</w:t>
      </w:r>
      <w:r w:rsidRPr="00FC2F1F">
        <w:rPr>
          <w:szCs w:val="22"/>
          <w:lang w:val="el-GR"/>
        </w:rPr>
        <w:t xml:space="preserve"> και </w:t>
      </w:r>
      <w:r>
        <w:rPr>
          <w:szCs w:val="22"/>
          <w:lang w:val="sl-SI"/>
        </w:rPr>
        <w:t>100</w:t>
      </w:r>
      <w:r w:rsidR="00BC381B" w:rsidRPr="00BC381B">
        <w:rPr>
          <w:szCs w:val="22"/>
        </w:rPr>
        <w:t> x </w:t>
      </w:r>
      <w:r w:rsidR="00BC381B" w:rsidRPr="00B754A1">
        <w:rPr>
          <w:szCs w:val="22"/>
          <w:lang w:val="el-GR"/>
        </w:rPr>
        <w:t>1</w:t>
      </w:r>
      <w:r>
        <w:rPr>
          <w:szCs w:val="22"/>
          <w:lang w:val="sl-SI"/>
        </w:rPr>
        <w:t xml:space="preserve"> </w:t>
      </w:r>
      <w:r w:rsidRPr="00FC2F1F">
        <w:rPr>
          <w:szCs w:val="22"/>
          <w:lang w:val="el-GR"/>
        </w:rPr>
        <w:t>δισκί</w:t>
      </w:r>
      <w:r w:rsidR="00BC381B">
        <w:rPr>
          <w:szCs w:val="22"/>
          <w:lang w:val="el-GR"/>
        </w:rPr>
        <w:t>ο</w:t>
      </w:r>
      <w:r w:rsidRPr="00FC2F1F">
        <w:rPr>
          <w:szCs w:val="22"/>
          <w:lang w:val="el-GR"/>
        </w:rPr>
        <w:t xml:space="preserve"> σε κουτί.</w:t>
      </w:r>
    </w:p>
    <w:p w:rsidR="00681191" w:rsidRPr="00BF5B97" w:rsidRDefault="00681191" w:rsidP="00681191">
      <w:pPr>
        <w:widowControl w:val="0"/>
        <w:tabs>
          <w:tab w:val="clear" w:pos="567"/>
        </w:tabs>
        <w:autoSpaceDE w:val="0"/>
        <w:autoSpaceDN w:val="0"/>
        <w:adjustRightInd w:val="0"/>
        <w:spacing w:line="240" w:lineRule="auto"/>
        <w:rPr>
          <w:szCs w:val="22"/>
          <w:lang w:val="sl-SI"/>
        </w:rPr>
      </w:pPr>
      <w:r w:rsidRPr="00FC2F1F">
        <w:rPr>
          <w:szCs w:val="22"/>
          <w:lang w:val="el-GR"/>
        </w:rPr>
        <w:t>Κυψέλες (φύλλο OPA/Al/PE με ξηραντικό//φύλλο Al): 14</w:t>
      </w:r>
      <w:r w:rsidR="00BC381B" w:rsidRPr="00BC381B">
        <w:rPr>
          <w:szCs w:val="22"/>
        </w:rPr>
        <w:t> x </w:t>
      </w:r>
      <w:r w:rsidR="00BC381B" w:rsidRPr="00B754A1">
        <w:rPr>
          <w:szCs w:val="22"/>
          <w:lang w:val="el-GR"/>
        </w:rPr>
        <w:t>1</w:t>
      </w:r>
      <w:r w:rsidRPr="00FC2F1F">
        <w:rPr>
          <w:szCs w:val="22"/>
          <w:lang w:val="el-GR"/>
        </w:rPr>
        <w:t xml:space="preserve"> και 98</w:t>
      </w:r>
      <w:r w:rsidR="00BC381B" w:rsidRPr="00BC381B">
        <w:rPr>
          <w:szCs w:val="22"/>
        </w:rPr>
        <w:t> x </w:t>
      </w:r>
      <w:r w:rsidR="00BC381B" w:rsidRPr="00B754A1">
        <w:rPr>
          <w:szCs w:val="22"/>
          <w:lang w:val="el-GR"/>
        </w:rPr>
        <w:t>1</w:t>
      </w:r>
      <w:r w:rsidRPr="00FC2F1F">
        <w:rPr>
          <w:szCs w:val="22"/>
          <w:lang w:val="el-GR"/>
        </w:rPr>
        <w:t xml:space="preserve"> δισκί</w:t>
      </w:r>
      <w:r w:rsidR="00BC381B">
        <w:rPr>
          <w:szCs w:val="22"/>
          <w:lang w:val="el-GR"/>
        </w:rPr>
        <w:t>ο</w:t>
      </w:r>
      <w:r w:rsidRPr="00FC2F1F">
        <w:rPr>
          <w:szCs w:val="22"/>
          <w:lang w:val="el-GR"/>
        </w:rPr>
        <w:t xml:space="preserve"> σε κουτί.</w:t>
      </w:r>
    </w:p>
    <w:p w:rsidR="00681191" w:rsidRPr="00FC2F1F" w:rsidRDefault="00681191" w:rsidP="00681191">
      <w:pPr>
        <w:widowControl w:val="0"/>
        <w:tabs>
          <w:tab w:val="clear" w:pos="567"/>
        </w:tabs>
        <w:autoSpaceDE w:val="0"/>
        <w:autoSpaceDN w:val="0"/>
        <w:adjustRightInd w:val="0"/>
        <w:spacing w:line="240" w:lineRule="auto"/>
        <w:rPr>
          <w:snapToGrid/>
          <w:szCs w:val="22"/>
          <w:lang w:val="el-GR"/>
        </w:rPr>
      </w:pPr>
      <w:r w:rsidRPr="00FC2F1F">
        <w:rPr>
          <w:snapToGrid/>
          <w:szCs w:val="22"/>
          <w:lang w:val="el-GR"/>
        </w:rPr>
        <w:t>Μπορεί να μη</w:t>
      </w:r>
      <w:r w:rsidR="00BC381B">
        <w:rPr>
          <w:snapToGrid/>
          <w:szCs w:val="22"/>
          <w:lang w:val="el-GR"/>
        </w:rPr>
        <w:t>ν</w:t>
      </w:r>
      <w:r w:rsidRPr="00FC2F1F">
        <w:rPr>
          <w:snapToGrid/>
          <w:szCs w:val="22"/>
          <w:lang w:val="el-GR"/>
        </w:rPr>
        <w:t xml:space="preserve"> κυκλοφορούν όλες οι συσκευασίες.</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b/>
          <w:noProof/>
          <w:szCs w:val="22"/>
          <w:lang w:val="el-GR"/>
        </w:rPr>
      </w:pPr>
      <w:r w:rsidRPr="00FC2F1F">
        <w:rPr>
          <w:b/>
          <w:noProof/>
          <w:szCs w:val="22"/>
          <w:lang w:val="el-GR"/>
        </w:rPr>
        <w:t xml:space="preserve">Κάτοχος </w:t>
      </w:r>
      <w:r w:rsidR="00460F60">
        <w:rPr>
          <w:b/>
          <w:noProof/>
          <w:szCs w:val="22"/>
          <w:lang w:val="el-GR"/>
        </w:rPr>
        <w:t>Ά</w:t>
      </w:r>
      <w:r w:rsidRPr="00FC2F1F">
        <w:rPr>
          <w:b/>
          <w:noProof/>
          <w:szCs w:val="22"/>
          <w:lang w:val="el-GR"/>
        </w:rPr>
        <w:t xml:space="preserve">δειας </w:t>
      </w:r>
      <w:r w:rsidR="00460F60">
        <w:rPr>
          <w:b/>
          <w:noProof/>
          <w:szCs w:val="22"/>
          <w:lang w:val="el-GR"/>
        </w:rPr>
        <w:t>Κ</w:t>
      </w:r>
      <w:r w:rsidRPr="00FC2F1F">
        <w:rPr>
          <w:b/>
          <w:noProof/>
          <w:szCs w:val="22"/>
          <w:lang w:val="el-GR"/>
        </w:rPr>
        <w:t>υκλοφορίας</w:t>
      </w:r>
    </w:p>
    <w:p w:rsidR="00681191" w:rsidRPr="00FC2F1F" w:rsidRDefault="00681191" w:rsidP="00681191">
      <w:pPr>
        <w:widowControl w:val="0"/>
        <w:spacing w:line="240" w:lineRule="auto"/>
        <w:jc w:val="both"/>
        <w:rPr>
          <w:szCs w:val="22"/>
          <w:lang w:val="el-GR"/>
        </w:rPr>
      </w:pPr>
      <w:r w:rsidRPr="00FC2F1F">
        <w:rPr>
          <w:szCs w:val="22"/>
          <w:lang w:val="el-GR"/>
        </w:rPr>
        <w:t>KRKA, d.d., Novo mesto, Šmarješka cesta 6, 8501 Novo mesto, Σλοβενία</w:t>
      </w:r>
    </w:p>
    <w:p w:rsidR="00681191" w:rsidRPr="00FC2F1F" w:rsidRDefault="00681191" w:rsidP="00681191">
      <w:pPr>
        <w:widowControl w:val="0"/>
        <w:spacing w:line="240" w:lineRule="auto"/>
        <w:rPr>
          <w:b/>
          <w:noProof/>
          <w:szCs w:val="22"/>
          <w:lang w:val="el-GR"/>
        </w:rPr>
      </w:pPr>
    </w:p>
    <w:p w:rsidR="00681191" w:rsidRPr="00FC2F1F" w:rsidRDefault="00681191" w:rsidP="00681191">
      <w:pPr>
        <w:widowControl w:val="0"/>
        <w:spacing w:line="240" w:lineRule="auto"/>
        <w:rPr>
          <w:noProof/>
          <w:szCs w:val="22"/>
          <w:lang w:val="el-GR"/>
        </w:rPr>
      </w:pPr>
      <w:r w:rsidRPr="00FC2F1F">
        <w:rPr>
          <w:b/>
          <w:noProof/>
          <w:szCs w:val="22"/>
          <w:lang w:val="el-GR"/>
        </w:rPr>
        <w:t>Παρα</w:t>
      </w:r>
      <w:r w:rsidR="00460F60">
        <w:rPr>
          <w:b/>
          <w:noProof/>
          <w:szCs w:val="22"/>
          <w:lang w:val="el-GR"/>
        </w:rPr>
        <w:t>σκευαστές</w:t>
      </w:r>
    </w:p>
    <w:p w:rsidR="00681191" w:rsidRPr="00FC2F1F" w:rsidRDefault="00681191" w:rsidP="00681191">
      <w:pPr>
        <w:widowControl w:val="0"/>
        <w:spacing w:line="240" w:lineRule="auto"/>
        <w:rPr>
          <w:szCs w:val="22"/>
          <w:lang w:val="el-GR"/>
        </w:rPr>
      </w:pPr>
      <w:r w:rsidRPr="00FC2F1F">
        <w:rPr>
          <w:szCs w:val="22"/>
          <w:lang w:val="el-GR"/>
        </w:rPr>
        <w:t>KRKA, d.d., Novo mesto, Šmarješka cesta 6, 8501 Novo mesto, Σλοβενία</w:t>
      </w:r>
    </w:p>
    <w:p w:rsidR="00681191" w:rsidRPr="00C403BB" w:rsidRDefault="00681191" w:rsidP="00681191">
      <w:pPr>
        <w:widowControl w:val="0"/>
        <w:overflowPunct w:val="0"/>
        <w:autoSpaceDE w:val="0"/>
        <w:autoSpaceDN w:val="0"/>
        <w:adjustRightInd w:val="0"/>
        <w:spacing w:line="240" w:lineRule="auto"/>
        <w:textAlignment w:val="baseline"/>
        <w:rPr>
          <w:szCs w:val="22"/>
          <w:lang w:val="sv-SE" w:eastAsia="cs-CZ"/>
        </w:rPr>
      </w:pPr>
      <w:r w:rsidRPr="00C403BB">
        <w:rPr>
          <w:szCs w:val="22"/>
          <w:highlight w:val="lightGray"/>
          <w:lang w:val="sv-SE" w:eastAsia="cs-CZ"/>
        </w:rPr>
        <w:t xml:space="preserve">KRKA-POLSKA Sp. z o.o., ul. Równoległa 5, 02-235 Warszawa, </w:t>
      </w:r>
      <w:r w:rsidRPr="00CA24A4">
        <w:rPr>
          <w:szCs w:val="22"/>
          <w:highlight w:val="lightGray"/>
          <w:lang w:val="el-GR" w:eastAsia="cs-CZ"/>
        </w:rPr>
        <w:t>Πολωνία</w:t>
      </w:r>
    </w:p>
    <w:p w:rsidR="00681191" w:rsidRPr="00C403BB" w:rsidRDefault="00681191" w:rsidP="00681191">
      <w:pPr>
        <w:widowControl w:val="0"/>
        <w:numPr>
          <w:ilvl w:val="12"/>
          <w:numId w:val="0"/>
        </w:numPr>
        <w:tabs>
          <w:tab w:val="clear" w:pos="567"/>
        </w:tabs>
        <w:spacing w:line="240" w:lineRule="auto"/>
        <w:ind w:right="-2"/>
        <w:rPr>
          <w:szCs w:val="22"/>
          <w:lang w:val="sv-SE"/>
        </w:rPr>
      </w:pPr>
      <w:r w:rsidRPr="00C403BB">
        <w:rPr>
          <w:szCs w:val="22"/>
          <w:highlight w:val="lightGray"/>
          <w:lang w:val="sv-SE"/>
        </w:rPr>
        <w:t xml:space="preserve">TAD Pharma GmbH, Heinz-Lohmann-Straße 5, 27472 Cuxhaven, </w:t>
      </w:r>
      <w:r w:rsidRPr="00CA24A4">
        <w:rPr>
          <w:szCs w:val="22"/>
          <w:highlight w:val="lightGray"/>
          <w:lang w:val="el-GR"/>
        </w:rPr>
        <w:t>Γερμανία</w:t>
      </w:r>
    </w:p>
    <w:p w:rsidR="00681191" w:rsidRPr="00C403BB" w:rsidRDefault="00681191" w:rsidP="00CA24A4">
      <w:pPr>
        <w:widowControl w:val="0"/>
        <w:spacing w:line="240" w:lineRule="auto"/>
        <w:ind w:firstLine="720"/>
        <w:rPr>
          <w:noProof/>
          <w:szCs w:val="22"/>
          <w:lang w:val="sv-SE"/>
        </w:rPr>
      </w:pPr>
    </w:p>
    <w:p w:rsidR="00681191" w:rsidRPr="00CA24A4" w:rsidRDefault="00681191" w:rsidP="00681191">
      <w:pPr>
        <w:widowControl w:val="0"/>
        <w:spacing w:line="240" w:lineRule="auto"/>
        <w:rPr>
          <w:noProof/>
          <w:szCs w:val="22"/>
          <w:lang w:val="el-GR"/>
        </w:rPr>
      </w:pPr>
      <w:r w:rsidRPr="00CA24A4">
        <w:rPr>
          <w:noProof/>
          <w:szCs w:val="22"/>
          <w:lang w:val="el-GR"/>
        </w:rPr>
        <w:t xml:space="preserve">Για οποιαδήποτε πληροφορία σχετικά με το παρόν φαρμακευτικό προϊόν, παρακαλείσθε να απευθυνθείτε στον τοπικό αντιπρόσωπο του </w:t>
      </w:r>
      <w:r w:rsidR="00460F60">
        <w:rPr>
          <w:noProof/>
          <w:szCs w:val="22"/>
          <w:lang w:val="el-GR"/>
        </w:rPr>
        <w:t>Κ</w:t>
      </w:r>
      <w:r w:rsidRPr="00CA24A4">
        <w:rPr>
          <w:noProof/>
          <w:szCs w:val="22"/>
          <w:lang w:val="el-GR"/>
        </w:rPr>
        <w:t xml:space="preserve">ατόχου της </w:t>
      </w:r>
      <w:r w:rsidR="00460F60">
        <w:rPr>
          <w:noProof/>
          <w:szCs w:val="22"/>
          <w:lang w:val="el-GR"/>
        </w:rPr>
        <w:t>Ά</w:t>
      </w:r>
      <w:r w:rsidRPr="00CA24A4">
        <w:rPr>
          <w:noProof/>
          <w:szCs w:val="22"/>
          <w:lang w:val="el-GR"/>
        </w:rPr>
        <w:t xml:space="preserve">δειας </w:t>
      </w:r>
      <w:r w:rsidR="00460F60">
        <w:rPr>
          <w:noProof/>
          <w:szCs w:val="22"/>
          <w:lang w:val="el-GR"/>
        </w:rPr>
        <w:t>Κ</w:t>
      </w:r>
      <w:r w:rsidRPr="00CA24A4">
        <w:rPr>
          <w:noProof/>
          <w:szCs w:val="22"/>
          <w:lang w:val="el-GR"/>
        </w:rPr>
        <w:t>υκλοφορίας:</w:t>
      </w:r>
    </w:p>
    <w:p w:rsidR="00F2795F" w:rsidRPr="00B754A1" w:rsidRDefault="00F2795F" w:rsidP="00F2795F">
      <w:pPr>
        <w:widowControl w:val="0"/>
        <w:spacing w:line="240" w:lineRule="auto"/>
        <w:rPr>
          <w:noProof/>
          <w:snapToGrid/>
          <w:szCs w:val="22"/>
          <w:highlight w:val="yellow"/>
          <w:lang w:val="el-GR"/>
        </w:rPr>
      </w:pPr>
    </w:p>
    <w:tbl>
      <w:tblPr>
        <w:tblW w:w="9360" w:type="dxa"/>
        <w:tblInd w:w="-34" w:type="dxa"/>
        <w:tblLayout w:type="fixed"/>
        <w:tblLook w:val="04A0" w:firstRow="1" w:lastRow="0" w:firstColumn="1" w:lastColumn="0" w:noHBand="0" w:noVBand="1"/>
      </w:tblPr>
      <w:tblGrid>
        <w:gridCol w:w="4680"/>
        <w:gridCol w:w="4680"/>
      </w:tblGrid>
      <w:tr w:rsidR="00AF7B74" w:rsidRPr="00321FCD" w:rsidTr="00414BBD">
        <w:tc>
          <w:tcPr>
            <w:tcW w:w="4680" w:type="dxa"/>
          </w:tcPr>
          <w:p w:rsidR="00AF7B74" w:rsidRPr="00F24164" w:rsidRDefault="00AF7B74" w:rsidP="00414BBD">
            <w:pPr>
              <w:rPr>
                <w:b/>
                <w:noProof/>
                <w:lang w:val="pt-PT"/>
              </w:rPr>
            </w:pPr>
            <w:r w:rsidRPr="00F24164">
              <w:rPr>
                <w:b/>
                <w:noProof/>
                <w:lang w:val="pt-PT"/>
              </w:rPr>
              <w:t>België/Belgique/Belgien</w:t>
            </w:r>
          </w:p>
          <w:p w:rsidR="00AF7B74" w:rsidRPr="00F24164" w:rsidRDefault="00AF7B74" w:rsidP="00414BBD">
            <w:pPr>
              <w:spacing w:line="240" w:lineRule="auto"/>
              <w:rPr>
                <w:b/>
                <w:noProof/>
                <w:lang w:val="fr-FR" w:eastAsia="sl-SI"/>
              </w:rPr>
            </w:pPr>
            <w:r w:rsidRPr="00F24164">
              <w:rPr>
                <w:lang w:val="fr-FR" w:eastAsia="sl-SI"/>
              </w:rPr>
              <w:t>KRKA Belgium, SA.</w:t>
            </w:r>
          </w:p>
          <w:p w:rsidR="00AF7B74" w:rsidRPr="006373B5" w:rsidRDefault="00AF7B74" w:rsidP="00414BBD">
            <w:pPr>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AF7B74">
              <w:rPr>
                <w:lang w:val="de-DE" w:eastAsia="sl-SI"/>
              </w:rPr>
              <w:t>487 50 73 62</w:t>
            </w:r>
          </w:p>
          <w:p w:rsidR="00AF7B74" w:rsidRPr="006373B5" w:rsidRDefault="00AF7B74" w:rsidP="00414BBD">
            <w:pPr>
              <w:widowControl w:val="0"/>
              <w:spacing w:line="240" w:lineRule="auto"/>
              <w:rPr>
                <w:noProof/>
                <w:lang w:eastAsia="sl-SI"/>
              </w:rPr>
            </w:pPr>
          </w:p>
        </w:tc>
        <w:tc>
          <w:tcPr>
            <w:tcW w:w="4680" w:type="dxa"/>
          </w:tcPr>
          <w:p w:rsidR="00AF7B74" w:rsidRPr="006373B5" w:rsidRDefault="00AF7B74" w:rsidP="00414BBD">
            <w:pPr>
              <w:widowControl w:val="0"/>
              <w:spacing w:line="240" w:lineRule="auto"/>
              <w:rPr>
                <w:b/>
                <w:noProof/>
                <w:lang w:eastAsia="sl-SI"/>
              </w:rPr>
            </w:pPr>
            <w:r w:rsidRPr="006373B5">
              <w:rPr>
                <w:b/>
                <w:noProof/>
                <w:lang w:eastAsia="sl-SI"/>
              </w:rPr>
              <w:t>Lietuva</w:t>
            </w:r>
          </w:p>
          <w:p w:rsidR="00AF7B74" w:rsidRPr="006373B5" w:rsidRDefault="00AF7B74" w:rsidP="00414BBD">
            <w:pPr>
              <w:widowControl w:val="0"/>
              <w:spacing w:line="240" w:lineRule="auto"/>
              <w:rPr>
                <w:lang w:eastAsia="sl-SI"/>
              </w:rPr>
            </w:pPr>
            <w:r w:rsidRPr="006373B5">
              <w:rPr>
                <w:lang w:eastAsia="sl-SI"/>
              </w:rPr>
              <w:t>UAB KRKA Lietuva</w:t>
            </w:r>
          </w:p>
          <w:p w:rsidR="00AF7B74" w:rsidRPr="006373B5" w:rsidRDefault="00AF7B74" w:rsidP="00414BBD">
            <w:pPr>
              <w:widowControl w:val="0"/>
              <w:numPr>
                <w:ilvl w:val="12"/>
                <w:numId w:val="0"/>
              </w:numPr>
              <w:spacing w:line="240" w:lineRule="auto"/>
              <w:ind w:right="-2"/>
              <w:rPr>
                <w:noProof/>
                <w:lang w:eastAsia="sl-SI"/>
              </w:rPr>
            </w:pPr>
            <w:r w:rsidRPr="006373B5">
              <w:rPr>
                <w:noProof/>
                <w:lang w:eastAsia="sl-SI"/>
              </w:rPr>
              <w:t>Tel: + 370 5 236 27 40</w:t>
            </w:r>
          </w:p>
          <w:p w:rsidR="00AF7B74" w:rsidRPr="006373B5" w:rsidRDefault="00AF7B74" w:rsidP="00414BBD">
            <w:pPr>
              <w:widowControl w:val="0"/>
              <w:numPr>
                <w:ilvl w:val="12"/>
                <w:numId w:val="0"/>
              </w:numPr>
              <w:spacing w:line="240" w:lineRule="auto"/>
              <w:ind w:right="-2"/>
              <w:rPr>
                <w:noProof/>
                <w:lang w:eastAsia="sl-SI"/>
              </w:rPr>
            </w:pPr>
          </w:p>
        </w:tc>
      </w:tr>
      <w:tr w:rsidR="00AF7B74" w:rsidRPr="00321FCD" w:rsidTr="00414BBD">
        <w:tc>
          <w:tcPr>
            <w:tcW w:w="4680" w:type="dxa"/>
          </w:tcPr>
          <w:p w:rsidR="00AF7B74" w:rsidRPr="006373B5" w:rsidRDefault="00AF7B74" w:rsidP="00414BBD">
            <w:pPr>
              <w:rPr>
                <w:b/>
                <w:noProof/>
                <w:lang w:val="ru-RU"/>
              </w:rPr>
            </w:pPr>
            <w:r w:rsidRPr="006373B5">
              <w:rPr>
                <w:b/>
                <w:noProof/>
                <w:lang w:val="ru-RU"/>
              </w:rPr>
              <w:t>България</w:t>
            </w:r>
          </w:p>
          <w:p w:rsidR="00AF7B74" w:rsidRPr="006373B5" w:rsidRDefault="00AF7B74" w:rsidP="00414BBD">
            <w:pPr>
              <w:rPr>
                <w:b/>
                <w:noProof/>
                <w:lang w:val="ru-RU"/>
              </w:rPr>
            </w:pPr>
            <w:r w:rsidRPr="006373B5">
              <w:rPr>
                <w:color w:val="000000"/>
                <w:lang w:eastAsia="sl-SI"/>
              </w:rPr>
              <w:t>КРКА</w:t>
            </w:r>
            <w:r w:rsidRPr="006373B5">
              <w:rPr>
                <w:color w:val="000000"/>
                <w:lang w:val="fi-FI" w:eastAsia="sl-SI"/>
              </w:rPr>
              <w:t xml:space="preserve"> </w:t>
            </w:r>
            <w:r w:rsidRPr="006373B5">
              <w:rPr>
                <w:color w:val="000000"/>
                <w:lang w:eastAsia="sl-SI"/>
              </w:rPr>
              <w:t>България</w:t>
            </w:r>
            <w:r w:rsidRPr="006373B5">
              <w:rPr>
                <w:color w:val="000000"/>
                <w:lang w:val="fi-FI" w:eastAsia="sl-SI"/>
              </w:rPr>
              <w:t xml:space="preserve"> </w:t>
            </w:r>
            <w:r w:rsidRPr="006373B5">
              <w:rPr>
                <w:color w:val="000000"/>
                <w:lang w:eastAsia="sl-SI"/>
              </w:rPr>
              <w:t>ЕООД</w:t>
            </w:r>
          </w:p>
          <w:p w:rsidR="00AF7B74" w:rsidRPr="006373B5" w:rsidRDefault="00AF7B74" w:rsidP="00414BBD">
            <w:pPr>
              <w:rPr>
                <w:b/>
                <w:noProof/>
              </w:rPr>
            </w:pPr>
            <w:r w:rsidRPr="006373B5">
              <w:rPr>
                <w:noProof/>
              </w:rPr>
              <w:t>Teл.:</w:t>
            </w:r>
            <w:r w:rsidRPr="006373B5">
              <w:rPr>
                <w:b/>
                <w:noProof/>
              </w:rPr>
              <w:t xml:space="preserve"> + </w:t>
            </w:r>
            <w:r w:rsidRPr="006373B5">
              <w:t>359 (02)</w:t>
            </w:r>
            <w:r w:rsidRPr="006373B5">
              <w:rPr>
                <w:b/>
              </w:rPr>
              <w:t xml:space="preserve"> </w:t>
            </w:r>
            <w:r w:rsidRPr="006373B5">
              <w:t>962 34 50</w:t>
            </w:r>
          </w:p>
          <w:p w:rsidR="00AF7B74" w:rsidRPr="006373B5" w:rsidRDefault="00AF7B74" w:rsidP="00414BBD">
            <w:pPr>
              <w:widowControl w:val="0"/>
              <w:spacing w:line="240" w:lineRule="auto"/>
              <w:rPr>
                <w:noProof/>
                <w:lang w:eastAsia="sl-SI"/>
              </w:rPr>
            </w:pPr>
          </w:p>
        </w:tc>
        <w:tc>
          <w:tcPr>
            <w:tcW w:w="4680" w:type="dxa"/>
          </w:tcPr>
          <w:p w:rsidR="00AF7B74" w:rsidRPr="006373B5" w:rsidRDefault="00AF7B74" w:rsidP="00414BBD">
            <w:pPr>
              <w:numPr>
                <w:ilvl w:val="12"/>
                <w:numId w:val="0"/>
              </w:numPr>
              <w:ind w:right="-2"/>
              <w:rPr>
                <w:b/>
                <w:noProof/>
                <w:lang w:val="pt-PT"/>
              </w:rPr>
            </w:pPr>
            <w:r w:rsidRPr="006373B5">
              <w:rPr>
                <w:b/>
                <w:noProof/>
                <w:lang w:val="pt-PT"/>
              </w:rPr>
              <w:t>Luxembourg/Luxemburg</w:t>
            </w:r>
          </w:p>
          <w:p w:rsidR="00BC3E24" w:rsidRDefault="00AF7B74" w:rsidP="00BC3E24">
            <w:pPr>
              <w:widowControl w:val="0"/>
              <w:numPr>
                <w:ilvl w:val="12"/>
                <w:numId w:val="0"/>
              </w:numPr>
              <w:spacing w:line="240" w:lineRule="auto"/>
              <w:ind w:right="-2"/>
              <w:rPr>
                <w:lang w:val="de-DE"/>
              </w:rPr>
            </w:pPr>
            <w:r w:rsidRPr="006373B5">
              <w:rPr>
                <w:lang w:val="de-DE"/>
              </w:rPr>
              <w:t>KRKA Belgium, SA.</w:t>
            </w:r>
          </w:p>
          <w:p w:rsidR="00AF7B74" w:rsidRPr="006373B5" w:rsidRDefault="00AF7B74" w:rsidP="00BC3E24">
            <w:pPr>
              <w:widowControl w:val="0"/>
              <w:numPr>
                <w:ilvl w:val="12"/>
                <w:numId w:val="0"/>
              </w:numPr>
              <w:spacing w:line="240" w:lineRule="auto"/>
              <w:ind w:right="-2"/>
              <w:rPr>
                <w:noProof/>
                <w:lang w:eastAsia="sl-SI"/>
              </w:rPr>
            </w:pPr>
            <w:r w:rsidRPr="006373B5">
              <w:rPr>
                <w:noProof/>
                <w:lang w:val="pt-PT"/>
              </w:rPr>
              <w:t>Tél/Tel:</w:t>
            </w:r>
            <w:r w:rsidRPr="006373B5">
              <w:rPr>
                <w:b/>
                <w:noProof/>
                <w:lang w:val="pt-PT"/>
              </w:rPr>
              <w:t xml:space="preserve"> </w:t>
            </w:r>
            <w:r w:rsidRPr="006373B5">
              <w:rPr>
                <w:noProof/>
                <w:lang w:val="fr-FR" w:eastAsia="sl-SI"/>
              </w:rPr>
              <w:t xml:space="preserve">+32 (0) </w:t>
            </w:r>
            <w:r w:rsidRPr="006373B5">
              <w:rPr>
                <w:lang w:val="de-DE" w:eastAsia="sl-SI"/>
              </w:rPr>
              <w:t>487 50 73 62</w:t>
            </w:r>
            <w:r w:rsidRPr="006373B5">
              <w:rPr>
                <w:noProof/>
                <w:lang w:val="fr-FR" w:eastAsia="sl-SI"/>
              </w:rPr>
              <w:t xml:space="preserve"> (BE)</w:t>
            </w:r>
          </w:p>
        </w:tc>
      </w:tr>
      <w:tr w:rsidR="00AF7B74" w:rsidRPr="00321FCD" w:rsidTr="00414BBD">
        <w:trPr>
          <w:trHeight w:val="986"/>
        </w:trPr>
        <w:tc>
          <w:tcPr>
            <w:tcW w:w="4680" w:type="dxa"/>
          </w:tcPr>
          <w:p w:rsidR="00AF7B74" w:rsidRPr="00C403BB" w:rsidRDefault="00AF7B74" w:rsidP="00414BBD">
            <w:pPr>
              <w:widowControl w:val="0"/>
              <w:spacing w:line="240" w:lineRule="auto"/>
              <w:rPr>
                <w:b/>
                <w:noProof/>
                <w:lang w:val="sv-SE" w:eastAsia="sl-SI"/>
              </w:rPr>
            </w:pPr>
            <w:r w:rsidRPr="00C403BB">
              <w:rPr>
                <w:b/>
                <w:noProof/>
                <w:lang w:val="sv-SE" w:eastAsia="sl-SI"/>
              </w:rPr>
              <w:t>Česká republika</w:t>
            </w:r>
          </w:p>
          <w:p w:rsidR="00AF7B74" w:rsidRPr="00C403BB" w:rsidRDefault="00AF7B74" w:rsidP="00414BBD">
            <w:pPr>
              <w:widowControl w:val="0"/>
              <w:spacing w:line="240" w:lineRule="auto"/>
              <w:rPr>
                <w:noProof/>
                <w:lang w:val="sv-SE" w:eastAsia="sl-SI"/>
              </w:rPr>
            </w:pPr>
            <w:r w:rsidRPr="00C403BB">
              <w:rPr>
                <w:color w:val="000000"/>
                <w:lang w:val="sv-SE" w:eastAsia="sl-SI"/>
              </w:rPr>
              <w:t>KRKA ČR, s.r.o.</w:t>
            </w:r>
          </w:p>
          <w:p w:rsidR="00AF7B74" w:rsidRPr="00321FCD" w:rsidRDefault="00AF7B74" w:rsidP="00414BBD">
            <w:pPr>
              <w:widowControl w:val="0"/>
              <w:spacing w:line="240" w:lineRule="auto"/>
              <w:rPr>
                <w:noProof/>
                <w:lang w:eastAsia="sl-SI"/>
              </w:rPr>
            </w:pPr>
            <w:r w:rsidRPr="00321FCD">
              <w:rPr>
                <w:noProof/>
                <w:lang w:eastAsia="sl-SI"/>
              </w:rPr>
              <w:t>Tel: + 420 (0) 221 115 150</w:t>
            </w:r>
          </w:p>
          <w:p w:rsidR="00AF7B74" w:rsidRPr="00321FCD" w:rsidRDefault="00AF7B74" w:rsidP="00414BBD">
            <w:pPr>
              <w:widowControl w:val="0"/>
              <w:spacing w:line="240" w:lineRule="auto"/>
              <w:rPr>
                <w:noProof/>
                <w:lang w:eastAsia="sl-SI"/>
              </w:rPr>
            </w:pPr>
          </w:p>
        </w:tc>
        <w:tc>
          <w:tcPr>
            <w:tcW w:w="4680" w:type="dxa"/>
          </w:tcPr>
          <w:p w:rsidR="00AF7B74" w:rsidRPr="00321FCD" w:rsidRDefault="00AF7B74" w:rsidP="00414BBD">
            <w:pPr>
              <w:widowControl w:val="0"/>
              <w:numPr>
                <w:ilvl w:val="12"/>
                <w:numId w:val="0"/>
              </w:numPr>
              <w:spacing w:line="240" w:lineRule="auto"/>
              <w:ind w:right="-2"/>
              <w:rPr>
                <w:b/>
                <w:noProof/>
                <w:lang w:eastAsia="sl-SI"/>
              </w:rPr>
            </w:pPr>
            <w:r w:rsidRPr="00321FCD">
              <w:rPr>
                <w:b/>
                <w:noProof/>
                <w:lang w:eastAsia="sl-SI"/>
              </w:rPr>
              <w:t>Magyarország</w:t>
            </w:r>
          </w:p>
          <w:p w:rsidR="00AF7B74" w:rsidRPr="00321FCD" w:rsidRDefault="00AF7B74" w:rsidP="00414BBD">
            <w:pPr>
              <w:widowControl w:val="0"/>
              <w:numPr>
                <w:ilvl w:val="12"/>
                <w:numId w:val="0"/>
              </w:numPr>
              <w:spacing w:line="240" w:lineRule="auto"/>
              <w:ind w:right="-2"/>
              <w:rPr>
                <w:noProof/>
                <w:lang w:eastAsia="sl-SI"/>
              </w:rPr>
            </w:pPr>
            <w:r w:rsidRPr="00321FCD">
              <w:rPr>
                <w:lang w:eastAsia="sl-SI"/>
              </w:rPr>
              <w:t xml:space="preserve">KRKA </w:t>
            </w:r>
            <w:r w:rsidRPr="00321FCD">
              <w:rPr>
                <w:noProof/>
                <w:color w:val="000000"/>
                <w:lang w:eastAsia="sl-SI"/>
              </w:rPr>
              <w:t>Magyarország Kereskedelmi Kft.</w:t>
            </w:r>
          </w:p>
          <w:p w:rsidR="00AF7B74" w:rsidRPr="00321FCD" w:rsidRDefault="00AF7B74" w:rsidP="00414BBD">
            <w:pPr>
              <w:widowControl w:val="0"/>
              <w:numPr>
                <w:ilvl w:val="12"/>
                <w:numId w:val="0"/>
              </w:numPr>
              <w:spacing w:line="240" w:lineRule="auto"/>
              <w:ind w:right="-2"/>
              <w:rPr>
                <w:iCs/>
                <w:lang w:eastAsia="sl-SI"/>
              </w:rPr>
            </w:pPr>
            <w:r w:rsidRPr="00321FCD">
              <w:rPr>
                <w:noProof/>
                <w:lang w:eastAsia="sl-SI"/>
              </w:rPr>
              <w:t xml:space="preserve">Tel.: + </w:t>
            </w:r>
            <w:r w:rsidRPr="00321FCD">
              <w:rPr>
                <w:iCs/>
                <w:lang w:eastAsia="sl-SI"/>
              </w:rPr>
              <w:t>36</w:t>
            </w:r>
            <w:r w:rsidR="006D4FF7">
              <w:rPr>
                <w:iCs/>
                <w:lang w:val="el-GR" w:eastAsia="sl-SI"/>
              </w:rPr>
              <w:t xml:space="preserve"> (</w:t>
            </w:r>
            <w:r w:rsidRPr="00321FCD">
              <w:rPr>
                <w:iCs/>
                <w:lang w:eastAsia="sl-SI"/>
              </w:rPr>
              <w:t>1</w:t>
            </w:r>
            <w:r w:rsidR="006D4FF7">
              <w:rPr>
                <w:iCs/>
                <w:lang w:val="el-GR" w:eastAsia="sl-SI"/>
              </w:rPr>
              <w:t>)</w:t>
            </w:r>
            <w:r w:rsidRPr="00321FCD">
              <w:rPr>
                <w:iCs/>
                <w:lang w:eastAsia="sl-SI"/>
              </w:rPr>
              <w:t xml:space="preserve"> 355 8490</w:t>
            </w:r>
          </w:p>
          <w:p w:rsidR="00AF7B74" w:rsidRPr="00321FCD" w:rsidRDefault="00AF7B74" w:rsidP="00414BBD">
            <w:pPr>
              <w:widowControl w:val="0"/>
              <w:numPr>
                <w:ilvl w:val="12"/>
                <w:numId w:val="0"/>
              </w:numPr>
              <w:spacing w:line="240" w:lineRule="auto"/>
              <w:ind w:right="-2"/>
              <w:rPr>
                <w:noProof/>
                <w:lang w:eastAsia="sl-SI"/>
              </w:rPr>
            </w:pPr>
          </w:p>
        </w:tc>
      </w:tr>
      <w:tr w:rsidR="00AF7B74" w:rsidRPr="00C403BB" w:rsidTr="00414BBD">
        <w:tc>
          <w:tcPr>
            <w:tcW w:w="4680" w:type="dxa"/>
          </w:tcPr>
          <w:p w:rsidR="00AF7B74" w:rsidRPr="00C403BB" w:rsidRDefault="00AF7B74" w:rsidP="00414BBD">
            <w:pPr>
              <w:widowControl w:val="0"/>
              <w:spacing w:line="240" w:lineRule="auto"/>
              <w:rPr>
                <w:b/>
                <w:noProof/>
                <w:lang w:val="sv-SE" w:eastAsia="sl-SI"/>
              </w:rPr>
            </w:pPr>
            <w:r w:rsidRPr="00C403BB">
              <w:rPr>
                <w:b/>
                <w:noProof/>
                <w:lang w:val="sv-SE" w:eastAsia="sl-SI"/>
              </w:rPr>
              <w:t>Danmark</w:t>
            </w:r>
          </w:p>
          <w:p w:rsidR="00AF7B74" w:rsidRPr="00C403BB" w:rsidRDefault="00AF7B74" w:rsidP="00414BBD">
            <w:pPr>
              <w:widowControl w:val="0"/>
              <w:spacing w:line="240" w:lineRule="auto"/>
              <w:rPr>
                <w:noProof/>
                <w:lang w:val="sv-SE" w:eastAsia="sl-SI"/>
              </w:rPr>
            </w:pPr>
            <w:r w:rsidRPr="00C403BB">
              <w:rPr>
                <w:noProof/>
                <w:lang w:val="sv-SE" w:eastAsia="sl-SI"/>
              </w:rPr>
              <w:t>KRKA Sverige AB</w:t>
            </w:r>
          </w:p>
          <w:p w:rsidR="00AF7B74" w:rsidRPr="00C403BB" w:rsidRDefault="00AF7B74" w:rsidP="00414BBD">
            <w:pPr>
              <w:widowControl w:val="0"/>
              <w:spacing w:line="240" w:lineRule="auto"/>
              <w:rPr>
                <w:noProof/>
                <w:lang w:val="sv-SE" w:eastAsia="sl-SI"/>
              </w:rPr>
            </w:pPr>
            <w:r w:rsidRPr="00C403BB">
              <w:rPr>
                <w:noProof/>
                <w:lang w:val="sv-SE" w:eastAsia="sl-SI"/>
              </w:rPr>
              <w:t>Tlf: + 46 (0)</w:t>
            </w:r>
            <w:r w:rsidRPr="00C403BB">
              <w:rPr>
                <w:lang w:val="sv-SE" w:eastAsia="sl-SI"/>
              </w:rPr>
              <w:t>8 643 67 66 (SE)</w:t>
            </w:r>
          </w:p>
          <w:p w:rsidR="00AF7B74" w:rsidRPr="00C403BB" w:rsidRDefault="00AF7B74" w:rsidP="00414BBD">
            <w:pPr>
              <w:widowControl w:val="0"/>
              <w:spacing w:line="240" w:lineRule="auto"/>
              <w:rPr>
                <w:noProof/>
                <w:lang w:val="sv-SE" w:eastAsia="sl-SI"/>
              </w:rPr>
            </w:pPr>
          </w:p>
        </w:tc>
        <w:tc>
          <w:tcPr>
            <w:tcW w:w="4680" w:type="dxa"/>
          </w:tcPr>
          <w:p w:rsidR="00AF7B74" w:rsidRPr="00C403BB" w:rsidRDefault="00AF7B74" w:rsidP="00414BBD">
            <w:pPr>
              <w:widowControl w:val="0"/>
              <w:numPr>
                <w:ilvl w:val="12"/>
                <w:numId w:val="0"/>
              </w:numPr>
              <w:spacing w:line="240" w:lineRule="auto"/>
              <w:ind w:right="-2"/>
              <w:rPr>
                <w:b/>
                <w:noProof/>
                <w:lang w:val="sv-SE" w:eastAsia="sl-SI"/>
              </w:rPr>
            </w:pPr>
            <w:r w:rsidRPr="00C403BB">
              <w:rPr>
                <w:b/>
                <w:noProof/>
                <w:lang w:val="sv-SE" w:eastAsia="sl-SI"/>
              </w:rPr>
              <w:t>Malta</w:t>
            </w:r>
          </w:p>
          <w:p w:rsidR="00AF7B74" w:rsidRPr="00C403BB" w:rsidRDefault="00AF7B74" w:rsidP="00414BBD">
            <w:pPr>
              <w:widowControl w:val="0"/>
              <w:numPr>
                <w:ilvl w:val="12"/>
                <w:numId w:val="0"/>
              </w:numPr>
              <w:spacing w:line="240" w:lineRule="auto"/>
              <w:ind w:right="-2"/>
              <w:rPr>
                <w:lang w:val="sv-SE" w:eastAsia="sl-SI"/>
              </w:rPr>
            </w:pPr>
            <w:r w:rsidRPr="00C403BB">
              <w:rPr>
                <w:bCs/>
                <w:lang w:val="sv-SE" w:eastAsia="sl-SI"/>
              </w:rPr>
              <w:t>E. J. Busuttil Ltd.</w:t>
            </w:r>
          </w:p>
          <w:p w:rsidR="00AF7B74" w:rsidRPr="00C403BB" w:rsidRDefault="00AF7B74" w:rsidP="00414BBD">
            <w:pPr>
              <w:widowControl w:val="0"/>
              <w:numPr>
                <w:ilvl w:val="12"/>
                <w:numId w:val="0"/>
              </w:numPr>
              <w:spacing w:line="240" w:lineRule="auto"/>
              <w:ind w:right="-2"/>
              <w:rPr>
                <w:lang w:val="sv-SE" w:eastAsia="sl-SI"/>
              </w:rPr>
            </w:pPr>
            <w:r w:rsidRPr="00C403BB">
              <w:rPr>
                <w:lang w:val="sv-SE" w:eastAsia="sl-SI"/>
              </w:rPr>
              <w:t>Tel: + 356 21 445 885</w:t>
            </w:r>
          </w:p>
          <w:p w:rsidR="00AF7B74" w:rsidRPr="00C403BB" w:rsidRDefault="00AF7B74" w:rsidP="00414BBD">
            <w:pPr>
              <w:widowControl w:val="0"/>
              <w:numPr>
                <w:ilvl w:val="12"/>
                <w:numId w:val="0"/>
              </w:numPr>
              <w:spacing w:line="240" w:lineRule="auto"/>
              <w:ind w:right="-2"/>
              <w:rPr>
                <w:noProof/>
                <w:lang w:val="sv-SE" w:eastAsia="sl-SI"/>
              </w:rPr>
            </w:pPr>
          </w:p>
        </w:tc>
      </w:tr>
      <w:tr w:rsidR="00AF7B74" w:rsidRPr="00C403BB" w:rsidTr="00414BBD">
        <w:tc>
          <w:tcPr>
            <w:tcW w:w="4680" w:type="dxa"/>
          </w:tcPr>
          <w:p w:rsidR="00AF7B74" w:rsidRPr="00C403BB" w:rsidRDefault="00AF7B74" w:rsidP="00414BBD">
            <w:pPr>
              <w:widowControl w:val="0"/>
              <w:spacing w:line="240" w:lineRule="auto"/>
              <w:rPr>
                <w:b/>
                <w:noProof/>
                <w:lang w:val="de-DE" w:eastAsia="sl-SI"/>
              </w:rPr>
            </w:pPr>
            <w:r w:rsidRPr="00C403BB">
              <w:rPr>
                <w:b/>
                <w:noProof/>
                <w:lang w:val="de-DE" w:eastAsia="sl-SI"/>
              </w:rPr>
              <w:t>Deutschland</w:t>
            </w:r>
          </w:p>
          <w:p w:rsidR="00AF7B74" w:rsidRPr="00C403BB" w:rsidRDefault="00AF7B74" w:rsidP="00414BBD">
            <w:pPr>
              <w:widowControl w:val="0"/>
              <w:spacing w:line="240" w:lineRule="auto"/>
              <w:rPr>
                <w:noProof/>
                <w:lang w:val="de-DE" w:eastAsia="sl-SI"/>
              </w:rPr>
            </w:pPr>
            <w:r w:rsidRPr="00C403BB">
              <w:rPr>
                <w:lang w:val="de-DE" w:eastAsia="sl-SI"/>
              </w:rPr>
              <w:t>TAD Pharma GmbH</w:t>
            </w:r>
          </w:p>
          <w:p w:rsidR="00AF7B74" w:rsidRPr="00C403BB" w:rsidRDefault="00AF7B74" w:rsidP="00414BBD">
            <w:pPr>
              <w:widowControl w:val="0"/>
              <w:spacing w:line="240" w:lineRule="auto"/>
              <w:rPr>
                <w:noProof/>
                <w:lang w:val="de-DE" w:eastAsia="sl-SI"/>
              </w:rPr>
            </w:pPr>
            <w:r w:rsidRPr="00C403BB">
              <w:rPr>
                <w:noProof/>
                <w:lang w:val="de-DE" w:eastAsia="sl-SI"/>
              </w:rPr>
              <w:t xml:space="preserve">Tel: + </w:t>
            </w:r>
            <w:r w:rsidRPr="00C403BB">
              <w:rPr>
                <w:iCs/>
                <w:lang w:val="de-DE" w:eastAsia="sl-SI"/>
              </w:rPr>
              <w:t>49 (0) 4721 606-0</w:t>
            </w:r>
          </w:p>
          <w:p w:rsidR="00AF7B74" w:rsidRPr="00C403BB" w:rsidRDefault="00AF7B74" w:rsidP="00414BBD">
            <w:pPr>
              <w:widowControl w:val="0"/>
              <w:spacing w:line="240" w:lineRule="auto"/>
              <w:rPr>
                <w:noProof/>
                <w:lang w:val="de-DE" w:eastAsia="sl-SI"/>
              </w:rPr>
            </w:pPr>
          </w:p>
        </w:tc>
        <w:tc>
          <w:tcPr>
            <w:tcW w:w="4680" w:type="dxa"/>
          </w:tcPr>
          <w:p w:rsidR="00AF7B74" w:rsidRPr="00321FCD" w:rsidRDefault="00AF7B74" w:rsidP="00414BBD">
            <w:pPr>
              <w:numPr>
                <w:ilvl w:val="12"/>
                <w:numId w:val="0"/>
              </w:numPr>
              <w:ind w:right="-2"/>
              <w:rPr>
                <w:b/>
                <w:noProof/>
                <w:lang w:val="pt-PT"/>
              </w:rPr>
            </w:pPr>
            <w:r w:rsidRPr="00321FCD">
              <w:rPr>
                <w:b/>
                <w:noProof/>
                <w:lang w:val="pt-PT"/>
              </w:rPr>
              <w:t>Nederland</w:t>
            </w:r>
          </w:p>
          <w:p w:rsidR="00AF7B74" w:rsidRPr="00C403BB" w:rsidRDefault="00AF7B74" w:rsidP="00414BBD">
            <w:pPr>
              <w:numPr>
                <w:ilvl w:val="12"/>
                <w:numId w:val="0"/>
              </w:numPr>
              <w:spacing w:line="240" w:lineRule="auto"/>
              <w:ind w:right="-2"/>
              <w:rPr>
                <w:b/>
                <w:noProof/>
                <w:lang w:val="sv-SE" w:eastAsia="sl-SI"/>
              </w:rPr>
            </w:pPr>
            <w:r w:rsidRPr="00C403BB">
              <w:rPr>
                <w:lang w:val="sv-SE" w:eastAsia="sl-SI"/>
              </w:rPr>
              <w:t>KRKA Belgium, SA.</w:t>
            </w:r>
          </w:p>
          <w:p w:rsidR="00AF7B74" w:rsidRPr="00C403BB" w:rsidRDefault="00AF7B74" w:rsidP="00414BBD">
            <w:pPr>
              <w:widowControl w:val="0"/>
              <w:numPr>
                <w:ilvl w:val="12"/>
                <w:numId w:val="0"/>
              </w:numPr>
              <w:spacing w:line="240" w:lineRule="auto"/>
              <w:ind w:right="-2"/>
              <w:rPr>
                <w:noProof/>
                <w:lang w:val="sv-SE" w:eastAsia="sl-SI"/>
              </w:rPr>
            </w:pPr>
            <w:r w:rsidRPr="00C403BB">
              <w:rPr>
                <w:noProof/>
                <w:lang w:val="sv-SE" w:eastAsia="sl-SI"/>
              </w:rPr>
              <w:t>Tel:</w:t>
            </w:r>
            <w:r w:rsidRPr="00C403BB">
              <w:rPr>
                <w:b/>
                <w:noProof/>
                <w:lang w:val="sv-SE" w:eastAsia="sl-SI"/>
              </w:rPr>
              <w:t xml:space="preserve"> </w:t>
            </w:r>
            <w:r w:rsidRPr="00C403BB">
              <w:rPr>
                <w:noProof/>
                <w:lang w:val="sv-SE" w:eastAsia="sl-SI"/>
              </w:rPr>
              <w:t>+ 32 (0) 487 50 73 62</w:t>
            </w:r>
            <w:r w:rsidRPr="00C403BB" w:rsidDel="00F24164">
              <w:rPr>
                <w:noProof/>
                <w:lang w:val="sv-SE" w:eastAsia="sl-SI"/>
              </w:rPr>
              <w:t xml:space="preserve"> </w:t>
            </w:r>
            <w:r w:rsidRPr="00C403BB">
              <w:rPr>
                <w:noProof/>
                <w:lang w:val="sv-SE" w:eastAsia="sl-SI"/>
              </w:rPr>
              <w:t>(BE)</w:t>
            </w:r>
          </w:p>
        </w:tc>
      </w:tr>
      <w:tr w:rsidR="00AF7B74" w:rsidRPr="00C403BB" w:rsidTr="00414BBD">
        <w:tc>
          <w:tcPr>
            <w:tcW w:w="4680" w:type="dxa"/>
          </w:tcPr>
          <w:p w:rsidR="00AF7B74" w:rsidRPr="00C403BB" w:rsidRDefault="00AF7B74" w:rsidP="00414BBD">
            <w:pPr>
              <w:widowControl w:val="0"/>
              <w:spacing w:line="240" w:lineRule="auto"/>
              <w:rPr>
                <w:b/>
                <w:noProof/>
                <w:lang w:val="it-IT" w:eastAsia="sl-SI"/>
              </w:rPr>
            </w:pPr>
            <w:r w:rsidRPr="00C403BB">
              <w:rPr>
                <w:b/>
                <w:noProof/>
                <w:lang w:val="it-IT" w:eastAsia="sl-SI"/>
              </w:rPr>
              <w:t>Eesti</w:t>
            </w:r>
          </w:p>
          <w:p w:rsidR="00AF7B74" w:rsidRPr="00C403BB" w:rsidRDefault="00AF7B74" w:rsidP="00414BBD">
            <w:pPr>
              <w:widowControl w:val="0"/>
              <w:spacing w:line="240" w:lineRule="auto"/>
              <w:rPr>
                <w:noProof/>
                <w:lang w:val="it-IT" w:eastAsia="sl-SI"/>
              </w:rPr>
            </w:pPr>
            <w:r w:rsidRPr="00C403BB">
              <w:rPr>
                <w:lang w:val="it-IT" w:eastAsia="sl-SI"/>
              </w:rPr>
              <w:t xml:space="preserve">KRKA, d.d., Novo mesto </w:t>
            </w:r>
            <w:r w:rsidRPr="00C403BB">
              <w:rPr>
                <w:color w:val="000000"/>
                <w:lang w:val="it-IT" w:eastAsia="sl-SI"/>
              </w:rPr>
              <w:t>Eesti filiaal</w:t>
            </w:r>
          </w:p>
          <w:p w:rsidR="00AF7B74" w:rsidRPr="00321FCD" w:rsidRDefault="00AF7B74" w:rsidP="00414BBD">
            <w:pPr>
              <w:widowControl w:val="0"/>
              <w:spacing w:line="240" w:lineRule="auto"/>
              <w:rPr>
                <w:noProof/>
                <w:lang w:eastAsia="sl-SI"/>
              </w:rPr>
            </w:pPr>
            <w:r w:rsidRPr="00321FCD">
              <w:rPr>
                <w:noProof/>
                <w:lang w:eastAsia="sl-SI"/>
              </w:rPr>
              <w:t>Tel: + 372 (0) 6 671 658</w:t>
            </w:r>
          </w:p>
          <w:p w:rsidR="00AF7B74" w:rsidRPr="00321FCD" w:rsidRDefault="00AF7B74" w:rsidP="00414BBD">
            <w:pPr>
              <w:widowControl w:val="0"/>
              <w:spacing w:line="240" w:lineRule="auto"/>
              <w:rPr>
                <w:noProof/>
                <w:lang w:eastAsia="sl-SI"/>
              </w:rPr>
            </w:pPr>
          </w:p>
        </w:tc>
        <w:tc>
          <w:tcPr>
            <w:tcW w:w="4680" w:type="dxa"/>
          </w:tcPr>
          <w:p w:rsidR="00AF7B74" w:rsidRPr="00C403BB" w:rsidRDefault="00AF7B74" w:rsidP="00414BBD">
            <w:pPr>
              <w:widowControl w:val="0"/>
              <w:numPr>
                <w:ilvl w:val="12"/>
                <w:numId w:val="0"/>
              </w:numPr>
              <w:spacing w:line="240" w:lineRule="auto"/>
              <w:ind w:right="-2"/>
              <w:rPr>
                <w:b/>
                <w:noProof/>
                <w:lang w:val="sv-SE" w:eastAsia="sl-SI"/>
              </w:rPr>
            </w:pPr>
            <w:r w:rsidRPr="00C403BB">
              <w:rPr>
                <w:b/>
                <w:noProof/>
                <w:lang w:val="sv-SE" w:eastAsia="sl-SI"/>
              </w:rPr>
              <w:t>Norge</w:t>
            </w:r>
          </w:p>
          <w:p w:rsidR="00AF7B74" w:rsidRPr="00C403BB" w:rsidRDefault="00AF7B74" w:rsidP="00414BBD">
            <w:pPr>
              <w:widowControl w:val="0"/>
              <w:numPr>
                <w:ilvl w:val="12"/>
                <w:numId w:val="0"/>
              </w:numPr>
              <w:spacing w:line="240" w:lineRule="auto"/>
              <w:ind w:right="-2"/>
              <w:rPr>
                <w:noProof/>
                <w:lang w:val="sv-SE" w:eastAsia="sl-SI"/>
              </w:rPr>
            </w:pPr>
            <w:r w:rsidRPr="00C403BB">
              <w:rPr>
                <w:noProof/>
                <w:lang w:val="sv-SE" w:eastAsia="sl-SI"/>
              </w:rPr>
              <w:t>KRKA Sverige AB</w:t>
            </w:r>
          </w:p>
          <w:p w:rsidR="00AF7B74" w:rsidRPr="00C403BB" w:rsidRDefault="00AF7B74" w:rsidP="00414BBD">
            <w:pPr>
              <w:widowControl w:val="0"/>
              <w:numPr>
                <w:ilvl w:val="12"/>
                <w:numId w:val="0"/>
              </w:numPr>
              <w:spacing w:line="240" w:lineRule="auto"/>
              <w:ind w:right="-2"/>
              <w:rPr>
                <w:lang w:val="sv-SE" w:eastAsia="sl-SI"/>
              </w:rPr>
            </w:pPr>
            <w:r w:rsidRPr="00C403BB">
              <w:rPr>
                <w:noProof/>
                <w:lang w:val="sv-SE" w:eastAsia="sl-SI"/>
              </w:rPr>
              <w:t>Tlf: + 46 (0)</w:t>
            </w:r>
            <w:r w:rsidRPr="00C403BB">
              <w:rPr>
                <w:lang w:val="sv-SE" w:eastAsia="sl-SI"/>
              </w:rPr>
              <w:t>8 643 67 66 (SE)</w:t>
            </w:r>
          </w:p>
          <w:p w:rsidR="00AF7B74" w:rsidRPr="00C403BB" w:rsidRDefault="00AF7B74" w:rsidP="00414BBD">
            <w:pPr>
              <w:widowControl w:val="0"/>
              <w:numPr>
                <w:ilvl w:val="12"/>
                <w:numId w:val="0"/>
              </w:numPr>
              <w:spacing w:line="240" w:lineRule="auto"/>
              <w:ind w:right="-2"/>
              <w:rPr>
                <w:noProof/>
                <w:lang w:val="sv-SE" w:eastAsia="sl-SI"/>
              </w:rPr>
            </w:pPr>
          </w:p>
        </w:tc>
      </w:tr>
      <w:tr w:rsidR="00AF7B74" w:rsidRPr="00C403BB" w:rsidTr="00414BBD">
        <w:tc>
          <w:tcPr>
            <w:tcW w:w="4680" w:type="dxa"/>
          </w:tcPr>
          <w:p w:rsidR="00AF7B74" w:rsidRPr="00C403BB" w:rsidRDefault="00AF7B74" w:rsidP="00414BBD">
            <w:pPr>
              <w:widowControl w:val="0"/>
              <w:spacing w:line="240" w:lineRule="auto"/>
              <w:rPr>
                <w:b/>
                <w:noProof/>
                <w:lang w:val="it-IT" w:eastAsia="sl-SI"/>
              </w:rPr>
            </w:pPr>
            <w:r w:rsidRPr="00321FCD">
              <w:rPr>
                <w:b/>
                <w:noProof/>
                <w:lang w:eastAsia="sl-SI"/>
              </w:rPr>
              <w:t>Ελλάδα</w:t>
            </w:r>
          </w:p>
          <w:p w:rsidR="00AF7B74" w:rsidRPr="00C403BB" w:rsidRDefault="00AF7B74" w:rsidP="00414BBD">
            <w:pPr>
              <w:widowControl w:val="0"/>
              <w:spacing w:line="240" w:lineRule="auto"/>
              <w:rPr>
                <w:lang w:val="it-IT" w:eastAsia="sl-SI"/>
              </w:rPr>
            </w:pPr>
            <w:r w:rsidRPr="00C403BB">
              <w:rPr>
                <w:lang w:val="it-IT" w:eastAsia="sl-SI"/>
              </w:rPr>
              <w:t>QUALIA PHARMA S.A.</w:t>
            </w:r>
          </w:p>
          <w:p w:rsidR="00AF7B74" w:rsidRPr="00321FCD" w:rsidRDefault="00AF7B74" w:rsidP="00414BBD">
            <w:pPr>
              <w:widowControl w:val="0"/>
              <w:spacing w:line="240" w:lineRule="auto"/>
              <w:rPr>
                <w:lang w:eastAsia="sl-SI"/>
              </w:rPr>
            </w:pPr>
            <w:r w:rsidRPr="00321FCD">
              <w:rPr>
                <w:noProof/>
                <w:lang w:eastAsia="sl-SI"/>
              </w:rPr>
              <w:t xml:space="preserve">Τηλ: </w:t>
            </w:r>
            <w:r w:rsidRPr="00321FCD">
              <w:rPr>
                <w:lang w:eastAsia="sl-SI"/>
              </w:rPr>
              <w:t xml:space="preserve">+30 210 </w:t>
            </w:r>
            <w:r w:rsidRPr="00F24164">
              <w:rPr>
                <w:lang w:eastAsia="sl-SI"/>
              </w:rPr>
              <w:t>6256177</w:t>
            </w:r>
          </w:p>
          <w:p w:rsidR="00AF7B74" w:rsidRPr="00321FCD" w:rsidRDefault="00AF7B74" w:rsidP="00414BBD">
            <w:pPr>
              <w:widowControl w:val="0"/>
              <w:spacing w:line="240" w:lineRule="auto"/>
              <w:rPr>
                <w:noProof/>
                <w:lang w:eastAsia="sl-SI"/>
              </w:rPr>
            </w:pPr>
          </w:p>
        </w:tc>
        <w:tc>
          <w:tcPr>
            <w:tcW w:w="4680" w:type="dxa"/>
          </w:tcPr>
          <w:p w:rsidR="00AF7B74" w:rsidRPr="00C403BB" w:rsidRDefault="00AF7B74" w:rsidP="00414BBD">
            <w:pPr>
              <w:widowControl w:val="0"/>
              <w:numPr>
                <w:ilvl w:val="12"/>
                <w:numId w:val="0"/>
              </w:numPr>
              <w:spacing w:line="240" w:lineRule="auto"/>
              <w:ind w:right="-2"/>
              <w:rPr>
                <w:b/>
                <w:noProof/>
                <w:lang w:val="de-DE" w:eastAsia="sl-SI"/>
              </w:rPr>
            </w:pPr>
            <w:r w:rsidRPr="00C403BB">
              <w:rPr>
                <w:b/>
                <w:noProof/>
                <w:lang w:val="de-DE" w:eastAsia="sl-SI"/>
              </w:rPr>
              <w:t>Österreich</w:t>
            </w:r>
          </w:p>
          <w:p w:rsidR="00AF7B74" w:rsidRPr="00C403BB" w:rsidRDefault="00AF7B74" w:rsidP="00414BBD">
            <w:pPr>
              <w:widowControl w:val="0"/>
              <w:numPr>
                <w:ilvl w:val="12"/>
                <w:numId w:val="0"/>
              </w:numPr>
              <w:spacing w:line="240" w:lineRule="auto"/>
              <w:ind w:right="-2"/>
              <w:rPr>
                <w:lang w:val="de-DE" w:eastAsia="sl-SI"/>
              </w:rPr>
            </w:pPr>
            <w:r w:rsidRPr="00C403BB">
              <w:rPr>
                <w:lang w:val="de-DE" w:eastAsia="sl-SI"/>
              </w:rPr>
              <w:t>KRKA Pharma GmbH, Wien</w:t>
            </w:r>
          </w:p>
          <w:p w:rsidR="00AF7B74" w:rsidRPr="00C403BB" w:rsidRDefault="00AF7B74" w:rsidP="00414BBD">
            <w:pPr>
              <w:widowControl w:val="0"/>
              <w:numPr>
                <w:ilvl w:val="12"/>
                <w:numId w:val="0"/>
              </w:numPr>
              <w:spacing w:line="240" w:lineRule="auto"/>
              <w:ind w:right="-2"/>
              <w:rPr>
                <w:iCs/>
                <w:lang w:val="de-DE" w:eastAsia="sl-SI"/>
              </w:rPr>
            </w:pPr>
            <w:r w:rsidRPr="00C403BB">
              <w:rPr>
                <w:lang w:val="de-DE" w:eastAsia="sl-SI"/>
              </w:rPr>
              <w:t>Tel:</w:t>
            </w:r>
            <w:r w:rsidRPr="00C403BB">
              <w:rPr>
                <w:bCs/>
                <w:lang w:val="de-DE" w:eastAsia="sl-SI"/>
              </w:rPr>
              <w:t xml:space="preserve"> + </w:t>
            </w:r>
            <w:r w:rsidRPr="00C403BB">
              <w:rPr>
                <w:lang w:val="de-DE" w:eastAsia="sl-SI"/>
              </w:rPr>
              <w:t>43 (0)1 66 24 300</w:t>
            </w:r>
          </w:p>
          <w:p w:rsidR="00AF7B74" w:rsidRPr="00C403BB" w:rsidRDefault="00AF7B74" w:rsidP="00414BBD">
            <w:pPr>
              <w:widowControl w:val="0"/>
              <w:numPr>
                <w:ilvl w:val="12"/>
                <w:numId w:val="0"/>
              </w:numPr>
              <w:spacing w:line="240" w:lineRule="auto"/>
              <w:ind w:right="-2"/>
              <w:rPr>
                <w:noProof/>
                <w:lang w:val="de-DE" w:eastAsia="sl-SI"/>
              </w:rPr>
            </w:pPr>
          </w:p>
        </w:tc>
      </w:tr>
      <w:tr w:rsidR="00AF7B74" w:rsidRPr="00321FCD" w:rsidTr="00414BBD">
        <w:tc>
          <w:tcPr>
            <w:tcW w:w="4680" w:type="dxa"/>
          </w:tcPr>
          <w:p w:rsidR="00AF7B74" w:rsidRPr="00C403BB" w:rsidRDefault="00AF7B74" w:rsidP="00414BBD">
            <w:pPr>
              <w:widowControl w:val="0"/>
              <w:spacing w:line="240" w:lineRule="auto"/>
              <w:rPr>
                <w:b/>
                <w:noProof/>
                <w:lang w:val="de-DE" w:eastAsia="sl-SI"/>
              </w:rPr>
            </w:pPr>
            <w:r w:rsidRPr="00C403BB">
              <w:rPr>
                <w:b/>
                <w:noProof/>
                <w:lang w:val="de-DE" w:eastAsia="sl-SI"/>
              </w:rPr>
              <w:t>España</w:t>
            </w:r>
          </w:p>
          <w:p w:rsidR="00AF7B74" w:rsidRPr="00C403BB" w:rsidRDefault="00AF7B74" w:rsidP="00414BBD">
            <w:pPr>
              <w:widowControl w:val="0"/>
              <w:spacing w:line="240" w:lineRule="auto"/>
              <w:rPr>
                <w:lang w:val="de-DE" w:eastAsia="sl-SI"/>
              </w:rPr>
            </w:pPr>
            <w:r w:rsidRPr="00C403BB">
              <w:rPr>
                <w:lang w:val="de-DE" w:eastAsia="sl-SI"/>
              </w:rPr>
              <w:t>KRKA</w:t>
            </w:r>
            <w:r w:rsidRPr="00C403BB">
              <w:rPr>
                <w:bCs/>
                <w:lang w:val="de-DE" w:eastAsia="sl-SI"/>
              </w:rPr>
              <w:t xml:space="preserve"> Farmacéutica, S.L.</w:t>
            </w:r>
          </w:p>
          <w:p w:rsidR="00AF7B74" w:rsidRPr="00321FCD" w:rsidRDefault="00AF7B74" w:rsidP="00414BBD">
            <w:pPr>
              <w:widowControl w:val="0"/>
              <w:spacing w:line="240" w:lineRule="auto"/>
              <w:rPr>
                <w:lang w:eastAsia="sl-SI"/>
              </w:rPr>
            </w:pPr>
            <w:r w:rsidRPr="00321FCD">
              <w:rPr>
                <w:lang w:eastAsia="sl-SI"/>
              </w:rPr>
              <w:t>Tel: + 34 911 61 03 81</w:t>
            </w:r>
          </w:p>
          <w:p w:rsidR="00AF7B74" w:rsidRPr="00321FCD" w:rsidRDefault="00AF7B74" w:rsidP="00414BBD">
            <w:pPr>
              <w:widowControl w:val="0"/>
              <w:spacing w:line="240" w:lineRule="auto"/>
              <w:rPr>
                <w:noProof/>
                <w:lang w:eastAsia="sl-SI"/>
              </w:rPr>
            </w:pPr>
          </w:p>
        </w:tc>
        <w:tc>
          <w:tcPr>
            <w:tcW w:w="4680" w:type="dxa"/>
          </w:tcPr>
          <w:p w:rsidR="00AF7B74" w:rsidRPr="00C403BB" w:rsidRDefault="00AF7B74" w:rsidP="00414BBD">
            <w:pPr>
              <w:widowControl w:val="0"/>
              <w:numPr>
                <w:ilvl w:val="12"/>
                <w:numId w:val="0"/>
              </w:numPr>
              <w:spacing w:line="240" w:lineRule="auto"/>
              <w:ind w:right="-2"/>
              <w:rPr>
                <w:b/>
                <w:noProof/>
                <w:lang w:val="sv-SE" w:eastAsia="sl-SI"/>
              </w:rPr>
            </w:pPr>
            <w:r w:rsidRPr="00C403BB">
              <w:rPr>
                <w:b/>
                <w:noProof/>
                <w:lang w:val="sv-SE" w:eastAsia="sl-SI"/>
              </w:rPr>
              <w:t>Polska</w:t>
            </w:r>
          </w:p>
          <w:p w:rsidR="00AF7B74" w:rsidRPr="00C403BB" w:rsidRDefault="00AF7B74" w:rsidP="00414BBD">
            <w:pPr>
              <w:widowControl w:val="0"/>
              <w:numPr>
                <w:ilvl w:val="12"/>
                <w:numId w:val="0"/>
              </w:numPr>
              <w:spacing w:line="240" w:lineRule="auto"/>
              <w:ind w:right="-2"/>
              <w:rPr>
                <w:noProof/>
                <w:lang w:val="sv-SE" w:eastAsia="sl-SI"/>
              </w:rPr>
            </w:pPr>
            <w:r w:rsidRPr="00C403BB">
              <w:rPr>
                <w:lang w:val="sv-SE" w:eastAsia="sl-SI"/>
              </w:rPr>
              <w:t xml:space="preserve">KRKA-POLSKA </w:t>
            </w:r>
            <w:r w:rsidRPr="00C403BB">
              <w:rPr>
                <w:noProof/>
                <w:lang w:val="sv-SE" w:eastAsia="sl-SI"/>
              </w:rPr>
              <w:t>Sp. z o.o.</w:t>
            </w:r>
          </w:p>
          <w:p w:rsidR="00AF7B74" w:rsidRPr="00321FCD" w:rsidRDefault="00AF7B74" w:rsidP="00414BBD">
            <w:pPr>
              <w:widowControl w:val="0"/>
              <w:numPr>
                <w:ilvl w:val="12"/>
                <w:numId w:val="0"/>
              </w:numPr>
              <w:spacing w:line="240" w:lineRule="auto"/>
              <w:ind w:right="-2"/>
              <w:rPr>
                <w:noProof/>
                <w:lang w:eastAsia="sl-SI"/>
              </w:rPr>
            </w:pPr>
            <w:r w:rsidRPr="00321FCD">
              <w:rPr>
                <w:noProof/>
                <w:lang w:eastAsia="sl-SI"/>
              </w:rPr>
              <w:t>Tel.: + 48 (0)22 573 7500</w:t>
            </w:r>
          </w:p>
          <w:p w:rsidR="00AF7B74" w:rsidRPr="00321FCD" w:rsidRDefault="00AF7B74" w:rsidP="00414BBD">
            <w:pPr>
              <w:widowControl w:val="0"/>
              <w:numPr>
                <w:ilvl w:val="12"/>
                <w:numId w:val="0"/>
              </w:numPr>
              <w:spacing w:line="240" w:lineRule="auto"/>
              <w:ind w:right="-2"/>
              <w:rPr>
                <w:noProof/>
                <w:lang w:eastAsia="sl-SI"/>
              </w:rPr>
            </w:pPr>
          </w:p>
        </w:tc>
      </w:tr>
      <w:tr w:rsidR="00AF7B74" w:rsidRPr="00321FCD" w:rsidTr="00414BBD">
        <w:tc>
          <w:tcPr>
            <w:tcW w:w="4680" w:type="dxa"/>
          </w:tcPr>
          <w:p w:rsidR="00AF7B74" w:rsidRPr="00C403BB" w:rsidRDefault="00AF7B74" w:rsidP="00414BBD">
            <w:pPr>
              <w:widowControl w:val="0"/>
              <w:spacing w:line="240" w:lineRule="auto"/>
              <w:rPr>
                <w:b/>
                <w:noProof/>
                <w:lang w:val="fr-FR" w:eastAsia="sl-SI"/>
              </w:rPr>
            </w:pPr>
            <w:r w:rsidRPr="00C403BB">
              <w:rPr>
                <w:b/>
                <w:noProof/>
                <w:lang w:val="fr-FR" w:eastAsia="sl-SI"/>
              </w:rPr>
              <w:t>France</w:t>
            </w:r>
          </w:p>
          <w:p w:rsidR="00AF7B74" w:rsidRPr="00C403BB" w:rsidRDefault="00AF7B74" w:rsidP="00414BBD">
            <w:pPr>
              <w:widowControl w:val="0"/>
              <w:spacing w:line="240" w:lineRule="auto"/>
              <w:rPr>
                <w:lang w:val="fr-FR" w:eastAsia="sl-SI"/>
              </w:rPr>
            </w:pPr>
            <w:r w:rsidRPr="00C403BB">
              <w:rPr>
                <w:lang w:val="fr-FR" w:eastAsia="sl-SI"/>
              </w:rPr>
              <w:t xml:space="preserve">KRKA </w:t>
            </w:r>
            <w:r w:rsidRPr="00C403BB">
              <w:rPr>
                <w:bCs/>
                <w:lang w:val="fr-FR" w:eastAsia="sl-SI"/>
              </w:rPr>
              <w:t>France Eurl</w:t>
            </w:r>
          </w:p>
          <w:p w:rsidR="00AF7B74" w:rsidRPr="00C403BB" w:rsidRDefault="00AF7B74" w:rsidP="00414BBD">
            <w:pPr>
              <w:widowControl w:val="0"/>
              <w:spacing w:line="240" w:lineRule="auto"/>
              <w:rPr>
                <w:noProof/>
                <w:lang w:val="fr-FR" w:eastAsia="sl-SI"/>
              </w:rPr>
            </w:pPr>
            <w:r w:rsidRPr="00C403BB">
              <w:rPr>
                <w:lang w:val="fr-FR" w:eastAsia="sl-SI"/>
              </w:rPr>
              <w:t>Tél: + 33 (0)1 57 40 82 25</w:t>
            </w:r>
          </w:p>
          <w:p w:rsidR="00AF7B74" w:rsidRPr="00C403BB" w:rsidRDefault="00AF7B74" w:rsidP="00414BBD">
            <w:pPr>
              <w:widowControl w:val="0"/>
              <w:spacing w:line="240" w:lineRule="auto"/>
              <w:rPr>
                <w:noProof/>
                <w:lang w:val="fr-FR" w:eastAsia="sl-SI"/>
              </w:rPr>
            </w:pPr>
          </w:p>
        </w:tc>
        <w:tc>
          <w:tcPr>
            <w:tcW w:w="4680" w:type="dxa"/>
          </w:tcPr>
          <w:p w:rsidR="00AF7B74" w:rsidRPr="00C403BB" w:rsidRDefault="00AF7B74" w:rsidP="00414BBD">
            <w:pPr>
              <w:widowControl w:val="0"/>
              <w:numPr>
                <w:ilvl w:val="12"/>
                <w:numId w:val="0"/>
              </w:numPr>
              <w:spacing w:line="240" w:lineRule="auto"/>
              <w:ind w:right="-2"/>
              <w:rPr>
                <w:b/>
                <w:noProof/>
                <w:lang w:val="fr-FR" w:eastAsia="sl-SI"/>
              </w:rPr>
            </w:pPr>
            <w:r w:rsidRPr="00C403BB">
              <w:rPr>
                <w:b/>
                <w:noProof/>
                <w:lang w:val="fr-FR" w:eastAsia="sl-SI"/>
              </w:rPr>
              <w:t>Portugal</w:t>
            </w:r>
          </w:p>
          <w:p w:rsidR="00AF7B74" w:rsidRPr="00C403BB" w:rsidRDefault="00AF7B74" w:rsidP="00414BBD">
            <w:pPr>
              <w:widowControl w:val="0"/>
              <w:numPr>
                <w:ilvl w:val="12"/>
                <w:numId w:val="0"/>
              </w:numPr>
              <w:spacing w:line="240" w:lineRule="auto"/>
              <w:ind w:right="-2"/>
              <w:rPr>
                <w:noProof/>
                <w:lang w:val="fr-FR" w:eastAsia="sl-SI"/>
              </w:rPr>
            </w:pPr>
            <w:r w:rsidRPr="00C403BB">
              <w:rPr>
                <w:bCs/>
                <w:lang w:val="fr-FR" w:eastAsia="sl-SI"/>
              </w:rPr>
              <w:t>KRKA Farmacêutica, Sociedade Unipessoal Lda.</w:t>
            </w:r>
          </w:p>
          <w:p w:rsidR="00AF7B74" w:rsidRPr="00321FCD" w:rsidRDefault="00AF7B74" w:rsidP="00414BBD">
            <w:pPr>
              <w:widowControl w:val="0"/>
              <w:numPr>
                <w:ilvl w:val="12"/>
                <w:numId w:val="0"/>
              </w:numPr>
              <w:spacing w:line="240" w:lineRule="auto"/>
              <w:ind w:right="-2"/>
              <w:rPr>
                <w:lang w:eastAsia="sl-SI"/>
              </w:rPr>
            </w:pPr>
            <w:r w:rsidRPr="00321FCD">
              <w:rPr>
                <w:noProof/>
                <w:lang w:eastAsia="sl-SI"/>
              </w:rPr>
              <w:t xml:space="preserve">Tel: + </w:t>
            </w:r>
            <w:r w:rsidRPr="00321FCD">
              <w:rPr>
                <w:lang w:eastAsia="sl-SI"/>
              </w:rPr>
              <w:t>351 (0)21 46 43 650</w:t>
            </w:r>
          </w:p>
          <w:p w:rsidR="00AF7B74" w:rsidRPr="00321FCD" w:rsidRDefault="00AF7B74" w:rsidP="00414BBD">
            <w:pPr>
              <w:widowControl w:val="0"/>
              <w:numPr>
                <w:ilvl w:val="12"/>
                <w:numId w:val="0"/>
              </w:numPr>
              <w:spacing w:line="240" w:lineRule="auto"/>
              <w:ind w:right="-2"/>
              <w:rPr>
                <w:noProof/>
                <w:lang w:eastAsia="sl-SI"/>
              </w:rPr>
            </w:pPr>
          </w:p>
        </w:tc>
      </w:tr>
      <w:tr w:rsidR="00AF7B74" w:rsidRPr="00321FCD" w:rsidTr="00414BBD">
        <w:tc>
          <w:tcPr>
            <w:tcW w:w="4680" w:type="dxa"/>
          </w:tcPr>
          <w:p w:rsidR="00AF7B74" w:rsidRPr="00C403BB" w:rsidRDefault="00AF7B74" w:rsidP="00414BBD">
            <w:pPr>
              <w:widowControl w:val="0"/>
              <w:spacing w:line="240" w:lineRule="auto"/>
              <w:rPr>
                <w:b/>
                <w:noProof/>
                <w:lang w:val="sv-SE" w:eastAsia="sl-SI"/>
              </w:rPr>
            </w:pPr>
            <w:r w:rsidRPr="00C403BB">
              <w:rPr>
                <w:b/>
                <w:noProof/>
                <w:lang w:val="sv-SE" w:eastAsia="sl-SI"/>
              </w:rPr>
              <w:t>Hrvatska</w:t>
            </w:r>
          </w:p>
          <w:p w:rsidR="00AF7B74" w:rsidRPr="00C403BB" w:rsidRDefault="00AF7B74" w:rsidP="00414BBD">
            <w:pPr>
              <w:widowControl w:val="0"/>
              <w:spacing w:line="240" w:lineRule="auto"/>
              <w:rPr>
                <w:noProof/>
                <w:lang w:val="sv-SE" w:eastAsia="sl-SI"/>
              </w:rPr>
            </w:pPr>
            <w:r w:rsidRPr="00C403BB">
              <w:rPr>
                <w:lang w:val="sv-SE"/>
              </w:rPr>
              <w:t>KRKA - FARMA</w:t>
            </w:r>
            <w:r w:rsidRPr="00C403BB">
              <w:rPr>
                <w:noProof/>
                <w:lang w:val="sv-SE" w:eastAsia="sl-SI"/>
              </w:rPr>
              <w:t xml:space="preserve"> d.o.o.</w:t>
            </w:r>
          </w:p>
          <w:p w:rsidR="00AF7B74" w:rsidRPr="00321FCD" w:rsidRDefault="00AF7B74" w:rsidP="00414BBD">
            <w:pPr>
              <w:widowControl w:val="0"/>
              <w:spacing w:line="240" w:lineRule="auto"/>
              <w:rPr>
                <w:noProof/>
                <w:lang w:eastAsia="sl-SI"/>
              </w:rPr>
            </w:pPr>
            <w:r w:rsidRPr="00321FCD">
              <w:rPr>
                <w:noProof/>
                <w:lang w:eastAsia="sl-SI"/>
              </w:rPr>
              <w:t>Tel: + 385 1 6312 100</w:t>
            </w:r>
          </w:p>
          <w:p w:rsidR="00AF7B74" w:rsidRPr="00321FCD" w:rsidRDefault="00AF7B74" w:rsidP="00414BBD">
            <w:pPr>
              <w:widowControl w:val="0"/>
              <w:spacing w:line="240" w:lineRule="auto"/>
              <w:rPr>
                <w:noProof/>
                <w:lang w:eastAsia="sl-SI"/>
              </w:rPr>
            </w:pPr>
          </w:p>
        </w:tc>
        <w:tc>
          <w:tcPr>
            <w:tcW w:w="4680" w:type="dxa"/>
          </w:tcPr>
          <w:p w:rsidR="00AF7B74" w:rsidRPr="00321FCD" w:rsidRDefault="00AF7B74" w:rsidP="00414BBD">
            <w:pPr>
              <w:widowControl w:val="0"/>
              <w:numPr>
                <w:ilvl w:val="12"/>
                <w:numId w:val="0"/>
              </w:numPr>
              <w:spacing w:line="240" w:lineRule="auto"/>
              <w:ind w:right="-2"/>
              <w:rPr>
                <w:b/>
                <w:noProof/>
                <w:lang w:eastAsia="sl-SI"/>
              </w:rPr>
            </w:pPr>
            <w:r w:rsidRPr="00321FCD">
              <w:rPr>
                <w:b/>
                <w:noProof/>
                <w:lang w:eastAsia="sl-SI"/>
              </w:rPr>
              <w:t>România</w:t>
            </w:r>
          </w:p>
          <w:p w:rsidR="00AF7B74" w:rsidRPr="00321FCD" w:rsidRDefault="00AF7B74" w:rsidP="00414BBD">
            <w:pPr>
              <w:widowControl w:val="0"/>
              <w:spacing w:line="240" w:lineRule="auto"/>
              <w:rPr>
                <w:bCs/>
                <w:lang w:eastAsia="sl-SI"/>
              </w:rPr>
            </w:pPr>
            <w:r w:rsidRPr="00321FCD">
              <w:rPr>
                <w:bCs/>
                <w:lang w:eastAsia="sl-SI"/>
              </w:rPr>
              <w:t>KRKA Romania S.R.L., Bucharest</w:t>
            </w:r>
          </w:p>
          <w:p w:rsidR="00AF7B74" w:rsidRPr="00321FCD" w:rsidRDefault="00AF7B74" w:rsidP="00414BBD">
            <w:pPr>
              <w:widowControl w:val="0"/>
              <w:numPr>
                <w:ilvl w:val="12"/>
                <w:numId w:val="0"/>
              </w:numPr>
              <w:spacing w:line="240" w:lineRule="auto"/>
              <w:ind w:right="-2"/>
              <w:rPr>
                <w:lang w:eastAsia="sl-SI"/>
              </w:rPr>
            </w:pPr>
            <w:r w:rsidRPr="00321FCD">
              <w:rPr>
                <w:lang w:eastAsia="sl-SI"/>
              </w:rPr>
              <w:t>Tel: + 4 021 310 66 05</w:t>
            </w:r>
          </w:p>
          <w:p w:rsidR="00AF7B74" w:rsidRPr="00321FCD" w:rsidRDefault="00AF7B74" w:rsidP="00414BBD">
            <w:pPr>
              <w:widowControl w:val="0"/>
              <w:numPr>
                <w:ilvl w:val="12"/>
                <w:numId w:val="0"/>
              </w:numPr>
              <w:spacing w:line="240" w:lineRule="auto"/>
              <w:ind w:right="-2"/>
              <w:rPr>
                <w:noProof/>
                <w:lang w:eastAsia="sl-SI"/>
              </w:rPr>
            </w:pPr>
          </w:p>
        </w:tc>
      </w:tr>
      <w:tr w:rsidR="00AF7B74" w:rsidRPr="00C403BB" w:rsidTr="00414BBD">
        <w:tc>
          <w:tcPr>
            <w:tcW w:w="4680" w:type="dxa"/>
          </w:tcPr>
          <w:p w:rsidR="00AF7B74" w:rsidRPr="00C403BB" w:rsidRDefault="00AF7B74" w:rsidP="00414BBD">
            <w:pPr>
              <w:widowControl w:val="0"/>
              <w:spacing w:line="240" w:lineRule="auto"/>
              <w:rPr>
                <w:b/>
                <w:noProof/>
                <w:lang w:val="sv-SE" w:eastAsia="sl-SI"/>
              </w:rPr>
            </w:pPr>
            <w:r w:rsidRPr="00C403BB">
              <w:rPr>
                <w:noProof/>
                <w:lang w:val="sv-SE" w:eastAsia="sl-SI"/>
              </w:rPr>
              <w:br w:type="page"/>
            </w:r>
            <w:r w:rsidRPr="00C403BB">
              <w:rPr>
                <w:b/>
                <w:noProof/>
                <w:lang w:val="sv-SE" w:eastAsia="sl-SI"/>
              </w:rPr>
              <w:t>Ireland</w:t>
            </w:r>
          </w:p>
          <w:p w:rsidR="00AF7B74" w:rsidRPr="00C403BB" w:rsidRDefault="00AF7B74" w:rsidP="00414BBD">
            <w:pPr>
              <w:widowControl w:val="0"/>
              <w:spacing w:line="240" w:lineRule="auto"/>
              <w:rPr>
                <w:noProof/>
                <w:lang w:val="sv-SE" w:eastAsia="sl-SI"/>
              </w:rPr>
            </w:pPr>
            <w:r w:rsidRPr="00C403BB">
              <w:rPr>
                <w:noProof/>
                <w:lang w:val="sv-SE" w:eastAsia="sl-SI"/>
              </w:rPr>
              <w:t>KRKA Pharma Dublin, Ltd.</w:t>
            </w:r>
          </w:p>
          <w:p w:rsidR="00AF7B74" w:rsidRPr="00321FCD" w:rsidRDefault="00AF7B74" w:rsidP="00414BBD">
            <w:pPr>
              <w:widowControl w:val="0"/>
              <w:spacing w:line="240" w:lineRule="auto"/>
              <w:rPr>
                <w:noProof/>
                <w:lang w:eastAsia="sl-SI"/>
              </w:rPr>
            </w:pPr>
            <w:r w:rsidRPr="00321FCD">
              <w:rPr>
                <w:lang w:eastAsia="sl-SI"/>
              </w:rPr>
              <w:t>Tel: + 353 1 293 91 80</w:t>
            </w:r>
          </w:p>
          <w:p w:rsidR="00AF7B74" w:rsidRPr="00321FCD" w:rsidRDefault="00AF7B74" w:rsidP="00414BBD">
            <w:pPr>
              <w:widowControl w:val="0"/>
              <w:spacing w:line="240" w:lineRule="auto"/>
              <w:rPr>
                <w:noProof/>
                <w:lang w:eastAsia="sl-SI"/>
              </w:rPr>
            </w:pPr>
          </w:p>
        </w:tc>
        <w:tc>
          <w:tcPr>
            <w:tcW w:w="4680" w:type="dxa"/>
          </w:tcPr>
          <w:p w:rsidR="00AF7B74" w:rsidRPr="00C403BB" w:rsidRDefault="00AF7B74" w:rsidP="00414BBD">
            <w:pPr>
              <w:widowControl w:val="0"/>
              <w:numPr>
                <w:ilvl w:val="12"/>
                <w:numId w:val="0"/>
              </w:numPr>
              <w:spacing w:line="240" w:lineRule="auto"/>
              <w:ind w:right="-2"/>
              <w:rPr>
                <w:b/>
                <w:noProof/>
                <w:lang w:val="it-IT" w:eastAsia="sl-SI"/>
              </w:rPr>
            </w:pPr>
            <w:r w:rsidRPr="00C403BB">
              <w:rPr>
                <w:b/>
                <w:noProof/>
                <w:lang w:val="it-IT" w:eastAsia="sl-SI"/>
              </w:rPr>
              <w:t>Slovenija</w:t>
            </w:r>
          </w:p>
          <w:p w:rsidR="00AF7B74" w:rsidRPr="00C403BB" w:rsidRDefault="00AF7B74" w:rsidP="00414BBD">
            <w:pPr>
              <w:widowControl w:val="0"/>
              <w:numPr>
                <w:ilvl w:val="12"/>
                <w:numId w:val="0"/>
              </w:numPr>
              <w:spacing w:line="240" w:lineRule="auto"/>
              <w:ind w:right="-2"/>
              <w:rPr>
                <w:noProof/>
                <w:lang w:val="it-IT" w:eastAsia="sl-SI"/>
              </w:rPr>
            </w:pPr>
            <w:r w:rsidRPr="00C403BB">
              <w:rPr>
                <w:lang w:val="it-IT" w:eastAsia="sl-SI"/>
              </w:rPr>
              <w:t>KRKA, d.d., Novo mesto</w:t>
            </w:r>
          </w:p>
          <w:p w:rsidR="00AF7B74" w:rsidRPr="00C403BB" w:rsidRDefault="00AF7B74" w:rsidP="00414BBD">
            <w:pPr>
              <w:widowControl w:val="0"/>
              <w:numPr>
                <w:ilvl w:val="12"/>
                <w:numId w:val="0"/>
              </w:numPr>
              <w:spacing w:line="240" w:lineRule="auto"/>
              <w:ind w:right="-2"/>
              <w:rPr>
                <w:noProof/>
                <w:lang w:val="it-IT" w:eastAsia="sl-SI"/>
              </w:rPr>
            </w:pPr>
            <w:r w:rsidRPr="00C403BB">
              <w:rPr>
                <w:noProof/>
                <w:lang w:val="it-IT" w:eastAsia="sl-SI"/>
              </w:rPr>
              <w:t>Tel: + 386 (0) 1 47 51 100</w:t>
            </w:r>
          </w:p>
          <w:p w:rsidR="00AF7B74" w:rsidRPr="00C403BB" w:rsidRDefault="00AF7B74" w:rsidP="00414BBD">
            <w:pPr>
              <w:widowControl w:val="0"/>
              <w:numPr>
                <w:ilvl w:val="12"/>
                <w:numId w:val="0"/>
              </w:numPr>
              <w:spacing w:line="240" w:lineRule="auto"/>
              <w:ind w:right="-2"/>
              <w:rPr>
                <w:noProof/>
                <w:lang w:val="it-IT" w:eastAsia="sl-SI"/>
              </w:rPr>
            </w:pPr>
          </w:p>
        </w:tc>
      </w:tr>
      <w:tr w:rsidR="00AF7B74" w:rsidRPr="00321FCD" w:rsidTr="00414BBD">
        <w:tc>
          <w:tcPr>
            <w:tcW w:w="4680" w:type="dxa"/>
            <w:hideMark/>
          </w:tcPr>
          <w:p w:rsidR="00AF7B74" w:rsidRPr="00C403BB" w:rsidRDefault="00AF7B74" w:rsidP="00414BBD">
            <w:pPr>
              <w:widowControl w:val="0"/>
              <w:spacing w:line="240" w:lineRule="auto"/>
              <w:rPr>
                <w:b/>
                <w:noProof/>
                <w:lang w:val="sv-SE" w:eastAsia="sl-SI"/>
              </w:rPr>
            </w:pPr>
            <w:r w:rsidRPr="00C403BB">
              <w:rPr>
                <w:b/>
                <w:noProof/>
                <w:lang w:val="sv-SE" w:eastAsia="sl-SI"/>
              </w:rPr>
              <w:t>Ísland</w:t>
            </w:r>
          </w:p>
          <w:p w:rsidR="00D815A7" w:rsidRPr="00C403BB" w:rsidRDefault="006D4FF7" w:rsidP="00414BBD">
            <w:pPr>
              <w:widowControl w:val="0"/>
              <w:spacing w:line="240" w:lineRule="auto"/>
              <w:rPr>
                <w:noProof/>
                <w:lang w:val="sv-SE" w:eastAsia="sl-SI"/>
              </w:rPr>
            </w:pPr>
            <w:r w:rsidRPr="00430232">
              <w:rPr>
                <w:noProof/>
                <w:szCs w:val="22"/>
                <w:shd w:val="clear" w:color="auto" w:fill="FFFFFF"/>
                <w:lang w:val="sv-SE" w:eastAsia="sl-SI"/>
              </w:rPr>
              <w:t>LYFIS ehf.</w:t>
            </w:r>
          </w:p>
          <w:p w:rsidR="00AF7B74" w:rsidRPr="00C403BB" w:rsidRDefault="00AF7B74" w:rsidP="00414BBD">
            <w:pPr>
              <w:widowControl w:val="0"/>
              <w:spacing w:line="240" w:lineRule="auto"/>
              <w:rPr>
                <w:noProof/>
                <w:lang w:val="sv-SE" w:eastAsia="sl-SI"/>
              </w:rPr>
            </w:pPr>
            <w:r w:rsidRPr="00C403BB">
              <w:rPr>
                <w:noProof/>
                <w:lang w:val="sv-SE" w:eastAsia="sl-SI"/>
              </w:rPr>
              <w:t xml:space="preserve">Sími: + </w:t>
            </w:r>
            <w:r w:rsidR="006D4FF7" w:rsidRPr="00430232">
              <w:rPr>
                <w:noProof/>
                <w:szCs w:val="22"/>
                <w:shd w:val="clear" w:color="auto" w:fill="FFFFFF"/>
                <w:lang w:val="sv-SE" w:eastAsia="sl-SI"/>
              </w:rPr>
              <w:t>354 534 3500</w:t>
            </w:r>
          </w:p>
          <w:p w:rsidR="00AF7B74" w:rsidRPr="00C403BB" w:rsidRDefault="00AF7B74" w:rsidP="00414BBD">
            <w:pPr>
              <w:widowControl w:val="0"/>
              <w:spacing w:line="240" w:lineRule="auto"/>
              <w:rPr>
                <w:noProof/>
                <w:lang w:val="sv-SE" w:eastAsia="sl-SI"/>
              </w:rPr>
            </w:pPr>
          </w:p>
        </w:tc>
        <w:tc>
          <w:tcPr>
            <w:tcW w:w="4680" w:type="dxa"/>
          </w:tcPr>
          <w:p w:rsidR="00AF7B74" w:rsidRPr="00321FCD" w:rsidRDefault="00AF7B74" w:rsidP="00414BBD">
            <w:pPr>
              <w:widowControl w:val="0"/>
              <w:numPr>
                <w:ilvl w:val="12"/>
                <w:numId w:val="0"/>
              </w:numPr>
              <w:spacing w:line="240" w:lineRule="auto"/>
              <w:ind w:right="-2"/>
              <w:rPr>
                <w:noProof/>
                <w:lang w:eastAsia="sl-SI"/>
              </w:rPr>
            </w:pPr>
            <w:r w:rsidRPr="00321FCD">
              <w:rPr>
                <w:b/>
                <w:noProof/>
                <w:lang w:eastAsia="sl-SI"/>
              </w:rPr>
              <w:t>Slovenská</w:t>
            </w:r>
            <w:r w:rsidRPr="00321FCD">
              <w:rPr>
                <w:noProof/>
                <w:lang w:eastAsia="sl-SI"/>
              </w:rPr>
              <w:t xml:space="preserve"> </w:t>
            </w:r>
            <w:r w:rsidRPr="00321FCD">
              <w:rPr>
                <w:b/>
                <w:noProof/>
                <w:lang w:eastAsia="sl-SI"/>
              </w:rPr>
              <w:t>republika</w:t>
            </w:r>
          </w:p>
          <w:p w:rsidR="00AF7B74" w:rsidRPr="00321FCD" w:rsidRDefault="00AF7B74" w:rsidP="00414BBD">
            <w:pPr>
              <w:widowControl w:val="0"/>
              <w:numPr>
                <w:ilvl w:val="12"/>
                <w:numId w:val="0"/>
              </w:numPr>
              <w:spacing w:line="240" w:lineRule="auto"/>
              <w:ind w:right="-2"/>
              <w:rPr>
                <w:noProof/>
                <w:lang w:eastAsia="sl-SI"/>
              </w:rPr>
            </w:pPr>
            <w:r w:rsidRPr="00321FCD">
              <w:rPr>
                <w:lang w:eastAsia="sl-SI"/>
              </w:rPr>
              <w:t>KRKA Slovensko</w:t>
            </w:r>
            <w:r w:rsidRPr="00321FCD">
              <w:rPr>
                <w:color w:val="000000"/>
                <w:lang w:eastAsia="sl-SI"/>
              </w:rPr>
              <w:t>, s.r.o.</w:t>
            </w:r>
          </w:p>
          <w:p w:rsidR="00AF7B74" w:rsidRPr="00321FCD" w:rsidRDefault="00AF7B74" w:rsidP="00414BBD">
            <w:pPr>
              <w:widowControl w:val="0"/>
              <w:numPr>
                <w:ilvl w:val="12"/>
                <w:numId w:val="0"/>
              </w:numPr>
              <w:spacing w:line="240" w:lineRule="auto"/>
              <w:ind w:right="-2"/>
              <w:rPr>
                <w:noProof/>
                <w:lang w:eastAsia="sl-SI"/>
              </w:rPr>
            </w:pPr>
            <w:r w:rsidRPr="00321FCD">
              <w:rPr>
                <w:noProof/>
                <w:lang w:eastAsia="sl-SI"/>
              </w:rPr>
              <w:t>Tel: + 421 (0) 2 571 04 501</w:t>
            </w:r>
          </w:p>
          <w:p w:rsidR="00AF7B74" w:rsidRPr="00321FCD" w:rsidRDefault="00AF7B74" w:rsidP="00414BBD">
            <w:pPr>
              <w:widowControl w:val="0"/>
              <w:numPr>
                <w:ilvl w:val="12"/>
                <w:numId w:val="0"/>
              </w:numPr>
              <w:spacing w:line="240" w:lineRule="auto"/>
              <w:ind w:right="-2"/>
              <w:rPr>
                <w:noProof/>
                <w:lang w:eastAsia="sl-SI"/>
              </w:rPr>
            </w:pPr>
          </w:p>
        </w:tc>
      </w:tr>
      <w:tr w:rsidR="00AF7B74" w:rsidRPr="00C403BB" w:rsidTr="00414BBD">
        <w:tc>
          <w:tcPr>
            <w:tcW w:w="4680" w:type="dxa"/>
          </w:tcPr>
          <w:p w:rsidR="00AF7B74" w:rsidRPr="00C403BB" w:rsidRDefault="00AF7B74" w:rsidP="00414BBD">
            <w:pPr>
              <w:widowControl w:val="0"/>
              <w:spacing w:line="240" w:lineRule="auto"/>
              <w:rPr>
                <w:b/>
                <w:noProof/>
                <w:lang w:val="it-IT" w:eastAsia="sl-SI"/>
              </w:rPr>
            </w:pPr>
            <w:r w:rsidRPr="00C403BB">
              <w:rPr>
                <w:b/>
                <w:noProof/>
                <w:lang w:val="it-IT" w:eastAsia="sl-SI"/>
              </w:rPr>
              <w:t>Italia</w:t>
            </w:r>
          </w:p>
          <w:p w:rsidR="00AF7B74" w:rsidRPr="00321FCD" w:rsidRDefault="00AF7B74" w:rsidP="00414BBD">
            <w:pPr>
              <w:widowControl w:val="0"/>
              <w:numPr>
                <w:ilvl w:val="12"/>
                <w:numId w:val="0"/>
              </w:numPr>
              <w:spacing w:line="240" w:lineRule="auto"/>
              <w:ind w:right="-2"/>
              <w:rPr>
                <w:lang w:val="it-IT" w:eastAsia="sl-SI"/>
              </w:rPr>
            </w:pPr>
            <w:r w:rsidRPr="00321FCD">
              <w:rPr>
                <w:lang w:val="it-IT" w:eastAsia="sl-SI"/>
              </w:rPr>
              <w:t>KRKA Farmaceutici Milano S.r.l.</w:t>
            </w:r>
          </w:p>
          <w:p w:rsidR="00AF7B74" w:rsidRPr="00321FCD" w:rsidRDefault="00AF7B74" w:rsidP="00414BBD">
            <w:pPr>
              <w:widowControl w:val="0"/>
              <w:numPr>
                <w:ilvl w:val="12"/>
                <w:numId w:val="0"/>
              </w:numPr>
              <w:spacing w:line="240" w:lineRule="auto"/>
              <w:ind w:right="-2"/>
              <w:rPr>
                <w:lang w:eastAsia="sl-SI"/>
              </w:rPr>
            </w:pPr>
            <w:r w:rsidRPr="00321FCD">
              <w:rPr>
                <w:lang w:eastAsia="sl-SI"/>
              </w:rPr>
              <w:t>Tel: + 39 02 3300 8841</w:t>
            </w:r>
          </w:p>
          <w:p w:rsidR="00AF7B74" w:rsidRPr="00321FCD" w:rsidRDefault="00AF7B74" w:rsidP="00414BBD">
            <w:pPr>
              <w:widowControl w:val="0"/>
              <w:numPr>
                <w:ilvl w:val="12"/>
                <w:numId w:val="0"/>
              </w:numPr>
              <w:spacing w:line="240" w:lineRule="auto"/>
              <w:ind w:right="-2"/>
              <w:rPr>
                <w:noProof/>
                <w:lang w:eastAsia="sl-SI"/>
              </w:rPr>
            </w:pPr>
          </w:p>
        </w:tc>
        <w:tc>
          <w:tcPr>
            <w:tcW w:w="4680" w:type="dxa"/>
          </w:tcPr>
          <w:p w:rsidR="00AF7B74" w:rsidRPr="00C403BB" w:rsidRDefault="00AF7B74" w:rsidP="00414BBD">
            <w:pPr>
              <w:numPr>
                <w:ilvl w:val="12"/>
                <w:numId w:val="0"/>
              </w:numPr>
              <w:ind w:right="-2"/>
              <w:rPr>
                <w:b/>
                <w:noProof/>
                <w:lang w:val="sv-SE"/>
              </w:rPr>
            </w:pPr>
            <w:r w:rsidRPr="00C403BB">
              <w:rPr>
                <w:b/>
                <w:noProof/>
                <w:lang w:val="sv-SE"/>
              </w:rPr>
              <w:t>Suomi/Finland</w:t>
            </w:r>
          </w:p>
          <w:p w:rsidR="00AF7B74" w:rsidRPr="00C403BB" w:rsidRDefault="00AF7B74" w:rsidP="00414BBD">
            <w:pPr>
              <w:numPr>
                <w:ilvl w:val="12"/>
                <w:numId w:val="0"/>
              </w:numPr>
              <w:spacing w:line="240" w:lineRule="auto"/>
              <w:ind w:right="-2"/>
              <w:rPr>
                <w:b/>
                <w:noProof/>
                <w:lang w:val="sv-SE" w:eastAsia="sl-SI"/>
              </w:rPr>
            </w:pPr>
            <w:r w:rsidRPr="00321FCD">
              <w:rPr>
                <w:noProof/>
                <w:lang w:val="sv-SE" w:eastAsia="sl-SI"/>
              </w:rPr>
              <w:t>KRKA Finland Oy</w:t>
            </w:r>
          </w:p>
          <w:p w:rsidR="00AF7B74" w:rsidRPr="00C403BB" w:rsidRDefault="00AF7B74" w:rsidP="00414BBD">
            <w:pPr>
              <w:numPr>
                <w:ilvl w:val="12"/>
                <w:numId w:val="0"/>
              </w:numPr>
              <w:ind w:right="-2"/>
              <w:rPr>
                <w:b/>
                <w:noProof/>
                <w:lang w:val="sv-SE"/>
              </w:rPr>
            </w:pPr>
            <w:r w:rsidRPr="00C403BB">
              <w:rPr>
                <w:noProof/>
                <w:lang w:val="sv-SE" w:eastAsia="sl-SI"/>
              </w:rPr>
              <w:t>Puh/Tel:</w:t>
            </w:r>
            <w:r w:rsidRPr="00C403BB">
              <w:rPr>
                <w:b/>
                <w:noProof/>
                <w:lang w:val="sv-SE" w:eastAsia="sl-SI"/>
              </w:rPr>
              <w:t xml:space="preserve"> </w:t>
            </w:r>
            <w:r w:rsidRPr="00321FCD">
              <w:rPr>
                <w:noProof/>
                <w:lang w:val="sv-SE" w:eastAsia="sl-SI"/>
              </w:rPr>
              <w:t>+358 20 754 5330</w:t>
            </w:r>
          </w:p>
          <w:p w:rsidR="00AF7B74" w:rsidRPr="00C403BB" w:rsidRDefault="00AF7B74" w:rsidP="00414BBD">
            <w:pPr>
              <w:widowControl w:val="0"/>
              <w:numPr>
                <w:ilvl w:val="12"/>
                <w:numId w:val="0"/>
              </w:numPr>
              <w:spacing w:line="240" w:lineRule="auto"/>
              <w:ind w:right="-2"/>
              <w:rPr>
                <w:noProof/>
                <w:lang w:val="sv-SE" w:eastAsia="sl-SI"/>
              </w:rPr>
            </w:pPr>
          </w:p>
        </w:tc>
      </w:tr>
      <w:tr w:rsidR="00AF7B74" w:rsidRPr="00C403BB" w:rsidTr="00414BBD">
        <w:tc>
          <w:tcPr>
            <w:tcW w:w="4680" w:type="dxa"/>
          </w:tcPr>
          <w:p w:rsidR="00AF7B74" w:rsidRPr="00C403BB" w:rsidRDefault="00AF7B74" w:rsidP="00414BBD">
            <w:pPr>
              <w:widowControl w:val="0"/>
              <w:spacing w:line="240" w:lineRule="auto"/>
              <w:rPr>
                <w:b/>
                <w:noProof/>
                <w:lang w:val="sv-SE" w:eastAsia="sl-SI"/>
              </w:rPr>
            </w:pPr>
            <w:r w:rsidRPr="00321FCD">
              <w:rPr>
                <w:b/>
                <w:noProof/>
                <w:lang w:eastAsia="sl-SI"/>
              </w:rPr>
              <w:t>Κύπρος</w:t>
            </w:r>
          </w:p>
          <w:p w:rsidR="00AF7B74" w:rsidRPr="001A72DD" w:rsidRDefault="001A72DD" w:rsidP="00414BBD">
            <w:pPr>
              <w:widowControl w:val="0"/>
              <w:spacing w:line="240" w:lineRule="auto"/>
              <w:rPr>
                <w:snapToGrid/>
                <w:lang w:val="sv-SE" w:eastAsia="sl-SI"/>
              </w:rPr>
            </w:pPr>
            <w:r>
              <w:rPr>
                <w:lang w:eastAsia="sl-SI"/>
              </w:rPr>
              <w:t>KI.PA. (PHARMACAL) LIMITED</w:t>
            </w:r>
          </w:p>
          <w:p w:rsidR="00AF7B74" w:rsidRPr="00C403BB" w:rsidRDefault="00AF7B74" w:rsidP="00414BBD">
            <w:pPr>
              <w:widowControl w:val="0"/>
              <w:spacing w:line="240" w:lineRule="auto"/>
              <w:rPr>
                <w:noProof/>
                <w:lang w:val="sv-SE" w:eastAsia="sl-SI"/>
              </w:rPr>
            </w:pPr>
            <w:r w:rsidRPr="00321FCD">
              <w:rPr>
                <w:noProof/>
                <w:lang w:eastAsia="sl-SI"/>
              </w:rPr>
              <w:t>Τηλ</w:t>
            </w:r>
            <w:r w:rsidRPr="00C403BB">
              <w:rPr>
                <w:noProof/>
                <w:lang w:val="sv-SE" w:eastAsia="sl-SI"/>
              </w:rPr>
              <w:t>: + 357 24 651 882</w:t>
            </w:r>
          </w:p>
          <w:p w:rsidR="00AF7B74" w:rsidRPr="00C403BB" w:rsidRDefault="00AF7B74" w:rsidP="00414BBD">
            <w:pPr>
              <w:widowControl w:val="0"/>
              <w:spacing w:line="240" w:lineRule="auto"/>
              <w:rPr>
                <w:noProof/>
                <w:lang w:val="sv-SE" w:eastAsia="sl-SI"/>
              </w:rPr>
            </w:pPr>
          </w:p>
        </w:tc>
        <w:tc>
          <w:tcPr>
            <w:tcW w:w="4680" w:type="dxa"/>
          </w:tcPr>
          <w:p w:rsidR="00AF7B74" w:rsidRPr="00C403BB" w:rsidRDefault="00AF7B74" w:rsidP="00414BBD">
            <w:pPr>
              <w:widowControl w:val="0"/>
              <w:numPr>
                <w:ilvl w:val="12"/>
                <w:numId w:val="0"/>
              </w:numPr>
              <w:spacing w:line="240" w:lineRule="auto"/>
              <w:ind w:right="-2"/>
              <w:rPr>
                <w:b/>
                <w:noProof/>
                <w:lang w:val="sv-SE" w:eastAsia="sl-SI"/>
              </w:rPr>
            </w:pPr>
            <w:r w:rsidRPr="00C403BB">
              <w:rPr>
                <w:b/>
                <w:noProof/>
                <w:lang w:val="sv-SE" w:eastAsia="sl-SI"/>
              </w:rPr>
              <w:t>Sverige</w:t>
            </w:r>
          </w:p>
          <w:p w:rsidR="00AF7B74" w:rsidRPr="00C403BB" w:rsidRDefault="00AF7B74" w:rsidP="00414BBD">
            <w:pPr>
              <w:widowControl w:val="0"/>
              <w:numPr>
                <w:ilvl w:val="12"/>
                <w:numId w:val="0"/>
              </w:numPr>
              <w:spacing w:line="240" w:lineRule="auto"/>
              <w:ind w:right="-2"/>
              <w:rPr>
                <w:noProof/>
                <w:lang w:val="sv-SE" w:eastAsia="sl-SI"/>
              </w:rPr>
            </w:pPr>
            <w:r w:rsidRPr="00C403BB">
              <w:rPr>
                <w:noProof/>
                <w:lang w:val="sv-SE" w:eastAsia="sl-SI"/>
              </w:rPr>
              <w:t>KRKA Sverige AB</w:t>
            </w:r>
          </w:p>
          <w:p w:rsidR="00AF7B74" w:rsidRPr="00C403BB" w:rsidRDefault="00AF7B74" w:rsidP="00414BBD">
            <w:pPr>
              <w:widowControl w:val="0"/>
              <w:numPr>
                <w:ilvl w:val="12"/>
                <w:numId w:val="0"/>
              </w:numPr>
              <w:spacing w:line="240" w:lineRule="auto"/>
              <w:ind w:right="-2"/>
              <w:rPr>
                <w:lang w:val="sv-SE" w:eastAsia="sl-SI"/>
              </w:rPr>
            </w:pPr>
            <w:r w:rsidRPr="00C403BB">
              <w:rPr>
                <w:noProof/>
                <w:lang w:val="sv-SE" w:eastAsia="sl-SI"/>
              </w:rPr>
              <w:t>Tel: + 46 (0)</w:t>
            </w:r>
            <w:r w:rsidRPr="00C403BB">
              <w:rPr>
                <w:lang w:val="sv-SE" w:eastAsia="sl-SI"/>
              </w:rPr>
              <w:t>8 643 67 66 (SE)</w:t>
            </w:r>
          </w:p>
          <w:p w:rsidR="00AF7B74" w:rsidRPr="00C403BB" w:rsidRDefault="00AF7B74" w:rsidP="00414BBD">
            <w:pPr>
              <w:widowControl w:val="0"/>
              <w:numPr>
                <w:ilvl w:val="12"/>
                <w:numId w:val="0"/>
              </w:numPr>
              <w:spacing w:line="240" w:lineRule="auto"/>
              <w:ind w:right="-2"/>
              <w:rPr>
                <w:noProof/>
                <w:lang w:val="sv-SE" w:eastAsia="sl-SI"/>
              </w:rPr>
            </w:pPr>
          </w:p>
        </w:tc>
      </w:tr>
      <w:tr w:rsidR="00AF7B74" w:rsidRPr="00321FCD" w:rsidTr="00414BBD">
        <w:tc>
          <w:tcPr>
            <w:tcW w:w="4680" w:type="dxa"/>
          </w:tcPr>
          <w:p w:rsidR="00AF7B74" w:rsidRPr="00321FCD" w:rsidRDefault="00AF7B74" w:rsidP="00414BBD">
            <w:pPr>
              <w:widowControl w:val="0"/>
              <w:spacing w:line="240" w:lineRule="auto"/>
              <w:rPr>
                <w:b/>
                <w:noProof/>
                <w:lang w:eastAsia="sl-SI"/>
              </w:rPr>
            </w:pPr>
            <w:r w:rsidRPr="00321FCD">
              <w:rPr>
                <w:b/>
                <w:noProof/>
                <w:lang w:eastAsia="sl-SI"/>
              </w:rPr>
              <w:t>Latvija</w:t>
            </w:r>
          </w:p>
          <w:p w:rsidR="00AF7B74" w:rsidRPr="00321FCD" w:rsidRDefault="00AF7B74" w:rsidP="00414BBD">
            <w:pPr>
              <w:widowControl w:val="0"/>
              <w:numPr>
                <w:ilvl w:val="12"/>
                <w:numId w:val="0"/>
              </w:numPr>
              <w:spacing w:line="240" w:lineRule="auto"/>
              <w:ind w:right="-2"/>
              <w:rPr>
                <w:lang w:eastAsia="sl-SI"/>
              </w:rPr>
            </w:pPr>
            <w:r w:rsidRPr="00321FCD">
              <w:rPr>
                <w:lang w:eastAsia="sl-SI"/>
              </w:rPr>
              <w:t>KRKA Latvija SIA</w:t>
            </w:r>
          </w:p>
          <w:p w:rsidR="00AF7B74" w:rsidRPr="00321FCD" w:rsidRDefault="00AF7B74" w:rsidP="00414BBD">
            <w:pPr>
              <w:widowControl w:val="0"/>
              <w:spacing w:line="240" w:lineRule="auto"/>
              <w:rPr>
                <w:noProof/>
                <w:lang w:eastAsia="sl-SI"/>
              </w:rPr>
            </w:pPr>
            <w:r w:rsidRPr="00321FCD">
              <w:rPr>
                <w:noProof/>
                <w:lang w:eastAsia="sl-SI"/>
              </w:rPr>
              <w:t>Tel: + 371 6 733 86 10</w:t>
            </w:r>
          </w:p>
          <w:p w:rsidR="00AF7B74" w:rsidRPr="00321FCD" w:rsidRDefault="00AF7B74" w:rsidP="00414BBD">
            <w:pPr>
              <w:widowControl w:val="0"/>
              <w:spacing w:line="240" w:lineRule="auto"/>
              <w:rPr>
                <w:noProof/>
                <w:lang w:eastAsia="sl-SI"/>
              </w:rPr>
            </w:pPr>
          </w:p>
        </w:tc>
        <w:tc>
          <w:tcPr>
            <w:tcW w:w="4680" w:type="dxa"/>
          </w:tcPr>
          <w:p w:rsidR="00AF7B74" w:rsidRPr="00321FCD" w:rsidRDefault="00AF7B74" w:rsidP="00414BBD">
            <w:pPr>
              <w:widowControl w:val="0"/>
              <w:numPr>
                <w:ilvl w:val="12"/>
                <w:numId w:val="0"/>
              </w:numPr>
              <w:spacing w:line="240" w:lineRule="auto"/>
              <w:ind w:right="-2"/>
              <w:rPr>
                <w:b/>
                <w:noProof/>
                <w:lang w:eastAsia="sl-SI"/>
              </w:rPr>
            </w:pPr>
            <w:r w:rsidRPr="00321FCD">
              <w:rPr>
                <w:b/>
                <w:noProof/>
                <w:lang w:eastAsia="sl-SI"/>
              </w:rPr>
              <w:t>United Kingdom</w:t>
            </w:r>
          </w:p>
          <w:p w:rsidR="00AF7B74" w:rsidRPr="00321FCD" w:rsidRDefault="00AF7B74" w:rsidP="00414BBD">
            <w:pPr>
              <w:widowControl w:val="0"/>
              <w:numPr>
                <w:ilvl w:val="12"/>
                <w:numId w:val="0"/>
              </w:numPr>
              <w:spacing w:line="240" w:lineRule="auto"/>
              <w:ind w:right="-2"/>
              <w:rPr>
                <w:noProof/>
                <w:lang w:eastAsia="sl-SI"/>
              </w:rPr>
            </w:pPr>
            <w:r w:rsidRPr="00321FCD">
              <w:rPr>
                <w:lang w:eastAsia="sl-SI"/>
              </w:rPr>
              <w:t>Consilient Health (UK) Ltd</w:t>
            </w:r>
            <w:r w:rsidRPr="00321FCD">
              <w:rPr>
                <w:noProof/>
                <w:lang w:eastAsia="sl-SI"/>
              </w:rPr>
              <w:t>.</w:t>
            </w:r>
          </w:p>
          <w:p w:rsidR="00AF7B74" w:rsidRPr="00321FCD" w:rsidRDefault="00AF7B74" w:rsidP="00414BBD">
            <w:pPr>
              <w:widowControl w:val="0"/>
              <w:numPr>
                <w:ilvl w:val="12"/>
                <w:numId w:val="0"/>
              </w:numPr>
              <w:spacing w:line="240" w:lineRule="auto"/>
              <w:ind w:right="-2"/>
              <w:rPr>
                <w:lang w:eastAsia="sl-SI"/>
              </w:rPr>
            </w:pPr>
            <w:r w:rsidRPr="00321FCD">
              <w:rPr>
                <w:noProof/>
                <w:lang w:eastAsia="sl-SI"/>
              </w:rPr>
              <w:t>Tel: + 44 (0)203 751 1888</w:t>
            </w:r>
          </w:p>
          <w:p w:rsidR="00AF7B74" w:rsidRPr="00321FCD" w:rsidRDefault="00AF7B74" w:rsidP="00414BBD">
            <w:pPr>
              <w:widowControl w:val="0"/>
              <w:numPr>
                <w:ilvl w:val="12"/>
                <w:numId w:val="0"/>
              </w:numPr>
              <w:spacing w:line="240" w:lineRule="auto"/>
              <w:ind w:right="-2"/>
              <w:rPr>
                <w:noProof/>
                <w:lang w:eastAsia="sl-SI"/>
              </w:rPr>
            </w:pPr>
          </w:p>
        </w:tc>
      </w:tr>
    </w:tbl>
    <w:p w:rsidR="00F2795F" w:rsidRPr="00F2795F" w:rsidRDefault="00F2795F" w:rsidP="00F2795F">
      <w:pPr>
        <w:widowControl w:val="0"/>
        <w:spacing w:line="240" w:lineRule="auto"/>
        <w:rPr>
          <w:noProof/>
          <w:snapToGrid/>
          <w:szCs w:val="22"/>
          <w:highlight w:val="yellow"/>
        </w:rPr>
      </w:pPr>
    </w:p>
    <w:p w:rsidR="00681191" w:rsidRPr="00FC2F1F" w:rsidRDefault="00681191" w:rsidP="00681191">
      <w:pPr>
        <w:widowControl w:val="0"/>
        <w:spacing w:line="240" w:lineRule="auto"/>
        <w:rPr>
          <w:noProof/>
          <w:szCs w:val="22"/>
          <w:lang w:val="el-GR"/>
        </w:rPr>
      </w:pPr>
      <w:r w:rsidRPr="00FC2F1F">
        <w:rPr>
          <w:b/>
          <w:noProof/>
          <w:szCs w:val="22"/>
          <w:lang w:val="el-GR"/>
        </w:rPr>
        <w:t>Το παρόν φύλλο οδηγιών χρήσης αναθεωρήθηκε για τελευταία φορά στις</w:t>
      </w:r>
    </w:p>
    <w:p w:rsidR="00681191" w:rsidRDefault="00681191" w:rsidP="00681191">
      <w:pPr>
        <w:widowControl w:val="0"/>
        <w:spacing w:line="240" w:lineRule="auto"/>
        <w:rPr>
          <w:szCs w:val="22"/>
          <w:lang w:val="sl-SI"/>
        </w:rPr>
      </w:pPr>
    </w:p>
    <w:p w:rsidR="00681191" w:rsidRDefault="00681191" w:rsidP="00681191">
      <w:pPr>
        <w:widowControl w:val="0"/>
        <w:spacing w:line="240" w:lineRule="auto"/>
        <w:rPr>
          <w:szCs w:val="22"/>
          <w:lang w:val="sl-SI"/>
        </w:rPr>
      </w:pPr>
    </w:p>
    <w:p w:rsidR="00681191" w:rsidRPr="00FC2F1F" w:rsidRDefault="00681191" w:rsidP="00681191">
      <w:pPr>
        <w:widowControl w:val="0"/>
        <w:spacing w:line="240" w:lineRule="auto"/>
        <w:rPr>
          <w:noProof/>
          <w:szCs w:val="22"/>
          <w:lang w:val="el-GR"/>
        </w:rPr>
      </w:pPr>
      <w:r w:rsidRPr="00FC2F1F">
        <w:rPr>
          <w:noProof/>
          <w:szCs w:val="22"/>
          <w:lang w:val="el-GR"/>
        </w:rPr>
        <w:t>Λεπτομερ</w:t>
      </w:r>
      <w:r w:rsidR="00460F60">
        <w:rPr>
          <w:noProof/>
          <w:szCs w:val="22"/>
          <w:lang w:val="el-GR"/>
        </w:rPr>
        <w:t>είς</w:t>
      </w:r>
      <w:r w:rsidRPr="00FC2F1F">
        <w:rPr>
          <w:noProof/>
          <w:szCs w:val="22"/>
          <w:lang w:val="el-GR"/>
        </w:rPr>
        <w:t xml:space="preserve"> πληροφορ</w:t>
      </w:r>
      <w:r w:rsidR="00460F60">
        <w:rPr>
          <w:noProof/>
          <w:szCs w:val="22"/>
          <w:lang w:val="el-GR"/>
        </w:rPr>
        <w:t>ίες</w:t>
      </w:r>
      <w:r w:rsidRPr="00FC2F1F">
        <w:rPr>
          <w:noProof/>
          <w:szCs w:val="22"/>
          <w:lang w:val="el-GR"/>
        </w:rPr>
        <w:t xml:space="preserve"> για το </w:t>
      </w:r>
      <w:r w:rsidR="00460F60">
        <w:rPr>
          <w:noProof/>
          <w:szCs w:val="22"/>
          <w:lang w:val="el-GR"/>
        </w:rPr>
        <w:t>φάρμακο</w:t>
      </w:r>
      <w:r w:rsidRPr="00FC2F1F">
        <w:rPr>
          <w:noProof/>
          <w:szCs w:val="22"/>
          <w:lang w:val="el-GR"/>
        </w:rPr>
        <w:t xml:space="preserve"> αυτό είναι διαθέσιμ</w:t>
      </w:r>
      <w:r w:rsidR="00460F60">
        <w:rPr>
          <w:noProof/>
          <w:szCs w:val="22"/>
          <w:lang w:val="el-GR"/>
        </w:rPr>
        <w:t>ες</w:t>
      </w:r>
      <w:r w:rsidRPr="00FC2F1F">
        <w:rPr>
          <w:noProof/>
          <w:szCs w:val="22"/>
          <w:lang w:val="el-GR"/>
        </w:rPr>
        <w:t xml:space="preserve"> στον δικτυακό τόπο του Ευρωπαϊκού Οργανισμού Φαρμάκων: </w:t>
      </w:r>
      <w:hyperlink r:id="rId16" w:history="1">
        <w:r w:rsidRPr="00BF5B97">
          <w:rPr>
            <w:rStyle w:val="Hyperlink"/>
            <w:noProof/>
            <w:szCs w:val="22"/>
            <w:lang w:val="el-GR"/>
          </w:rPr>
          <w:t>http://www.ema.europa.eu</w:t>
        </w:r>
      </w:hyperlink>
      <w:r w:rsidRPr="00FC2F1F">
        <w:rPr>
          <w:noProof/>
          <w:szCs w:val="22"/>
          <w:lang w:val="el-GR"/>
        </w:rPr>
        <w:t>.</w:t>
      </w:r>
    </w:p>
    <w:sectPr w:rsidR="00681191" w:rsidRPr="00FC2F1F" w:rsidSect="00FC2F1F">
      <w:footerReference w:type="default" r:id="rId17"/>
      <w:footerReference w:type="first" r:id="rId18"/>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4A6" w:rsidRDefault="004364A6">
      <w:pPr>
        <w:rPr>
          <w:szCs w:val="24"/>
        </w:rPr>
      </w:pPr>
      <w:r>
        <w:rPr>
          <w:szCs w:val="24"/>
        </w:rPr>
        <w:separator/>
      </w:r>
    </w:p>
  </w:endnote>
  <w:endnote w:type="continuationSeparator" w:id="0">
    <w:p w:rsidR="004364A6" w:rsidRDefault="004364A6">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3CE" w:rsidRDefault="004043CE">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sidR="00574276">
      <w:rPr>
        <w:rStyle w:val="PageNumber"/>
        <w:szCs w:val="24"/>
      </w:rPr>
      <w:t>67</w:t>
    </w:r>
    <w:r>
      <w:rPr>
        <w:rStyle w:val="PageNumber"/>
        <w:szCs w:val="24"/>
      </w:rPr>
      <w:fldChar w:fldCharType="end"/>
    </w:r>
  </w:p>
  <w:p w:rsidR="004043CE" w:rsidRDefault="004043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3CE" w:rsidRDefault="004043CE" w:rsidP="002210C0">
    <w:pPr>
      <w:pStyle w:val="Footer"/>
      <w:tabs>
        <w:tab w:val="right" w:pos="8931"/>
      </w:tabs>
      <w:ind w:right="96"/>
      <w:jc w:val="cente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sidR="00574276">
      <w:rPr>
        <w:rStyle w:val="PageNumber"/>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4A6" w:rsidRDefault="004364A6">
      <w:pPr>
        <w:rPr>
          <w:szCs w:val="24"/>
        </w:rPr>
      </w:pPr>
      <w:r>
        <w:rPr>
          <w:szCs w:val="24"/>
        </w:rPr>
        <w:separator/>
      </w:r>
    </w:p>
  </w:footnote>
  <w:footnote w:type="continuationSeparator" w:id="0">
    <w:p w:rsidR="004364A6" w:rsidRDefault="004364A6">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B5611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5E230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83C139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E2AD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8F0F3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A26F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C8CA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301A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40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A449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FC57DF"/>
    <w:multiLevelType w:val="hybridMultilevel"/>
    <w:tmpl w:val="A5147198"/>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B44285"/>
    <w:multiLevelType w:val="hybridMultilevel"/>
    <w:tmpl w:val="56D238FA"/>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124A2"/>
    <w:multiLevelType w:val="hybridMultilevel"/>
    <w:tmpl w:val="1A965BC8"/>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431B19"/>
    <w:multiLevelType w:val="hybridMultilevel"/>
    <w:tmpl w:val="6E982324"/>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B66380"/>
    <w:multiLevelType w:val="hybridMultilevel"/>
    <w:tmpl w:val="C4E4D5E0"/>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947BF0"/>
    <w:multiLevelType w:val="hybridMultilevel"/>
    <w:tmpl w:val="7C9E3D26"/>
    <w:lvl w:ilvl="0" w:tplc="91AC1582">
      <w:start w:val="6"/>
      <w:numFmt w:val="bullet"/>
      <w:lvlText w:val="-"/>
      <w:lvlJc w:val="left"/>
      <w:pPr>
        <w:tabs>
          <w:tab w:val="num" w:pos="1050"/>
        </w:tabs>
        <w:ind w:left="1050" w:hanging="690"/>
      </w:pPr>
      <w:rPr>
        <w:rFonts w:ascii="Times New Roman" w:eastAsia="Times New Roman" w:hAnsi="Times New Roman"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8B2657"/>
    <w:multiLevelType w:val="hybridMultilevel"/>
    <w:tmpl w:val="2674A92E"/>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A4A03"/>
    <w:multiLevelType w:val="hybridMultilevel"/>
    <w:tmpl w:val="2B1AFE5C"/>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7E61ED"/>
    <w:multiLevelType w:val="hybridMultilevel"/>
    <w:tmpl w:val="2EE212E0"/>
    <w:lvl w:ilvl="0" w:tplc="9414653C">
      <w:start w:val="1"/>
      <w:numFmt w:val="bullet"/>
      <w:lvlText w:val="-"/>
      <w:lvlJc w:val="left"/>
      <w:pPr>
        <w:ind w:left="720" w:hanging="360"/>
      </w:pPr>
      <w:rPr>
        <w:rFonts w:ascii="Times New Roman" w:hAnsi="Times New Roman" w:cs="Times New Roman" w:hint="default"/>
        <w:lang w:val="el-G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25D1F"/>
    <w:multiLevelType w:val="hybridMultilevel"/>
    <w:tmpl w:val="9046561A"/>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DB4C4D"/>
    <w:multiLevelType w:val="singleLevel"/>
    <w:tmpl w:val="C7BAA934"/>
    <w:lvl w:ilvl="0">
      <w:start w:val="1"/>
      <w:numFmt w:val="bullet"/>
      <w:lvlText w:val="-"/>
      <w:lvlJc w:val="left"/>
      <w:pPr>
        <w:tabs>
          <w:tab w:val="num" w:pos="570"/>
        </w:tabs>
        <w:ind w:left="570" w:hanging="570"/>
      </w:pPr>
    </w:lvl>
  </w:abstractNum>
  <w:abstractNum w:abstractNumId="22" w15:restartNumberingAfterBreak="0">
    <w:nsid w:val="63335C81"/>
    <w:multiLevelType w:val="hybridMultilevel"/>
    <w:tmpl w:val="F9D63E72"/>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B31D87"/>
    <w:multiLevelType w:val="hybridMultilevel"/>
    <w:tmpl w:val="E65623BE"/>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E02384"/>
    <w:multiLevelType w:val="hybridMultilevel"/>
    <w:tmpl w:val="6F847B88"/>
    <w:lvl w:ilvl="0" w:tplc="330A4FB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4"/>
  </w:num>
  <w:num w:numId="3">
    <w:abstractNumId w:val="16"/>
  </w:num>
  <w:num w:numId="4">
    <w:abstractNumId w:val="19"/>
  </w:num>
  <w:num w:numId="5">
    <w:abstractNumId w:val="25"/>
  </w:num>
  <w:num w:numId="6">
    <w:abstractNumId w:val="22"/>
  </w:num>
  <w:num w:numId="7">
    <w:abstractNumId w:val="11"/>
  </w:num>
  <w:num w:numId="8">
    <w:abstractNumId w:val="14"/>
  </w:num>
  <w:num w:numId="9">
    <w:abstractNumId w:val="13"/>
  </w:num>
  <w:num w:numId="10">
    <w:abstractNumId w:val="18"/>
  </w:num>
  <w:num w:numId="11">
    <w:abstractNumId w:val="10"/>
  </w:num>
  <w:num w:numId="12">
    <w:abstractNumId w:val="17"/>
  </w:num>
  <w:num w:numId="13">
    <w:abstractNumId w:val="23"/>
  </w:num>
  <w:num w:numId="14">
    <w:abstractNumId w:val="20"/>
  </w:num>
  <w:num w:numId="15">
    <w:abstractNumId w:val="15"/>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1"/>
    <w:lvlOverride w:ilv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D62"/>
    <w:rsid w:val="00001587"/>
    <w:rsid w:val="0000362A"/>
    <w:rsid w:val="00005124"/>
    <w:rsid w:val="00005701"/>
    <w:rsid w:val="00007528"/>
    <w:rsid w:val="00007F82"/>
    <w:rsid w:val="0001164F"/>
    <w:rsid w:val="000124BE"/>
    <w:rsid w:val="00014869"/>
    <w:rsid w:val="00014F6C"/>
    <w:rsid w:val="000150D3"/>
    <w:rsid w:val="000166C1"/>
    <w:rsid w:val="0002006B"/>
    <w:rsid w:val="00020AE8"/>
    <w:rsid w:val="0002241B"/>
    <w:rsid w:val="0002257C"/>
    <w:rsid w:val="000239CD"/>
    <w:rsid w:val="00023E67"/>
    <w:rsid w:val="00025786"/>
    <w:rsid w:val="00025EBE"/>
    <w:rsid w:val="00026BF2"/>
    <w:rsid w:val="000271F6"/>
    <w:rsid w:val="00030445"/>
    <w:rsid w:val="000318C7"/>
    <w:rsid w:val="00033FDB"/>
    <w:rsid w:val="000344F6"/>
    <w:rsid w:val="0003642B"/>
    <w:rsid w:val="000408F1"/>
    <w:rsid w:val="00041CC9"/>
    <w:rsid w:val="00042263"/>
    <w:rsid w:val="000427C2"/>
    <w:rsid w:val="00043348"/>
    <w:rsid w:val="00043505"/>
    <w:rsid w:val="00044042"/>
    <w:rsid w:val="00046A07"/>
    <w:rsid w:val="000474D2"/>
    <w:rsid w:val="000479C5"/>
    <w:rsid w:val="00050DFD"/>
    <w:rsid w:val="000515B3"/>
    <w:rsid w:val="00053809"/>
    <w:rsid w:val="00053914"/>
    <w:rsid w:val="00054756"/>
    <w:rsid w:val="000560C5"/>
    <w:rsid w:val="00056C49"/>
    <w:rsid w:val="00056FE0"/>
    <w:rsid w:val="000603C8"/>
    <w:rsid w:val="000608A4"/>
    <w:rsid w:val="00060AA1"/>
    <w:rsid w:val="000631FD"/>
    <w:rsid w:val="00071F8A"/>
    <w:rsid w:val="00073E04"/>
    <w:rsid w:val="0007628D"/>
    <w:rsid w:val="00081DAB"/>
    <w:rsid w:val="000833C5"/>
    <w:rsid w:val="0008710A"/>
    <w:rsid w:val="00090BD7"/>
    <w:rsid w:val="00091A3D"/>
    <w:rsid w:val="0009351E"/>
    <w:rsid w:val="0009479A"/>
    <w:rsid w:val="00095E44"/>
    <w:rsid w:val="00096D8D"/>
    <w:rsid w:val="0009755A"/>
    <w:rsid w:val="000A0757"/>
    <w:rsid w:val="000A1232"/>
    <w:rsid w:val="000A29BF"/>
    <w:rsid w:val="000A40D0"/>
    <w:rsid w:val="000A4470"/>
    <w:rsid w:val="000A61D8"/>
    <w:rsid w:val="000B0097"/>
    <w:rsid w:val="000B101F"/>
    <w:rsid w:val="000B1F4B"/>
    <w:rsid w:val="000B2F27"/>
    <w:rsid w:val="000B2F58"/>
    <w:rsid w:val="000B37A8"/>
    <w:rsid w:val="000B51D9"/>
    <w:rsid w:val="000C03FB"/>
    <w:rsid w:val="000C308F"/>
    <w:rsid w:val="000C449B"/>
    <w:rsid w:val="000C5A4E"/>
    <w:rsid w:val="000C635D"/>
    <w:rsid w:val="000C7F49"/>
    <w:rsid w:val="000D0350"/>
    <w:rsid w:val="000D1AEE"/>
    <w:rsid w:val="000D1F4F"/>
    <w:rsid w:val="000D395B"/>
    <w:rsid w:val="000D3B13"/>
    <w:rsid w:val="000D4D07"/>
    <w:rsid w:val="000D7535"/>
    <w:rsid w:val="000E0C34"/>
    <w:rsid w:val="000E165D"/>
    <w:rsid w:val="000E1BAF"/>
    <w:rsid w:val="000E223E"/>
    <w:rsid w:val="000E2491"/>
    <w:rsid w:val="000E2EA9"/>
    <w:rsid w:val="000E46A3"/>
    <w:rsid w:val="000E4E88"/>
    <w:rsid w:val="000E5726"/>
    <w:rsid w:val="000E584A"/>
    <w:rsid w:val="000E6C94"/>
    <w:rsid w:val="000E70F9"/>
    <w:rsid w:val="000E7806"/>
    <w:rsid w:val="000F1BB2"/>
    <w:rsid w:val="000F2510"/>
    <w:rsid w:val="000F3F94"/>
    <w:rsid w:val="00101989"/>
    <w:rsid w:val="00103501"/>
    <w:rsid w:val="00103B2D"/>
    <w:rsid w:val="00103CD2"/>
    <w:rsid w:val="00104061"/>
    <w:rsid w:val="00107236"/>
    <w:rsid w:val="001078FC"/>
    <w:rsid w:val="001101A2"/>
    <w:rsid w:val="001106F7"/>
    <w:rsid w:val="001108A9"/>
    <w:rsid w:val="00112EDA"/>
    <w:rsid w:val="001137A0"/>
    <w:rsid w:val="00113B42"/>
    <w:rsid w:val="00114174"/>
    <w:rsid w:val="00116373"/>
    <w:rsid w:val="00117C1D"/>
    <w:rsid w:val="00117E45"/>
    <w:rsid w:val="00120FF6"/>
    <w:rsid w:val="00122182"/>
    <w:rsid w:val="00123688"/>
    <w:rsid w:val="00123EE6"/>
    <w:rsid w:val="00123FB1"/>
    <w:rsid w:val="00127F47"/>
    <w:rsid w:val="00130B8B"/>
    <w:rsid w:val="00133572"/>
    <w:rsid w:val="00135D69"/>
    <w:rsid w:val="00136D7A"/>
    <w:rsid w:val="0013710A"/>
    <w:rsid w:val="00141470"/>
    <w:rsid w:val="00141540"/>
    <w:rsid w:val="0014268C"/>
    <w:rsid w:val="001449DF"/>
    <w:rsid w:val="00144A38"/>
    <w:rsid w:val="0014569B"/>
    <w:rsid w:val="00145D99"/>
    <w:rsid w:val="00146BBC"/>
    <w:rsid w:val="001470E0"/>
    <w:rsid w:val="00150060"/>
    <w:rsid w:val="00150908"/>
    <w:rsid w:val="00151E42"/>
    <w:rsid w:val="001531CB"/>
    <w:rsid w:val="00154C69"/>
    <w:rsid w:val="00154FA4"/>
    <w:rsid w:val="0015704C"/>
    <w:rsid w:val="00160AD8"/>
    <w:rsid w:val="00161701"/>
    <w:rsid w:val="00161E87"/>
    <w:rsid w:val="0016566C"/>
    <w:rsid w:val="001656FE"/>
    <w:rsid w:val="00165C00"/>
    <w:rsid w:val="001727F0"/>
    <w:rsid w:val="00172B06"/>
    <w:rsid w:val="0017347E"/>
    <w:rsid w:val="001752D8"/>
    <w:rsid w:val="00175931"/>
    <w:rsid w:val="00175B0F"/>
    <w:rsid w:val="0017678C"/>
    <w:rsid w:val="00176B25"/>
    <w:rsid w:val="00180A2B"/>
    <w:rsid w:val="001812DB"/>
    <w:rsid w:val="0018238B"/>
    <w:rsid w:val="00183419"/>
    <w:rsid w:val="0018394A"/>
    <w:rsid w:val="00184DCC"/>
    <w:rsid w:val="00186A9D"/>
    <w:rsid w:val="001874A6"/>
    <w:rsid w:val="0018765B"/>
    <w:rsid w:val="00190913"/>
    <w:rsid w:val="00191701"/>
    <w:rsid w:val="00193DD3"/>
    <w:rsid w:val="00195526"/>
    <w:rsid w:val="00195F65"/>
    <w:rsid w:val="001A07E2"/>
    <w:rsid w:val="001A2018"/>
    <w:rsid w:val="001A2596"/>
    <w:rsid w:val="001A361D"/>
    <w:rsid w:val="001A56F1"/>
    <w:rsid w:val="001A72DD"/>
    <w:rsid w:val="001A7346"/>
    <w:rsid w:val="001B01C8"/>
    <w:rsid w:val="001B0B52"/>
    <w:rsid w:val="001B13F6"/>
    <w:rsid w:val="001B1747"/>
    <w:rsid w:val="001B228F"/>
    <w:rsid w:val="001B2D44"/>
    <w:rsid w:val="001B54AD"/>
    <w:rsid w:val="001B752A"/>
    <w:rsid w:val="001C12FB"/>
    <w:rsid w:val="001C2277"/>
    <w:rsid w:val="001C2DB4"/>
    <w:rsid w:val="001C3228"/>
    <w:rsid w:val="001C35E9"/>
    <w:rsid w:val="001C36BD"/>
    <w:rsid w:val="001C3733"/>
    <w:rsid w:val="001C49B3"/>
    <w:rsid w:val="001C5B30"/>
    <w:rsid w:val="001C7920"/>
    <w:rsid w:val="001D284C"/>
    <w:rsid w:val="001D3C05"/>
    <w:rsid w:val="001D3CCF"/>
    <w:rsid w:val="001D4465"/>
    <w:rsid w:val="001D6AF4"/>
    <w:rsid w:val="001E0CC1"/>
    <w:rsid w:val="001E12E2"/>
    <w:rsid w:val="001E1C10"/>
    <w:rsid w:val="001E3CC0"/>
    <w:rsid w:val="001E4028"/>
    <w:rsid w:val="001E77C3"/>
    <w:rsid w:val="001F090B"/>
    <w:rsid w:val="001F0FFB"/>
    <w:rsid w:val="001F180A"/>
    <w:rsid w:val="001F1A28"/>
    <w:rsid w:val="001F1AD0"/>
    <w:rsid w:val="001F35E8"/>
    <w:rsid w:val="001F4014"/>
    <w:rsid w:val="001F445E"/>
    <w:rsid w:val="001F50D7"/>
    <w:rsid w:val="001F63AF"/>
    <w:rsid w:val="0020033E"/>
    <w:rsid w:val="00201213"/>
    <w:rsid w:val="0020165E"/>
    <w:rsid w:val="002017F4"/>
    <w:rsid w:val="00201FC7"/>
    <w:rsid w:val="00202E50"/>
    <w:rsid w:val="00203BC0"/>
    <w:rsid w:val="00203E6C"/>
    <w:rsid w:val="002048FB"/>
    <w:rsid w:val="0020510D"/>
    <w:rsid w:val="00205180"/>
    <w:rsid w:val="00207F81"/>
    <w:rsid w:val="002109F4"/>
    <w:rsid w:val="00210A9A"/>
    <w:rsid w:val="00211437"/>
    <w:rsid w:val="00211FDA"/>
    <w:rsid w:val="00215FDA"/>
    <w:rsid w:val="002160C2"/>
    <w:rsid w:val="002210C0"/>
    <w:rsid w:val="00222137"/>
    <w:rsid w:val="00222BB9"/>
    <w:rsid w:val="002242EE"/>
    <w:rsid w:val="00224D7E"/>
    <w:rsid w:val="002258D6"/>
    <w:rsid w:val="00226285"/>
    <w:rsid w:val="002274FB"/>
    <w:rsid w:val="002309D2"/>
    <w:rsid w:val="00231B61"/>
    <w:rsid w:val="0023315B"/>
    <w:rsid w:val="00233ACC"/>
    <w:rsid w:val="002347FE"/>
    <w:rsid w:val="002373AA"/>
    <w:rsid w:val="0024178D"/>
    <w:rsid w:val="002427B3"/>
    <w:rsid w:val="0024392B"/>
    <w:rsid w:val="002450C6"/>
    <w:rsid w:val="00245134"/>
    <w:rsid w:val="002454AB"/>
    <w:rsid w:val="00245DCF"/>
    <w:rsid w:val="00246C65"/>
    <w:rsid w:val="00253A49"/>
    <w:rsid w:val="002542A8"/>
    <w:rsid w:val="00260A11"/>
    <w:rsid w:val="0026169A"/>
    <w:rsid w:val="00261A8A"/>
    <w:rsid w:val="00262763"/>
    <w:rsid w:val="00264BEA"/>
    <w:rsid w:val="00267850"/>
    <w:rsid w:val="00267E46"/>
    <w:rsid w:val="00271032"/>
    <w:rsid w:val="00273121"/>
    <w:rsid w:val="00273E3E"/>
    <w:rsid w:val="00274147"/>
    <w:rsid w:val="00275189"/>
    <w:rsid w:val="002756DC"/>
    <w:rsid w:val="00276412"/>
    <w:rsid w:val="00276437"/>
    <w:rsid w:val="0028063F"/>
    <w:rsid w:val="00280740"/>
    <w:rsid w:val="00283B02"/>
    <w:rsid w:val="00283C5D"/>
    <w:rsid w:val="002844B0"/>
    <w:rsid w:val="00286322"/>
    <w:rsid w:val="0028762C"/>
    <w:rsid w:val="002926DF"/>
    <w:rsid w:val="0029487D"/>
    <w:rsid w:val="00295A27"/>
    <w:rsid w:val="00295D20"/>
    <w:rsid w:val="00296B03"/>
    <w:rsid w:val="00296C1F"/>
    <w:rsid w:val="002A32A2"/>
    <w:rsid w:val="002A37AC"/>
    <w:rsid w:val="002A3FBD"/>
    <w:rsid w:val="002A41E6"/>
    <w:rsid w:val="002A44C8"/>
    <w:rsid w:val="002A5E48"/>
    <w:rsid w:val="002B0059"/>
    <w:rsid w:val="002B0455"/>
    <w:rsid w:val="002B1AB4"/>
    <w:rsid w:val="002B261C"/>
    <w:rsid w:val="002B2BEE"/>
    <w:rsid w:val="002B35C5"/>
    <w:rsid w:val="002B3935"/>
    <w:rsid w:val="002B406A"/>
    <w:rsid w:val="002B41D4"/>
    <w:rsid w:val="002B543F"/>
    <w:rsid w:val="002B7D73"/>
    <w:rsid w:val="002C06E3"/>
    <w:rsid w:val="002C0801"/>
    <w:rsid w:val="002C0868"/>
    <w:rsid w:val="002C151B"/>
    <w:rsid w:val="002C2B3E"/>
    <w:rsid w:val="002C33B3"/>
    <w:rsid w:val="002C34DE"/>
    <w:rsid w:val="002C44B0"/>
    <w:rsid w:val="002C4E07"/>
    <w:rsid w:val="002D01F8"/>
    <w:rsid w:val="002D0477"/>
    <w:rsid w:val="002D0586"/>
    <w:rsid w:val="002D0F52"/>
    <w:rsid w:val="002D1023"/>
    <w:rsid w:val="002D1459"/>
    <w:rsid w:val="002D1470"/>
    <w:rsid w:val="002D21CF"/>
    <w:rsid w:val="002D3293"/>
    <w:rsid w:val="002D4705"/>
    <w:rsid w:val="002D5B65"/>
    <w:rsid w:val="002D6396"/>
    <w:rsid w:val="002D6CB7"/>
    <w:rsid w:val="002D7E5E"/>
    <w:rsid w:val="002E0294"/>
    <w:rsid w:val="002E07EF"/>
    <w:rsid w:val="002E0D06"/>
    <w:rsid w:val="002E1810"/>
    <w:rsid w:val="002E2099"/>
    <w:rsid w:val="002E4E94"/>
    <w:rsid w:val="002E5DB8"/>
    <w:rsid w:val="002F1F28"/>
    <w:rsid w:val="002F43CA"/>
    <w:rsid w:val="002F47A5"/>
    <w:rsid w:val="002F5711"/>
    <w:rsid w:val="002F57AA"/>
    <w:rsid w:val="002F714C"/>
    <w:rsid w:val="002F77BF"/>
    <w:rsid w:val="00300143"/>
    <w:rsid w:val="003004A2"/>
    <w:rsid w:val="00302EDA"/>
    <w:rsid w:val="00302FB9"/>
    <w:rsid w:val="003035A1"/>
    <w:rsid w:val="00303DD5"/>
    <w:rsid w:val="003044F4"/>
    <w:rsid w:val="00304566"/>
    <w:rsid w:val="00306A90"/>
    <w:rsid w:val="00307B74"/>
    <w:rsid w:val="00310764"/>
    <w:rsid w:val="003112FF"/>
    <w:rsid w:val="00311B75"/>
    <w:rsid w:val="00320203"/>
    <w:rsid w:val="00321AA8"/>
    <w:rsid w:val="00322002"/>
    <w:rsid w:val="00323407"/>
    <w:rsid w:val="003247B0"/>
    <w:rsid w:val="00325E81"/>
    <w:rsid w:val="00326948"/>
    <w:rsid w:val="003269AF"/>
    <w:rsid w:val="00326E1C"/>
    <w:rsid w:val="00327052"/>
    <w:rsid w:val="0033113C"/>
    <w:rsid w:val="00331B7D"/>
    <w:rsid w:val="003344AF"/>
    <w:rsid w:val="0033486D"/>
    <w:rsid w:val="003367C4"/>
    <w:rsid w:val="00336D8E"/>
    <w:rsid w:val="003376B3"/>
    <w:rsid w:val="00341CD3"/>
    <w:rsid w:val="00345F9C"/>
    <w:rsid w:val="003462A6"/>
    <w:rsid w:val="00347776"/>
    <w:rsid w:val="00350B58"/>
    <w:rsid w:val="00351473"/>
    <w:rsid w:val="00351A91"/>
    <w:rsid w:val="003520C4"/>
    <w:rsid w:val="003533AE"/>
    <w:rsid w:val="00355E14"/>
    <w:rsid w:val="00361280"/>
    <w:rsid w:val="003615C0"/>
    <w:rsid w:val="003615F1"/>
    <w:rsid w:val="00361A6E"/>
    <w:rsid w:val="00363D7F"/>
    <w:rsid w:val="00367C66"/>
    <w:rsid w:val="003700B2"/>
    <w:rsid w:val="003704DB"/>
    <w:rsid w:val="0037233D"/>
    <w:rsid w:val="003724B7"/>
    <w:rsid w:val="00372C33"/>
    <w:rsid w:val="00372D7C"/>
    <w:rsid w:val="003736EF"/>
    <w:rsid w:val="003737E3"/>
    <w:rsid w:val="00375F1A"/>
    <w:rsid w:val="00380A1A"/>
    <w:rsid w:val="00380D80"/>
    <w:rsid w:val="00383A08"/>
    <w:rsid w:val="0038500E"/>
    <w:rsid w:val="0038761D"/>
    <w:rsid w:val="003906F8"/>
    <w:rsid w:val="00390C9F"/>
    <w:rsid w:val="003935EE"/>
    <w:rsid w:val="0039408A"/>
    <w:rsid w:val="003945F5"/>
    <w:rsid w:val="0039673D"/>
    <w:rsid w:val="003975DA"/>
    <w:rsid w:val="00397893"/>
    <w:rsid w:val="003A0A68"/>
    <w:rsid w:val="003A0DC0"/>
    <w:rsid w:val="003A15DA"/>
    <w:rsid w:val="003A2407"/>
    <w:rsid w:val="003A2CF0"/>
    <w:rsid w:val="003A33D3"/>
    <w:rsid w:val="003A3880"/>
    <w:rsid w:val="003A3C1D"/>
    <w:rsid w:val="003A5BC5"/>
    <w:rsid w:val="003A5D55"/>
    <w:rsid w:val="003A6897"/>
    <w:rsid w:val="003A6904"/>
    <w:rsid w:val="003A6F21"/>
    <w:rsid w:val="003A75E6"/>
    <w:rsid w:val="003B0CCD"/>
    <w:rsid w:val="003B1062"/>
    <w:rsid w:val="003B255B"/>
    <w:rsid w:val="003B2EEC"/>
    <w:rsid w:val="003B3317"/>
    <w:rsid w:val="003B3AE4"/>
    <w:rsid w:val="003B4B2F"/>
    <w:rsid w:val="003B52D4"/>
    <w:rsid w:val="003C13AD"/>
    <w:rsid w:val="003C1CA5"/>
    <w:rsid w:val="003C1EC7"/>
    <w:rsid w:val="003C3D8E"/>
    <w:rsid w:val="003C4B06"/>
    <w:rsid w:val="003C64A0"/>
    <w:rsid w:val="003C6F0B"/>
    <w:rsid w:val="003C7BA3"/>
    <w:rsid w:val="003D0FAB"/>
    <w:rsid w:val="003D19E2"/>
    <w:rsid w:val="003D2DCD"/>
    <w:rsid w:val="003D4E9C"/>
    <w:rsid w:val="003D6A16"/>
    <w:rsid w:val="003D7795"/>
    <w:rsid w:val="003E0118"/>
    <w:rsid w:val="003E0D78"/>
    <w:rsid w:val="003E1CB1"/>
    <w:rsid w:val="003E1E5F"/>
    <w:rsid w:val="003E3A1D"/>
    <w:rsid w:val="003E6CA0"/>
    <w:rsid w:val="003E7666"/>
    <w:rsid w:val="003F05F1"/>
    <w:rsid w:val="003F07AF"/>
    <w:rsid w:val="003F1B3D"/>
    <w:rsid w:val="003F1F41"/>
    <w:rsid w:val="003F2FDE"/>
    <w:rsid w:val="003F330B"/>
    <w:rsid w:val="003F4B86"/>
    <w:rsid w:val="003F6970"/>
    <w:rsid w:val="003F6FDF"/>
    <w:rsid w:val="0040081C"/>
    <w:rsid w:val="00400B9E"/>
    <w:rsid w:val="004016F5"/>
    <w:rsid w:val="004043CE"/>
    <w:rsid w:val="004045AA"/>
    <w:rsid w:val="0040549A"/>
    <w:rsid w:val="00405CC9"/>
    <w:rsid w:val="00406C87"/>
    <w:rsid w:val="0040725E"/>
    <w:rsid w:val="004076F9"/>
    <w:rsid w:val="00407D67"/>
    <w:rsid w:val="004128B0"/>
    <w:rsid w:val="004135A9"/>
    <w:rsid w:val="004138DE"/>
    <w:rsid w:val="00414B2F"/>
    <w:rsid w:val="00414BBD"/>
    <w:rsid w:val="00415E58"/>
    <w:rsid w:val="00416231"/>
    <w:rsid w:val="00416C8E"/>
    <w:rsid w:val="0041734A"/>
    <w:rsid w:val="004208AB"/>
    <w:rsid w:val="004219EF"/>
    <w:rsid w:val="004226E6"/>
    <w:rsid w:val="00426330"/>
    <w:rsid w:val="00426CD9"/>
    <w:rsid w:val="004270F8"/>
    <w:rsid w:val="00427B4D"/>
    <w:rsid w:val="004301CE"/>
    <w:rsid w:val="00430FEB"/>
    <w:rsid w:val="004310EE"/>
    <w:rsid w:val="00433677"/>
    <w:rsid w:val="004340D5"/>
    <w:rsid w:val="00434880"/>
    <w:rsid w:val="0043526D"/>
    <w:rsid w:val="00435476"/>
    <w:rsid w:val="004361C5"/>
    <w:rsid w:val="004364A6"/>
    <w:rsid w:val="004413F7"/>
    <w:rsid w:val="004431D2"/>
    <w:rsid w:val="00444202"/>
    <w:rsid w:val="004460E9"/>
    <w:rsid w:val="00447B6F"/>
    <w:rsid w:val="004513E0"/>
    <w:rsid w:val="00453623"/>
    <w:rsid w:val="00453C11"/>
    <w:rsid w:val="004557B0"/>
    <w:rsid w:val="00455F8D"/>
    <w:rsid w:val="00456CDA"/>
    <w:rsid w:val="00457946"/>
    <w:rsid w:val="00457D8B"/>
    <w:rsid w:val="00460A17"/>
    <w:rsid w:val="00460F60"/>
    <w:rsid w:val="00463883"/>
    <w:rsid w:val="00463ECE"/>
    <w:rsid w:val="00470CB5"/>
    <w:rsid w:val="00471EAB"/>
    <w:rsid w:val="004723EE"/>
    <w:rsid w:val="00472C45"/>
    <w:rsid w:val="00474B7C"/>
    <w:rsid w:val="00475A92"/>
    <w:rsid w:val="00477BB9"/>
    <w:rsid w:val="00477FC1"/>
    <w:rsid w:val="00484BD3"/>
    <w:rsid w:val="0048529E"/>
    <w:rsid w:val="004856FA"/>
    <w:rsid w:val="00487366"/>
    <w:rsid w:val="004873E4"/>
    <w:rsid w:val="0049072C"/>
    <w:rsid w:val="00490FD1"/>
    <w:rsid w:val="00491AD2"/>
    <w:rsid w:val="00493064"/>
    <w:rsid w:val="004935C0"/>
    <w:rsid w:val="00493B43"/>
    <w:rsid w:val="00494EB1"/>
    <w:rsid w:val="00496414"/>
    <w:rsid w:val="0049788F"/>
    <w:rsid w:val="00497944"/>
    <w:rsid w:val="00497A38"/>
    <w:rsid w:val="00497F99"/>
    <w:rsid w:val="004A0115"/>
    <w:rsid w:val="004A27C0"/>
    <w:rsid w:val="004A45BD"/>
    <w:rsid w:val="004A4656"/>
    <w:rsid w:val="004A5320"/>
    <w:rsid w:val="004A684B"/>
    <w:rsid w:val="004A77B0"/>
    <w:rsid w:val="004B08A9"/>
    <w:rsid w:val="004B0BC9"/>
    <w:rsid w:val="004B1CED"/>
    <w:rsid w:val="004B34A7"/>
    <w:rsid w:val="004B3B06"/>
    <w:rsid w:val="004B4106"/>
    <w:rsid w:val="004B4423"/>
    <w:rsid w:val="004B4643"/>
    <w:rsid w:val="004B7F67"/>
    <w:rsid w:val="004C0867"/>
    <w:rsid w:val="004C1994"/>
    <w:rsid w:val="004C7CD5"/>
    <w:rsid w:val="004D1797"/>
    <w:rsid w:val="004D1E83"/>
    <w:rsid w:val="004D2FF9"/>
    <w:rsid w:val="004D4080"/>
    <w:rsid w:val="004E05FD"/>
    <w:rsid w:val="004E12F3"/>
    <w:rsid w:val="004E1A0D"/>
    <w:rsid w:val="004E23F5"/>
    <w:rsid w:val="004E5418"/>
    <w:rsid w:val="004E5D46"/>
    <w:rsid w:val="004E5ED9"/>
    <w:rsid w:val="004E63E5"/>
    <w:rsid w:val="004E6B76"/>
    <w:rsid w:val="004E7797"/>
    <w:rsid w:val="004F3540"/>
    <w:rsid w:val="004F52DB"/>
    <w:rsid w:val="004F5624"/>
    <w:rsid w:val="004F5DA4"/>
    <w:rsid w:val="004F62B2"/>
    <w:rsid w:val="004F6424"/>
    <w:rsid w:val="004F7001"/>
    <w:rsid w:val="00500B43"/>
    <w:rsid w:val="005040CD"/>
    <w:rsid w:val="00505229"/>
    <w:rsid w:val="00507F18"/>
    <w:rsid w:val="00507F98"/>
    <w:rsid w:val="005108A3"/>
    <w:rsid w:val="00510F6E"/>
    <w:rsid w:val="005118AE"/>
    <w:rsid w:val="00513CD2"/>
    <w:rsid w:val="00513FC5"/>
    <w:rsid w:val="005152F3"/>
    <w:rsid w:val="0051587A"/>
    <w:rsid w:val="005158FA"/>
    <w:rsid w:val="005169AD"/>
    <w:rsid w:val="00520461"/>
    <w:rsid w:val="005208B9"/>
    <w:rsid w:val="005221F0"/>
    <w:rsid w:val="00524807"/>
    <w:rsid w:val="00525FF9"/>
    <w:rsid w:val="00526188"/>
    <w:rsid w:val="005266E5"/>
    <w:rsid w:val="00527F76"/>
    <w:rsid w:val="00532072"/>
    <w:rsid w:val="00532C41"/>
    <w:rsid w:val="00532D3F"/>
    <w:rsid w:val="0053386D"/>
    <w:rsid w:val="005339D9"/>
    <w:rsid w:val="00534700"/>
    <w:rsid w:val="00535DDF"/>
    <w:rsid w:val="0053791F"/>
    <w:rsid w:val="00540287"/>
    <w:rsid w:val="00542D21"/>
    <w:rsid w:val="00547538"/>
    <w:rsid w:val="00553BFA"/>
    <w:rsid w:val="00554A5B"/>
    <w:rsid w:val="00554D05"/>
    <w:rsid w:val="005559A4"/>
    <w:rsid w:val="0056077E"/>
    <w:rsid w:val="00560EDA"/>
    <w:rsid w:val="005618A8"/>
    <w:rsid w:val="005629EE"/>
    <w:rsid w:val="005648FA"/>
    <w:rsid w:val="00564D50"/>
    <w:rsid w:val="00567346"/>
    <w:rsid w:val="005676F3"/>
    <w:rsid w:val="00572A40"/>
    <w:rsid w:val="0057371B"/>
    <w:rsid w:val="00574276"/>
    <w:rsid w:val="00575EB8"/>
    <w:rsid w:val="00577B23"/>
    <w:rsid w:val="00582158"/>
    <w:rsid w:val="00582A9B"/>
    <w:rsid w:val="00582F5F"/>
    <w:rsid w:val="005832AB"/>
    <w:rsid w:val="005842E4"/>
    <w:rsid w:val="0058437C"/>
    <w:rsid w:val="00584CF4"/>
    <w:rsid w:val="0058659D"/>
    <w:rsid w:val="00591C7D"/>
    <w:rsid w:val="005935F4"/>
    <w:rsid w:val="00593E0A"/>
    <w:rsid w:val="0059689E"/>
    <w:rsid w:val="005A167F"/>
    <w:rsid w:val="005A280F"/>
    <w:rsid w:val="005A346E"/>
    <w:rsid w:val="005A5260"/>
    <w:rsid w:val="005A5D56"/>
    <w:rsid w:val="005A73CF"/>
    <w:rsid w:val="005B08B3"/>
    <w:rsid w:val="005B3126"/>
    <w:rsid w:val="005B334C"/>
    <w:rsid w:val="005B3F6F"/>
    <w:rsid w:val="005B443C"/>
    <w:rsid w:val="005B4A59"/>
    <w:rsid w:val="005B798B"/>
    <w:rsid w:val="005C1FAE"/>
    <w:rsid w:val="005C266B"/>
    <w:rsid w:val="005C39E8"/>
    <w:rsid w:val="005C4EF7"/>
    <w:rsid w:val="005C5660"/>
    <w:rsid w:val="005C57F1"/>
    <w:rsid w:val="005C5813"/>
    <w:rsid w:val="005D3AAA"/>
    <w:rsid w:val="005D3E47"/>
    <w:rsid w:val="005D4B68"/>
    <w:rsid w:val="005D6217"/>
    <w:rsid w:val="005E11C1"/>
    <w:rsid w:val="005E2563"/>
    <w:rsid w:val="005E2B02"/>
    <w:rsid w:val="005E35A8"/>
    <w:rsid w:val="005E394C"/>
    <w:rsid w:val="005E42BF"/>
    <w:rsid w:val="005E4E70"/>
    <w:rsid w:val="005E65BB"/>
    <w:rsid w:val="005E71DC"/>
    <w:rsid w:val="005F0B5B"/>
    <w:rsid w:val="005F0DA0"/>
    <w:rsid w:val="005F2A11"/>
    <w:rsid w:val="005F45C8"/>
    <w:rsid w:val="005F4914"/>
    <w:rsid w:val="005F6139"/>
    <w:rsid w:val="005F62B7"/>
    <w:rsid w:val="005F6869"/>
    <w:rsid w:val="005F6BB9"/>
    <w:rsid w:val="0060019E"/>
    <w:rsid w:val="00601465"/>
    <w:rsid w:val="00601CC3"/>
    <w:rsid w:val="00603148"/>
    <w:rsid w:val="00606FC7"/>
    <w:rsid w:val="00607769"/>
    <w:rsid w:val="00610456"/>
    <w:rsid w:val="00611473"/>
    <w:rsid w:val="00611B36"/>
    <w:rsid w:val="00613A34"/>
    <w:rsid w:val="00614F8B"/>
    <w:rsid w:val="006152F6"/>
    <w:rsid w:val="00615ADA"/>
    <w:rsid w:val="0062172C"/>
    <w:rsid w:val="006221CD"/>
    <w:rsid w:val="006266A9"/>
    <w:rsid w:val="00630426"/>
    <w:rsid w:val="006316C1"/>
    <w:rsid w:val="00631ED4"/>
    <w:rsid w:val="0063361C"/>
    <w:rsid w:val="00633BC7"/>
    <w:rsid w:val="00635E9C"/>
    <w:rsid w:val="00637385"/>
    <w:rsid w:val="006373B5"/>
    <w:rsid w:val="00637B41"/>
    <w:rsid w:val="006407D5"/>
    <w:rsid w:val="006414EE"/>
    <w:rsid w:val="00642524"/>
    <w:rsid w:val="00642D0A"/>
    <w:rsid w:val="006438BA"/>
    <w:rsid w:val="00645FE7"/>
    <w:rsid w:val="00646D1A"/>
    <w:rsid w:val="00646FE1"/>
    <w:rsid w:val="0065581D"/>
    <w:rsid w:val="00655C2F"/>
    <w:rsid w:val="0065655B"/>
    <w:rsid w:val="00660403"/>
    <w:rsid w:val="00661140"/>
    <w:rsid w:val="00663E0D"/>
    <w:rsid w:val="00664696"/>
    <w:rsid w:val="00670CC7"/>
    <w:rsid w:val="00670D73"/>
    <w:rsid w:val="006710DD"/>
    <w:rsid w:val="00672429"/>
    <w:rsid w:val="00673200"/>
    <w:rsid w:val="006732FF"/>
    <w:rsid w:val="0067501E"/>
    <w:rsid w:val="006773D2"/>
    <w:rsid w:val="00680581"/>
    <w:rsid w:val="00680EF5"/>
    <w:rsid w:val="00681191"/>
    <w:rsid w:val="00681A41"/>
    <w:rsid w:val="006821B2"/>
    <w:rsid w:val="006838C0"/>
    <w:rsid w:val="00685901"/>
    <w:rsid w:val="00685BB9"/>
    <w:rsid w:val="00687E47"/>
    <w:rsid w:val="00690127"/>
    <w:rsid w:val="00691BFF"/>
    <w:rsid w:val="006953C1"/>
    <w:rsid w:val="00696EB2"/>
    <w:rsid w:val="006A16E9"/>
    <w:rsid w:val="006A5450"/>
    <w:rsid w:val="006A56FC"/>
    <w:rsid w:val="006A5B87"/>
    <w:rsid w:val="006B0199"/>
    <w:rsid w:val="006B0A32"/>
    <w:rsid w:val="006B0BD8"/>
    <w:rsid w:val="006B44D6"/>
    <w:rsid w:val="006B5EB9"/>
    <w:rsid w:val="006C0251"/>
    <w:rsid w:val="006C2377"/>
    <w:rsid w:val="006C2B9A"/>
    <w:rsid w:val="006C39BB"/>
    <w:rsid w:val="006C4502"/>
    <w:rsid w:val="006C516A"/>
    <w:rsid w:val="006C5F5C"/>
    <w:rsid w:val="006D0491"/>
    <w:rsid w:val="006D2DFC"/>
    <w:rsid w:val="006D4FF7"/>
    <w:rsid w:val="006D5E91"/>
    <w:rsid w:val="006D7719"/>
    <w:rsid w:val="006E14E6"/>
    <w:rsid w:val="006E1AEE"/>
    <w:rsid w:val="006E2F52"/>
    <w:rsid w:val="006E3B9C"/>
    <w:rsid w:val="006E51A2"/>
    <w:rsid w:val="006F0DE2"/>
    <w:rsid w:val="006F3495"/>
    <w:rsid w:val="006F417D"/>
    <w:rsid w:val="006F5C83"/>
    <w:rsid w:val="006F67CC"/>
    <w:rsid w:val="006F7591"/>
    <w:rsid w:val="00701C2D"/>
    <w:rsid w:val="00702162"/>
    <w:rsid w:val="00703022"/>
    <w:rsid w:val="00703930"/>
    <w:rsid w:val="007050A1"/>
    <w:rsid w:val="0070610E"/>
    <w:rsid w:val="00707759"/>
    <w:rsid w:val="00707ACB"/>
    <w:rsid w:val="00710081"/>
    <w:rsid w:val="00710B0D"/>
    <w:rsid w:val="00713CB5"/>
    <w:rsid w:val="00714685"/>
    <w:rsid w:val="00715307"/>
    <w:rsid w:val="0071558B"/>
    <w:rsid w:val="00720EDB"/>
    <w:rsid w:val="00721024"/>
    <w:rsid w:val="00721189"/>
    <w:rsid w:val="007221C3"/>
    <w:rsid w:val="00722F2C"/>
    <w:rsid w:val="007254D1"/>
    <w:rsid w:val="00725B32"/>
    <w:rsid w:val="00725B3C"/>
    <w:rsid w:val="00731613"/>
    <w:rsid w:val="007324E4"/>
    <w:rsid w:val="00733D54"/>
    <w:rsid w:val="00733DD1"/>
    <w:rsid w:val="00736A4F"/>
    <w:rsid w:val="00737753"/>
    <w:rsid w:val="00740CE9"/>
    <w:rsid w:val="00742264"/>
    <w:rsid w:val="00742460"/>
    <w:rsid w:val="007428E3"/>
    <w:rsid w:val="00742B6C"/>
    <w:rsid w:val="0074394E"/>
    <w:rsid w:val="0074577B"/>
    <w:rsid w:val="00750D0A"/>
    <w:rsid w:val="00751D93"/>
    <w:rsid w:val="00752300"/>
    <w:rsid w:val="007537C5"/>
    <w:rsid w:val="007546F8"/>
    <w:rsid w:val="00755BAB"/>
    <w:rsid w:val="00756BE9"/>
    <w:rsid w:val="00757F8E"/>
    <w:rsid w:val="0076080E"/>
    <w:rsid w:val="0076095A"/>
    <w:rsid w:val="00760D29"/>
    <w:rsid w:val="0076411D"/>
    <w:rsid w:val="007644B0"/>
    <w:rsid w:val="0076549E"/>
    <w:rsid w:val="0076610E"/>
    <w:rsid w:val="007670F8"/>
    <w:rsid w:val="007671D4"/>
    <w:rsid w:val="00767EAF"/>
    <w:rsid w:val="007704EE"/>
    <w:rsid w:val="00770A85"/>
    <w:rsid w:val="0077175C"/>
    <w:rsid w:val="00772933"/>
    <w:rsid w:val="00773DC9"/>
    <w:rsid w:val="00774497"/>
    <w:rsid w:val="00774EBC"/>
    <w:rsid w:val="0077572E"/>
    <w:rsid w:val="00776B5C"/>
    <w:rsid w:val="00776E23"/>
    <w:rsid w:val="007774EE"/>
    <w:rsid w:val="0078031B"/>
    <w:rsid w:val="0078358E"/>
    <w:rsid w:val="00784F44"/>
    <w:rsid w:val="00786672"/>
    <w:rsid w:val="007872CF"/>
    <w:rsid w:val="0079102E"/>
    <w:rsid w:val="0079201C"/>
    <w:rsid w:val="00792178"/>
    <w:rsid w:val="007927E6"/>
    <w:rsid w:val="0079307F"/>
    <w:rsid w:val="007940C5"/>
    <w:rsid w:val="007947C4"/>
    <w:rsid w:val="00795CE1"/>
    <w:rsid w:val="00796F4A"/>
    <w:rsid w:val="00797059"/>
    <w:rsid w:val="007A0129"/>
    <w:rsid w:val="007A06AC"/>
    <w:rsid w:val="007A3DD2"/>
    <w:rsid w:val="007B0F65"/>
    <w:rsid w:val="007B1014"/>
    <w:rsid w:val="007B103F"/>
    <w:rsid w:val="007B1484"/>
    <w:rsid w:val="007B1A10"/>
    <w:rsid w:val="007B4EFE"/>
    <w:rsid w:val="007B5E5C"/>
    <w:rsid w:val="007B6659"/>
    <w:rsid w:val="007B75F2"/>
    <w:rsid w:val="007B76AB"/>
    <w:rsid w:val="007B7DBD"/>
    <w:rsid w:val="007C12D2"/>
    <w:rsid w:val="007C1CD1"/>
    <w:rsid w:val="007C2CD2"/>
    <w:rsid w:val="007C2D21"/>
    <w:rsid w:val="007C45D3"/>
    <w:rsid w:val="007C597B"/>
    <w:rsid w:val="007C6574"/>
    <w:rsid w:val="007C754B"/>
    <w:rsid w:val="007C760C"/>
    <w:rsid w:val="007D08FD"/>
    <w:rsid w:val="007D1584"/>
    <w:rsid w:val="007D2044"/>
    <w:rsid w:val="007D336F"/>
    <w:rsid w:val="007D4F33"/>
    <w:rsid w:val="007D65C7"/>
    <w:rsid w:val="007D74D2"/>
    <w:rsid w:val="007D79B5"/>
    <w:rsid w:val="007E17BE"/>
    <w:rsid w:val="007E2334"/>
    <w:rsid w:val="007E23CE"/>
    <w:rsid w:val="007E2CE7"/>
    <w:rsid w:val="007E38B4"/>
    <w:rsid w:val="007E43D0"/>
    <w:rsid w:val="007E477B"/>
    <w:rsid w:val="007E4F00"/>
    <w:rsid w:val="007E54F8"/>
    <w:rsid w:val="007E5987"/>
    <w:rsid w:val="007E5BD8"/>
    <w:rsid w:val="007E5D51"/>
    <w:rsid w:val="007E6CFC"/>
    <w:rsid w:val="007E7BF9"/>
    <w:rsid w:val="007F02BC"/>
    <w:rsid w:val="007F10E8"/>
    <w:rsid w:val="007F1D17"/>
    <w:rsid w:val="007F2E65"/>
    <w:rsid w:val="007F3F46"/>
    <w:rsid w:val="007F43BA"/>
    <w:rsid w:val="007F45D1"/>
    <w:rsid w:val="007F5D35"/>
    <w:rsid w:val="007F5F3E"/>
    <w:rsid w:val="007F64BE"/>
    <w:rsid w:val="007F6DC3"/>
    <w:rsid w:val="008006B4"/>
    <w:rsid w:val="008015B6"/>
    <w:rsid w:val="00803158"/>
    <w:rsid w:val="00803FD4"/>
    <w:rsid w:val="0080481C"/>
    <w:rsid w:val="00804C54"/>
    <w:rsid w:val="008056DD"/>
    <w:rsid w:val="008057A4"/>
    <w:rsid w:val="008102B0"/>
    <w:rsid w:val="00810C83"/>
    <w:rsid w:val="0081104C"/>
    <w:rsid w:val="00812D16"/>
    <w:rsid w:val="00813488"/>
    <w:rsid w:val="00815ABF"/>
    <w:rsid w:val="00816C51"/>
    <w:rsid w:val="00820461"/>
    <w:rsid w:val="00821055"/>
    <w:rsid w:val="00821865"/>
    <w:rsid w:val="0082327D"/>
    <w:rsid w:val="0082433D"/>
    <w:rsid w:val="008251A5"/>
    <w:rsid w:val="00826509"/>
    <w:rsid w:val="00830D26"/>
    <w:rsid w:val="00830F58"/>
    <w:rsid w:val="00830FA4"/>
    <w:rsid w:val="00833117"/>
    <w:rsid w:val="0083354D"/>
    <w:rsid w:val="008347F3"/>
    <w:rsid w:val="0083561B"/>
    <w:rsid w:val="00837D78"/>
    <w:rsid w:val="00840D79"/>
    <w:rsid w:val="00842A21"/>
    <w:rsid w:val="00845C7B"/>
    <w:rsid w:val="00845DAD"/>
    <w:rsid w:val="008503A9"/>
    <w:rsid w:val="00851377"/>
    <w:rsid w:val="0085401F"/>
    <w:rsid w:val="00854B2F"/>
    <w:rsid w:val="00855481"/>
    <w:rsid w:val="00856354"/>
    <w:rsid w:val="008568E1"/>
    <w:rsid w:val="00856BE9"/>
    <w:rsid w:val="008578F8"/>
    <w:rsid w:val="00860566"/>
    <w:rsid w:val="0086165C"/>
    <w:rsid w:val="00861B26"/>
    <w:rsid w:val="00861B44"/>
    <w:rsid w:val="00862EED"/>
    <w:rsid w:val="008643FC"/>
    <w:rsid w:val="008649B9"/>
    <w:rsid w:val="0086784F"/>
    <w:rsid w:val="00870394"/>
    <w:rsid w:val="0087056E"/>
    <w:rsid w:val="0087073B"/>
    <w:rsid w:val="0087084D"/>
    <w:rsid w:val="00873967"/>
    <w:rsid w:val="008761C3"/>
    <w:rsid w:val="008770D4"/>
    <w:rsid w:val="0088127F"/>
    <w:rsid w:val="008815EF"/>
    <w:rsid w:val="00884DDD"/>
    <w:rsid w:val="00885273"/>
    <w:rsid w:val="00885F2C"/>
    <w:rsid w:val="0088614B"/>
    <w:rsid w:val="00886386"/>
    <w:rsid w:val="0088701C"/>
    <w:rsid w:val="00891E82"/>
    <w:rsid w:val="00892AA5"/>
    <w:rsid w:val="0089499B"/>
    <w:rsid w:val="00894ACA"/>
    <w:rsid w:val="00894EC5"/>
    <w:rsid w:val="00896658"/>
    <w:rsid w:val="008967B5"/>
    <w:rsid w:val="008A03AC"/>
    <w:rsid w:val="008A345A"/>
    <w:rsid w:val="008A3DB9"/>
    <w:rsid w:val="008A5C48"/>
    <w:rsid w:val="008A6A5C"/>
    <w:rsid w:val="008A7316"/>
    <w:rsid w:val="008B38A2"/>
    <w:rsid w:val="008B4CC0"/>
    <w:rsid w:val="008B500A"/>
    <w:rsid w:val="008C11BE"/>
    <w:rsid w:val="008C1541"/>
    <w:rsid w:val="008C1610"/>
    <w:rsid w:val="008C2F1E"/>
    <w:rsid w:val="008C30E5"/>
    <w:rsid w:val="008C3B5B"/>
    <w:rsid w:val="008C409F"/>
    <w:rsid w:val="008C54B2"/>
    <w:rsid w:val="008C602D"/>
    <w:rsid w:val="008C6BCC"/>
    <w:rsid w:val="008D098D"/>
    <w:rsid w:val="008D135A"/>
    <w:rsid w:val="008D1C67"/>
    <w:rsid w:val="008D2205"/>
    <w:rsid w:val="008D2331"/>
    <w:rsid w:val="008D30A4"/>
    <w:rsid w:val="008D36CD"/>
    <w:rsid w:val="008D3AC3"/>
    <w:rsid w:val="008D4380"/>
    <w:rsid w:val="008D48D1"/>
    <w:rsid w:val="008D6BE8"/>
    <w:rsid w:val="008E27E9"/>
    <w:rsid w:val="008F116C"/>
    <w:rsid w:val="008F2C49"/>
    <w:rsid w:val="008F2F5C"/>
    <w:rsid w:val="008F36F0"/>
    <w:rsid w:val="008F7CFF"/>
    <w:rsid w:val="008F7ED1"/>
    <w:rsid w:val="00901C8D"/>
    <w:rsid w:val="00901D1D"/>
    <w:rsid w:val="00904A4D"/>
    <w:rsid w:val="00905EE9"/>
    <w:rsid w:val="009065F4"/>
    <w:rsid w:val="0090668F"/>
    <w:rsid w:val="009075A7"/>
    <w:rsid w:val="00907DFB"/>
    <w:rsid w:val="00910624"/>
    <w:rsid w:val="00910FBA"/>
    <w:rsid w:val="00911D39"/>
    <w:rsid w:val="00912B9F"/>
    <w:rsid w:val="00916764"/>
    <w:rsid w:val="00917C0F"/>
    <w:rsid w:val="0092040E"/>
    <w:rsid w:val="00920C6C"/>
    <w:rsid w:val="00921C6D"/>
    <w:rsid w:val="009227D9"/>
    <w:rsid w:val="00923C44"/>
    <w:rsid w:val="00926811"/>
    <w:rsid w:val="00927783"/>
    <w:rsid w:val="00927791"/>
    <w:rsid w:val="00930607"/>
    <w:rsid w:val="00930D0A"/>
    <w:rsid w:val="009329BA"/>
    <w:rsid w:val="0093304D"/>
    <w:rsid w:val="00935FAA"/>
    <w:rsid w:val="00936939"/>
    <w:rsid w:val="00937847"/>
    <w:rsid w:val="0094053B"/>
    <w:rsid w:val="00941054"/>
    <w:rsid w:val="009412B4"/>
    <w:rsid w:val="00942040"/>
    <w:rsid w:val="00942C9F"/>
    <w:rsid w:val="00945631"/>
    <w:rsid w:val="009467F3"/>
    <w:rsid w:val="00947549"/>
    <w:rsid w:val="009510BC"/>
    <w:rsid w:val="0095206D"/>
    <w:rsid w:val="00952A56"/>
    <w:rsid w:val="009567F3"/>
    <w:rsid w:val="0095793C"/>
    <w:rsid w:val="0096045D"/>
    <w:rsid w:val="0096111E"/>
    <w:rsid w:val="00961125"/>
    <w:rsid w:val="00963362"/>
    <w:rsid w:val="00963BD1"/>
    <w:rsid w:val="009643BF"/>
    <w:rsid w:val="00966993"/>
    <w:rsid w:val="00966B1F"/>
    <w:rsid w:val="00970C4B"/>
    <w:rsid w:val="0097116E"/>
    <w:rsid w:val="00971C26"/>
    <w:rsid w:val="00972085"/>
    <w:rsid w:val="00973688"/>
    <w:rsid w:val="00974435"/>
    <w:rsid w:val="00974518"/>
    <w:rsid w:val="00975617"/>
    <w:rsid w:val="00975AAF"/>
    <w:rsid w:val="00980FE0"/>
    <w:rsid w:val="00981F65"/>
    <w:rsid w:val="00983DB4"/>
    <w:rsid w:val="009851A1"/>
    <w:rsid w:val="00990C3B"/>
    <w:rsid w:val="009918BA"/>
    <w:rsid w:val="00991CBD"/>
    <w:rsid w:val="009928B7"/>
    <w:rsid w:val="0099321A"/>
    <w:rsid w:val="009947E8"/>
    <w:rsid w:val="009960B7"/>
    <w:rsid w:val="009972FE"/>
    <w:rsid w:val="009A2279"/>
    <w:rsid w:val="009B0B67"/>
    <w:rsid w:val="009B536C"/>
    <w:rsid w:val="009B5C19"/>
    <w:rsid w:val="009B6496"/>
    <w:rsid w:val="009C01DA"/>
    <w:rsid w:val="009C1528"/>
    <w:rsid w:val="009C20CC"/>
    <w:rsid w:val="009C3558"/>
    <w:rsid w:val="009C3DFF"/>
    <w:rsid w:val="009C562E"/>
    <w:rsid w:val="009C56F8"/>
    <w:rsid w:val="009C7531"/>
    <w:rsid w:val="009C754B"/>
    <w:rsid w:val="009D220C"/>
    <w:rsid w:val="009D221F"/>
    <w:rsid w:val="009D291E"/>
    <w:rsid w:val="009D7AA8"/>
    <w:rsid w:val="009E09F0"/>
    <w:rsid w:val="009E19E8"/>
    <w:rsid w:val="009E31A5"/>
    <w:rsid w:val="009E377C"/>
    <w:rsid w:val="009E3FF1"/>
    <w:rsid w:val="009E411C"/>
    <w:rsid w:val="009E458A"/>
    <w:rsid w:val="009E5316"/>
    <w:rsid w:val="009E5777"/>
    <w:rsid w:val="009E5D7C"/>
    <w:rsid w:val="009E5DFC"/>
    <w:rsid w:val="009E6AE9"/>
    <w:rsid w:val="009F1789"/>
    <w:rsid w:val="009F2E3B"/>
    <w:rsid w:val="009F36D2"/>
    <w:rsid w:val="009F3B6B"/>
    <w:rsid w:val="009F3F46"/>
    <w:rsid w:val="009F42DE"/>
    <w:rsid w:val="009F4504"/>
    <w:rsid w:val="009F502C"/>
    <w:rsid w:val="009F603B"/>
    <w:rsid w:val="009F6987"/>
    <w:rsid w:val="009F720F"/>
    <w:rsid w:val="009F7B48"/>
    <w:rsid w:val="00A010E7"/>
    <w:rsid w:val="00A01A17"/>
    <w:rsid w:val="00A01A60"/>
    <w:rsid w:val="00A03CFF"/>
    <w:rsid w:val="00A0417C"/>
    <w:rsid w:val="00A053ED"/>
    <w:rsid w:val="00A076F9"/>
    <w:rsid w:val="00A07997"/>
    <w:rsid w:val="00A07F87"/>
    <w:rsid w:val="00A11027"/>
    <w:rsid w:val="00A13A9F"/>
    <w:rsid w:val="00A154A7"/>
    <w:rsid w:val="00A155E3"/>
    <w:rsid w:val="00A206ED"/>
    <w:rsid w:val="00A20806"/>
    <w:rsid w:val="00A20C7F"/>
    <w:rsid w:val="00A21D41"/>
    <w:rsid w:val="00A22DBA"/>
    <w:rsid w:val="00A2329D"/>
    <w:rsid w:val="00A23FF0"/>
    <w:rsid w:val="00A25BFF"/>
    <w:rsid w:val="00A27522"/>
    <w:rsid w:val="00A31F93"/>
    <w:rsid w:val="00A33332"/>
    <w:rsid w:val="00A34D0C"/>
    <w:rsid w:val="00A34D76"/>
    <w:rsid w:val="00A3528A"/>
    <w:rsid w:val="00A365D0"/>
    <w:rsid w:val="00A375DE"/>
    <w:rsid w:val="00A37949"/>
    <w:rsid w:val="00A402B8"/>
    <w:rsid w:val="00A4043E"/>
    <w:rsid w:val="00A443A6"/>
    <w:rsid w:val="00A451BB"/>
    <w:rsid w:val="00A45A1A"/>
    <w:rsid w:val="00A45E61"/>
    <w:rsid w:val="00A47F27"/>
    <w:rsid w:val="00A47F32"/>
    <w:rsid w:val="00A508A2"/>
    <w:rsid w:val="00A524C6"/>
    <w:rsid w:val="00A525EF"/>
    <w:rsid w:val="00A53220"/>
    <w:rsid w:val="00A538E6"/>
    <w:rsid w:val="00A56102"/>
    <w:rsid w:val="00A5654A"/>
    <w:rsid w:val="00A56800"/>
    <w:rsid w:val="00A56D7E"/>
    <w:rsid w:val="00A57404"/>
    <w:rsid w:val="00A575BD"/>
    <w:rsid w:val="00A57DBB"/>
    <w:rsid w:val="00A60EEC"/>
    <w:rsid w:val="00A61DC0"/>
    <w:rsid w:val="00A61F09"/>
    <w:rsid w:val="00A63B1F"/>
    <w:rsid w:val="00A65BD9"/>
    <w:rsid w:val="00A66718"/>
    <w:rsid w:val="00A66D6E"/>
    <w:rsid w:val="00A70013"/>
    <w:rsid w:val="00A70B31"/>
    <w:rsid w:val="00A73A74"/>
    <w:rsid w:val="00A759FE"/>
    <w:rsid w:val="00A76D67"/>
    <w:rsid w:val="00A776B8"/>
    <w:rsid w:val="00A81620"/>
    <w:rsid w:val="00A81EB6"/>
    <w:rsid w:val="00A829B1"/>
    <w:rsid w:val="00A837FE"/>
    <w:rsid w:val="00A840B2"/>
    <w:rsid w:val="00A84FF6"/>
    <w:rsid w:val="00A85357"/>
    <w:rsid w:val="00A85795"/>
    <w:rsid w:val="00A85802"/>
    <w:rsid w:val="00A902DD"/>
    <w:rsid w:val="00A91617"/>
    <w:rsid w:val="00A92047"/>
    <w:rsid w:val="00A95EA1"/>
    <w:rsid w:val="00A96FA8"/>
    <w:rsid w:val="00A97595"/>
    <w:rsid w:val="00A9770A"/>
    <w:rsid w:val="00AA0A43"/>
    <w:rsid w:val="00AA0DD3"/>
    <w:rsid w:val="00AA1926"/>
    <w:rsid w:val="00AA1C07"/>
    <w:rsid w:val="00AA1EA3"/>
    <w:rsid w:val="00AA1EEB"/>
    <w:rsid w:val="00AA3688"/>
    <w:rsid w:val="00AA49DB"/>
    <w:rsid w:val="00AA52EB"/>
    <w:rsid w:val="00AA5887"/>
    <w:rsid w:val="00AA6845"/>
    <w:rsid w:val="00AB0DF5"/>
    <w:rsid w:val="00AB19F8"/>
    <w:rsid w:val="00AB2A61"/>
    <w:rsid w:val="00AB3A12"/>
    <w:rsid w:val="00AB5A8D"/>
    <w:rsid w:val="00AB6642"/>
    <w:rsid w:val="00AC2E8B"/>
    <w:rsid w:val="00AC2EFE"/>
    <w:rsid w:val="00AC3930"/>
    <w:rsid w:val="00AC3AB1"/>
    <w:rsid w:val="00AC68C6"/>
    <w:rsid w:val="00AC6B77"/>
    <w:rsid w:val="00AC79C1"/>
    <w:rsid w:val="00AC7CA4"/>
    <w:rsid w:val="00AC7DBB"/>
    <w:rsid w:val="00AD01BE"/>
    <w:rsid w:val="00AD4213"/>
    <w:rsid w:val="00AD4A64"/>
    <w:rsid w:val="00AD598F"/>
    <w:rsid w:val="00AD5EB5"/>
    <w:rsid w:val="00AD6D09"/>
    <w:rsid w:val="00AE07DA"/>
    <w:rsid w:val="00AE098E"/>
    <w:rsid w:val="00AE0BBA"/>
    <w:rsid w:val="00AE2291"/>
    <w:rsid w:val="00AE25C8"/>
    <w:rsid w:val="00AE31BF"/>
    <w:rsid w:val="00AE4113"/>
    <w:rsid w:val="00AE4380"/>
    <w:rsid w:val="00AE4D0C"/>
    <w:rsid w:val="00AE4FAC"/>
    <w:rsid w:val="00AE5525"/>
    <w:rsid w:val="00AE6381"/>
    <w:rsid w:val="00AE656F"/>
    <w:rsid w:val="00AE6866"/>
    <w:rsid w:val="00AE7D78"/>
    <w:rsid w:val="00AF0776"/>
    <w:rsid w:val="00AF41F6"/>
    <w:rsid w:val="00AF438E"/>
    <w:rsid w:val="00AF45CA"/>
    <w:rsid w:val="00AF5CEE"/>
    <w:rsid w:val="00AF60DE"/>
    <w:rsid w:val="00AF6F90"/>
    <w:rsid w:val="00AF72E5"/>
    <w:rsid w:val="00AF7506"/>
    <w:rsid w:val="00AF7B74"/>
    <w:rsid w:val="00B007DD"/>
    <w:rsid w:val="00B0098A"/>
    <w:rsid w:val="00B01016"/>
    <w:rsid w:val="00B0146E"/>
    <w:rsid w:val="00B02160"/>
    <w:rsid w:val="00B027CB"/>
    <w:rsid w:val="00B0318A"/>
    <w:rsid w:val="00B0352B"/>
    <w:rsid w:val="00B03A09"/>
    <w:rsid w:val="00B0601F"/>
    <w:rsid w:val="00B073E6"/>
    <w:rsid w:val="00B074F8"/>
    <w:rsid w:val="00B109D5"/>
    <w:rsid w:val="00B10BCD"/>
    <w:rsid w:val="00B12197"/>
    <w:rsid w:val="00B121B0"/>
    <w:rsid w:val="00B12DC6"/>
    <w:rsid w:val="00B14A89"/>
    <w:rsid w:val="00B16B9A"/>
    <w:rsid w:val="00B17FAB"/>
    <w:rsid w:val="00B2060A"/>
    <w:rsid w:val="00B209A6"/>
    <w:rsid w:val="00B21486"/>
    <w:rsid w:val="00B2197C"/>
    <w:rsid w:val="00B22C5F"/>
    <w:rsid w:val="00B23687"/>
    <w:rsid w:val="00B25476"/>
    <w:rsid w:val="00B25710"/>
    <w:rsid w:val="00B27B03"/>
    <w:rsid w:val="00B31B62"/>
    <w:rsid w:val="00B3210E"/>
    <w:rsid w:val="00B33711"/>
    <w:rsid w:val="00B34889"/>
    <w:rsid w:val="00B363AD"/>
    <w:rsid w:val="00B37550"/>
    <w:rsid w:val="00B37B4C"/>
    <w:rsid w:val="00B402C6"/>
    <w:rsid w:val="00B41DC1"/>
    <w:rsid w:val="00B46EC7"/>
    <w:rsid w:val="00B477E6"/>
    <w:rsid w:val="00B50A91"/>
    <w:rsid w:val="00B516B3"/>
    <w:rsid w:val="00B51761"/>
    <w:rsid w:val="00B52022"/>
    <w:rsid w:val="00B52187"/>
    <w:rsid w:val="00B54691"/>
    <w:rsid w:val="00B55605"/>
    <w:rsid w:val="00B60CCD"/>
    <w:rsid w:val="00B60F5C"/>
    <w:rsid w:val="00B616BC"/>
    <w:rsid w:val="00B62201"/>
    <w:rsid w:val="00B627E6"/>
    <w:rsid w:val="00B62854"/>
    <w:rsid w:val="00B62EF1"/>
    <w:rsid w:val="00B630BC"/>
    <w:rsid w:val="00B630E1"/>
    <w:rsid w:val="00B640CC"/>
    <w:rsid w:val="00B645B6"/>
    <w:rsid w:val="00B64B2F"/>
    <w:rsid w:val="00B667BF"/>
    <w:rsid w:val="00B6797D"/>
    <w:rsid w:val="00B72AF0"/>
    <w:rsid w:val="00B735B8"/>
    <w:rsid w:val="00B74790"/>
    <w:rsid w:val="00B74858"/>
    <w:rsid w:val="00B752EB"/>
    <w:rsid w:val="00B754A1"/>
    <w:rsid w:val="00B757D7"/>
    <w:rsid w:val="00B77BE4"/>
    <w:rsid w:val="00B804BF"/>
    <w:rsid w:val="00B8089C"/>
    <w:rsid w:val="00B812BE"/>
    <w:rsid w:val="00B813D5"/>
    <w:rsid w:val="00B82C5F"/>
    <w:rsid w:val="00B83758"/>
    <w:rsid w:val="00B86608"/>
    <w:rsid w:val="00B87847"/>
    <w:rsid w:val="00B879F2"/>
    <w:rsid w:val="00B90477"/>
    <w:rsid w:val="00B92AA5"/>
    <w:rsid w:val="00B93FB7"/>
    <w:rsid w:val="00B955FE"/>
    <w:rsid w:val="00B96744"/>
    <w:rsid w:val="00BA0A7C"/>
    <w:rsid w:val="00BA0B9F"/>
    <w:rsid w:val="00BA1D2F"/>
    <w:rsid w:val="00BA6419"/>
    <w:rsid w:val="00BA6550"/>
    <w:rsid w:val="00BB0850"/>
    <w:rsid w:val="00BB3642"/>
    <w:rsid w:val="00BB59F6"/>
    <w:rsid w:val="00BB5B11"/>
    <w:rsid w:val="00BB5F66"/>
    <w:rsid w:val="00BB658C"/>
    <w:rsid w:val="00BB66AB"/>
    <w:rsid w:val="00BC0AD6"/>
    <w:rsid w:val="00BC122E"/>
    <w:rsid w:val="00BC2C71"/>
    <w:rsid w:val="00BC3584"/>
    <w:rsid w:val="00BC381B"/>
    <w:rsid w:val="00BC3E24"/>
    <w:rsid w:val="00BC64E4"/>
    <w:rsid w:val="00BC6A26"/>
    <w:rsid w:val="00BD350A"/>
    <w:rsid w:val="00BD437F"/>
    <w:rsid w:val="00BD5492"/>
    <w:rsid w:val="00BE1759"/>
    <w:rsid w:val="00BE371E"/>
    <w:rsid w:val="00BE3F5B"/>
    <w:rsid w:val="00BE4ED6"/>
    <w:rsid w:val="00BE54F3"/>
    <w:rsid w:val="00BE58C6"/>
    <w:rsid w:val="00BE5F67"/>
    <w:rsid w:val="00BE7140"/>
    <w:rsid w:val="00BE7920"/>
    <w:rsid w:val="00BF1E46"/>
    <w:rsid w:val="00BF2CD1"/>
    <w:rsid w:val="00BF4426"/>
    <w:rsid w:val="00BF4B6A"/>
    <w:rsid w:val="00BF5135"/>
    <w:rsid w:val="00BF5B97"/>
    <w:rsid w:val="00BF6D0A"/>
    <w:rsid w:val="00BF7A52"/>
    <w:rsid w:val="00C00312"/>
    <w:rsid w:val="00C009F5"/>
    <w:rsid w:val="00C00DCA"/>
    <w:rsid w:val="00C01129"/>
    <w:rsid w:val="00C02239"/>
    <w:rsid w:val="00C022E1"/>
    <w:rsid w:val="00C03142"/>
    <w:rsid w:val="00C0398D"/>
    <w:rsid w:val="00C071AC"/>
    <w:rsid w:val="00C11E4C"/>
    <w:rsid w:val="00C14176"/>
    <w:rsid w:val="00C14954"/>
    <w:rsid w:val="00C179B0"/>
    <w:rsid w:val="00C17B6E"/>
    <w:rsid w:val="00C20CA6"/>
    <w:rsid w:val="00C226F9"/>
    <w:rsid w:val="00C23398"/>
    <w:rsid w:val="00C23B23"/>
    <w:rsid w:val="00C26C22"/>
    <w:rsid w:val="00C27B03"/>
    <w:rsid w:val="00C3089B"/>
    <w:rsid w:val="00C32F40"/>
    <w:rsid w:val="00C34B40"/>
    <w:rsid w:val="00C34EDA"/>
    <w:rsid w:val="00C35836"/>
    <w:rsid w:val="00C403BB"/>
    <w:rsid w:val="00C41C5A"/>
    <w:rsid w:val="00C41CD3"/>
    <w:rsid w:val="00C43438"/>
    <w:rsid w:val="00C44264"/>
    <w:rsid w:val="00C46251"/>
    <w:rsid w:val="00C46A34"/>
    <w:rsid w:val="00C46E5A"/>
    <w:rsid w:val="00C4790F"/>
    <w:rsid w:val="00C47CA6"/>
    <w:rsid w:val="00C47FC0"/>
    <w:rsid w:val="00C528CC"/>
    <w:rsid w:val="00C53ABD"/>
    <w:rsid w:val="00C53AD3"/>
    <w:rsid w:val="00C53C94"/>
    <w:rsid w:val="00C567C5"/>
    <w:rsid w:val="00C57741"/>
    <w:rsid w:val="00C6074F"/>
    <w:rsid w:val="00C62568"/>
    <w:rsid w:val="00C62AA0"/>
    <w:rsid w:val="00C64143"/>
    <w:rsid w:val="00C6434D"/>
    <w:rsid w:val="00C652E5"/>
    <w:rsid w:val="00C65A39"/>
    <w:rsid w:val="00C67446"/>
    <w:rsid w:val="00C67693"/>
    <w:rsid w:val="00C75585"/>
    <w:rsid w:val="00C7697F"/>
    <w:rsid w:val="00C770CD"/>
    <w:rsid w:val="00C772C4"/>
    <w:rsid w:val="00C77A25"/>
    <w:rsid w:val="00C8136C"/>
    <w:rsid w:val="00C82FFA"/>
    <w:rsid w:val="00C836C7"/>
    <w:rsid w:val="00C84AD9"/>
    <w:rsid w:val="00C85521"/>
    <w:rsid w:val="00C863EE"/>
    <w:rsid w:val="00C914A0"/>
    <w:rsid w:val="00C92646"/>
    <w:rsid w:val="00C9316A"/>
    <w:rsid w:val="00C93B5E"/>
    <w:rsid w:val="00C95D8D"/>
    <w:rsid w:val="00C968D1"/>
    <w:rsid w:val="00C972D5"/>
    <w:rsid w:val="00C97C7F"/>
    <w:rsid w:val="00CA1727"/>
    <w:rsid w:val="00CA2283"/>
    <w:rsid w:val="00CA24A4"/>
    <w:rsid w:val="00CA2AEF"/>
    <w:rsid w:val="00CA325F"/>
    <w:rsid w:val="00CA33B8"/>
    <w:rsid w:val="00CA462A"/>
    <w:rsid w:val="00CA58BB"/>
    <w:rsid w:val="00CA7360"/>
    <w:rsid w:val="00CA7D6D"/>
    <w:rsid w:val="00CB1582"/>
    <w:rsid w:val="00CB22B7"/>
    <w:rsid w:val="00CB2A7D"/>
    <w:rsid w:val="00CB31DA"/>
    <w:rsid w:val="00CB4FAC"/>
    <w:rsid w:val="00CB5032"/>
    <w:rsid w:val="00CB5403"/>
    <w:rsid w:val="00CB7DF6"/>
    <w:rsid w:val="00CC0B9A"/>
    <w:rsid w:val="00CC303F"/>
    <w:rsid w:val="00CC3C96"/>
    <w:rsid w:val="00CC6152"/>
    <w:rsid w:val="00CD077C"/>
    <w:rsid w:val="00CD342A"/>
    <w:rsid w:val="00CD3533"/>
    <w:rsid w:val="00CD3940"/>
    <w:rsid w:val="00CD6EF2"/>
    <w:rsid w:val="00CD7215"/>
    <w:rsid w:val="00CE06C2"/>
    <w:rsid w:val="00CE1000"/>
    <w:rsid w:val="00CE1966"/>
    <w:rsid w:val="00CE5B4C"/>
    <w:rsid w:val="00CE6A0B"/>
    <w:rsid w:val="00CF0950"/>
    <w:rsid w:val="00CF3B07"/>
    <w:rsid w:val="00CF4C13"/>
    <w:rsid w:val="00CF6384"/>
    <w:rsid w:val="00CF6902"/>
    <w:rsid w:val="00CF6F7E"/>
    <w:rsid w:val="00CF74A5"/>
    <w:rsid w:val="00D057E8"/>
    <w:rsid w:val="00D06DFD"/>
    <w:rsid w:val="00D06E88"/>
    <w:rsid w:val="00D11F90"/>
    <w:rsid w:val="00D13527"/>
    <w:rsid w:val="00D15E4E"/>
    <w:rsid w:val="00D17601"/>
    <w:rsid w:val="00D20D6E"/>
    <w:rsid w:val="00D21153"/>
    <w:rsid w:val="00D21300"/>
    <w:rsid w:val="00D22F7B"/>
    <w:rsid w:val="00D230DC"/>
    <w:rsid w:val="00D253C0"/>
    <w:rsid w:val="00D26C9A"/>
    <w:rsid w:val="00D2741B"/>
    <w:rsid w:val="00D3012C"/>
    <w:rsid w:val="00D303E8"/>
    <w:rsid w:val="00D30707"/>
    <w:rsid w:val="00D31BA6"/>
    <w:rsid w:val="00D335E1"/>
    <w:rsid w:val="00D3376B"/>
    <w:rsid w:val="00D33E21"/>
    <w:rsid w:val="00D340CC"/>
    <w:rsid w:val="00D3545E"/>
    <w:rsid w:val="00D35FEA"/>
    <w:rsid w:val="00D366E4"/>
    <w:rsid w:val="00D423AC"/>
    <w:rsid w:val="00D42C71"/>
    <w:rsid w:val="00D42FA5"/>
    <w:rsid w:val="00D44107"/>
    <w:rsid w:val="00D44DC6"/>
    <w:rsid w:val="00D46E86"/>
    <w:rsid w:val="00D514E5"/>
    <w:rsid w:val="00D53589"/>
    <w:rsid w:val="00D539D5"/>
    <w:rsid w:val="00D544D5"/>
    <w:rsid w:val="00D56AE8"/>
    <w:rsid w:val="00D602DE"/>
    <w:rsid w:val="00D6096A"/>
    <w:rsid w:val="00D60ABE"/>
    <w:rsid w:val="00D60CE5"/>
    <w:rsid w:val="00D61811"/>
    <w:rsid w:val="00D630CD"/>
    <w:rsid w:val="00D63F9F"/>
    <w:rsid w:val="00D646D3"/>
    <w:rsid w:val="00D64BBC"/>
    <w:rsid w:val="00D654C1"/>
    <w:rsid w:val="00D662F2"/>
    <w:rsid w:val="00D665F1"/>
    <w:rsid w:val="00D6711E"/>
    <w:rsid w:val="00D7005B"/>
    <w:rsid w:val="00D73B08"/>
    <w:rsid w:val="00D80127"/>
    <w:rsid w:val="00D804E2"/>
    <w:rsid w:val="00D805D1"/>
    <w:rsid w:val="00D815A7"/>
    <w:rsid w:val="00D82FD7"/>
    <w:rsid w:val="00D84FA6"/>
    <w:rsid w:val="00D855B6"/>
    <w:rsid w:val="00D8590C"/>
    <w:rsid w:val="00D85C5F"/>
    <w:rsid w:val="00D85ECC"/>
    <w:rsid w:val="00D864C7"/>
    <w:rsid w:val="00D86EB7"/>
    <w:rsid w:val="00D92B5E"/>
    <w:rsid w:val="00D93067"/>
    <w:rsid w:val="00D93243"/>
    <w:rsid w:val="00D93388"/>
    <w:rsid w:val="00D95457"/>
    <w:rsid w:val="00D957A2"/>
    <w:rsid w:val="00D97A7B"/>
    <w:rsid w:val="00DA124E"/>
    <w:rsid w:val="00DA1259"/>
    <w:rsid w:val="00DA1AAD"/>
    <w:rsid w:val="00DA1E08"/>
    <w:rsid w:val="00DA2572"/>
    <w:rsid w:val="00DA4A52"/>
    <w:rsid w:val="00DA4FBC"/>
    <w:rsid w:val="00DA6A6A"/>
    <w:rsid w:val="00DA7457"/>
    <w:rsid w:val="00DB0CDB"/>
    <w:rsid w:val="00DB1083"/>
    <w:rsid w:val="00DB1652"/>
    <w:rsid w:val="00DB2995"/>
    <w:rsid w:val="00DB2ED0"/>
    <w:rsid w:val="00DB2FF0"/>
    <w:rsid w:val="00DB38F0"/>
    <w:rsid w:val="00DB3EE8"/>
    <w:rsid w:val="00DB4701"/>
    <w:rsid w:val="00DB59C0"/>
    <w:rsid w:val="00DC0146"/>
    <w:rsid w:val="00DC03EE"/>
    <w:rsid w:val="00DC0C55"/>
    <w:rsid w:val="00DC36B8"/>
    <w:rsid w:val="00DC53F2"/>
    <w:rsid w:val="00DC6B01"/>
    <w:rsid w:val="00DC7797"/>
    <w:rsid w:val="00DC7B49"/>
    <w:rsid w:val="00DD078A"/>
    <w:rsid w:val="00DD1737"/>
    <w:rsid w:val="00DD34E1"/>
    <w:rsid w:val="00DD3AE8"/>
    <w:rsid w:val="00DD7667"/>
    <w:rsid w:val="00DD777C"/>
    <w:rsid w:val="00DE0D2F"/>
    <w:rsid w:val="00DE0D75"/>
    <w:rsid w:val="00DE19EB"/>
    <w:rsid w:val="00DE1E3B"/>
    <w:rsid w:val="00DE3DCF"/>
    <w:rsid w:val="00DE5B0F"/>
    <w:rsid w:val="00DE6252"/>
    <w:rsid w:val="00DE6430"/>
    <w:rsid w:val="00DF0680"/>
    <w:rsid w:val="00DF0FE3"/>
    <w:rsid w:val="00DF2CB1"/>
    <w:rsid w:val="00DF69F9"/>
    <w:rsid w:val="00DF74E2"/>
    <w:rsid w:val="00E00219"/>
    <w:rsid w:val="00E01B69"/>
    <w:rsid w:val="00E02579"/>
    <w:rsid w:val="00E02B50"/>
    <w:rsid w:val="00E038B9"/>
    <w:rsid w:val="00E04B3F"/>
    <w:rsid w:val="00E060C1"/>
    <w:rsid w:val="00E06660"/>
    <w:rsid w:val="00E0688F"/>
    <w:rsid w:val="00E06B1E"/>
    <w:rsid w:val="00E071BB"/>
    <w:rsid w:val="00E07787"/>
    <w:rsid w:val="00E10AAF"/>
    <w:rsid w:val="00E147D5"/>
    <w:rsid w:val="00E14C0E"/>
    <w:rsid w:val="00E16642"/>
    <w:rsid w:val="00E1787C"/>
    <w:rsid w:val="00E2249E"/>
    <w:rsid w:val="00E22B76"/>
    <w:rsid w:val="00E22E4B"/>
    <w:rsid w:val="00E234F1"/>
    <w:rsid w:val="00E24E3A"/>
    <w:rsid w:val="00E25AF8"/>
    <w:rsid w:val="00E26C55"/>
    <w:rsid w:val="00E26F6C"/>
    <w:rsid w:val="00E31BD0"/>
    <w:rsid w:val="00E337D8"/>
    <w:rsid w:val="00E34105"/>
    <w:rsid w:val="00E34CA3"/>
    <w:rsid w:val="00E35C4A"/>
    <w:rsid w:val="00E37DA6"/>
    <w:rsid w:val="00E37FE3"/>
    <w:rsid w:val="00E40270"/>
    <w:rsid w:val="00E40B7D"/>
    <w:rsid w:val="00E42005"/>
    <w:rsid w:val="00E4284F"/>
    <w:rsid w:val="00E42F28"/>
    <w:rsid w:val="00E43AAA"/>
    <w:rsid w:val="00E44C62"/>
    <w:rsid w:val="00E47D8C"/>
    <w:rsid w:val="00E503CD"/>
    <w:rsid w:val="00E50CB6"/>
    <w:rsid w:val="00E54EF2"/>
    <w:rsid w:val="00E556B2"/>
    <w:rsid w:val="00E55DA3"/>
    <w:rsid w:val="00E56184"/>
    <w:rsid w:val="00E60DC5"/>
    <w:rsid w:val="00E63559"/>
    <w:rsid w:val="00E67180"/>
    <w:rsid w:val="00E676E2"/>
    <w:rsid w:val="00E724ED"/>
    <w:rsid w:val="00E74239"/>
    <w:rsid w:val="00E74FA5"/>
    <w:rsid w:val="00E7523D"/>
    <w:rsid w:val="00E756A8"/>
    <w:rsid w:val="00E76032"/>
    <w:rsid w:val="00E768F2"/>
    <w:rsid w:val="00E76C21"/>
    <w:rsid w:val="00E77E9E"/>
    <w:rsid w:val="00E81924"/>
    <w:rsid w:val="00E81DED"/>
    <w:rsid w:val="00E82316"/>
    <w:rsid w:val="00E825B3"/>
    <w:rsid w:val="00E849DE"/>
    <w:rsid w:val="00E85948"/>
    <w:rsid w:val="00E86536"/>
    <w:rsid w:val="00E86AF1"/>
    <w:rsid w:val="00E91573"/>
    <w:rsid w:val="00E9167E"/>
    <w:rsid w:val="00E9217C"/>
    <w:rsid w:val="00E922A4"/>
    <w:rsid w:val="00E925CE"/>
    <w:rsid w:val="00E93C26"/>
    <w:rsid w:val="00E93F3F"/>
    <w:rsid w:val="00EA05D9"/>
    <w:rsid w:val="00EA1104"/>
    <w:rsid w:val="00EA5257"/>
    <w:rsid w:val="00EA59B6"/>
    <w:rsid w:val="00EB00BE"/>
    <w:rsid w:val="00EB0433"/>
    <w:rsid w:val="00EB053B"/>
    <w:rsid w:val="00EB1B8B"/>
    <w:rsid w:val="00EB3C54"/>
    <w:rsid w:val="00EB4951"/>
    <w:rsid w:val="00EB4B4F"/>
    <w:rsid w:val="00EC080B"/>
    <w:rsid w:val="00EC098E"/>
    <w:rsid w:val="00EC0BCB"/>
    <w:rsid w:val="00EC0E71"/>
    <w:rsid w:val="00EC1A79"/>
    <w:rsid w:val="00EC3F7A"/>
    <w:rsid w:val="00EC733A"/>
    <w:rsid w:val="00ED0249"/>
    <w:rsid w:val="00ED613A"/>
    <w:rsid w:val="00ED6CFA"/>
    <w:rsid w:val="00ED6D53"/>
    <w:rsid w:val="00EE1855"/>
    <w:rsid w:val="00EE2B68"/>
    <w:rsid w:val="00EE2F2A"/>
    <w:rsid w:val="00EE3612"/>
    <w:rsid w:val="00EE3733"/>
    <w:rsid w:val="00EE37D8"/>
    <w:rsid w:val="00EE3CDF"/>
    <w:rsid w:val="00EE5886"/>
    <w:rsid w:val="00EE6D70"/>
    <w:rsid w:val="00EF1386"/>
    <w:rsid w:val="00EF2491"/>
    <w:rsid w:val="00EF256B"/>
    <w:rsid w:val="00EF291D"/>
    <w:rsid w:val="00EF5277"/>
    <w:rsid w:val="00EF5CAD"/>
    <w:rsid w:val="00EF611F"/>
    <w:rsid w:val="00EF671D"/>
    <w:rsid w:val="00EF76E1"/>
    <w:rsid w:val="00F044DB"/>
    <w:rsid w:val="00F0611C"/>
    <w:rsid w:val="00F10012"/>
    <w:rsid w:val="00F1010B"/>
    <w:rsid w:val="00F1030E"/>
    <w:rsid w:val="00F10887"/>
    <w:rsid w:val="00F10925"/>
    <w:rsid w:val="00F11374"/>
    <w:rsid w:val="00F12F6C"/>
    <w:rsid w:val="00F13A63"/>
    <w:rsid w:val="00F13DAE"/>
    <w:rsid w:val="00F157D8"/>
    <w:rsid w:val="00F1788E"/>
    <w:rsid w:val="00F201AD"/>
    <w:rsid w:val="00F21481"/>
    <w:rsid w:val="00F21B21"/>
    <w:rsid w:val="00F222BB"/>
    <w:rsid w:val="00F2491A"/>
    <w:rsid w:val="00F24EF6"/>
    <w:rsid w:val="00F254E4"/>
    <w:rsid w:val="00F26F5D"/>
    <w:rsid w:val="00F2720E"/>
    <w:rsid w:val="00F2795F"/>
    <w:rsid w:val="00F32E4D"/>
    <w:rsid w:val="00F32EE2"/>
    <w:rsid w:val="00F34EAB"/>
    <w:rsid w:val="00F35D19"/>
    <w:rsid w:val="00F40081"/>
    <w:rsid w:val="00F41269"/>
    <w:rsid w:val="00F41319"/>
    <w:rsid w:val="00F4355C"/>
    <w:rsid w:val="00F44B13"/>
    <w:rsid w:val="00F45BE7"/>
    <w:rsid w:val="00F463D7"/>
    <w:rsid w:val="00F50163"/>
    <w:rsid w:val="00F510E2"/>
    <w:rsid w:val="00F515F1"/>
    <w:rsid w:val="00F5273A"/>
    <w:rsid w:val="00F52D6B"/>
    <w:rsid w:val="00F52E18"/>
    <w:rsid w:val="00F546FB"/>
    <w:rsid w:val="00F54E6E"/>
    <w:rsid w:val="00F55335"/>
    <w:rsid w:val="00F55CF7"/>
    <w:rsid w:val="00F57D1C"/>
    <w:rsid w:val="00F6086A"/>
    <w:rsid w:val="00F60D25"/>
    <w:rsid w:val="00F6169B"/>
    <w:rsid w:val="00F6170C"/>
    <w:rsid w:val="00F62824"/>
    <w:rsid w:val="00F62CC0"/>
    <w:rsid w:val="00F62D7C"/>
    <w:rsid w:val="00F634C8"/>
    <w:rsid w:val="00F638B2"/>
    <w:rsid w:val="00F64F13"/>
    <w:rsid w:val="00F65625"/>
    <w:rsid w:val="00F67155"/>
    <w:rsid w:val="00F67EAF"/>
    <w:rsid w:val="00F7058F"/>
    <w:rsid w:val="00F70D21"/>
    <w:rsid w:val="00F70FEF"/>
    <w:rsid w:val="00F74F3A"/>
    <w:rsid w:val="00F75C02"/>
    <w:rsid w:val="00F76CC7"/>
    <w:rsid w:val="00F77ECB"/>
    <w:rsid w:val="00F81E47"/>
    <w:rsid w:val="00F824EF"/>
    <w:rsid w:val="00F83D40"/>
    <w:rsid w:val="00F84408"/>
    <w:rsid w:val="00F85A74"/>
    <w:rsid w:val="00F86474"/>
    <w:rsid w:val="00F868B4"/>
    <w:rsid w:val="00F8730A"/>
    <w:rsid w:val="00F9016F"/>
    <w:rsid w:val="00F903B6"/>
    <w:rsid w:val="00F90601"/>
    <w:rsid w:val="00F90D91"/>
    <w:rsid w:val="00F911DB"/>
    <w:rsid w:val="00F950AA"/>
    <w:rsid w:val="00F9594F"/>
    <w:rsid w:val="00FA4CC3"/>
    <w:rsid w:val="00FA6326"/>
    <w:rsid w:val="00FA78FD"/>
    <w:rsid w:val="00FB11BE"/>
    <w:rsid w:val="00FB1357"/>
    <w:rsid w:val="00FB1B56"/>
    <w:rsid w:val="00FB226A"/>
    <w:rsid w:val="00FB27F1"/>
    <w:rsid w:val="00FB4C6F"/>
    <w:rsid w:val="00FB6888"/>
    <w:rsid w:val="00FC0A5E"/>
    <w:rsid w:val="00FC2F1F"/>
    <w:rsid w:val="00FC3483"/>
    <w:rsid w:val="00FC5E76"/>
    <w:rsid w:val="00FC5F04"/>
    <w:rsid w:val="00FC653D"/>
    <w:rsid w:val="00FC69CF"/>
    <w:rsid w:val="00FC7214"/>
    <w:rsid w:val="00FD0B70"/>
    <w:rsid w:val="00FD11B8"/>
    <w:rsid w:val="00FD1440"/>
    <w:rsid w:val="00FD1489"/>
    <w:rsid w:val="00FD17D7"/>
    <w:rsid w:val="00FD2DA9"/>
    <w:rsid w:val="00FD3095"/>
    <w:rsid w:val="00FD35FA"/>
    <w:rsid w:val="00FD3A05"/>
    <w:rsid w:val="00FD59F1"/>
    <w:rsid w:val="00FD6129"/>
    <w:rsid w:val="00FD6FE2"/>
    <w:rsid w:val="00FD74CB"/>
    <w:rsid w:val="00FD7543"/>
    <w:rsid w:val="00FD7BF5"/>
    <w:rsid w:val="00FE185C"/>
    <w:rsid w:val="00FE3C5F"/>
    <w:rsid w:val="00FE401B"/>
    <w:rsid w:val="00FE43B4"/>
    <w:rsid w:val="00FE4705"/>
    <w:rsid w:val="00FE4C66"/>
    <w:rsid w:val="00FE54B2"/>
    <w:rsid w:val="00FE557C"/>
    <w:rsid w:val="00FE6DC2"/>
    <w:rsid w:val="00FE7DB1"/>
    <w:rsid w:val="00FF0A73"/>
    <w:rsid w:val="00FF41E9"/>
    <w:rsid w:val="00FF4C3A"/>
    <w:rsid w:val="00FF62F4"/>
    <w:rsid w:val="00FF6519"/>
    <w:rsid w:val="00FF6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91009A6-89A0-46F2-A8A0-BEC2F14C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qFormat="1"/>
    <w:lsdException w:name="Emphasis" w:uiPriority="20"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napToGrid w:val="0"/>
      <w:sz w:val="22"/>
      <w:lang w:eastAsia="en-US"/>
    </w:rPr>
  </w:style>
  <w:style w:type="paragraph" w:styleId="Heading1">
    <w:name w:val="heading 1"/>
    <w:basedOn w:val="Normal"/>
    <w:next w:val="Normal"/>
    <w:link w:val="Heading1Char"/>
    <w:qFormat/>
    <w:rsid w:val="00302FB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02FB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02FB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02FB9"/>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302FB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02FB9"/>
    <w:pPr>
      <w:spacing w:before="240" w:after="60"/>
      <w:outlineLvl w:val="5"/>
    </w:pPr>
    <w:rPr>
      <w:rFonts w:ascii="Calibri" w:hAnsi="Calibri"/>
      <w:b/>
      <w:bCs/>
      <w:szCs w:val="22"/>
    </w:rPr>
  </w:style>
  <w:style w:type="paragraph" w:styleId="Heading7">
    <w:name w:val="heading 7"/>
    <w:basedOn w:val="Normal"/>
    <w:next w:val="Normal"/>
    <w:link w:val="Heading7Char"/>
    <w:uiPriority w:val="9"/>
    <w:qFormat/>
    <w:pPr>
      <w:keepNext/>
      <w:widowControl w:val="0"/>
      <w:tabs>
        <w:tab w:val="left" w:pos="-720"/>
        <w:tab w:val="left" w:pos="4536"/>
      </w:tabs>
      <w:suppressAutoHyphens/>
      <w:spacing w:line="-260" w:lineRule="auto"/>
      <w:jc w:val="both"/>
      <w:outlineLvl w:val="6"/>
    </w:pPr>
    <w:rPr>
      <w:i/>
    </w:rPr>
  </w:style>
  <w:style w:type="paragraph" w:styleId="Heading8">
    <w:name w:val="heading 8"/>
    <w:basedOn w:val="Normal"/>
    <w:next w:val="Normal"/>
    <w:link w:val="Heading8Char"/>
    <w:semiHidden/>
    <w:unhideWhenUsed/>
    <w:qFormat/>
    <w:rsid w:val="00302FB9"/>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302FB9"/>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rFonts w:ascii="Calibri" w:eastAsia="Times New Roman" w:hAnsi="Calibri" w:cs="Times New Roman"/>
      <w:snapToGrid w:val="0"/>
      <w:sz w:val="24"/>
      <w:szCs w:val="24"/>
      <w:lang w:val="en-GB"/>
    </w:rPr>
  </w:style>
  <w:style w:type="paragraph" w:styleId="Footer">
    <w:name w:val="footer"/>
    <w:basedOn w:val="Normal"/>
    <w:link w:val="FooterChar"/>
    <w:uiPriority w:val="99"/>
    <w:pPr>
      <w:tabs>
        <w:tab w:val="center" w:pos="4536"/>
        <w:tab w:val="right" w:pos="8306"/>
      </w:tabs>
    </w:pPr>
    <w:rPr>
      <w:rFonts w:ascii="Arial" w:hAnsi="Arial"/>
      <w:noProof/>
      <w:sz w:val="16"/>
      <w:lang w:val="en-US"/>
    </w:rPr>
  </w:style>
  <w:style w:type="character" w:customStyle="1" w:styleId="FooterChar">
    <w:name w:val="Footer Char"/>
    <w:link w:val="Footer"/>
    <w:uiPriority w:val="99"/>
    <w:semiHidden/>
    <w:rPr>
      <w:rFonts w:ascii="Times New Roman" w:hAnsi="Times New Roman" w:cs="Times New Roman"/>
      <w:snapToGrid w:val="0"/>
      <w:sz w:val="22"/>
      <w:lang w:val="en-GB"/>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semiHidden/>
    <w:rPr>
      <w:rFonts w:ascii="Times New Roman" w:hAnsi="Times New Roman" w:cs="Times New Roman"/>
      <w:snapToGrid w:val="0"/>
      <w:sz w:val="22"/>
      <w:lang w:val="en-GB"/>
    </w:rPr>
  </w:style>
  <w:style w:type="character" w:styleId="PageNumber">
    <w:name w:val="page number"/>
    <w:uiPriority w:val="99"/>
    <w:rPr>
      <w:rFonts w:cs="Times New Roman"/>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customStyle="1" w:styleId="BodytextAgency">
    <w:name w:val="Body text (Agency)"/>
    <w:basedOn w:val="Normal"/>
    <w:pPr>
      <w:tabs>
        <w:tab w:val="clear" w:pos="567"/>
      </w:tabs>
      <w:spacing w:after="140" w:line="280" w:lineRule="atLeast"/>
    </w:pPr>
    <w:rPr>
      <w:rFonts w:ascii="Verdana" w:hAnsi="Verdana" w:cs="Verdana"/>
      <w:sz w:val="18"/>
      <w:szCs w:val="18"/>
    </w:rPr>
  </w:style>
  <w:style w:type="paragraph" w:customStyle="1" w:styleId="NormalAgency">
    <w:name w:val="Normal (Agency)"/>
    <w:rPr>
      <w:rFonts w:ascii="Verdana" w:hAnsi="Verdana" w:cs="Verdana"/>
      <w:snapToGrid w:val="0"/>
      <w:sz w:val="18"/>
      <w:szCs w:val="18"/>
      <w:lang w:eastAsia="en-US"/>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hps">
    <w:name w:val="hps"/>
  </w:style>
  <w:style w:type="character" w:customStyle="1" w:styleId="shorttext">
    <w:name w:val="short_text"/>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alloonText">
    <w:name w:val="Balloon Text"/>
    <w:basedOn w:val="Normal"/>
    <w:link w:val="BalloonTextChar"/>
    <w:rsid w:val="00DB2FF0"/>
    <w:pPr>
      <w:spacing w:line="240" w:lineRule="auto"/>
    </w:pPr>
    <w:rPr>
      <w:rFonts w:ascii="Tahoma" w:hAnsi="Tahoma" w:cs="Tahoma"/>
      <w:sz w:val="16"/>
      <w:szCs w:val="16"/>
    </w:rPr>
  </w:style>
  <w:style w:type="character" w:customStyle="1" w:styleId="BalloonTextChar">
    <w:name w:val="Balloon Text Char"/>
    <w:link w:val="BalloonText"/>
    <w:rsid w:val="00DB2FF0"/>
    <w:rPr>
      <w:rFonts w:ascii="Tahoma" w:hAnsi="Tahoma" w:cs="Tahoma"/>
      <w:snapToGrid w:val="0"/>
      <w:sz w:val="16"/>
      <w:szCs w:val="16"/>
      <w:lang w:val="en-GB"/>
    </w:rPr>
  </w:style>
  <w:style w:type="paragraph" w:styleId="ListParagraph">
    <w:name w:val="List Paragraph"/>
    <w:basedOn w:val="Normal"/>
    <w:uiPriority w:val="34"/>
    <w:qFormat/>
    <w:rsid w:val="00AC6B77"/>
    <w:pPr>
      <w:tabs>
        <w:tab w:val="clear" w:pos="567"/>
      </w:tabs>
      <w:spacing w:after="200" w:line="276" w:lineRule="auto"/>
      <w:ind w:left="720"/>
      <w:contextualSpacing/>
    </w:pPr>
    <w:rPr>
      <w:rFonts w:ascii="Calibri" w:eastAsia="Calibri" w:hAnsi="Calibri"/>
      <w:snapToGrid/>
      <w:szCs w:val="22"/>
      <w:lang w:val="sl-SI"/>
    </w:rPr>
  </w:style>
  <w:style w:type="character" w:styleId="Emphasis">
    <w:name w:val="Emphasis"/>
    <w:uiPriority w:val="20"/>
    <w:qFormat/>
    <w:rsid w:val="002D0F52"/>
    <w:rPr>
      <w:b/>
      <w:bCs/>
      <w:i w:val="0"/>
      <w:iCs w:val="0"/>
    </w:rPr>
  </w:style>
  <w:style w:type="character" w:customStyle="1" w:styleId="st">
    <w:name w:val="st"/>
    <w:basedOn w:val="DefaultParagraphFont"/>
    <w:rsid w:val="002D0F52"/>
  </w:style>
  <w:style w:type="paragraph" w:styleId="PlainText">
    <w:name w:val="Plain Text"/>
    <w:basedOn w:val="Normal"/>
    <w:link w:val="PlainTextChar"/>
    <w:uiPriority w:val="99"/>
    <w:unhideWhenUsed/>
    <w:rsid w:val="0060019E"/>
    <w:pPr>
      <w:tabs>
        <w:tab w:val="clear" w:pos="567"/>
      </w:tabs>
      <w:spacing w:line="240" w:lineRule="auto"/>
    </w:pPr>
    <w:rPr>
      <w:rFonts w:ascii="Consolas" w:eastAsia="Calibri" w:hAnsi="Consolas"/>
      <w:snapToGrid/>
      <w:sz w:val="21"/>
      <w:szCs w:val="21"/>
      <w:lang w:val="sl-SI" w:eastAsia="sl-SI"/>
    </w:rPr>
  </w:style>
  <w:style w:type="character" w:customStyle="1" w:styleId="PlainTextChar">
    <w:name w:val="Plain Text Char"/>
    <w:link w:val="PlainText"/>
    <w:uiPriority w:val="99"/>
    <w:rsid w:val="0060019E"/>
    <w:rPr>
      <w:rFonts w:ascii="Consolas" w:eastAsia="Calibri" w:hAnsi="Consolas"/>
      <w:sz w:val="21"/>
      <w:szCs w:val="21"/>
      <w:lang w:val="sl-SI" w:eastAsia="sl-SI"/>
    </w:rPr>
  </w:style>
  <w:style w:type="paragraph" w:styleId="EndnoteText">
    <w:name w:val="endnote text"/>
    <w:basedOn w:val="Normal"/>
    <w:link w:val="EndnoteTextChar"/>
    <w:rsid w:val="0060019E"/>
    <w:pPr>
      <w:spacing w:line="240" w:lineRule="auto"/>
    </w:pPr>
    <w:rPr>
      <w:snapToGrid/>
    </w:rPr>
  </w:style>
  <w:style w:type="character" w:customStyle="1" w:styleId="EndnoteTextChar">
    <w:name w:val="Endnote Text Char"/>
    <w:link w:val="EndnoteText"/>
    <w:rsid w:val="0060019E"/>
    <w:rPr>
      <w:sz w:val="22"/>
      <w:lang w:val="en-GB"/>
    </w:rPr>
  </w:style>
  <w:style w:type="paragraph" w:customStyle="1" w:styleId="TitleA">
    <w:name w:val="Title A"/>
    <w:basedOn w:val="Normal"/>
    <w:qFormat/>
    <w:rsid w:val="00D654C1"/>
    <w:pPr>
      <w:widowControl w:val="0"/>
      <w:spacing w:line="240" w:lineRule="auto"/>
      <w:jc w:val="center"/>
    </w:pPr>
    <w:rPr>
      <w:b/>
      <w:noProof/>
      <w:szCs w:val="22"/>
      <w:lang w:val="el-GR"/>
    </w:rPr>
  </w:style>
  <w:style w:type="paragraph" w:customStyle="1" w:styleId="TitleB">
    <w:name w:val="Title B"/>
    <w:basedOn w:val="Normal"/>
    <w:qFormat/>
    <w:rsid w:val="00D654C1"/>
    <w:pPr>
      <w:tabs>
        <w:tab w:val="clear" w:pos="567"/>
      </w:tabs>
      <w:spacing w:line="240" w:lineRule="auto"/>
    </w:pPr>
    <w:rPr>
      <w:b/>
      <w:noProof/>
      <w:szCs w:val="22"/>
      <w:lang w:val="el-GR"/>
    </w:rPr>
  </w:style>
  <w:style w:type="paragraph" w:styleId="Bibliography">
    <w:name w:val="Bibliography"/>
    <w:basedOn w:val="Normal"/>
    <w:next w:val="Normal"/>
    <w:uiPriority w:val="37"/>
    <w:semiHidden/>
    <w:unhideWhenUsed/>
    <w:rsid w:val="00302FB9"/>
  </w:style>
  <w:style w:type="paragraph" w:styleId="BlockText">
    <w:name w:val="Block Text"/>
    <w:basedOn w:val="Normal"/>
    <w:rsid w:val="00302FB9"/>
    <w:pPr>
      <w:spacing w:after="120"/>
      <w:ind w:left="1440" w:right="1440"/>
    </w:pPr>
  </w:style>
  <w:style w:type="paragraph" w:styleId="NoSpacing">
    <w:name w:val="No Spacing"/>
    <w:uiPriority w:val="1"/>
    <w:qFormat/>
    <w:rsid w:val="00302FB9"/>
    <w:pPr>
      <w:tabs>
        <w:tab w:val="left" w:pos="567"/>
      </w:tabs>
    </w:pPr>
    <w:rPr>
      <w:snapToGrid w:val="0"/>
      <w:sz w:val="22"/>
      <w:lang w:eastAsia="en-US"/>
    </w:rPr>
  </w:style>
  <w:style w:type="paragraph" w:styleId="Quote">
    <w:name w:val="Quote"/>
    <w:basedOn w:val="Normal"/>
    <w:next w:val="Normal"/>
    <w:link w:val="QuoteChar"/>
    <w:uiPriority w:val="29"/>
    <w:qFormat/>
    <w:rsid w:val="00302FB9"/>
    <w:rPr>
      <w:i/>
      <w:iCs/>
      <w:color w:val="000000"/>
    </w:rPr>
  </w:style>
  <w:style w:type="character" w:customStyle="1" w:styleId="QuoteChar">
    <w:name w:val="Quote Char"/>
    <w:link w:val="Quote"/>
    <w:uiPriority w:val="29"/>
    <w:rsid w:val="00302FB9"/>
    <w:rPr>
      <w:i/>
      <w:iCs/>
      <w:snapToGrid w:val="0"/>
      <w:color w:val="000000"/>
      <w:sz w:val="22"/>
      <w:lang w:val="en-GB" w:eastAsia="en-US"/>
    </w:rPr>
  </w:style>
  <w:style w:type="paragraph" w:styleId="Date">
    <w:name w:val="Date"/>
    <w:basedOn w:val="Normal"/>
    <w:next w:val="Normal"/>
    <w:link w:val="DateChar"/>
    <w:rsid w:val="00302FB9"/>
  </w:style>
  <w:style w:type="character" w:customStyle="1" w:styleId="DateChar">
    <w:name w:val="Date Char"/>
    <w:link w:val="Date"/>
    <w:rsid w:val="00302FB9"/>
    <w:rPr>
      <w:snapToGrid w:val="0"/>
      <w:sz w:val="22"/>
      <w:lang w:val="en-GB" w:eastAsia="en-US"/>
    </w:rPr>
  </w:style>
  <w:style w:type="paragraph" w:styleId="E-mailSignature">
    <w:name w:val="E-mail Signature"/>
    <w:basedOn w:val="Normal"/>
    <w:link w:val="E-mailSignatureChar"/>
    <w:rsid w:val="00302FB9"/>
  </w:style>
  <w:style w:type="character" w:customStyle="1" w:styleId="E-mailSignatureChar">
    <w:name w:val="E-mail Signature Char"/>
    <w:link w:val="E-mailSignature"/>
    <w:rsid w:val="00302FB9"/>
    <w:rPr>
      <w:snapToGrid w:val="0"/>
      <w:sz w:val="22"/>
      <w:lang w:val="en-GB" w:eastAsia="en-US"/>
    </w:rPr>
  </w:style>
  <w:style w:type="paragraph" w:styleId="MessageHeader">
    <w:name w:val="Message Header"/>
    <w:basedOn w:val="Normal"/>
    <w:link w:val="MessageHeaderChar"/>
    <w:rsid w:val="00302FB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302FB9"/>
    <w:rPr>
      <w:rFonts w:ascii="Cambria" w:eastAsia="Times New Roman" w:hAnsi="Cambria" w:cs="Times New Roman"/>
      <w:snapToGrid w:val="0"/>
      <w:sz w:val="24"/>
      <w:szCs w:val="24"/>
      <w:shd w:val="pct20" w:color="auto" w:fill="auto"/>
      <w:lang w:val="en-GB" w:eastAsia="en-US"/>
    </w:rPr>
  </w:style>
  <w:style w:type="paragraph" w:styleId="HTMLAddress">
    <w:name w:val="HTML Address"/>
    <w:basedOn w:val="Normal"/>
    <w:link w:val="HTMLAddressChar"/>
    <w:rsid w:val="00302FB9"/>
    <w:rPr>
      <w:i/>
      <w:iCs/>
    </w:rPr>
  </w:style>
  <w:style w:type="character" w:customStyle="1" w:styleId="HTMLAddressChar">
    <w:name w:val="HTML Address Char"/>
    <w:link w:val="HTMLAddress"/>
    <w:rsid w:val="00302FB9"/>
    <w:rPr>
      <w:i/>
      <w:iCs/>
      <w:snapToGrid w:val="0"/>
      <w:sz w:val="22"/>
      <w:lang w:val="en-GB" w:eastAsia="en-US"/>
    </w:rPr>
  </w:style>
  <w:style w:type="paragraph" w:styleId="HTMLPreformatted">
    <w:name w:val="HTML Preformatted"/>
    <w:basedOn w:val="Normal"/>
    <w:link w:val="HTMLPreformattedChar"/>
    <w:rsid w:val="00302FB9"/>
    <w:rPr>
      <w:rFonts w:ascii="Courier New" w:hAnsi="Courier New" w:cs="Courier New"/>
      <w:sz w:val="20"/>
    </w:rPr>
  </w:style>
  <w:style w:type="character" w:customStyle="1" w:styleId="HTMLPreformattedChar">
    <w:name w:val="HTML Preformatted Char"/>
    <w:link w:val="HTMLPreformatted"/>
    <w:rsid w:val="00302FB9"/>
    <w:rPr>
      <w:rFonts w:ascii="Courier New" w:hAnsi="Courier New" w:cs="Courier New"/>
      <w:snapToGrid w:val="0"/>
      <w:lang w:val="en-GB" w:eastAsia="en-US"/>
    </w:rPr>
  </w:style>
  <w:style w:type="paragraph" w:styleId="IntenseQuote">
    <w:name w:val="Intense Quote"/>
    <w:basedOn w:val="Normal"/>
    <w:next w:val="Normal"/>
    <w:link w:val="IntenseQuoteChar"/>
    <w:uiPriority w:val="30"/>
    <w:qFormat/>
    <w:rsid w:val="00302FB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02FB9"/>
    <w:rPr>
      <w:b/>
      <w:bCs/>
      <w:i/>
      <w:iCs/>
      <w:snapToGrid w:val="0"/>
      <w:color w:val="4F81BD"/>
      <w:sz w:val="22"/>
      <w:lang w:val="en-GB" w:eastAsia="en-US"/>
    </w:rPr>
  </w:style>
  <w:style w:type="paragraph" w:styleId="TableofFigures">
    <w:name w:val="table of figures"/>
    <w:basedOn w:val="Normal"/>
    <w:next w:val="Normal"/>
    <w:rsid w:val="00302FB9"/>
    <w:pPr>
      <w:tabs>
        <w:tab w:val="clear" w:pos="567"/>
      </w:tabs>
    </w:pPr>
  </w:style>
  <w:style w:type="paragraph" w:styleId="TableofAuthorities">
    <w:name w:val="table of authorities"/>
    <w:basedOn w:val="Normal"/>
    <w:next w:val="Normal"/>
    <w:rsid w:val="00302FB9"/>
    <w:pPr>
      <w:tabs>
        <w:tab w:val="clear" w:pos="567"/>
      </w:tabs>
      <w:ind w:left="220" w:hanging="220"/>
    </w:pPr>
  </w:style>
  <w:style w:type="paragraph" w:styleId="TOAHeading">
    <w:name w:val="toa heading"/>
    <w:basedOn w:val="Normal"/>
    <w:next w:val="Normal"/>
    <w:rsid w:val="00302FB9"/>
    <w:pPr>
      <w:spacing w:before="120"/>
    </w:pPr>
    <w:rPr>
      <w:rFonts w:ascii="Cambria" w:hAnsi="Cambria"/>
      <w:b/>
      <w:bCs/>
      <w:sz w:val="24"/>
      <w:szCs w:val="24"/>
    </w:rPr>
  </w:style>
  <w:style w:type="paragraph" w:styleId="TOC1">
    <w:name w:val="toc 1"/>
    <w:basedOn w:val="Normal"/>
    <w:next w:val="Normal"/>
    <w:autoRedefine/>
    <w:rsid w:val="00302FB9"/>
    <w:pPr>
      <w:tabs>
        <w:tab w:val="clear" w:pos="567"/>
      </w:tabs>
    </w:pPr>
  </w:style>
  <w:style w:type="paragraph" w:styleId="TOC2">
    <w:name w:val="toc 2"/>
    <w:basedOn w:val="Normal"/>
    <w:next w:val="Normal"/>
    <w:autoRedefine/>
    <w:rsid w:val="00302FB9"/>
    <w:pPr>
      <w:tabs>
        <w:tab w:val="clear" w:pos="567"/>
      </w:tabs>
      <w:ind w:left="220"/>
    </w:pPr>
  </w:style>
  <w:style w:type="paragraph" w:styleId="TOC3">
    <w:name w:val="toc 3"/>
    <w:basedOn w:val="Normal"/>
    <w:next w:val="Normal"/>
    <w:autoRedefine/>
    <w:rsid w:val="00302FB9"/>
    <w:pPr>
      <w:tabs>
        <w:tab w:val="clear" w:pos="567"/>
      </w:tabs>
      <w:ind w:left="440"/>
    </w:pPr>
  </w:style>
  <w:style w:type="paragraph" w:styleId="TOC4">
    <w:name w:val="toc 4"/>
    <w:basedOn w:val="Normal"/>
    <w:next w:val="Normal"/>
    <w:autoRedefine/>
    <w:rsid w:val="00302FB9"/>
    <w:pPr>
      <w:tabs>
        <w:tab w:val="clear" w:pos="567"/>
      </w:tabs>
      <w:ind w:left="660"/>
    </w:pPr>
  </w:style>
  <w:style w:type="paragraph" w:styleId="TOC5">
    <w:name w:val="toc 5"/>
    <w:basedOn w:val="Normal"/>
    <w:next w:val="Normal"/>
    <w:autoRedefine/>
    <w:rsid w:val="00302FB9"/>
    <w:pPr>
      <w:tabs>
        <w:tab w:val="clear" w:pos="567"/>
      </w:tabs>
      <w:ind w:left="880"/>
    </w:pPr>
  </w:style>
  <w:style w:type="paragraph" w:styleId="TOC6">
    <w:name w:val="toc 6"/>
    <w:basedOn w:val="Normal"/>
    <w:next w:val="Normal"/>
    <w:autoRedefine/>
    <w:rsid w:val="00302FB9"/>
    <w:pPr>
      <w:tabs>
        <w:tab w:val="clear" w:pos="567"/>
      </w:tabs>
      <w:ind w:left="1100"/>
    </w:pPr>
  </w:style>
  <w:style w:type="paragraph" w:styleId="TOC7">
    <w:name w:val="toc 7"/>
    <w:basedOn w:val="Normal"/>
    <w:next w:val="Normal"/>
    <w:autoRedefine/>
    <w:rsid w:val="00302FB9"/>
    <w:pPr>
      <w:tabs>
        <w:tab w:val="clear" w:pos="567"/>
      </w:tabs>
      <w:ind w:left="1320"/>
    </w:pPr>
  </w:style>
  <w:style w:type="paragraph" w:styleId="TOC8">
    <w:name w:val="toc 8"/>
    <w:basedOn w:val="Normal"/>
    <w:next w:val="Normal"/>
    <w:autoRedefine/>
    <w:rsid w:val="00302FB9"/>
    <w:pPr>
      <w:tabs>
        <w:tab w:val="clear" w:pos="567"/>
      </w:tabs>
      <w:ind w:left="1540"/>
    </w:pPr>
  </w:style>
  <w:style w:type="paragraph" w:styleId="TOC9">
    <w:name w:val="toc 9"/>
    <w:basedOn w:val="Normal"/>
    <w:next w:val="Normal"/>
    <w:autoRedefine/>
    <w:rsid w:val="00302FB9"/>
    <w:pPr>
      <w:tabs>
        <w:tab w:val="clear" w:pos="567"/>
      </w:tabs>
      <w:ind w:left="1760"/>
    </w:pPr>
  </w:style>
  <w:style w:type="paragraph" w:styleId="MacroText">
    <w:name w:val="macro"/>
    <w:link w:val="MacroTextChar"/>
    <w:rsid w:val="00302FB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eastAsia="en-US"/>
    </w:rPr>
  </w:style>
  <w:style w:type="character" w:customStyle="1" w:styleId="MacroTextChar">
    <w:name w:val="Macro Text Char"/>
    <w:link w:val="MacroText"/>
    <w:rsid w:val="00302FB9"/>
    <w:rPr>
      <w:rFonts w:ascii="Courier New" w:hAnsi="Courier New" w:cs="Courier New"/>
      <w:snapToGrid w:val="0"/>
      <w:lang w:val="en-GB" w:eastAsia="en-US"/>
    </w:rPr>
  </w:style>
  <w:style w:type="paragraph" w:styleId="Caption">
    <w:name w:val="caption"/>
    <w:basedOn w:val="Normal"/>
    <w:next w:val="Normal"/>
    <w:semiHidden/>
    <w:unhideWhenUsed/>
    <w:qFormat/>
    <w:rsid w:val="00302FB9"/>
    <w:rPr>
      <w:b/>
      <w:bCs/>
      <w:sz w:val="20"/>
    </w:rPr>
  </w:style>
  <w:style w:type="paragraph" w:styleId="Title">
    <w:name w:val="Title"/>
    <w:basedOn w:val="Normal"/>
    <w:next w:val="Normal"/>
    <w:link w:val="TitleChar"/>
    <w:qFormat/>
    <w:rsid w:val="00302FB9"/>
    <w:pPr>
      <w:spacing w:before="240" w:after="60"/>
      <w:jc w:val="center"/>
      <w:outlineLvl w:val="0"/>
    </w:pPr>
    <w:rPr>
      <w:rFonts w:ascii="Cambria" w:hAnsi="Cambria"/>
      <w:b/>
      <w:bCs/>
      <w:kern w:val="28"/>
      <w:sz w:val="32"/>
      <w:szCs w:val="32"/>
    </w:rPr>
  </w:style>
  <w:style w:type="character" w:customStyle="1" w:styleId="TitleChar">
    <w:name w:val="Title Char"/>
    <w:link w:val="Title"/>
    <w:rsid w:val="00302FB9"/>
    <w:rPr>
      <w:rFonts w:ascii="Cambria" w:eastAsia="Times New Roman" w:hAnsi="Cambria" w:cs="Times New Roman"/>
      <w:b/>
      <w:bCs/>
      <w:snapToGrid w:val="0"/>
      <w:kern w:val="28"/>
      <w:sz w:val="32"/>
      <w:szCs w:val="32"/>
      <w:lang w:val="en-GB" w:eastAsia="en-US"/>
    </w:rPr>
  </w:style>
  <w:style w:type="character" w:customStyle="1" w:styleId="Heading1Char">
    <w:name w:val="Heading 1 Char"/>
    <w:link w:val="Heading1"/>
    <w:rsid w:val="00302FB9"/>
    <w:rPr>
      <w:rFonts w:ascii="Cambria" w:eastAsia="Times New Roman" w:hAnsi="Cambria" w:cs="Times New Roman"/>
      <w:b/>
      <w:bCs/>
      <w:snapToGrid w:val="0"/>
      <w:kern w:val="32"/>
      <w:sz w:val="32"/>
      <w:szCs w:val="32"/>
      <w:lang w:val="en-GB" w:eastAsia="en-US"/>
    </w:rPr>
  </w:style>
  <w:style w:type="character" w:customStyle="1" w:styleId="Heading2Char">
    <w:name w:val="Heading 2 Char"/>
    <w:link w:val="Heading2"/>
    <w:semiHidden/>
    <w:rsid w:val="00302FB9"/>
    <w:rPr>
      <w:rFonts w:ascii="Cambria" w:eastAsia="Times New Roman" w:hAnsi="Cambria" w:cs="Times New Roman"/>
      <w:b/>
      <w:bCs/>
      <w:i/>
      <w:iCs/>
      <w:snapToGrid w:val="0"/>
      <w:sz w:val="28"/>
      <w:szCs w:val="28"/>
      <w:lang w:val="en-GB" w:eastAsia="en-US"/>
    </w:rPr>
  </w:style>
  <w:style w:type="character" w:customStyle="1" w:styleId="Heading3Char">
    <w:name w:val="Heading 3 Char"/>
    <w:link w:val="Heading3"/>
    <w:semiHidden/>
    <w:rsid w:val="00302FB9"/>
    <w:rPr>
      <w:rFonts w:ascii="Cambria" w:eastAsia="Times New Roman" w:hAnsi="Cambria" w:cs="Times New Roman"/>
      <w:b/>
      <w:bCs/>
      <w:snapToGrid w:val="0"/>
      <w:sz w:val="26"/>
      <w:szCs w:val="26"/>
      <w:lang w:val="en-GB" w:eastAsia="en-US"/>
    </w:rPr>
  </w:style>
  <w:style w:type="character" w:customStyle="1" w:styleId="Heading4Char">
    <w:name w:val="Heading 4 Char"/>
    <w:link w:val="Heading4"/>
    <w:semiHidden/>
    <w:rsid w:val="00302FB9"/>
    <w:rPr>
      <w:rFonts w:ascii="Calibri" w:eastAsia="Times New Roman" w:hAnsi="Calibri" w:cs="Times New Roman"/>
      <w:b/>
      <w:bCs/>
      <w:snapToGrid w:val="0"/>
      <w:sz w:val="28"/>
      <w:szCs w:val="28"/>
      <w:lang w:val="en-GB" w:eastAsia="en-US"/>
    </w:rPr>
  </w:style>
  <w:style w:type="character" w:customStyle="1" w:styleId="Heading5Char">
    <w:name w:val="Heading 5 Char"/>
    <w:link w:val="Heading5"/>
    <w:semiHidden/>
    <w:rsid w:val="00302FB9"/>
    <w:rPr>
      <w:rFonts w:ascii="Calibri" w:eastAsia="Times New Roman" w:hAnsi="Calibri" w:cs="Times New Roman"/>
      <w:b/>
      <w:bCs/>
      <w:i/>
      <w:iCs/>
      <w:snapToGrid w:val="0"/>
      <w:sz w:val="26"/>
      <w:szCs w:val="26"/>
      <w:lang w:val="en-GB" w:eastAsia="en-US"/>
    </w:rPr>
  </w:style>
  <w:style w:type="character" w:customStyle="1" w:styleId="Heading6Char">
    <w:name w:val="Heading 6 Char"/>
    <w:link w:val="Heading6"/>
    <w:semiHidden/>
    <w:rsid w:val="00302FB9"/>
    <w:rPr>
      <w:rFonts w:ascii="Calibri" w:eastAsia="Times New Roman" w:hAnsi="Calibri" w:cs="Times New Roman"/>
      <w:b/>
      <w:bCs/>
      <w:snapToGrid w:val="0"/>
      <w:sz w:val="22"/>
      <w:szCs w:val="22"/>
      <w:lang w:val="en-GB" w:eastAsia="en-US"/>
    </w:rPr>
  </w:style>
  <w:style w:type="character" w:customStyle="1" w:styleId="Heading8Char">
    <w:name w:val="Heading 8 Char"/>
    <w:link w:val="Heading8"/>
    <w:semiHidden/>
    <w:rsid w:val="00302FB9"/>
    <w:rPr>
      <w:rFonts w:ascii="Calibri" w:eastAsia="Times New Roman" w:hAnsi="Calibri" w:cs="Times New Roman"/>
      <w:i/>
      <w:iCs/>
      <w:snapToGrid w:val="0"/>
      <w:sz w:val="24"/>
      <w:szCs w:val="24"/>
      <w:lang w:val="en-GB" w:eastAsia="en-US"/>
    </w:rPr>
  </w:style>
  <w:style w:type="character" w:customStyle="1" w:styleId="Heading9Char">
    <w:name w:val="Heading 9 Char"/>
    <w:link w:val="Heading9"/>
    <w:semiHidden/>
    <w:rsid w:val="00302FB9"/>
    <w:rPr>
      <w:rFonts w:ascii="Cambria" w:eastAsia="Times New Roman" w:hAnsi="Cambria" w:cs="Times New Roman"/>
      <w:snapToGrid w:val="0"/>
      <w:sz w:val="22"/>
      <w:szCs w:val="22"/>
      <w:lang w:val="en-GB" w:eastAsia="en-US"/>
    </w:rPr>
  </w:style>
  <w:style w:type="paragraph" w:styleId="EnvelopeAddress">
    <w:name w:val="envelope address"/>
    <w:basedOn w:val="Normal"/>
    <w:rsid w:val="00302FB9"/>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302FB9"/>
    <w:rPr>
      <w:rFonts w:ascii="Cambria" w:hAnsi="Cambria"/>
      <w:sz w:val="20"/>
    </w:rPr>
  </w:style>
  <w:style w:type="paragraph" w:styleId="TOCHeading">
    <w:name w:val="TOC Heading"/>
    <w:basedOn w:val="Heading1"/>
    <w:next w:val="Normal"/>
    <w:uiPriority w:val="39"/>
    <w:semiHidden/>
    <w:unhideWhenUsed/>
    <w:qFormat/>
    <w:rsid w:val="00302FB9"/>
    <w:pPr>
      <w:outlineLvl w:val="9"/>
    </w:pPr>
  </w:style>
  <w:style w:type="paragraph" w:styleId="NormalIndent">
    <w:name w:val="Normal Indent"/>
    <w:basedOn w:val="Normal"/>
    <w:rsid w:val="00302FB9"/>
    <w:pPr>
      <w:ind w:left="708"/>
    </w:pPr>
  </w:style>
  <w:style w:type="paragraph" w:styleId="NormalWeb">
    <w:name w:val="Normal (Web)"/>
    <w:basedOn w:val="Normal"/>
    <w:rsid w:val="00302FB9"/>
    <w:rPr>
      <w:sz w:val="24"/>
      <w:szCs w:val="24"/>
    </w:rPr>
  </w:style>
  <w:style w:type="paragraph" w:styleId="NoteHeading">
    <w:name w:val="Note Heading"/>
    <w:basedOn w:val="Normal"/>
    <w:next w:val="Normal"/>
    <w:link w:val="NoteHeadingChar"/>
    <w:rsid w:val="00302FB9"/>
  </w:style>
  <w:style w:type="character" w:customStyle="1" w:styleId="NoteHeadingChar">
    <w:name w:val="Note Heading Char"/>
    <w:link w:val="NoteHeading"/>
    <w:rsid w:val="00302FB9"/>
    <w:rPr>
      <w:snapToGrid w:val="0"/>
      <w:sz w:val="22"/>
      <w:lang w:val="en-GB" w:eastAsia="en-US"/>
    </w:rPr>
  </w:style>
  <w:style w:type="paragraph" w:styleId="ListNumber">
    <w:name w:val="List Number"/>
    <w:basedOn w:val="Normal"/>
    <w:rsid w:val="00302FB9"/>
    <w:pPr>
      <w:numPr>
        <w:numId w:val="16"/>
      </w:numPr>
      <w:contextualSpacing/>
    </w:pPr>
  </w:style>
  <w:style w:type="paragraph" w:styleId="ListNumber2">
    <w:name w:val="List Number 2"/>
    <w:basedOn w:val="Normal"/>
    <w:rsid w:val="00302FB9"/>
    <w:pPr>
      <w:numPr>
        <w:numId w:val="17"/>
      </w:numPr>
      <w:contextualSpacing/>
    </w:pPr>
  </w:style>
  <w:style w:type="paragraph" w:styleId="ListNumber3">
    <w:name w:val="List Number 3"/>
    <w:basedOn w:val="Normal"/>
    <w:rsid w:val="00302FB9"/>
    <w:pPr>
      <w:numPr>
        <w:numId w:val="18"/>
      </w:numPr>
      <w:contextualSpacing/>
    </w:pPr>
  </w:style>
  <w:style w:type="paragraph" w:styleId="ListNumber4">
    <w:name w:val="List Number 4"/>
    <w:basedOn w:val="Normal"/>
    <w:rsid w:val="00302FB9"/>
    <w:pPr>
      <w:numPr>
        <w:numId w:val="19"/>
      </w:numPr>
      <w:contextualSpacing/>
    </w:pPr>
  </w:style>
  <w:style w:type="paragraph" w:styleId="ListNumber5">
    <w:name w:val="List Number 5"/>
    <w:basedOn w:val="Normal"/>
    <w:rsid w:val="00302FB9"/>
    <w:pPr>
      <w:numPr>
        <w:numId w:val="20"/>
      </w:numPr>
      <w:contextualSpacing/>
    </w:pPr>
  </w:style>
  <w:style w:type="paragraph" w:styleId="ListBullet">
    <w:name w:val="List Bullet"/>
    <w:basedOn w:val="Normal"/>
    <w:rsid w:val="00302FB9"/>
    <w:pPr>
      <w:numPr>
        <w:numId w:val="21"/>
      </w:numPr>
      <w:contextualSpacing/>
    </w:pPr>
  </w:style>
  <w:style w:type="paragraph" w:styleId="ListBullet2">
    <w:name w:val="List Bullet 2"/>
    <w:basedOn w:val="Normal"/>
    <w:rsid w:val="00302FB9"/>
    <w:pPr>
      <w:numPr>
        <w:numId w:val="22"/>
      </w:numPr>
      <w:contextualSpacing/>
    </w:pPr>
  </w:style>
  <w:style w:type="paragraph" w:styleId="ListBullet3">
    <w:name w:val="List Bullet 3"/>
    <w:basedOn w:val="Normal"/>
    <w:rsid w:val="00302FB9"/>
    <w:pPr>
      <w:numPr>
        <w:numId w:val="23"/>
      </w:numPr>
      <w:contextualSpacing/>
    </w:pPr>
  </w:style>
  <w:style w:type="paragraph" w:styleId="ListBullet4">
    <w:name w:val="List Bullet 4"/>
    <w:basedOn w:val="Normal"/>
    <w:rsid w:val="00302FB9"/>
    <w:pPr>
      <w:numPr>
        <w:numId w:val="24"/>
      </w:numPr>
      <w:contextualSpacing/>
    </w:pPr>
  </w:style>
  <w:style w:type="paragraph" w:styleId="ListBullet5">
    <w:name w:val="List Bullet 5"/>
    <w:basedOn w:val="Normal"/>
    <w:rsid w:val="00302FB9"/>
    <w:pPr>
      <w:numPr>
        <w:numId w:val="25"/>
      </w:numPr>
      <w:contextualSpacing/>
    </w:pPr>
  </w:style>
  <w:style w:type="paragraph" w:styleId="Subtitle">
    <w:name w:val="Subtitle"/>
    <w:basedOn w:val="Normal"/>
    <w:next w:val="Normal"/>
    <w:link w:val="SubtitleChar"/>
    <w:qFormat/>
    <w:rsid w:val="00302FB9"/>
    <w:pPr>
      <w:spacing w:after="60"/>
      <w:jc w:val="center"/>
      <w:outlineLvl w:val="1"/>
    </w:pPr>
    <w:rPr>
      <w:rFonts w:ascii="Cambria" w:hAnsi="Cambria"/>
      <w:sz w:val="24"/>
      <w:szCs w:val="24"/>
    </w:rPr>
  </w:style>
  <w:style w:type="character" w:customStyle="1" w:styleId="SubtitleChar">
    <w:name w:val="Subtitle Char"/>
    <w:link w:val="Subtitle"/>
    <w:rsid w:val="00302FB9"/>
    <w:rPr>
      <w:rFonts w:ascii="Cambria" w:eastAsia="Times New Roman" w:hAnsi="Cambria" w:cs="Times New Roman"/>
      <w:snapToGrid w:val="0"/>
      <w:sz w:val="24"/>
      <w:szCs w:val="24"/>
      <w:lang w:val="en-GB" w:eastAsia="en-US"/>
    </w:rPr>
  </w:style>
  <w:style w:type="paragraph" w:styleId="Signature">
    <w:name w:val="Signature"/>
    <w:basedOn w:val="Normal"/>
    <w:link w:val="SignatureChar"/>
    <w:rsid w:val="00302FB9"/>
    <w:pPr>
      <w:ind w:left="4252"/>
    </w:pPr>
  </w:style>
  <w:style w:type="character" w:customStyle="1" w:styleId="SignatureChar">
    <w:name w:val="Signature Char"/>
    <w:link w:val="Signature"/>
    <w:rsid w:val="00302FB9"/>
    <w:rPr>
      <w:snapToGrid w:val="0"/>
      <w:sz w:val="22"/>
      <w:lang w:val="en-GB" w:eastAsia="en-US"/>
    </w:rPr>
  </w:style>
  <w:style w:type="paragraph" w:styleId="CommentText">
    <w:name w:val="annotation text"/>
    <w:basedOn w:val="Normal"/>
    <w:link w:val="CommentTextChar"/>
    <w:rsid w:val="00302FB9"/>
    <w:rPr>
      <w:sz w:val="20"/>
    </w:rPr>
  </w:style>
  <w:style w:type="character" w:customStyle="1" w:styleId="CommentTextChar">
    <w:name w:val="Comment Text Char"/>
    <w:link w:val="CommentText"/>
    <w:rsid w:val="00302FB9"/>
    <w:rPr>
      <w:snapToGrid w:val="0"/>
      <w:lang w:val="en-GB" w:eastAsia="en-US"/>
    </w:rPr>
  </w:style>
  <w:style w:type="paragraph" w:styleId="List">
    <w:name w:val="List"/>
    <w:basedOn w:val="Normal"/>
    <w:rsid w:val="00302FB9"/>
    <w:pPr>
      <w:ind w:left="283" w:hanging="283"/>
      <w:contextualSpacing/>
    </w:pPr>
  </w:style>
  <w:style w:type="paragraph" w:styleId="ListContinue">
    <w:name w:val="List Continue"/>
    <w:basedOn w:val="Normal"/>
    <w:rsid w:val="00302FB9"/>
    <w:pPr>
      <w:spacing w:after="120"/>
      <w:ind w:left="283"/>
      <w:contextualSpacing/>
    </w:pPr>
  </w:style>
  <w:style w:type="paragraph" w:styleId="ListContinue2">
    <w:name w:val="List Continue 2"/>
    <w:basedOn w:val="Normal"/>
    <w:rsid w:val="00302FB9"/>
    <w:pPr>
      <w:spacing w:after="120"/>
      <w:ind w:left="566"/>
      <w:contextualSpacing/>
    </w:pPr>
  </w:style>
  <w:style w:type="paragraph" w:styleId="ListContinue3">
    <w:name w:val="List Continue 3"/>
    <w:basedOn w:val="Normal"/>
    <w:rsid w:val="00302FB9"/>
    <w:pPr>
      <w:spacing w:after="120"/>
      <w:ind w:left="849"/>
      <w:contextualSpacing/>
    </w:pPr>
  </w:style>
  <w:style w:type="paragraph" w:styleId="ListContinue4">
    <w:name w:val="List Continue 4"/>
    <w:basedOn w:val="Normal"/>
    <w:rsid w:val="00302FB9"/>
    <w:pPr>
      <w:spacing w:after="120"/>
      <w:ind w:left="1132"/>
      <w:contextualSpacing/>
    </w:pPr>
  </w:style>
  <w:style w:type="paragraph" w:styleId="ListContinue5">
    <w:name w:val="List Continue 5"/>
    <w:basedOn w:val="Normal"/>
    <w:rsid w:val="00302FB9"/>
    <w:pPr>
      <w:spacing w:after="120"/>
      <w:ind w:left="1415"/>
      <w:contextualSpacing/>
    </w:pPr>
  </w:style>
  <w:style w:type="paragraph" w:styleId="List2">
    <w:name w:val="List 2"/>
    <w:basedOn w:val="Normal"/>
    <w:rsid w:val="00302FB9"/>
    <w:pPr>
      <w:ind w:left="566" w:hanging="283"/>
      <w:contextualSpacing/>
    </w:pPr>
  </w:style>
  <w:style w:type="paragraph" w:styleId="List3">
    <w:name w:val="List 3"/>
    <w:basedOn w:val="Normal"/>
    <w:rsid w:val="00302FB9"/>
    <w:pPr>
      <w:ind w:left="849" w:hanging="283"/>
      <w:contextualSpacing/>
    </w:pPr>
  </w:style>
  <w:style w:type="paragraph" w:styleId="List4">
    <w:name w:val="List 4"/>
    <w:basedOn w:val="Normal"/>
    <w:rsid w:val="00302FB9"/>
    <w:pPr>
      <w:ind w:left="1132" w:hanging="283"/>
      <w:contextualSpacing/>
    </w:pPr>
  </w:style>
  <w:style w:type="paragraph" w:styleId="List5">
    <w:name w:val="List 5"/>
    <w:basedOn w:val="Normal"/>
    <w:rsid w:val="00302FB9"/>
    <w:pPr>
      <w:ind w:left="1415" w:hanging="283"/>
      <w:contextualSpacing/>
    </w:pPr>
  </w:style>
  <w:style w:type="paragraph" w:styleId="FootnoteText">
    <w:name w:val="footnote text"/>
    <w:basedOn w:val="Normal"/>
    <w:link w:val="FootnoteTextChar"/>
    <w:rsid w:val="00302FB9"/>
    <w:rPr>
      <w:sz w:val="20"/>
    </w:rPr>
  </w:style>
  <w:style w:type="character" w:customStyle="1" w:styleId="FootnoteTextChar">
    <w:name w:val="Footnote Text Char"/>
    <w:link w:val="FootnoteText"/>
    <w:rsid w:val="00302FB9"/>
    <w:rPr>
      <w:snapToGrid w:val="0"/>
      <w:lang w:val="en-GB" w:eastAsia="en-US"/>
    </w:rPr>
  </w:style>
  <w:style w:type="paragraph" w:styleId="Index1">
    <w:name w:val="index 1"/>
    <w:basedOn w:val="Normal"/>
    <w:next w:val="Normal"/>
    <w:autoRedefine/>
    <w:rsid w:val="00302FB9"/>
    <w:pPr>
      <w:tabs>
        <w:tab w:val="clear" w:pos="567"/>
      </w:tabs>
      <w:ind w:left="220" w:hanging="220"/>
    </w:pPr>
  </w:style>
  <w:style w:type="paragraph" w:styleId="IndexHeading">
    <w:name w:val="index heading"/>
    <w:basedOn w:val="Normal"/>
    <w:next w:val="Index1"/>
    <w:rsid w:val="00302FB9"/>
    <w:rPr>
      <w:rFonts w:ascii="Cambria" w:hAnsi="Cambria"/>
      <w:b/>
      <w:bCs/>
    </w:rPr>
  </w:style>
  <w:style w:type="paragraph" w:styleId="Index2">
    <w:name w:val="index 2"/>
    <w:basedOn w:val="Normal"/>
    <w:next w:val="Normal"/>
    <w:autoRedefine/>
    <w:rsid w:val="00302FB9"/>
    <w:pPr>
      <w:tabs>
        <w:tab w:val="clear" w:pos="567"/>
      </w:tabs>
      <w:ind w:left="440" w:hanging="220"/>
    </w:pPr>
  </w:style>
  <w:style w:type="paragraph" w:styleId="Index3">
    <w:name w:val="index 3"/>
    <w:basedOn w:val="Normal"/>
    <w:next w:val="Normal"/>
    <w:autoRedefine/>
    <w:rsid w:val="00302FB9"/>
    <w:pPr>
      <w:tabs>
        <w:tab w:val="clear" w:pos="567"/>
      </w:tabs>
      <w:ind w:left="660" w:hanging="220"/>
    </w:pPr>
  </w:style>
  <w:style w:type="paragraph" w:styleId="Index4">
    <w:name w:val="index 4"/>
    <w:basedOn w:val="Normal"/>
    <w:next w:val="Normal"/>
    <w:autoRedefine/>
    <w:rsid w:val="00302FB9"/>
    <w:pPr>
      <w:tabs>
        <w:tab w:val="clear" w:pos="567"/>
      </w:tabs>
      <w:ind w:left="880" w:hanging="220"/>
    </w:pPr>
  </w:style>
  <w:style w:type="paragraph" w:styleId="Index5">
    <w:name w:val="index 5"/>
    <w:basedOn w:val="Normal"/>
    <w:next w:val="Normal"/>
    <w:autoRedefine/>
    <w:rsid w:val="00302FB9"/>
    <w:pPr>
      <w:tabs>
        <w:tab w:val="clear" w:pos="567"/>
      </w:tabs>
      <w:ind w:left="1100" w:hanging="220"/>
    </w:pPr>
  </w:style>
  <w:style w:type="paragraph" w:styleId="Index6">
    <w:name w:val="index 6"/>
    <w:basedOn w:val="Normal"/>
    <w:next w:val="Normal"/>
    <w:autoRedefine/>
    <w:rsid w:val="00302FB9"/>
    <w:pPr>
      <w:tabs>
        <w:tab w:val="clear" w:pos="567"/>
      </w:tabs>
      <w:ind w:left="1320" w:hanging="220"/>
    </w:pPr>
  </w:style>
  <w:style w:type="paragraph" w:styleId="Index7">
    <w:name w:val="index 7"/>
    <w:basedOn w:val="Normal"/>
    <w:next w:val="Normal"/>
    <w:autoRedefine/>
    <w:rsid w:val="00302FB9"/>
    <w:pPr>
      <w:tabs>
        <w:tab w:val="clear" w:pos="567"/>
      </w:tabs>
      <w:ind w:left="1540" w:hanging="220"/>
    </w:pPr>
  </w:style>
  <w:style w:type="paragraph" w:styleId="Index8">
    <w:name w:val="index 8"/>
    <w:basedOn w:val="Normal"/>
    <w:next w:val="Normal"/>
    <w:autoRedefine/>
    <w:rsid w:val="00302FB9"/>
    <w:pPr>
      <w:tabs>
        <w:tab w:val="clear" w:pos="567"/>
      </w:tabs>
      <w:ind w:left="1760" w:hanging="220"/>
    </w:pPr>
  </w:style>
  <w:style w:type="paragraph" w:styleId="Index9">
    <w:name w:val="index 9"/>
    <w:basedOn w:val="Normal"/>
    <w:next w:val="Normal"/>
    <w:autoRedefine/>
    <w:rsid w:val="00302FB9"/>
    <w:pPr>
      <w:tabs>
        <w:tab w:val="clear" w:pos="567"/>
      </w:tabs>
      <w:ind w:left="1980" w:hanging="220"/>
    </w:pPr>
  </w:style>
  <w:style w:type="paragraph" w:styleId="BodyText">
    <w:name w:val="Body Text"/>
    <w:basedOn w:val="Normal"/>
    <w:link w:val="BodyTextChar"/>
    <w:rsid w:val="00302FB9"/>
    <w:pPr>
      <w:spacing w:after="120"/>
    </w:pPr>
  </w:style>
  <w:style w:type="character" w:customStyle="1" w:styleId="BodyTextChar">
    <w:name w:val="Body Text Char"/>
    <w:link w:val="BodyText"/>
    <w:rsid w:val="00302FB9"/>
    <w:rPr>
      <w:snapToGrid w:val="0"/>
      <w:sz w:val="22"/>
      <w:lang w:val="en-GB" w:eastAsia="en-US"/>
    </w:rPr>
  </w:style>
  <w:style w:type="paragraph" w:styleId="BodyTextFirstIndent">
    <w:name w:val="Body Text First Indent"/>
    <w:basedOn w:val="BodyText"/>
    <w:link w:val="BodyTextFirstIndentChar"/>
    <w:rsid w:val="00302FB9"/>
    <w:pPr>
      <w:ind w:firstLine="210"/>
    </w:pPr>
  </w:style>
  <w:style w:type="character" w:customStyle="1" w:styleId="BodyTextFirstIndentChar">
    <w:name w:val="Body Text First Indent Char"/>
    <w:basedOn w:val="BodyTextChar"/>
    <w:link w:val="BodyTextFirstIndent"/>
    <w:rsid w:val="00302FB9"/>
    <w:rPr>
      <w:snapToGrid w:val="0"/>
      <w:sz w:val="22"/>
      <w:lang w:val="en-GB" w:eastAsia="en-US"/>
    </w:rPr>
  </w:style>
  <w:style w:type="paragraph" w:styleId="BodyTextIndent">
    <w:name w:val="Body Text Indent"/>
    <w:basedOn w:val="Normal"/>
    <w:link w:val="BodyTextIndentChar"/>
    <w:rsid w:val="00302FB9"/>
    <w:pPr>
      <w:spacing w:after="120"/>
      <w:ind w:left="283"/>
    </w:pPr>
  </w:style>
  <w:style w:type="character" w:customStyle="1" w:styleId="BodyTextIndentChar">
    <w:name w:val="Body Text Indent Char"/>
    <w:link w:val="BodyTextIndent"/>
    <w:rsid w:val="00302FB9"/>
    <w:rPr>
      <w:snapToGrid w:val="0"/>
      <w:sz w:val="22"/>
      <w:lang w:val="en-GB" w:eastAsia="en-US"/>
    </w:rPr>
  </w:style>
  <w:style w:type="paragraph" w:styleId="BodyTextFirstIndent2">
    <w:name w:val="Body Text First Indent 2"/>
    <w:basedOn w:val="BodyTextIndent"/>
    <w:link w:val="BodyTextFirstIndent2Char"/>
    <w:rsid w:val="00302FB9"/>
    <w:pPr>
      <w:ind w:firstLine="210"/>
    </w:pPr>
  </w:style>
  <w:style w:type="character" w:customStyle="1" w:styleId="BodyTextFirstIndent2Char">
    <w:name w:val="Body Text First Indent 2 Char"/>
    <w:basedOn w:val="BodyTextIndentChar"/>
    <w:link w:val="BodyTextFirstIndent2"/>
    <w:rsid w:val="00302FB9"/>
    <w:rPr>
      <w:snapToGrid w:val="0"/>
      <w:sz w:val="22"/>
      <w:lang w:val="en-GB" w:eastAsia="en-US"/>
    </w:rPr>
  </w:style>
  <w:style w:type="paragraph" w:styleId="BodyTextIndent2">
    <w:name w:val="Body Text Indent 2"/>
    <w:basedOn w:val="Normal"/>
    <w:link w:val="BodyTextIndent2Char"/>
    <w:rsid w:val="00302FB9"/>
    <w:pPr>
      <w:spacing w:after="120" w:line="480" w:lineRule="auto"/>
      <w:ind w:left="283"/>
    </w:pPr>
  </w:style>
  <w:style w:type="character" w:customStyle="1" w:styleId="BodyTextIndent2Char">
    <w:name w:val="Body Text Indent 2 Char"/>
    <w:link w:val="BodyTextIndent2"/>
    <w:rsid w:val="00302FB9"/>
    <w:rPr>
      <w:snapToGrid w:val="0"/>
      <w:sz w:val="22"/>
      <w:lang w:val="en-GB" w:eastAsia="en-US"/>
    </w:rPr>
  </w:style>
  <w:style w:type="paragraph" w:styleId="BodyTextIndent3">
    <w:name w:val="Body Text Indent 3"/>
    <w:basedOn w:val="Normal"/>
    <w:link w:val="BodyTextIndent3Char"/>
    <w:rsid w:val="00302FB9"/>
    <w:pPr>
      <w:spacing w:after="120"/>
      <w:ind w:left="283"/>
    </w:pPr>
    <w:rPr>
      <w:sz w:val="16"/>
      <w:szCs w:val="16"/>
    </w:rPr>
  </w:style>
  <w:style w:type="character" w:customStyle="1" w:styleId="BodyTextIndent3Char">
    <w:name w:val="Body Text Indent 3 Char"/>
    <w:link w:val="BodyTextIndent3"/>
    <w:rsid w:val="00302FB9"/>
    <w:rPr>
      <w:snapToGrid w:val="0"/>
      <w:sz w:val="16"/>
      <w:szCs w:val="16"/>
      <w:lang w:val="en-GB" w:eastAsia="en-US"/>
    </w:rPr>
  </w:style>
  <w:style w:type="paragraph" w:styleId="BodyText2">
    <w:name w:val="Body Text 2"/>
    <w:basedOn w:val="Normal"/>
    <w:link w:val="BodyText2Char"/>
    <w:rsid w:val="00302FB9"/>
    <w:pPr>
      <w:spacing w:after="120" w:line="480" w:lineRule="auto"/>
    </w:pPr>
  </w:style>
  <w:style w:type="character" w:customStyle="1" w:styleId="BodyText2Char">
    <w:name w:val="Body Text 2 Char"/>
    <w:link w:val="BodyText2"/>
    <w:rsid w:val="00302FB9"/>
    <w:rPr>
      <w:snapToGrid w:val="0"/>
      <w:sz w:val="22"/>
      <w:lang w:val="en-GB" w:eastAsia="en-US"/>
    </w:rPr>
  </w:style>
  <w:style w:type="paragraph" w:styleId="BodyText3">
    <w:name w:val="Body Text 3"/>
    <w:basedOn w:val="Normal"/>
    <w:link w:val="BodyText3Char"/>
    <w:rsid w:val="00302FB9"/>
    <w:pPr>
      <w:spacing w:after="120"/>
    </w:pPr>
    <w:rPr>
      <w:sz w:val="16"/>
      <w:szCs w:val="16"/>
    </w:rPr>
  </w:style>
  <w:style w:type="character" w:customStyle="1" w:styleId="BodyText3Char">
    <w:name w:val="Body Text 3 Char"/>
    <w:link w:val="BodyText3"/>
    <w:rsid w:val="00302FB9"/>
    <w:rPr>
      <w:snapToGrid w:val="0"/>
      <w:sz w:val="16"/>
      <w:szCs w:val="16"/>
      <w:lang w:val="en-GB" w:eastAsia="en-US"/>
    </w:rPr>
  </w:style>
  <w:style w:type="paragraph" w:styleId="Salutation">
    <w:name w:val="Salutation"/>
    <w:basedOn w:val="Normal"/>
    <w:next w:val="Normal"/>
    <w:link w:val="SalutationChar"/>
    <w:rsid w:val="00302FB9"/>
  </w:style>
  <w:style w:type="character" w:customStyle="1" w:styleId="SalutationChar">
    <w:name w:val="Salutation Char"/>
    <w:link w:val="Salutation"/>
    <w:rsid w:val="00302FB9"/>
    <w:rPr>
      <w:snapToGrid w:val="0"/>
      <w:sz w:val="22"/>
      <w:lang w:val="en-GB" w:eastAsia="en-US"/>
    </w:rPr>
  </w:style>
  <w:style w:type="paragraph" w:styleId="CommentSubject">
    <w:name w:val="annotation subject"/>
    <w:basedOn w:val="CommentText"/>
    <w:next w:val="CommentText"/>
    <w:link w:val="CommentSubjectChar"/>
    <w:rsid w:val="00302FB9"/>
    <w:rPr>
      <w:b/>
      <w:bCs/>
    </w:rPr>
  </w:style>
  <w:style w:type="character" w:customStyle="1" w:styleId="CommentSubjectChar">
    <w:name w:val="Comment Subject Char"/>
    <w:link w:val="CommentSubject"/>
    <w:rsid w:val="00302FB9"/>
    <w:rPr>
      <w:b/>
      <w:bCs/>
      <w:snapToGrid w:val="0"/>
      <w:lang w:val="en-GB" w:eastAsia="en-US"/>
    </w:rPr>
  </w:style>
  <w:style w:type="paragraph" w:styleId="Closing">
    <w:name w:val="Closing"/>
    <w:basedOn w:val="Normal"/>
    <w:link w:val="ClosingChar"/>
    <w:rsid w:val="00302FB9"/>
    <w:pPr>
      <w:ind w:left="4252"/>
    </w:pPr>
  </w:style>
  <w:style w:type="character" w:customStyle="1" w:styleId="ClosingChar">
    <w:name w:val="Closing Char"/>
    <w:link w:val="Closing"/>
    <w:rsid w:val="00302FB9"/>
    <w:rPr>
      <w:snapToGrid w:val="0"/>
      <w:sz w:val="22"/>
      <w:lang w:val="en-GB" w:eastAsia="en-US"/>
    </w:rPr>
  </w:style>
  <w:style w:type="paragraph" w:styleId="DocumentMap">
    <w:name w:val="Document Map"/>
    <w:basedOn w:val="Normal"/>
    <w:link w:val="DocumentMapChar"/>
    <w:rsid w:val="00302FB9"/>
    <w:rPr>
      <w:rFonts w:ascii="Tahoma" w:hAnsi="Tahoma" w:cs="Tahoma"/>
      <w:sz w:val="16"/>
      <w:szCs w:val="16"/>
    </w:rPr>
  </w:style>
  <w:style w:type="character" w:customStyle="1" w:styleId="DocumentMapChar">
    <w:name w:val="Document Map Char"/>
    <w:link w:val="DocumentMap"/>
    <w:rsid w:val="00302FB9"/>
    <w:rPr>
      <w:rFonts w:ascii="Tahoma" w:hAnsi="Tahoma" w:cs="Tahoma"/>
      <w:snapToGrid w:val="0"/>
      <w:sz w:val="16"/>
      <w:szCs w:val="16"/>
      <w:lang w:val="en-GB" w:eastAsia="en-US"/>
    </w:rPr>
  </w:style>
  <w:style w:type="character" w:styleId="CommentReference">
    <w:name w:val="annotation reference"/>
    <w:rsid w:val="0066469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62165">
      <w:bodyDiv w:val="1"/>
      <w:marLeft w:val="0"/>
      <w:marRight w:val="0"/>
      <w:marTop w:val="0"/>
      <w:marBottom w:val="0"/>
      <w:divBdr>
        <w:top w:val="none" w:sz="0" w:space="0" w:color="auto"/>
        <w:left w:val="none" w:sz="0" w:space="0" w:color="auto"/>
        <w:bottom w:val="none" w:sz="0" w:space="0" w:color="auto"/>
        <w:right w:val="none" w:sz="0" w:space="0" w:color="auto"/>
      </w:divBdr>
    </w:div>
    <w:div w:id="647327211">
      <w:bodyDiv w:val="1"/>
      <w:marLeft w:val="0"/>
      <w:marRight w:val="0"/>
      <w:marTop w:val="0"/>
      <w:marBottom w:val="0"/>
      <w:divBdr>
        <w:top w:val="none" w:sz="0" w:space="0" w:color="auto"/>
        <w:left w:val="none" w:sz="0" w:space="0" w:color="auto"/>
        <w:bottom w:val="none" w:sz="0" w:space="0" w:color="auto"/>
        <w:right w:val="none" w:sz="0" w:space="0" w:color="auto"/>
      </w:divBdr>
    </w:div>
    <w:div w:id="742334291">
      <w:bodyDiv w:val="1"/>
      <w:marLeft w:val="0"/>
      <w:marRight w:val="0"/>
      <w:marTop w:val="0"/>
      <w:marBottom w:val="0"/>
      <w:divBdr>
        <w:top w:val="none" w:sz="0" w:space="0" w:color="auto"/>
        <w:left w:val="none" w:sz="0" w:space="0" w:color="auto"/>
        <w:bottom w:val="none" w:sz="0" w:space="0" w:color="auto"/>
        <w:right w:val="none" w:sz="0" w:space="0" w:color="auto"/>
      </w:divBdr>
    </w:div>
    <w:div w:id="908033618">
      <w:bodyDiv w:val="1"/>
      <w:marLeft w:val="0"/>
      <w:marRight w:val="0"/>
      <w:marTop w:val="0"/>
      <w:marBottom w:val="0"/>
      <w:divBdr>
        <w:top w:val="none" w:sz="0" w:space="0" w:color="auto"/>
        <w:left w:val="none" w:sz="0" w:space="0" w:color="auto"/>
        <w:bottom w:val="none" w:sz="0" w:space="0" w:color="auto"/>
        <w:right w:val="none" w:sz="0" w:space="0" w:color="auto"/>
      </w:divBdr>
    </w:div>
    <w:div w:id="1000818443">
      <w:bodyDiv w:val="1"/>
      <w:marLeft w:val="0"/>
      <w:marRight w:val="0"/>
      <w:marTop w:val="0"/>
      <w:marBottom w:val="0"/>
      <w:divBdr>
        <w:top w:val="none" w:sz="0" w:space="0" w:color="auto"/>
        <w:left w:val="none" w:sz="0" w:space="0" w:color="auto"/>
        <w:bottom w:val="none" w:sz="0" w:space="0" w:color="auto"/>
        <w:right w:val="none" w:sz="0" w:space="0" w:color="auto"/>
      </w:divBdr>
    </w:div>
    <w:div w:id="1400590425">
      <w:bodyDiv w:val="1"/>
      <w:marLeft w:val="0"/>
      <w:marRight w:val="0"/>
      <w:marTop w:val="0"/>
      <w:marBottom w:val="0"/>
      <w:divBdr>
        <w:top w:val="none" w:sz="0" w:space="0" w:color="auto"/>
        <w:left w:val="none" w:sz="0" w:space="0" w:color="auto"/>
        <w:bottom w:val="none" w:sz="0" w:space="0" w:color="auto"/>
        <w:right w:val="none" w:sz="0" w:space="0" w:color="auto"/>
      </w:divBdr>
    </w:div>
    <w:div w:id="1690906780">
      <w:marLeft w:val="0"/>
      <w:marRight w:val="0"/>
      <w:marTop w:val="0"/>
      <w:marBottom w:val="0"/>
      <w:divBdr>
        <w:top w:val="none" w:sz="0" w:space="0" w:color="auto"/>
        <w:left w:val="none" w:sz="0" w:space="0" w:color="auto"/>
        <w:bottom w:val="none" w:sz="0" w:space="0" w:color="auto"/>
        <w:right w:val="none" w:sz="0" w:space="0" w:color="auto"/>
      </w:divBdr>
    </w:div>
    <w:div w:id="1690906781">
      <w:marLeft w:val="0"/>
      <w:marRight w:val="0"/>
      <w:marTop w:val="0"/>
      <w:marBottom w:val="0"/>
      <w:divBdr>
        <w:top w:val="none" w:sz="0" w:space="0" w:color="auto"/>
        <w:left w:val="none" w:sz="0" w:space="0" w:color="auto"/>
        <w:bottom w:val="none" w:sz="0" w:space="0" w:color="auto"/>
        <w:right w:val="none" w:sz="0" w:space="0" w:color="auto"/>
      </w:divBdr>
    </w:div>
    <w:div w:id="1690906782">
      <w:marLeft w:val="0"/>
      <w:marRight w:val="0"/>
      <w:marTop w:val="0"/>
      <w:marBottom w:val="0"/>
      <w:divBdr>
        <w:top w:val="none" w:sz="0" w:space="0" w:color="auto"/>
        <w:left w:val="none" w:sz="0" w:space="0" w:color="auto"/>
        <w:bottom w:val="none" w:sz="0" w:space="0" w:color="auto"/>
        <w:right w:val="none" w:sz="0" w:space="0" w:color="auto"/>
      </w:divBdr>
    </w:div>
    <w:div w:id="1690906783">
      <w:marLeft w:val="0"/>
      <w:marRight w:val="0"/>
      <w:marTop w:val="0"/>
      <w:marBottom w:val="0"/>
      <w:divBdr>
        <w:top w:val="none" w:sz="0" w:space="0" w:color="auto"/>
        <w:left w:val="none" w:sz="0" w:space="0" w:color="auto"/>
        <w:bottom w:val="none" w:sz="0" w:space="0" w:color="auto"/>
        <w:right w:val="none" w:sz="0" w:space="0" w:color="auto"/>
      </w:divBdr>
    </w:div>
    <w:div w:id="1690906784">
      <w:marLeft w:val="0"/>
      <w:marRight w:val="0"/>
      <w:marTop w:val="0"/>
      <w:marBottom w:val="0"/>
      <w:divBdr>
        <w:top w:val="none" w:sz="0" w:space="0" w:color="auto"/>
        <w:left w:val="none" w:sz="0" w:space="0" w:color="auto"/>
        <w:bottom w:val="none" w:sz="0" w:space="0" w:color="auto"/>
        <w:right w:val="none" w:sz="0" w:space="0" w:color="auto"/>
      </w:divBdr>
    </w:div>
    <w:div w:id="1690906785">
      <w:marLeft w:val="0"/>
      <w:marRight w:val="0"/>
      <w:marTop w:val="0"/>
      <w:marBottom w:val="0"/>
      <w:divBdr>
        <w:top w:val="none" w:sz="0" w:space="0" w:color="auto"/>
        <w:left w:val="none" w:sz="0" w:space="0" w:color="auto"/>
        <w:bottom w:val="none" w:sz="0" w:space="0" w:color="auto"/>
        <w:right w:val="none" w:sz="0" w:space="0" w:color="auto"/>
      </w:divBdr>
    </w:div>
    <w:div w:id="1690906786">
      <w:marLeft w:val="0"/>
      <w:marRight w:val="0"/>
      <w:marTop w:val="0"/>
      <w:marBottom w:val="0"/>
      <w:divBdr>
        <w:top w:val="none" w:sz="0" w:space="0" w:color="auto"/>
        <w:left w:val="none" w:sz="0" w:space="0" w:color="auto"/>
        <w:bottom w:val="none" w:sz="0" w:space="0" w:color="auto"/>
        <w:right w:val="none" w:sz="0" w:space="0" w:color="auto"/>
      </w:divBdr>
    </w:div>
    <w:div w:id="1690906787">
      <w:marLeft w:val="0"/>
      <w:marRight w:val="0"/>
      <w:marTop w:val="0"/>
      <w:marBottom w:val="0"/>
      <w:divBdr>
        <w:top w:val="none" w:sz="0" w:space="0" w:color="auto"/>
        <w:left w:val="none" w:sz="0" w:space="0" w:color="auto"/>
        <w:bottom w:val="none" w:sz="0" w:space="0" w:color="auto"/>
        <w:right w:val="none" w:sz="0" w:space="0" w:color="auto"/>
      </w:divBdr>
    </w:div>
    <w:div w:id="16909067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e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e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9381DA-54AA-431D-9862-E720D3E2FA4F}">
  <ds:schemaRefs>
    <ds:schemaRef ds:uri="http://schemas.microsoft.com/sharepoint/v3/contenttype/forms"/>
  </ds:schemaRefs>
</ds:datastoreItem>
</file>

<file path=customXml/itemProps2.xml><?xml version="1.0" encoding="utf-8"?>
<ds:datastoreItem xmlns:ds="http://schemas.openxmlformats.org/officeDocument/2006/customXml" ds:itemID="{890FB4DF-43FE-43F5-AEBA-DE34FB32E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DB2BAD-9178-4D1D-8FCF-FF76C7C419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E68730-5A8D-49E7-8D34-452FF1D4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24636</Words>
  <Characters>140430</Characters>
  <Application>Microsoft Office Word</Application>
  <DocSecurity>0</DocSecurity>
  <Lines>1170</Lines>
  <Paragraphs>329</Paragraphs>
  <ScaleCrop>false</ScaleCrop>
  <HeadingPairs>
    <vt:vector size="8" baseType="variant">
      <vt:variant>
        <vt:lpstr>Naslov</vt:lpstr>
      </vt:variant>
      <vt:variant>
        <vt:i4>1</vt:i4>
      </vt:variant>
      <vt:variant>
        <vt:lpstr>Title</vt:lpstr>
      </vt:variant>
      <vt:variant>
        <vt:i4>1</vt:i4>
      </vt:variant>
      <vt:variant>
        <vt:lpstr>Τίτλος</vt:lpstr>
      </vt:variant>
      <vt:variant>
        <vt:i4>1</vt:i4>
      </vt:variant>
      <vt:variant>
        <vt:lpstr>Επικεφαλίδες</vt:lpstr>
      </vt:variant>
      <vt:variant>
        <vt:i4>20</vt:i4>
      </vt:variant>
    </vt:vector>
  </HeadingPairs>
  <TitlesOfParts>
    <vt:vector size="23" baseType="lpstr">
      <vt:lpstr>Tolucombi, INN - telmisartan/hydrochlorothiazide</vt:lpstr>
      <vt:lpstr>Tolucombi, INN - telmisartan/hydrochlorothiazide</vt:lpstr>
      <vt:lpstr>Hqrdtemplatecleanel</vt:lpstr>
      <vt:lpstr/>
      <vt:lpstr/>
      <vt:lpstr/>
      <vt:lpstr/>
      <vt:lpstr/>
      <vt:lpstr>Για τον πλήρη κατάλογο των εκδόχων, βλ. παράγραφο 6.1.</vt:lpstr>
      <vt:lpstr>4.1	Θεραπευτικές ενδείξεις</vt:lpstr>
      <vt:lpstr>4.2	Δοσολογία και τρόπος χορήγησης</vt:lpstr>
      <vt:lpstr>5.1 	Φαρμακοδυναμικές ιδιότητες</vt:lpstr>
      <vt:lpstr>EU/0/00/000/000</vt:lpstr>
      <vt:lpstr/>
      <vt:lpstr>Για τον πλήρη κατάλογο των εκδόχων, βλ. παράγραφο 6.1.</vt:lpstr>
      <vt:lpstr>4.1	Θεραπευτικές ενδείξεις</vt:lpstr>
      <vt:lpstr>4.2	Δοσολογία και τρόπος χορήγησης</vt:lpstr>
      <vt:lpstr>5.1 	Φαρμακοδυναμικές ιδιότητες</vt:lpstr>
      <vt:lpstr>EU/0/00/000/000</vt:lpstr>
      <vt:lpstr/>
      <vt:lpstr>Για τον πλήρη κατάλογο των εκδόχων, βλ. παράγραφο 6.1.</vt:lpstr>
      <vt:lpstr>4.1	Θεραπευτικές ενδείξεις</vt:lpstr>
      <vt:lpstr>4.2	Δοσολογία και τρόπος χορήγησης</vt:lpstr>
    </vt:vector>
  </TitlesOfParts>
  <Company/>
  <LinksUpToDate>false</LinksUpToDate>
  <CharactersWithSpaces>164737</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2017-12-04T11:11:00Z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Hqrdtemplatecleanel</vt:lpwstr>
  </property>
  <property fmtid="{D5CDD505-2E9C-101B-9397-08002B2CF9AE}" pid="32" name="DM_Creation_Date">
    <vt:lpwstr>09/11/2012 15:05:20</vt:lpwstr>
  </property>
  <property fmtid="{D5CDD505-2E9C-101B-9397-08002B2CF9AE}" pid="33" name="DM_Modify_Date">
    <vt:lpwstr>09/11/2012 15:05:20</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EMA/723320/2012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EMA/723320/2012</vt:lpwstr>
  </property>
  <property fmtid="{D5CDD505-2E9C-101B-9397-08002B2CF9AE}" pid="41" name="DM_Modifer_Name">
    <vt:lpwstr>Wozniak Izabela</vt:lpwstr>
  </property>
  <property fmtid="{D5CDD505-2E9C-101B-9397-08002B2CF9AE}" pid="42" name="DM_Modified_Date">
    <vt:lpwstr>09/11/2012 15:05:20</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2021-06-03T23:52:25Z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f355a71e-87c5-438a-85a2-de8029908dc7</vt:lpwstr>
  </property>
  <property fmtid="{D5CDD505-2E9C-101B-9397-08002B2CF9AE}" pid="49" name="MSIP_Label_0eea11ca-d417-4147-80ed-01a58412c458_ContentBits">
    <vt:lpwstr>2</vt:lpwstr>
  </property>
</Properties>
</file>