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7A794" w14:textId="77777777" w:rsidR="00A67D3A" w:rsidRPr="00EB4173" w:rsidRDefault="00A67D3A" w:rsidP="00A033BA">
      <w:pPr>
        <w:jc w:val="center"/>
        <w:rPr>
          <w:b/>
          <w:bCs/>
          <w:szCs w:val="22"/>
        </w:rPr>
      </w:pPr>
      <w:bookmarkStart w:id="0" w:name="_GoBack"/>
      <w:bookmarkEnd w:id="0"/>
    </w:p>
    <w:p w14:paraId="3544CE8E" w14:textId="77777777" w:rsidR="00A67D3A" w:rsidRDefault="00A67D3A" w:rsidP="002331FF">
      <w:pPr>
        <w:jc w:val="center"/>
        <w:rPr>
          <w:b/>
          <w:bCs/>
          <w:szCs w:val="22"/>
          <w:lang w:eastAsia="en-US"/>
        </w:rPr>
      </w:pPr>
    </w:p>
    <w:p w14:paraId="2BB4E5BE" w14:textId="77777777" w:rsidR="00A67D3A" w:rsidRDefault="00A67D3A" w:rsidP="002331FF">
      <w:pPr>
        <w:jc w:val="center"/>
        <w:rPr>
          <w:b/>
          <w:bCs/>
          <w:szCs w:val="22"/>
          <w:lang w:eastAsia="en-US"/>
        </w:rPr>
      </w:pPr>
    </w:p>
    <w:p w14:paraId="55DE80CA" w14:textId="77777777" w:rsidR="00A67D3A" w:rsidRDefault="00A67D3A" w:rsidP="002331FF">
      <w:pPr>
        <w:jc w:val="center"/>
        <w:rPr>
          <w:b/>
          <w:bCs/>
          <w:szCs w:val="22"/>
          <w:lang w:eastAsia="en-US"/>
        </w:rPr>
      </w:pPr>
    </w:p>
    <w:p w14:paraId="53FFAC42" w14:textId="77777777" w:rsidR="00A67D3A" w:rsidRDefault="00A67D3A" w:rsidP="00141E57">
      <w:pPr>
        <w:tabs>
          <w:tab w:val="left" w:pos="-1440"/>
          <w:tab w:val="left" w:pos="-720"/>
        </w:tabs>
        <w:jc w:val="center"/>
        <w:rPr>
          <w:b/>
          <w:bCs/>
          <w:szCs w:val="22"/>
          <w:lang w:eastAsia="en-US"/>
        </w:rPr>
      </w:pPr>
    </w:p>
    <w:p w14:paraId="128048E1" w14:textId="77777777" w:rsidR="00A67D3A" w:rsidRDefault="00A67D3A" w:rsidP="00141E57">
      <w:pPr>
        <w:tabs>
          <w:tab w:val="left" w:pos="-1440"/>
          <w:tab w:val="left" w:pos="-720"/>
        </w:tabs>
        <w:jc w:val="center"/>
        <w:rPr>
          <w:b/>
          <w:bCs/>
          <w:szCs w:val="22"/>
          <w:lang w:eastAsia="en-US"/>
        </w:rPr>
      </w:pPr>
    </w:p>
    <w:p w14:paraId="5E789E9A" w14:textId="77777777" w:rsidR="00A67D3A" w:rsidRDefault="00A67D3A" w:rsidP="00141E57">
      <w:pPr>
        <w:tabs>
          <w:tab w:val="left" w:pos="-1440"/>
          <w:tab w:val="left" w:pos="-720"/>
        </w:tabs>
        <w:jc w:val="center"/>
        <w:rPr>
          <w:b/>
          <w:bCs/>
          <w:szCs w:val="22"/>
          <w:lang w:eastAsia="en-US"/>
        </w:rPr>
      </w:pPr>
    </w:p>
    <w:p w14:paraId="546962FE" w14:textId="77777777" w:rsidR="00A67D3A" w:rsidRDefault="00A67D3A" w:rsidP="00141E57">
      <w:pPr>
        <w:tabs>
          <w:tab w:val="left" w:pos="-1440"/>
          <w:tab w:val="left" w:pos="-720"/>
        </w:tabs>
        <w:jc w:val="center"/>
        <w:rPr>
          <w:b/>
          <w:bCs/>
          <w:szCs w:val="22"/>
          <w:lang w:eastAsia="en-US"/>
        </w:rPr>
      </w:pPr>
    </w:p>
    <w:p w14:paraId="6A079D70" w14:textId="77777777" w:rsidR="00A67D3A" w:rsidRDefault="00A67D3A" w:rsidP="00141E57">
      <w:pPr>
        <w:tabs>
          <w:tab w:val="left" w:pos="-1440"/>
          <w:tab w:val="left" w:pos="-720"/>
        </w:tabs>
        <w:jc w:val="center"/>
        <w:rPr>
          <w:b/>
          <w:bCs/>
          <w:szCs w:val="22"/>
          <w:lang w:eastAsia="en-US"/>
        </w:rPr>
      </w:pPr>
    </w:p>
    <w:p w14:paraId="412FB27F" w14:textId="77777777" w:rsidR="00A67D3A" w:rsidRDefault="00A67D3A" w:rsidP="00141E57">
      <w:pPr>
        <w:tabs>
          <w:tab w:val="left" w:pos="-1440"/>
          <w:tab w:val="left" w:pos="-720"/>
        </w:tabs>
        <w:jc w:val="center"/>
        <w:rPr>
          <w:b/>
          <w:bCs/>
          <w:szCs w:val="22"/>
          <w:lang w:eastAsia="en-US"/>
        </w:rPr>
      </w:pPr>
    </w:p>
    <w:p w14:paraId="5DDF7FB0" w14:textId="77777777" w:rsidR="00A67D3A" w:rsidRDefault="00A67D3A" w:rsidP="00141E57">
      <w:pPr>
        <w:tabs>
          <w:tab w:val="left" w:pos="-1440"/>
          <w:tab w:val="left" w:pos="-720"/>
        </w:tabs>
        <w:jc w:val="center"/>
        <w:rPr>
          <w:b/>
          <w:bCs/>
          <w:szCs w:val="22"/>
          <w:lang w:eastAsia="en-US"/>
        </w:rPr>
      </w:pPr>
    </w:p>
    <w:p w14:paraId="62325CB3" w14:textId="77777777" w:rsidR="00A67D3A" w:rsidRDefault="00A67D3A" w:rsidP="00141E57">
      <w:pPr>
        <w:tabs>
          <w:tab w:val="left" w:pos="-1440"/>
          <w:tab w:val="left" w:pos="-720"/>
        </w:tabs>
        <w:jc w:val="center"/>
        <w:rPr>
          <w:b/>
          <w:bCs/>
          <w:szCs w:val="22"/>
          <w:lang w:eastAsia="en-US"/>
        </w:rPr>
      </w:pPr>
    </w:p>
    <w:p w14:paraId="411B3018" w14:textId="77777777" w:rsidR="00A67D3A" w:rsidRDefault="00A67D3A" w:rsidP="00141E57">
      <w:pPr>
        <w:tabs>
          <w:tab w:val="left" w:pos="-1440"/>
          <w:tab w:val="left" w:pos="-720"/>
        </w:tabs>
        <w:jc w:val="center"/>
        <w:rPr>
          <w:b/>
          <w:bCs/>
          <w:szCs w:val="22"/>
          <w:lang w:eastAsia="en-US"/>
        </w:rPr>
      </w:pPr>
    </w:p>
    <w:p w14:paraId="4B10E63B" w14:textId="77777777" w:rsidR="00A67D3A" w:rsidRDefault="00A67D3A" w:rsidP="00141E57">
      <w:pPr>
        <w:tabs>
          <w:tab w:val="left" w:pos="-1440"/>
          <w:tab w:val="left" w:pos="-720"/>
        </w:tabs>
        <w:jc w:val="center"/>
        <w:rPr>
          <w:b/>
          <w:bCs/>
          <w:szCs w:val="22"/>
          <w:lang w:eastAsia="en-US"/>
        </w:rPr>
      </w:pPr>
    </w:p>
    <w:p w14:paraId="625D3348" w14:textId="77777777" w:rsidR="00A67D3A" w:rsidRDefault="00A67D3A" w:rsidP="00141E57">
      <w:pPr>
        <w:tabs>
          <w:tab w:val="left" w:pos="-1440"/>
          <w:tab w:val="left" w:pos="-720"/>
        </w:tabs>
        <w:jc w:val="center"/>
        <w:rPr>
          <w:b/>
          <w:bCs/>
          <w:szCs w:val="22"/>
          <w:lang w:eastAsia="en-US"/>
        </w:rPr>
      </w:pPr>
    </w:p>
    <w:p w14:paraId="2C8546CC" w14:textId="77777777" w:rsidR="00A67D3A" w:rsidRDefault="00A67D3A" w:rsidP="00141E57">
      <w:pPr>
        <w:tabs>
          <w:tab w:val="left" w:pos="-1440"/>
          <w:tab w:val="left" w:pos="-720"/>
        </w:tabs>
        <w:jc w:val="center"/>
        <w:rPr>
          <w:b/>
          <w:bCs/>
          <w:szCs w:val="22"/>
          <w:lang w:eastAsia="en-US"/>
        </w:rPr>
      </w:pPr>
    </w:p>
    <w:p w14:paraId="0FF9BA55" w14:textId="77777777" w:rsidR="00A67D3A" w:rsidRDefault="00A67D3A" w:rsidP="00141E57">
      <w:pPr>
        <w:tabs>
          <w:tab w:val="left" w:pos="-1440"/>
          <w:tab w:val="left" w:pos="-720"/>
        </w:tabs>
        <w:jc w:val="center"/>
        <w:rPr>
          <w:b/>
          <w:bCs/>
          <w:szCs w:val="22"/>
          <w:lang w:eastAsia="en-US"/>
        </w:rPr>
      </w:pPr>
    </w:p>
    <w:p w14:paraId="7A6E0785" w14:textId="77777777" w:rsidR="00A67D3A" w:rsidRDefault="00A67D3A" w:rsidP="00141E57">
      <w:pPr>
        <w:tabs>
          <w:tab w:val="left" w:pos="-1440"/>
          <w:tab w:val="left" w:pos="-720"/>
        </w:tabs>
        <w:jc w:val="center"/>
        <w:rPr>
          <w:b/>
          <w:bCs/>
          <w:szCs w:val="22"/>
          <w:lang w:eastAsia="en-US"/>
        </w:rPr>
      </w:pPr>
    </w:p>
    <w:p w14:paraId="6A2385CE" w14:textId="77777777" w:rsidR="00A67D3A" w:rsidRDefault="00A67D3A" w:rsidP="00141E57">
      <w:pPr>
        <w:tabs>
          <w:tab w:val="left" w:pos="-1440"/>
          <w:tab w:val="left" w:pos="-720"/>
        </w:tabs>
        <w:jc w:val="center"/>
        <w:rPr>
          <w:b/>
          <w:bCs/>
          <w:szCs w:val="22"/>
          <w:lang w:eastAsia="en-US"/>
        </w:rPr>
      </w:pPr>
    </w:p>
    <w:p w14:paraId="6FD11FDA" w14:textId="77777777" w:rsidR="00A67D3A" w:rsidRDefault="00A67D3A" w:rsidP="00141E57">
      <w:pPr>
        <w:tabs>
          <w:tab w:val="left" w:pos="-1440"/>
          <w:tab w:val="left" w:pos="-720"/>
        </w:tabs>
        <w:jc w:val="center"/>
        <w:rPr>
          <w:b/>
          <w:bCs/>
          <w:szCs w:val="22"/>
          <w:lang w:eastAsia="en-US"/>
        </w:rPr>
      </w:pPr>
    </w:p>
    <w:p w14:paraId="44BFDD3D" w14:textId="77777777" w:rsidR="00A67D3A" w:rsidRDefault="00A67D3A" w:rsidP="00141E57">
      <w:pPr>
        <w:tabs>
          <w:tab w:val="left" w:pos="-1440"/>
          <w:tab w:val="left" w:pos="-720"/>
        </w:tabs>
        <w:jc w:val="center"/>
        <w:rPr>
          <w:b/>
          <w:bCs/>
          <w:szCs w:val="22"/>
          <w:lang w:eastAsia="en-US"/>
        </w:rPr>
      </w:pPr>
    </w:p>
    <w:p w14:paraId="0F974E7F" w14:textId="77777777" w:rsidR="00A67D3A" w:rsidRDefault="00A67D3A" w:rsidP="00141E57">
      <w:pPr>
        <w:tabs>
          <w:tab w:val="left" w:pos="-1440"/>
          <w:tab w:val="left" w:pos="-720"/>
        </w:tabs>
        <w:jc w:val="center"/>
        <w:rPr>
          <w:b/>
          <w:bCs/>
          <w:szCs w:val="22"/>
          <w:lang w:eastAsia="en-US"/>
        </w:rPr>
      </w:pPr>
    </w:p>
    <w:p w14:paraId="3AAB0FBD" w14:textId="77777777" w:rsidR="00A67D3A" w:rsidRDefault="00A67D3A" w:rsidP="00141E57">
      <w:pPr>
        <w:tabs>
          <w:tab w:val="left" w:pos="-1440"/>
          <w:tab w:val="left" w:pos="-720"/>
        </w:tabs>
        <w:jc w:val="center"/>
        <w:rPr>
          <w:b/>
          <w:bCs/>
          <w:szCs w:val="22"/>
          <w:lang w:eastAsia="en-US"/>
        </w:rPr>
      </w:pPr>
    </w:p>
    <w:p w14:paraId="4F87A8F1" w14:textId="77777777" w:rsidR="00A67D3A" w:rsidRPr="0047462D" w:rsidRDefault="00A67D3A" w:rsidP="00141E57">
      <w:pPr>
        <w:tabs>
          <w:tab w:val="left" w:pos="-1440"/>
          <w:tab w:val="left" w:pos="-720"/>
        </w:tabs>
        <w:jc w:val="center"/>
        <w:rPr>
          <w:szCs w:val="22"/>
          <w:lang w:eastAsia="en-US"/>
        </w:rPr>
      </w:pPr>
      <w:r w:rsidRPr="0047462D">
        <w:rPr>
          <w:rFonts w:eastAsia="Times New Roman"/>
          <w:b/>
          <w:bCs/>
          <w:szCs w:val="22"/>
        </w:rPr>
        <w:t>ΠΑΡΑΡΤΗΜΑ I</w:t>
      </w:r>
    </w:p>
    <w:p w14:paraId="2268F2E1" w14:textId="77777777" w:rsidR="00A67D3A" w:rsidRPr="0047462D" w:rsidRDefault="00A67D3A" w:rsidP="00141E57">
      <w:pPr>
        <w:tabs>
          <w:tab w:val="left" w:pos="-1440"/>
          <w:tab w:val="left" w:pos="-720"/>
        </w:tabs>
        <w:jc w:val="center"/>
        <w:rPr>
          <w:szCs w:val="22"/>
          <w:lang w:eastAsia="en-US"/>
        </w:rPr>
      </w:pPr>
    </w:p>
    <w:p w14:paraId="2F3A6699" w14:textId="77777777" w:rsidR="00A67D3A" w:rsidRPr="0047462D" w:rsidRDefault="00A67D3A" w:rsidP="007E5203">
      <w:pPr>
        <w:pStyle w:val="TitleA"/>
        <w:rPr>
          <w:lang w:val="el-GR"/>
        </w:rPr>
      </w:pPr>
      <w:r w:rsidRPr="0047462D">
        <w:rPr>
          <w:lang w:val="el-GR"/>
        </w:rPr>
        <w:t>ΠΕΡΙΛΗΨΗ ΤΩΝ ΧΑΡΑΚΤΗΡΙΣΤΙΚΩΝ ΤΟΥ ΠΡΟΪΟΝΤΟΣ</w:t>
      </w:r>
    </w:p>
    <w:p w14:paraId="6E7ED2A5" w14:textId="77777777" w:rsidR="00A67D3A" w:rsidRPr="0047462D" w:rsidRDefault="00A67D3A" w:rsidP="00141E57">
      <w:pPr>
        <w:tabs>
          <w:tab w:val="left" w:pos="-1440"/>
          <w:tab w:val="left" w:pos="-720"/>
        </w:tabs>
        <w:jc w:val="center"/>
        <w:rPr>
          <w:b/>
          <w:bCs/>
          <w:szCs w:val="22"/>
          <w:lang w:eastAsia="en-US"/>
        </w:rPr>
      </w:pPr>
    </w:p>
    <w:p w14:paraId="126406B2" w14:textId="77777777" w:rsidR="00A67D3A" w:rsidRPr="0047462D" w:rsidRDefault="00A67D3A" w:rsidP="00141E57">
      <w:pPr>
        <w:tabs>
          <w:tab w:val="left" w:pos="-1440"/>
          <w:tab w:val="left" w:pos="-720"/>
        </w:tabs>
        <w:jc w:val="center"/>
        <w:rPr>
          <w:b/>
          <w:bCs/>
          <w:szCs w:val="22"/>
          <w:lang w:eastAsia="en-US"/>
        </w:rPr>
      </w:pPr>
    </w:p>
    <w:p w14:paraId="22618CCB" w14:textId="77777777" w:rsidR="00A67D3A" w:rsidRPr="0047462D" w:rsidRDefault="00A67D3A" w:rsidP="00141E57">
      <w:pPr>
        <w:tabs>
          <w:tab w:val="left" w:pos="-1440"/>
          <w:tab w:val="left" w:pos="-720"/>
        </w:tabs>
        <w:jc w:val="center"/>
        <w:rPr>
          <w:b/>
          <w:bCs/>
          <w:szCs w:val="22"/>
          <w:lang w:eastAsia="en-US"/>
        </w:rPr>
      </w:pPr>
    </w:p>
    <w:p w14:paraId="13630F15" w14:textId="77777777" w:rsidR="00E74D2B" w:rsidRPr="0047462D" w:rsidRDefault="00E74D2B">
      <w:pPr>
        <w:suppressAutoHyphens w:val="0"/>
        <w:rPr>
          <w:b/>
          <w:bCs/>
          <w:szCs w:val="22"/>
          <w:lang w:eastAsia="en-US"/>
        </w:rPr>
      </w:pPr>
      <w:r w:rsidRPr="0047462D">
        <w:rPr>
          <w:b/>
          <w:bCs/>
          <w:szCs w:val="22"/>
          <w:lang w:eastAsia="en-US"/>
        </w:rPr>
        <w:br w:type="page"/>
      </w:r>
    </w:p>
    <w:p w14:paraId="5A46491B" w14:textId="77777777" w:rsidR="00A67D3A" w:rsidRPr="0047462D" w:rsidRDefault="00A67D3A" w:rsidP="00141E57">
      <w:pPr>
        <w:keepNext/>
        <w:widowControl w:val="0"/>
        <w:ind w:left="567" w:hanging="567"/>
        <w:rPr>
          <w:szCs w:val="22"/>
          <w:lang w:eastAsia="en-US"/>
        </w:rPr>
      </w:pPr>
      <w:r w:rsidRPr="0047462D">
        <w:rPr>
          <w:rFonts w:eastAsia="Times New Roman"/>
          <w:b/>
          <w:bCs/>
          <w:szCs w:val="22"/>
          <w:lang w:eastAsia="en-US"/>
        </w:rPr>
        <w:lastRenderedPageBreak/>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556F7EA7" w14:textId="77777777" w:rsidR="00A67D3A" w:rsidRPr="0047462D" w:rsidRDefault="00A67D3A" w:rsidP="00141E57">
      <w:pPr>
        <w:keepNext/>
        <w:rPr>
          <w:szCs w:val="22"/>
          <w:lang w:eastAsia="en-US"/>
        </w:rPr>
      </w:pPr>
    </w:p>
    <w:p w14:paraId="5BB372C9" w14:textId="5006277F" w:rsidR="00447181" w:rsidRDefault="00447181" w:rsidP="002331FF">
      <w:pPr>
        <w:widowControl w:val="0"/>
        <w:rPr>
          <w:rFonts w:eastAsia="Times New Roman"/>
          <w:szCs w:val="22"/>
        </w:rPr>
      </w:pPr>
      <w:r>
        <w:t xml:space="preserve">Kalydeco 75 mg </w:t>
      </w:r>
      <w:r w:rsidRPr="0047462D">
        <w:rPr>
          <w:rFonts w:eastAsia="Times New Roman"/>
          <w:spacing w:val="4"/>
          <w:szCs w:val="22"/>
        </w:rPr>
        <w:t>επικαλυμμένα με λεπτό υμένιο δισκία</w:t>
      </w:r>
    </w:p>
    <w:p w14:paraId="315AB173" w14:textId="08C72A6E" w:rsidR="00A67D3A" w:rsidRPr="0047462D" w:rsidRDefault="00A67D3A" w:rsidP="002331FF">
      <w:pPr>
        <w:widowControl w:val="0"/>
        <w:rPr>
          <w:szCs w:val="22"/>
          <w:lang w:eastAsia="en-US"/>
        </w:rPr>
      </w:pPr>
      <w:r w:rsidRPr="0047462D">
        <w:rPr>
          <w:rFonts w:eastAsia="Times New Roman"/>
          <w:szCs w:val="22"/>
        </w:rPr>
        <w:t>Kalydeco 150</w:t>
      </w:r>
      <w:r w:rsidRPr="0047462D">
        <w:rPr>
          <w:lang w:val="en-US" w:eastAsia="en-US"/>
        </w:rPr>
        <w:t> </w:t>
      </w:r>
      <w:r w:rsidRPr="0047462D">
        <w:rPr>
          <w:rFonts w:eastAsia="Times New Roman"/>
          <w:szCs w:val="22"/>
        </w:rPr>
        <w:t xml:space="preserve">mg </w:t>
      </w:r>
      <w:r w:rsidRPr="0047462D">
        <w:rPr>
          <w:rFonts w:eastAsia="Times New Roman"/>
          <w:spacing w:val="4"/>
          <w:szCs w:val="22"/>
        </w:rPr>
        <w:t>επικαλυμμένα με λεπτό υμένιο δισκία</w:t>
      </w:r>
    </w:p>
    <w:p w14:paraId="7F564803" w14:textId="77777777" w:rsidR="00A67D3A" w:rsidRPr="0047462D" w:rsidRDefault="00A67D3A" w:rsidP="00141E57">
      <w:pPr>
        <w:rPr>
          <w:szCs w:val="22"/>
          <w:lang w:eastAsia="en-US"/>
        </w:rPr>
      </w:pPr>
    </w:p>
    <w:p w14:paraId="2C15A6FC" w14:textId="77777777" w:rsidR="00A67D3A" w:rsidRPr="0047462D" w:rsidRDefault="00A67D3A" w:rsidP="00141E57">
      <w:pPr>
        <w:rPr>
          <w:szCs w:val="22"/>
          <w:lang w:eastAsia="en-US"/>
        </w:rPr>
      </w:pPr>
    </w:p>
    <w:p w14:paraId="55B3C9D1" w14:textId="77777777" w:rsidR="00A67D3A" w:rsidRPr="0047462D" w:rsidRDefault="00A67D3A" w:rsidP="00141E57">
      <w:pPr>
        <w:keepNext/>
        <w:widowControl w:val="0"/>
        <w:ind w:left="567"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ΠΟΙΟΤΙΚΗ ΚΑΙ ΠΟΣΟΤΙΚΗ ΣΥΝΘΕΣΗ</w:t>
      </w:r>
    </w:p>
    <w:p w14:paraId="6D524092" w14:textId="77777777" w:rsidR="00A67D3A" w:rsidRPr="0047462D" w:rsidRDefault="00A67D3A" w:rsidP="00141E57">
      <w:pPr>
        <w:keepNext/>
        <w:rPr>
          <w:szCs w:val="22"/>
          <w:lang w:eastAsia="en-US"/>
        </w:rPr>
      </w:pPr>
    </w:p>
    <w:p w14:paraId="2D372518" w14:textId="77777777" w:rsidR="00447181" w:rsidRPr="00F93ECE" w:rsidRDefault="00447181" w:rsidP="00F93ECE">
      <w:pPr>
        <w:keepNext/>
        <w:widowControl w:val="0"/>
        <w:rPr>
          <w:rFonts w:eastAsia="Times New Roman"/>
          <w:szCs w:val="22"/>
          <w:u w:val="single"/>
        </w:rPr>
      </w:pPr>
      <w:r w:rsidRPr="00F93ECE">
        <w:rPr>
          <w:u w:val="single"/>
        </w:rPr>
        <w:t xml:space="preserve">Kalydeco 75 mg </w:t>
      </w:r>
      <w:r w:rsidRPr="00F93ECE">
        <w:rPr>
          <w:rFonts w:eastAsia="Times New Roman"/>
          <w:spacing w:val="4"/>
          <w:szCs w:val="22"/>
          <w:u w:val="single"/>
        </w:rPr>
        <w:t>επικαλυμμένα με λεπτό υμένιο δισκία</w:t>
      </w:r>
    </w:p>
    <w:p w14:paraId="1CC0D850" w14:textId="2F603C42" w:rsidR="00447181" w:rsidRDefault="00447181" w:rsidP="00F93ECE">
      <w:pPr>
        <w:keepNext/>
        <w:widowControl w:val="0"/>
        <w:rPr>
          <w:rFonts w:eastAsia="Times New Roman"/>
          <w:szCs w:val="22"/>
        </w:rPr>
      </w:pPr>
    </w:p>
    <w:p w14:paraId="51053A63" w14:textId="700E5243" w:rsidR="00447181" w:rsidRPr="0047462D" w:rsidRDefault="00447181" w:rsidP="00447181">
      <w:pPr>
        <w:widowControl w:val="0"/>
        <w:rPr>
          <w:szCs w:val="22"/>
          <w:u w:val="single"/>
          <w:lang w:eastAsia="en-US"/>
        </w:rPr>
      </w:pPr>
      <w:r w:rsidRPr="0047462D">
        <w:rPr>
          <w:rFonts w:eastAsia="Times New Roman"/>
          <w:szCs w:val="22"/>
        </w:rPr>
        <w:t xml:space="preserve">Kάθε επικαλυμμένο με λεπτό υμένιο δισκίο περιέχει </w:t>
      </w:r>
      <w:r w:rsidRPr="00F93ECE">
        <w:rPr>
          <w:rFonts w:eastAsia="Times New Roman"/>
          <w:szCs w:val="22"/>
        </w:rPr>
        <w:t>75</w:t>
      </w:r>
      <w:r w:rsidRPr="0047462D">
        <w:rPr>
          <w:rFonts w:eastAsia="Times New Roman"/>
          <w:szCs w:val="22"/>
        </w:rPr>
        <w:t> mg ivacaftor.</w:t>
      </w:r>
      <w:r w:rsidRPr="0047462D">
        <w:rPr>
          <w:rFonts w:eastAsia="Times New Roman"/>
          <w:szCs w:val="22"/>
          <w:lang w:eastAsia="en-US"/>
        </w:rPr>
        <w:t xml:space="preserve"> </w:t>
      </w:r>
    </w:p>
    <w:p w14:paraId="19F46CF9" w14:textId="77777777" w:rsidR="00447181" w:rsidRDefault="00447181" w:rsidP="002331FF">
      <w:pPr>
        <w:widowControl w:val="0"/>
        <w:rPr>
          <w:rFonts w:eastAsia="Times New Roman"/>
          <w:szCs w:val="22"/>
        </w:rPr>
      </w:pPr>
    </w:p>
    <w:p w14:paraId="1985AC98" w14:textId="77777777" w:rsidR="00447181" w:rsidRPr="00447181" w:rsidRDefault="00447181" w:rsidP="00447181">
      <w:pPr>
        <w:keepNext/>
        <w:widowControl w:val="0"/>
        <w:rPr>
          <w:rFonts w:eastAsia="Times New Roman"/>
          <w:i/>
          <w:iCs/>
          <w:szCs w:val="22"/>
        </w:rPr>
      </w:pPr>
      <w:r w:rsidRPr="00447181">
        <w:rPr>
          <w:rFonts w:eastAsia="Times New Roman"/>
          <w:i/>
          <w:iCs/>
          <w:szCs w:val="22"/>
        </w:rPr>
        <w:t>Έκδοχο με γνωστή δράση:</w:t>
      </w:r>
    </w:p>
    <w:p w14:paraId="73D284F8" w14:textId="77777777" w:rsidR="00447181" w:rsidRDefault="00447181" w:rsidP="002331FF">
      <w:pPr>
        <w:widowControl w:val="0"/>
        <w:rPr>
          <w:rFonts w:eastAsia="Times New Roman"/>
          <w:szCs w:val="22"/>
        </w:rPr>
      </w:pPr>
    </w:p>
    <w:p w14:paraId="1AFB769E" w14:textId="73EE7B9D" w:rsidR="00447181" w:rsidRPr="0047462D" w:rsidRDefault="00447181" w:rsidP="00447181">
      <w:pPr>
        <w:widowControl w:val="0"/>
        <w:rPr>
          <w:szCs w:val="22"/>
          <w:lang w:eastAsia="en-US"/>
        </w:rPr>
      </w:pPr>
      <w:r w:rsidRPr="0047462D">
        <w:rPr>
          <w:szCs w:val="22"/>
        </w:rPr>
        <w:t xml:space="preserve">Κάθε </w:t>
      </w:r>
      <w:r w:rsidRPr="0047462D">
        <w:rPr>
          <w:rFonts w:eastAsia="Times New Roman"/>
          <w:szCs w:val="22"/>
        </w:rPr>
        <w:t xml:space="preserve">επικαλυμμένο με λεπτό υμένιο δισκίο περιέχει </w:t>
      </w:r>
      <w:r w:rsidRPr="00F93ECE">
        <w:rPr>
          <w:rFonts w:eastAsia="Times New Roman"/>
          <w:szCs w:val="22"/>
        </w:rPr>
        <w:t>83,6</w:t>
      </w:r>
      <w:r w:rsidRPr="0047462D">
        <w:rPr>
          <w:rFonts w:eastAsia="Times New Roman"/>
          <w:szCs w:val="22"/>
        </w:rPr>
        <w:t> mg λακτόζης</w:t>
      </w:r>
      <w:r w:rsidRPr="0047462D">
        <w:rPr>
          <w:rFonts w:eastAsia="Times New Roman"/>
          <w:szCs w:val="22"/>
          <w:lang w:eastAsia="en-US"/>
        </w:rPr>
        <w:t xml:space="preserve"> </w:t>
      </w:r>
      <w:r w:rsidRPr="0047462D">
        <w:rPr>
          <w:rFonts w:eastAsia="Times New Roman"/>
          <w:szCs w:val="22"/>
        </w:rPr>
        <w:t>μονοϋδρικής.</w:t>
      </w:r>
    </w:p>
    <w:p w14:paraId="3C023E46" w14:textId="77777777" w:rsidR="00447181" w:rsidRPr="0047462D" w:rsidRDefault="00447181" w:rsidP="00447181">
      <w:pPr>
        <w:widowControl w:val="0"/>
        <w:rPr>
          <w:szCs w:val="22"/>
          <w:lang w:eastAsia="en-US"/>
        </w:rPr>
      </w:pPr>
    </w:p>
    <w:p w14:paraId="3E72BF7E" w14:textId="40119C45" w:rsidR="00447181" w:rsidRPr="00F93ECE" w:rsidRDefault="00447181" w:rsidP="00F93ECE">
      <w:pPr>
        <w:keepNext/>
        <w:widowControl w:val="0"/>
        <w:rPr>
          <w:rFonts w:eastAsia="Times New Roman"/>
          <w:szCs w:val="22"/>
          <w:u w:val="single"/>
        </w:rPr>
      </w:pPr>
      <w:r w:rsidRPr="00F93ECE">
        <w:rPr>
          <w:u w:val="single"/>
        </w:rPr>
        <w:t xml:space="preserve">Kalydeco 150 mg </w:t>
      </w:r>
      <w:r w:rsidRPr="00F93ECE">
        <w:rPr>
          <w:rFonts w:eastAsia="Times New Roman"/>
          <w:spacing w:val="4"/>
          <w:szCs w:val="22"/>
          <w:u w:val="single"/>
        </w:rPr>
        <w:t>επικαλυμμένα με λεπτό υμένιο δισκία</w:t>
      </w:r>
    </w:p>
    <w:p w14:paraId="4437535B" w14:textId="77777777" w:rsidR="00447181" w:rsidRDefault="00447181" w:rsidP="00F93ECE">
      <w:pPr>
        <w:keepNext/>
        <w:widowControl w:val="0"/>
        <w:rPr>
          <w:rFonts w:eastAsia="Times New Roman"/>
          <w:szCs w:val="22"/>
        </w:rPr>
      </w:pPr>
    </w:p>
    <w:p w14:paraId="07842597" w14:textId="6E44106F" w:rsidR="00A67D3A" w:rsidRPr="0047462D" w:rsidRDefault="00A67D3A" w:rsidP="002331FF">
      <w:pPr>
        <w:widowControl w:val="0"/>
        <w:rPr>
          <w:szCs w:val="22"/>
          <w:u w:val="single"/>
          <w:lang w:eastAsia="en-US"/>
        </w:rPr>
      </w:pPr>
      <w:r w:rsidRPr="0047462D">
        <w:rPr>
          <w:rFonts w:eastAsia="Times New Roman"/>
          <w:szCs w:val="22"/>
        </w:rPr>
        <w:t>Kάθε επικαλυμμένο με λεπτό υμένιο δισκίο περιέχει 150 mg ivacaftor.</w:t>
      </w:r>
      <w:r w:rsidRPr="0047462D">
        <w:rPr>
          <w:rFonts w:eastAsia="Times New Roman"/>
          <w:szCs w:val="22"/>
          <w:lang w:eastAsia="en-US"/>
        </w:rPr>
        <w:t xml:space="preserve"> </w:t>
      </w:r>
    </w:p>
    <w:p w14:paraId="73A2D1C4" w14:textId="77777777" w:rsidR="00A67D3A" w:rsidRPr="0047462D" w:rsidRDefault="00A67D3A">
      <w:pPr>
        <w:widowControl w:val="0"/>
        <w:rPr>
          <w:szCs w:val="22"/>
          <w:u w:val="single"/>
          <w:lang w:eastAsia="en-US"/>
        </w:rPr>
      </w:pPr>
    </w:p>
    <w:p w14:paraId="48564A15" w14:textId="1EB2BABB" w:rsidR="00A67D3A" w:rsidRPr="00F93ECE" w:rsidRDefault="00A67D3A" w:rsidP="007307BE">
      <w:pPr>
        <w:keepNext/>
        <w:widowControl w:val="0"/>
        <w:rPr>
          <w:rFonts w:eastAsia="Times New Roman"/>
          <w:i/>
          <w:iCs/>
          <w:szCs w:val="22"/>
        </w:rPr>
      </w:pPr>
      <w:r w:rsidRPr="00F93ECE">
        <w:rPr>
          <w:rFonts w:eastAsia="Times New Roman"/>
          <w:i/>
          <w:iCs/>
          <w:szCs w:val="22"/>
        </w:rPr>
        <w:t xml:space="preserve">Έκδοχο με </w:t>
      </w:r>
      <w:r w:rsidR="008953AC" w:rsidRPr="00F93ECE">
        <w:rPr>
          <w:rFonts w:eastAsia="Times New Roman"/>
          <w:i/>
          <w:iCs/>
          <w:szCs w:val="22"/>
        </w:rPr>
        <w:t>γνωστή δράση:</w:t>
      </w:r>
    </w:p>
    <w:p w14:paraId="49B2657C" w14:textId="77777777" w:rsidR="00B80957" w:rsidRPr="0047462D" w:rsidRDefault="00B80957" w:rsidP="007307BE">
      <w:pPr>
        <w:keepNext/>
        <w:widowControl w:val="0"/>
        <w:rPr>
          <w:rFonts w:eastAsia="Times New Roman"/>
          <w:szCs w:val="22"/>
          <w:u w:val="single"/>
        </w:rPr>
      </w:pPr>
    </w:p>
    <w:p w14:paraId="07107FEC" w14:textId="2758D766" w:rsidR="00A67D3A" w:rsidRPr="0047462D" w:rsidRDefault="00A67D3A" w:rsidP="002331FF">
      <w:pPr>
        <w:widowControl w:val="0"/>
        <w:rPr>
          <w:szCs w:val="22"/>
          <w:lang w:eastAsia="en-US"/>
        </w:rPr>
      </w:pPr>
      <w:r w:rsidRPr="0047462D">
        <w:rPr>
          <w:szCs w:val="22"/>
        </w:rPr>
        <w:t xml:space="preserve">Κάθε </w:t>
      </w:r>
      <w:r w:rsidRPr="0047462D">
        <w:rPr>
          <w:rFonts w:eastAsia="Times New Roman"/>
          <w:szCs w:val="22"/>
        </w:rPr>
        <w:t>επικαλυμμένο με λεπτό υμένιο δισκίο περιέχει 167,2 mg λακτόζης</w:t>
      </w:r>
      <w:r w:rsidRPr="0047462D">
        <w:rPr>
          <w:rFonts w:eastAsia="Times New Roman"/>
          <w:szCs w:val="22"/>
          <w:lang w:eastAsia="en-US"/>
        </w:rPr>
        <w:t xml:space="preserve"> </w:t>
      </w:r>
      <w:r w:rsidRPr="0047462D">
        <w:rPr>
          <w:rFonts w:eastAsia="Times New Roman"/>
          <w:szCs w:val="22"/>
        </w:rPr>
        <w:t>μονοϋδρική</w:t>
      </w:r>
      <w:r w:rsidR="009F35D3" w:rsidRPr="0047462D">
        <w:rPr>
          <w:rFonts w:eastAsia="Times New Roman"/>
          <w:szCs w:val="22"/>
        </w:rPr>
        <w:t>ς.</w:t>
      </w:r>
    </w:p>
    <w:p w14:paraId="1F084359" w14:textId="77777777" w:rsidR="00A67D3A" w:rsidRPr="0047462D" w:rsidRDefault="00A67D3A">
      <w:pPr>
        <w:widowControl w:val="0"/>
        <w:rPr>
          <w:szCs w:val="22"/>
          <w:lang w:eastAsia="en-US"/>
        </w:rPr>
      </w:pPr>
    </w:p>
    <w:p w14:paraId="1B0C732B" w14:textId="77777777" w:rsidR="00A67D3A" w:rsidRPr="0047462D" w:rsidRDefault="00A67D3A">
      <w:pPr>
        <w:widowControl w:val="0"/>
        <w:rPr>
          <w:szCs w:val="22"/>
          <w:lang w:eastAsia="en-US"/>
        </w:rPr>
      </w:pPr>
      <w:r w:rsidRPr="0047462D">
        <w:rPr>
          <w:rFonts w:eastAsia="Times New Roman"/>
          <w:szCs w:val="22"/>
        </w:rPr>
        <w:t>Για τον πλήρη κατάλογο των εκδόχων, βλ. παράγραφο 6.1.</w:t>
      </w:r>
    </w:p>
    <w:p w14:paraId="47AAF730" w14:textId="77777777" w:rsidR="00A67D3A" w:rsidRPr="0047462D" w:rsidRDefault="00A67D3A" w:rsidP="00141E57">
      <w:pPr>
        <w:rPr>
          <w:szCs w:val="22"/>
          <w:lang w:eastAsia="en-US"/>
        </w:rPr>
      </w:pPr>
    </w:p>
    <w:p w14:paraId="04D9B99E" w14:textId="77777777" w:rsidR="00A67D3A" w:rsidRPr="0047462D" w:rsidRDefault="00A67D3A" w:rsidP="00141E57">
      <w:pPr>
        <w:rPr>
          <w:szCs w:val="22"/>
          <w:lang w:eastAsia="en-US"/>
        </w:rPr>
      </w:pPr>
    </w:p>
    <w:p w14:paraId="2FB29952" w14:textId="77777777" w:rsidR="00A67D3A" w:rsidRPr="0047462D" w:rsidRDefault="00A67D3A" w:rsidP="00141E57">
      <w:pPr>
        <w:keepNext/>
        <w:widowControl w:val="0"/>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ΦΑΡΜΑΚΟΤΕΧΝΙΚΗ ΜΟΡΦΗ</w:t>
      </w:r>
    </w:p>
    <w:p w14:paraId="71B0BE18" w14:textId="77777777" w:rsidR="00A67D3A" w:rsidRPr="0047462D" w:rsidRDefault="00A67D3A" w:rsidP="00141E57">
      <w:pPr>
        <w:keepNext/>
        <w:autoSpaceDE w:val="0"/>
        <w:jc w:val="both"/>
        <w:rPr>
          <w:szCs w:val="22"/>
          <w:lang w:eastAsia="en-US"/>
        </w:rPr>
      </w:pPr>
    </w:p>
    <w:p w14:paraId="2479A0B9" w14:textId="5331E422" w:rsidR="00A67D3A" w:rsidRDefault="00A67D3A" w:rsidP="002331FF">
      <w:pPr>
        <w:tabs>
          <w:tab w:val="left" w:pos="2070"/>
        </w:tabs>
        <w:autoSpaceDE w:val="0"/>
        <w:jc w:val="both"/>
        <w:rPr>
          <w:rFonts w:eastAsia="Times New Roman"/>
          <w:szCs w:val="22"/>
        </w:rPr>
      </w:pPr>
      <w:r w:rsidRPr="0047462D">
        <w:rPr>
          <w:rFonts w:eastAsia="Times New Roman"/>
          <w:szCs w:val="22"/>
        </w:rPr>
        <w:t>Επικαλυμμένο με λεπτό υμένιο δισκίο (δισκίο)</w:t>
      </w:r>
      <w:r w:rsidRPr="0047462D">
        <w:rPr>
          <w:rFonts w:eastAsia="Times New Roman"/>
          <w:szCs w:val="22"/>
        </w:rPr>
        <w:tab/>
      </w:r>
    </w:p>
    <w:p w14:paraId="3C09DCBF" w14:textId="6166508B" w:rsidR="009C606B" w:rsidRDefault="009C606B" w:rsidP="002331FF">
      <w:pPr>
        <w:tabs>
          <w:tab w:val="left" w:pos="2070"/>
        </w:tabs>
        <w:autoSpaceDE w:val="0"/>
        <w:jc w:val="both"/>
        <w:rPr>
          <w:rFonts w:eastAsia="Times New Roman"/>
          <w:szCs w:val="22"/>
        </w:rPr>
      </w:pPr>
    </w:p>
    <w:p w14:paraId="2C51AF97" w14:textId="3A430E81" w:rsidR="009C606B" w:rsidRPr="00475296" w:rsidDel="00BC462C" w:rsidRDefault="009C606B" w:rsidP="00F93ECE">
      <w:pPr>
        <w:keepNext/>
        <w:rPr>
          <w:rFonts w:eastAsia="MS Mincho"/>
          <w:u w:val="single"/>
          <w:lang w:eastAsia="ja-JP"/>
        </w:rPr>
      </w:pPr>
      <w:r w:rsidRPr="00475296" w:rsidDel="00BC462C">
        <w:rPr>
          <w:rFonts w:eastAsia="MS Mincho"/>
          <w:u w:val="single"/>
          <w:lang w:eastAsia="ja-JP"/>
        </w:rPr>
        <w:t>Kalydeco 75</w:t>
      </w:r>
      <w:r>
        <w:rPr>
          <w:rFonts w:eastAsia="MS Mincho"/>
          <w:u w:val="single"/>
          <w:lang w:eastAsia="ja-JP"/>
        </w:rPr>
        <w:t> </w:t>
      </w:r>
      <w:r w:rsidRPr="00475296" w:rsidDel="00BC462C">
        <w:rPr>
          <w:rFonts w:eastAsia="MS Mincho"/>
          <w:u w:val="single"/>
          <w:lang w:eastAsia="ja-JP"/>
        </w:rPr>
        <w:t xml:space="preserve">mg </w:t>
      </w:r>
      <w:r w:rsidR="00AF04F8">
        <w:rPr>
          <w:rFonts w:eastAsia="MS Mincho"/>
          <w:u w:val="single"/>
          <w:lang w:eastAsia="ja-JP"/>
        </w:rPr>
        <w:t>ε</w:t>
      </w:r>
      <w:r w:rsidR="00AF04F8" w:rsidRPr="00AF04F8">
        <w:rPr>
          <w:rFonts w:eastAsia="MS Mincho"/>
          <w:u w:val="single"/>
          <w:lang w:eastAsia="ja-JP"/>
        </w:rPr>
        <w:t>πικαλυμμένα με λεπτό υμένιο δισκία</w:t>
      </w:r>
    </w:p>
    <w:p w14:paraId="54CA0DC5" w14:textId="77777777" w:rsidR="009C606B" w:rsidRPr="00475296" w:rsidDel="00BC462C" w:rsidRDefault="009C606B" w:rsidP="00F93ECE">
      <w:pPr>
        <w:keepNext/>
        <w:rPr>
          <w:rFonts w:eastAsia="MS Mincho"/>
          <w:lang w:eastAsia="ja-JP"/>
        </w:rPr>
      </w:pPr>
    </w:p>
    <w:p w14:paraId="667F1734" w14:textId="50EE194A" w:rsidR="009C606B" w:rsidRPr="00475296" w:rsidDel="00BC462C" w:rsidRDefault="009C606B" w:rsidP="009C606B">
      <w:r w:rsidRPr="009C606B">
        <w:rPr>
          <w:rFonts w:eastAsia="MS Mincho"/>
          <w:lang w:eastAsia="ja-JP"/>
        </w:rPr>
        <w:t>Επικαλυμμένα με λεπτό υμένιο δισκία ανοιχτού μπλε χρώματος με σχήμα καψακίου, με εκτυπωμένη την ένδειξη «V</w:t>
      </w:r>
      <w:r>
        <w:rPr>
          <w:rFonts w:eastAsia="MS Mincho"/>
          <w:lang w:val="en-US" w:eastAsia="ja-JP"/>
        </w:rPr>
        <w:t> </w:t>
      </w:r>
      <w:r w:rsidRPr="00F93ECE">
        <w:rPr>
          <w:rFonts w:eastAsia="MS Mincho"/>
          <w:lang w:eastAsia="ja-JP"/>
        </w:rPr>
        <w:t>75</w:t>
      </w:r>
      <w:r w:rsidRPr="009C606B">
        <w:rPr>
          <w:rFonts w:eastAsia="MS Mincho"/>
          <w:lang w:eastAsia="ja-JP"/>
        </w:rPr>
        <w:t xml:space="preserve">» με μαύρο μελάνι στη μία πλευρά και χωρίς καμία ένδειξη στην άλλη </w:t>
      </w:r>
      <w:r w:rsidRPr="00475296" w:rsidDel="00BC462C">
        <w:rPr>
          <w:rFonts w:eastAsia="MS Mincho"/>
          <w:lang w:eastAsia="ja-JP"/>
        </w:rPr>
        <w:t>(12</w:t>
      </w:r>
      <w:r w:rsidRPr="00F93ECE">
        <w:rPr>
          <w:rFonts w:eastAsia="MS Mincho"/>
          <w:lang w:eastAsia="ja-JP"/>
        </w:rPr>
        <w:t>,</w:t>
      </w:r>
      <w:r w:rsidRPr="00475296" w:rsidDel="00BC462C">
        <w:rPr>
          <w:rFonts w:eastAsia="MS Mincho"/>
          <w:lang w:eastAsia="ja-JP"/>
        </w:rPr>
        <w:t>7</w:t>
      </w:r>
      <w:r>
        <w:rPr>
          <w:rFonts w:eastAsia="MS Mincho"/>
          <w:lang w:eastAsia="ja-JP"/>
        </w:rPr>
        <w:t> </w:t>
      </w:r>
      <w:r w:rsidRPr="00475296" w:rsidDel="00BC462C">
        <w:rPr>
          <w:rFonts w:eastAsia="MS Mincho"/>
          <w:lang w:eastAsia="ja-JP"/>
        </w:rPr>
        <w:t>mm x 6</w:t>
      </w:r>
      <w:r w:rsidRPr="00F93ECE">
        <w:rPr>
          <w:rFonts w:eastAsia="MS Mincho"/>
          <w:lang w:eastAsia="ja-JP"/>
        </w:rPr>
        <w:t>,</w:t>
      </w:r>
      <w:r w:rsidRPr="00475296" w:rsidDel="00BC462C">
        <w:rPr>
          <w:rFonts w:eastAsia="MS Mincho"/>
          <w:lang w:eastAsia="ja-JP"/>
        </w:rPr>
        <w:t>8</w:t>
      </w:r>
      <w:r>
        <w:rPr>
          <w:rFonts w:eastAsia="MS Mincho"/>
          <w:lang w:eastAsia="ja-JP"/>
        </w:rPr>
        <w:t> </w:t>
      </w:r>
      <w:r w:rsidRPr="00475296" w:rsidDel="00BC462C">
        <w:rPr>
          <w:rFonts w:eastAsia="MS Mincho"/>
          <w:lang w:eastAsia="ja-JP"/>
        </w:rPr>
        <w:t xml:space="preserve">mm </w:t>
      </w:r>
      <w:r w:rsidRPr="0047462D">
        <w:rPr>
          <w:rFonts w:eastAsia="MS Mincho"/>
          <w:color w:val="000000"/>
          <w:lang w:eastAsia="ja-JP"/>
        </w:rPr>
        <w:t>σε τροποποιημένο σχήμα δισκίου</w:t>
      </w:r>
      <w:r w:rsidRPr="00475296" w:rsidDel="00BC462C">
        <w:rPr>
          <w:rFonts w:eastAsia="MS Mincho"/>
          <w:lang w:eastAsia="ja-JP"/>
        </w:rPr>
        <w:t>).</w:t>
      </w:r>
    </w:p>
    <w:p w14:paraId="34AA2186" w14:textId="77777777" w:rsidR="009C606B" w:rsidRDefault="009C606B" w:rsidP="009C606B">
      <w:pPr>
        <w:rPr>
          <w:u w:val="single"/>
        </w:rPr>
      </w:pPr>
    </w:p>
    <w:p w14:paraId="7DD4E047" w14:textId="3C19AA22" w:rsidR="009C606B" w:rsidRPr="00475296" w:rsidRDefault="009C606B" w:rsidP="00F93ECE">
      <w:pPr>
        <w:keepNext/>
        <w:rPr>
          <w:u w:val="single"/>
        </w:rPr>
      </w:pPr>
      <w:r w:rsidRPr="00475296">
        <w:rPr>
          <w:u w:val="single"/>
        </w:rPr>
        <w:t>Kalydeco 150</w:t>
      </w:r>
      <w:r>
        <w:rPr>
          <w:u w:val="single"/>
        </w:rPr>
        <w:t> </w:t>
      </w:r>
      <w:r w:rsidRPr="00475296">
        <w:rPr>
          <w:u w:val="single"/>
        </w:rPr>
        <w:t xml:space="preserve">mg </w:t>
      </w:r>
      <w:r w:rsidR="00AF04F8" w:rsidRPr="00AF04F8">
        <w:rPr>
          <w:u w:val="single"/>
        </w:rPr>
        <w:t>επικαλυμμένα με λεπτό υμένιο δισκία</w:t>
      </w:r>
    </w:p>
    <w:p w14:paraId="69179260" w14:textId="77777777" w:rsidR="00A67D3A" w:rsidRPr="0047462D" w:rsidRDefault="00A67D3A" w:rsidP="00F93ECE">
      <w:pPr>
        <w:keepNext/>
        <w:rPr>
          <w:szCs w:val="22"/>
        </w:rPr>
      </w:pPr>
    </w:p>
    <w:p w14:paraId="48575D6B" w14:textId="2C7CE9CB" w:rsidR="00A67D3A" w:rsidRPr="0047462D" w:rsidRDefault="007543B3">
      <w:pPr>
        <w:rPr>
          <w:szCs w:val="22"/>
          <w:lang w:eastAsia="en-US"/>
        </w:rPr>
      </w:pPr>
      <w:r w:rsidRPr="0047462D">
        <w:rPr>
          <w:rFonts w:eastAsia="Times New Roman"/>
          <w:szCs w:val="22"/>
        </w:rPr>
        <w:t xml:space="preserve">Επικαλυμμένα με λεπτό υμένιο δισκία </w:t>
      </w:r>
      <w:r w:rsidR="00A67D3A" w:rsidRPr="0047462D">
        <w:rPr>
          <w:rFonts w:eastAsia="Times New Roman"/>
          <w:szCs w:val="22"/>
        </w:rPr>
        <w:t xml:space="preserve">ανοιχτού μπλε χρώματος με σχήμα καψακίου, με εκτυπωμένη την ένδειξη </w:t>
      </w:r>
      <w:r w:rsidR="00DB7E54" w:rsidRPr="0047462D">
        <w:rPr>
          <w:rFonts w:eastAsia="Times New Roman"/>
          <w:szCs w:val="22"/>
        </w:rPr>
        <w:t>«</w:t>
      </w:r>
      <w:r w:rsidR="00A67D3A" w:rsidRPr="0047462D">
        <w:rPr>
          <w:rFonts w:eastAsia="Times New Roman"/>
          <w:szCs w:val="22"/>
        </w:rPr>
        <w:t>V 150</w:t>
      </w:r>
      <w:r w:rsidR="00DB7E54" w:rsidRPr="0047462D">
        <w:rPr>
          <w:rFonts w:eastAsia="Times New Roman"/>
          <w:szCs w:val="22"/>
        </w:rPr>
        <w:t>»</w:t>
      </w:r>
      <w:r w:rsidR="00A67D3A" w:rsidRPr="0047462D">
        <w:rPr>
          <w:rFonts w:eastAsia="Times New Roman"/>
          <w:szCs w:val="22"/>
        </w:rPr>
        <w:t xml:space="preserve"> με μαύρο μελάνι στη μία πλευρά και χωρίς καμία ένδειξη στην άλλη </w:t>
      </w:r>
      <w:r w:rsidR="00A67D3A" w:rsidRPr="0047462D">
        <w:rPr>
          <w:rFonts w:eastAsia="MS Mincho"/>
          <w:color w:val="000000"/>
          <w:lang w:eastAsia="ja-JP"/>
        </w:rPr>
        <w:t>(16</w:t>
      </w:r>
      <w:r w:rsidR="00A67D3A" w:rsidRPr="0047462D">
        <w:rPr>
          <w:color w:val="000000"/>
        </w:rPr>
        <w:t>,</w:t>
      </w:r>
      <w:r w:rsidR="00A67D3A" w:rsidRPr="0047462D">
        <w:rPr>
          <w:rFonts w:eastAsia="MS Mincho"/>
          <w:color w:val="000000"/>
          <w:lang w:eastAsia="ja-JP"/>
        </w:rPr>
        <w:t>5</w:t>
      </w:r>
      <w:r w:rsidR="00A67D3A" w:rsidRPr="0047462D">
        <w:rPr>
          <w:rFonts w:eastAsia="MS Mincho"/>
          <w:color w:val="000000"/>
          <w:lang w:val="en-US" w:eastAsia="ja-JP"/>
        </w:rPr>
        <w:t> mm</w:t>
      </w:r>
      <w:r w:rsidR="00A67D3A" w:rsidRPr="0047462D">
        <w:rPr>
          <w:rFonts w:eastAsia="MS Mincho"/>
          <w:color w:val="000000"/>
          <w:lang w:eastAsia="ja-JP"/>
        </w:rPr>
        <w:t xml:space="preserve"> </w:t>
      </w:r>
      <w:r w:rsidR="00A67D3A" w:rsidRPr="0047462D">
        <w:rPr>
          <w:rFonts w:eastAsia="MS Mincho"/>
          <w:color w:val="000000"/>
          <w:lang w:val="en-US" w:eastAsia="ja-JP"/>
        </w:rPr>
        <w:t>x</w:t>
      </w:r>
      <w:r w:rsidR="00A67D3A" w:rsidRPr="0047462D">
        <w:rPr>
          <w:rFonts w:eastAsia="MS Mincho"/>
          <w:color w:val="000000"/>
          <w:lang w:eastAsia="ja-JP"/>
        </w:rPr>
        <w:t xml:space="preserve"> 8,4</w:t>
      </w:r>
      <w:r w:rsidR="00A67D3A" w:rsidRPr="0047462D">
        <w:rPr>
          <w:rFonts w:eastAsia="MS Mincho"/>
          <w:color w:val="000000"/>
          <w:lang w:val="en-US" w:eastAsia="ja-JP"/>
        </w:rPr>
        <w:t> mm</w:t>
      </w:r>
      <w:r w:rsidR="00A67D3A" w:rsidRPr="0047462D">
        <w:rPr>
          <w:rFonts w:eastAsia="MS Mincho"/>
          <w:color w:val="000000"/>
          <w:lang w:eastAsia="ja-JP"/>
        </w:rPr>
        <w:t xml:space="preserve"> σε τροποποιημένο σχήμα </w:t>
      </w:r>
      <w:r w:rsidR="008E7AAA" w:rsidRPr="0047462D">
        <w:rPr>
          <w:rFonts w:eastAsia="MS Mincho"/>
          <w:color w:val="000000"/>
          <w:lang w:eastAsia="ja-JP"/>
        </w:rPr>
        <w:t>δισκίου</w:t>
      </w:r>
      <w:r w:rsidR="00A67D3A" w:rsidRPr="0047462D">
        <w:rPr>
          <w:rFonts w:eastAsia="MS Mincho"/>
          <w:color w:val="000000"/>
          <w:lang w:eastAsia="ja-JP"/>
        </w:rPr>
        <w:t>)</w:t>
      </w:r>
      <w:r w:rsidR="00A67D3A" w:rsidRPr="0047462D">
        <w:rPr>
          <w:rFonts w:eastAsia="Times New Roman"/>
          <w:szCs w:val="22"/>
        </w:rPr>
        <w:t>.</w:t>
      </w:r>
    </w:p>
    <w:p w14:paraId="5AA7A4F7" w14:textId="77777777" w:rsidR="00A67D3A" w:rsidRPr="0047462D" w:rsidRDefault="00A67D3A" w:rsidP="00141E57">
      <w:pPr>
        <w:autoSpaceDE w:val="0"/>
        <w:jc w:val="both"/>
        <w:rPr>
          <w:szCs w:val="22"/>
          <w:lang w:eastAsia="en-US"/>
        </w:rPr>
      </w:pPr>
    </w:p>
    <w:p w14:paraId="6C70826D" w14:textId="77777777" w:rsidR="00A67D3A" w:rsidRPr="0047462D" w:rsidRDefault="00A67D3A" w:rsidP="00141E57">
      <w:pPr>
        <w:rPr>
          <w:szCs w:val="22"/>
          <w:lang w:eastAsia="en-US"/>
        </w:rPr>
      </w:pPr>
    </w:p>
    <w:p w14:paraId="3348829D" w14:textId="77777777" w:rsidR="00A67D3A" w:rsidRPr="0047462D" w:rsidRDefault="00A67D3A" w:rsidP="00141E57">
      <w:pPr>
        <w:keepNext/>
        <w:widowControl w:val="0"/>
        <w:ind w:left="567" w:hanging="567"/>
        <w:rPr>
          <w:szCs w:val="22"/>
          <w:lang w:eastAsia="en-US"/>
        </w:rPr>
      </w:pPr>
      <w:r w:rsidRPr="0047462D">
        <w:rPr>
          <w:rFonts w:eastAsia="Times New Roman"/>
          <w:b/>
          <w:bCs/>
          <w:caps/>
          <w:szCs w:val="22"/>
          <w:lang w:eastAsia="en-US"/>
        </w:rPr>
        <w:t>4.</w:t>
      </w:r>
      <w:r w:rsidRPr="0047462D">
        <w:rPr>
          <w:rFonts w:eastAsia="Times New Roman"/>
          <w:b/>
          <w:bCs/>
          <w:caps/>
          <w:szCs w:val="22"/>
          <w:lang w:eastAsia="en-US"/>
        </w:rPr>
        <w:tab/>
      </w:r>
      <w:r w:rsidRPr="0047462D">
        <w:rPr>
          <w:rFonts w:eastAsia="Times New Roman"/>
          <w:b/>
          <w:bCs/>
          <w:szCs w:val="22"/>
        </w:rPr>
        <w:t>ΚΛΙΝΙΚΕΣ ΠΛΗΡΟΦΟΡΙΕΣ</w:t>
      </w:r>
    </w:p>
    <w:p w14:paraId="7FC793FA" w14:textId="77777777" w:rsidR="00A67D3A" w:rsidRPr="0047462D" w:rsidRDefault="00A67D3A" w:rsidP="00141E57">
      <w:pPr>
        <w:keepNext/>
        <w:rPr>
          <w:szCs w:val="22"/>
          <w:lang w:eastAsia="en-US"/>
        </w:rPr>
      </w:pPr>
    </w:p>
    <w:p w14:paraId="2684E0F2"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4.1</w:t>
      </w:r>
      <w:r w:rsidRPr="0047462D">
        <w:rPr>
          <w:rFonts w:eastAsia="Times New Roman"/>
          <w:b/>
          <w:bCs/>
          <w:szCs w:val="22"/>
          <w:lang w:eastAsia="en-US"/>
        </w:rPr>
        <w:tab/>
      </w:r>
      <w:r w:rsidRPr="0047462D">
        <w:rPr>
          <w:rFonts w:eastAsia="Times New Roman"/>
          <w:b/>
          <w:bCs/>
          <w:szCs w:val="22"/>
        </w:rPr>
        <w:t>Θεραπευτικές ενδείξεις</w:t>
      </w:r>
    </w:p>
    <w:p w14:paraId="52B678F5" w14:textId="77777777" w:rsidR="00A67D3A" w:rsidRPr="0047462D" w:rsidRDefault="00A67D3A" w:rsidP="00141E57">
      <w:pPr>
        <w:keepNext/>
        <w:rPr>
          <w:szCs w:val="22"/>
          <w:lang w:eastAsia="en-US"/>
        </w:rPr>
      </w:pPr>
    </w:p>
    <w:p w14:paraId="3178B5FE" w14:textId="77777777" w:rsidR="009F35D3" w:rsidRPr="0047462D" w:rsidRDefault="00A67D3A" w:rsidP="002331FF">
      <w:pPr>
        <w:pStyle w:val="labeltext"/>
        <w:rPr>
          <w:rFonts w:eastAsia="Times New Roman"/>
          <w:sz w:val="22"/>
          <w:szCs w:val="22"/>
          <w:lang w:val="el-GR"/>
        </w:rPr>
      </w:pPr>
      <w:r w:rsidRPr="0047462D">
        <w:rPr>
          <w:rFonts w:eastAsia="Times New Roman"/>
          <w:sz w:val="22"/>
          <w:szCs w:val="22"/>
          <w:lang w:val="el-GR"/>
        </w:rPr>
        <w:t>Τα δισκία Kalydeco ενδείκνυνται</w:t>
      </w:r>
      <w:r w:rsidR="009F35D3" w:rsidRPr="0047462D">
        <w:rPr>
          <w:rFonts w:eastAsia="Times New Roman"/>
          <w:sz w:val="22"/>
          <w:szCs w:val="22"/>
          <w:lang w:val="el-GR"/>
        </w:rPr>
        <w:t>:</w:t>
      </w:r>
    </w:p>
    <w:p w14:paraId="3D4B2F10" w14:textId="17A0E079" w:rsidR="00A67D3A" w:rsidRPr="0047462D" w:rsidRDefault="00D74452" w:rsidP="002877EB">
      <w:pPr>
        <w:pStyle w:val="labeltext"/>
        <w:numPr>
          <w:ilvl w:val="0"/>
          <w:numId w:val="61"/>
        </w:numPr>
        <w:ind w:left="562"/>
        <w:rPr>
          <w:szCs w:val="22"/>
          <w:lang w:val="el-GR" w:eastAsia="en-US"/>
        </w:rPr>
      </w:pPr>
      <w:r w:rsidRPr="0047462D">
        <w:rPr>
          <w:rFonts w:eastAsia="Times New Roman"/>
          <w:sz w:val="22"/>
          <w:szCs w:val="22"/>
          <w:lang w:val="el-GR"/>
        </w:rPr>
        <w:t>ω</w:t>
      </w:r>
      <w:r w:rsidR="009F35D3" w:rsidRPr="0047462D">
        <w:rPr>
          <w:rFonts w:eastAsia="Times New Roman"/>
          <w:sz w:val="22"/>
          <w:szCs w:val="22"/>
          <w:lang w:val="el-GR"/>
        </w:rPr>
        <w:t xml:space="preserve">ς μονοθεραπεία </w:t>
      </w:r>
      <w:r w:rsidR="00A67D3A" w:rsidRPr="0047462D">
        <w:rPr>
          <w:rFonts w:eastAsia="Times New Roman"/>
          <w:sz w:val="22"/>
          <w:szCs w:val="22"/>
          <w:lang w:val="el-GR"/>
        </w:rPr>
        <w:t xml:space="preserve">για τη θεραπεία </w:t>
      </w:r>
      <w:r w:rsidR="0082305E" w:rsidRPr="0047462D">
        <w:rPr>
          <w:rFonts w:eastAsia="Times New Roman"/>
          <w:sz w:val="22"/>
          <w:szCs w:val="22"/>
          <w:lang w:val="el-GR"/>
        </w:rPr>
        <w:t>ενηλίκων, εφήβων και παιδιών</w:t>
      </w:r>
      <w:r w:rsidR="00A67D3A" w:rsidRPr="0047462D">
        <w:rPr>
          <w:rFonts w:eastAsia="Times New Roman"/>
          <w:sz w:val="22"/>
          <w:szCs w:val="22"/>
          <w:lang w:val="el-GR"/>
        </w:rPr>
        <w:t xml:space="preserve"> ηλικίας 6 ετών και άνω και με σωματικό βάρος 25</w:t>
      </w:r>
      <w:r w:rsidR="00A67D3A" w:rsidRPr="0047462D">
        <w:rPr>
          <w:sz w:val="22"/>
          <w:szCs w:val="22"/>
          <w:lang w:val="en-GB"/>
        </w:rPr>
        <w:t> </w:t>
      </w:r>
      <w:r w:rsidR="00A67D3A" w:rsidRPr="0047462D">
        <w:rPr>
          <w:sz w:val="22"/>
          <w:szCs w:val="22"/>
        </w:rPr>
        <w:t>kg</w:t>
      </w:r>
      <w:r w:rsidR="00A67D3A" w:rsidRPr="0047462D">
        <w:rPr>
          <w:sz w:val="22"/>
          <w:szCs w:val="22"/>
          <w:lang w:val="el-GR"/>
        </w:rPr>
        <w:t xml:space="preserve"> ή</w:t>
      </w:r>
      <w:r w:rsidR="00A67D3A" w:rsidRPr="0047462D">
        <w:rPr>
          <w:sz w:val="22"/>
          <w:lang w:val="el-GR"/>
        </w:rPr>
        <w:t xml:space="preserve"> άνω</w:t>
      </w:r>
      <w:r w:rsidR="0082305E" w:rsidRPr="0047462D">
        <w:rPr>
          <w:sz w:val="22"/>
          <w:lang w:val="el-GR"/>
        </w:rPr>
        <w:t xml:space="preserve"> με κυστική ίνωση (ΚΙ)</w:t>
      </w:r>
      <w:r w:rsidR="00A67D3A" w:rsidRPr="0047462D">
        <w:rPr>
          <w:rFonts w:eastAsia="Times New Roman"/>
          <w:sz w:val="22"/>
          <w:szCs w:val="22"/>
          <w:lang w:val="el-GR"/>
        </w:rPr>
        <w:t xml:space="preserve">, </w:t>
      </w:r>
      <w:r w:rsidR="0082305E" w:rsidRPr="0047462D">
        <w:rPr>
          <w:rFonts w:eastAsia="Times New Roman"/>
          <w:sz w:val="22"/>
          <w:szCs w:val="22"/>
          <w:lang w:val="el-GR"/>
        </w:rPr>
        <w:t>που</w:t>
      </w:r>
      <w:r w:rsidR="00A67D3A" w:rsidRPr="0047462D">
        <w:rPr>
          <w:rFonts w:eastAsia="Times New Roman"/>
          <w:sz w:val="22"/>
          <w:szCs w:val="22"/>
          <w:lang w:val="el-GR"/>
        </w:rPr>
        <w:t xml:space="preserve"> έχουν </w:t>
      </w:r>
      <w:r w:rsidR="00DA037F" w:rsidRPr="0047462D">
        <w:rPr>
          <w:rFonts w:eastAsia="Times New Roman"/>
          <w:sz w:val="22"/>
          <w:szCs w:val="22"/>
          <w:lang w:val="el-GR"/>
        </w:rPr>
        <w:t xml:space="preserve">μια </w:t>
      </w:r>
      <w:r w:rsidR="00C902A2" w:rsidRPr="0047462D">
        <w:rPr>
          <w:rFonts w:eastAsia="Times New Roman"/>
          <w:i/>
          <w:iCs/>
          <w:sz w:val="22"/>
          <w:szCs w:val="22"/>
        </w:rPr>
        <w:t>CFTR</w:t>
      </w:r>
      <w:r w:rsidR="00C902A2" w:rsidRPr="00F93ECE">
        <w:rPr>
          <w:rFonts w:eastAsia="Times New Roman"/>
          <w:sz w:val="22"/>
          <w:szCs w:val="22"/>
          <w:lang w:val="el-GR"/>
        </w:rPr>
        <w:t xml:space="preserve"> </w:t>
      </w:r>
      <w:r w:rsidR="00DA037F" w:rsidRPr="0047462D">
        <w:rPr>
          <w:rFonts w:eastAsia="Times New Roman"/>
          <w:sz w:val="22"/>
          <w:szCs w:val="22"/>
          <w:lang w:val="el-GR"/>
        </w:rPr>
        <w:t xml:space="preserve">μετάλλαξη </w:t>
      </w:r>
      <w:r w:rsidR="009F35D3" w:rsidRPr="0047462D">
        <w:rPr>
          <w:i/>
          <w:iCs/>
          <w:sz w:val="22"/>
          <w:szCs w:val="22"/>
          <w:lang w:val="en-GB"/>
        </w:rPr>
        <w:t>R</w:t>
      </w:r>
      <w:r w:rsidR="009F35D3" w:rsidRPr="00F93ECE">
        <w:rPr>
          <w:i/>
          <w:iCs/>
          <w:sz w:val="22"/>
          <w:szCs w:val="22"/>
          <w:lang w:val="el-GR"/>
        </w:rPr>
        <w:t>117</w:t>
      </w:r>
      <w:r w:rsidR="009F35D3" w:rsidRPr="0047462D">
        <w:rPr>
          <w:i/>
          <w:iCs/>
          <w:sz w:val="22"/>
          <w:szCs w:val="22"/>
          <w:lang w:val="en-GB"/>
        </w:rPr>
        <w:t>H</w:t>
      </w:r>
      <w:r w:rsidR="009F35D3" w:rsidRPr="00F93ECE">
        <w:rPr>
          <w:i/>
          <w:iCs/>
          <w:sz w:val="22"/>
          <w:szCs w:val="22"/>
          <w:lang w:val="el-GR"/>
        </w:rPr>
        <w:t xml:space="preserve"> </w:t>
      </w:r>
      <w:r w:rsidR="00DA037F" w:rsidRPr="0047462D">
        <w:rPr>
          <w:rFonts w:eastAsia="Times New Roman"/>
          <w:sz w:val="22"/>
          <w:szCs w:val="22"/>
          <w:lang w:val="el-GR"/>
        </w:rPr>
        <w:t xml:space="preserve">ή </w:t>
      </w:r>
      <w:r w:rsidR="00A67D3A" w:rsidRPr="0047462D">
        <w:rPr>
          <w:rFonts w:eastAsia="Times New Roman"/>
          <w:sz w:val="22"/>
          <w:szCs w:val="22"/>
          <w:lang w:val="el-GR"/>
        </w:rPr>
        <w:t xml:space="preserve">μία από τις ακόλουθες </w:t>
      </w:r>
      <w:r w:rsidR="00615D06" w:rsidRPr="0047462D">
        <w:rPr>
          <w:sz w:val="22"/>
          <w:szCs w:val="22"/>
          <w:lang w:val="el-GR"/>
        </w:rPr>
        <w:t>«</w:t>
      </w:r>
      <w:r w:rsidR="00A67D3A" w:rsidRPr="0047462D">
        <w:rPr>
          <w:sz w:val="22"/>
          <w:szCs w:val="22"/>
        </w:rPr>
        <w:t>gating</w:t>
      </w:r>
      <w:r w:rsidR="00615D06" w:rsidRPr="0047462D">
        <w:rPr>
          <w:sz w:val="22"/>
          <w:szCs w:val="22"/>
          <w:lang w:val="el-GR"/>
        </w:rPr>
        <w:t>»</w:t>
      </w:r>
      <w:r w:rsidR="00A67D3A" w:rsidRPr="0047462D">
        <w:rPr>
          <w:rFonts w:eastAsia="Times New Roman"/>
          <w:sz w:val="22"/>
          <w:szCs w:val="22"/>
          <w:lang w:val="el-GR"/>
        </w:rPr>
        <w:t xml:space="preserve"> μεταλλάξεις (ομάδας ΙΙΙ) στο γονίδιο</w:t>
      </w:r>
      <w:r w:rsidR="00DA7828" w:rsidRPr="0047462D">
        <w:rPr>
          <w:rFonts w:eastAsia="Times New Roman"/>
          <w:sz w:val="22"/>
          <w:szCs w:val="22"/>
          <w:lang w:val="el-GR"/>
        </w:rPr>
        <w:t xml:space="preserve"> «</w:t>
      </w:r>
      <w:r w:rsidR="00DA7828" w:rsidRPr="0047462D">
        <w:rPr>
          <w:bCs/>
          <w:sz w:val="22"/>
          <w:szCs w:val="22"/>
          <w:lang w:val="el-GR"/>
        </w:rPr>
        <w:t>ρυθμιστής της διαμεμβρανικής αγωγιμότητας της κυστικής ίνωσης» (</w:t>
      </w:r>
      <w:r w:rsidR="00A67D3A" w:rsidRPr="0047462D">
        <w:rPr>
          <w:rFonts w:eastAsia="Times New Roman"/>
          <w:i/>
          <w:iCs/>
          <w:sz w:val="22"/>
          <w:szCs w:val="22"/>
          <w:lang w:val="el-GR"/>
        </w:rPr>
        <w:t>CFTR</w:t>
      </w:r>
      <w:r w:rsidR="00DA7828" w:rsidRPr="0047462D">
        <w:rPr>
          <w:rFonts w:eastAsia="Times New Roman"/>
          <w:i/>
          <w:iCs/>
          <w:sz w:val="22"/>
          <w:szCs w:val="22"/>
          <w:lang w:val="el-GR"/>
        </w:rPr>
        <w:t>)</w:t>
      </w:r>
      <w:r w:rsidR="00A67D3A" w:rsidRPr="0047462D">
        <w:rPr>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1244</w:t>
      </w:r>
      <w:r w:rsidR="00A67D3A" w:rsidRPr="0047462D">
        <w:rPr>
          <w:i/>
          <w:sz w:val="22"/>
          <w:szCs w:val="22"/>
        </w:rPr>
        <w:t>E</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1349</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178</w:t>
      </w:r>
      <w:r w:rsidR="00A67D3A" w:rsidRPr="0047462D">
        <w:rPr>
          <w:i/>
          <w:sz w:val="22"/>
          <w:szCs w:val="22"/>
        </w:rPr>
        <w:t>R</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S</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1251</w:t>
      </w:r>
      <w:r w:rsidR="00A67D3A" w:rsidRPr="0047462D">
        <w:rPr>
          <w:i/>
          <w:sz w:val="22"/>
          <w:szCs w:val="22"/>
        </w:rPr>
        <w:t>N</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1255</w:t>
      </w:r>
      <w:r w:rsidR="00A67D3A" w:rsidRPr="0047462D">
        <w:rPr>
          <w:i/>
          <w:sz w:val="22"/>
          <w:szCs w:val="22"/>
        </w:rPr>
        <w:t>P</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N</w:t>
      </w:r>
      <w:r w:rsidR="00A67D3A" w:rsidRPr="0047462D">
        <w:rPr>
          <w:i/>
          <w:sz w:val="22"/>
          <w:szCs w:val="22"/>
          <w:lang w:val="el-GR"/>
        </w:rPr>
        <w:t xml:space="preserve"> </w:t>
      </w:r>
      <w:r w:rsidR="00A67D3A" w:rsidRPr="0047462D">
        <w:rPr>
          <w:iCs/>
          <w:sz w:val="22"/>
          <w:szCs w:val="22"/>
          <w:lang w:val="el-GR"/>
        </w:rPr>
        <w:t>ή</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R</w:t>
      </w:r>
      <w:r w:rsidR="00A67D3A" w:rsidRPr="0047462D">
        <w:rPr>
          <w:rFonts w:eastAsia="Times New Roman"/>
          <w:sz w:val="22"/>
          <w:szCs w:val="22"/>
          <w:lang w:val="el-GR"/>
        </w:rPr>
        <w:t xml:space="preserve"> (βλ. παραγράφους 4.4 και 5.1). </w:t>
      </w:r>
    </w:p>
    <w:p w14:paraId="08594D69" w14:textId="77777777" w:rsidR="00A67D3A" w:rsidRPr="0047462D" w:rsidRDefault="00A67D3A" w:rsidP="00141E57">
      <w:pPr>
        <w:rPr>
          <w:szCs w:val="22"/>
          <w:lang w:eastAsia="en-US"/>
        </w:rPr>
      </w:pPr>
    </w:p>
    <w:p w14:paraId="554562AB" w14:textId="016ADC26" w:rsidR="006A318D" w:rsidRPr="0047462D" w:rsidRDefault="00DA7828" w:rsidP="009F35D3">
      <w:pPr>
        <w:pStyle w:val="ListParagraph"/>
        <w:numPr>
          <w:ilvl w:val="0"/>
          <w:numId w:val="62"/>
        </w:numPr>
        <w:tabs>
          <w:tab w:val="left" w:pos="2070"/>
        </w:tabs>
        <w:autoSpaceDE w:val="0"/>
        <w:autoSpaceDN w:val="0"/>
        <w:adjustRightInd w:val="0"/>
        <w:spacing w:line="260" w:lineRule="exact"/>
        <w:ind w:left="562"/>
      </w:pPr>
      <w:r w:rsidRPr="0047462D">
        <w:t>σ</w:t>
      </w:r>
      <w:r w:rsidR="00D5702C" w:rsidRPr="0047462D">
        <w:t xml:space="preserve">ε συνδυαστικό σχήμα με δισκία tezacaftor/ivacaftor για τη θεραπεία </w:t>
      </w:r>
      <w:r w:rsidR="0082305E" w:rsidRPr="0047462D">
        <w:t>ενηλίκων</w:t>
      </w:r>
      <w:r w:rsidR="006E68A7">
        <w:t>,</w:t>
      </w:r>
      <w:r w:rsidR="0082305E" w:rsidRPr="0047462D">
        <w:t xml:space="preserve"> εφήβων </w:t>
      </w:r>
      <w:r w:rsidR="006E68A7">
        <w:t xml:space="preserve">και παιδιών </w:t>
      </w:r>
      <w:r w:rsidR="00D5702C" w:rsidRPr="0047462D">
        <w:t xml:space="preserve">ηλικίας </w:t>
      </w:r>
      <w:r w:rsidR="006E68A7">
        <w:t>6</w:t>
      </w:r>
      <w:r w:rsidR="00D5702C" w:rsidRPr="0047462D">
        <w:t xml:space="preserve"> ετών και άνω </w:t>
      </w:r>
      <w:r w:rsidR="0082305E" w:rsidRPr="0047462D">
        <w:t>με κυστική ίνωση (ΚΙ)</w:t>
      </w:r>
      <w:r w:rsidR="00785142" w:rsidRPr="0047462D">
        <w:t>,</w:t>
      </w:r>
      <w:r w:rsidR="0082305E" w:rsidRPr="0047462D">
        <w:t xml:space="preserve"> </w:t>
      </w:r>
      <w:r w:rsidR="00D5702C" w:rsidRPr="0047462D">
        <w:t xml:space="preserve">οι οποίοι είναι ομόζυγοι για τη </w:t>
      </w:r>
      <w:r w:rsidR="00D5702C" w:rsidRPr="0047462D">
        <w:lastRenderedPageBreak/>
        <w:t xml:space="preserve">μετάλλαξη </w:t>
      </w:r>
      <w:r w:rsidR="00D5702C" w:rsidRPr="0047462D">
        <w:rPr>
          <w:i/>
        </w:rPr>
        <w:t xml:space="preserve">F508del </w:t>
      </w:r>
      <w:r w:rsidR="00D5702C" w:rsidRPr="0047462D">
        <w:t xml:space="preserve">ή ετερόζυγοι για τη μετάλλαξη </w:t>
      </w:r>
      <w:r w:rsidR="00D5702C" w:rsidRPr="0047462D">
        <w:rPr>
          <w:i/>
        </w:rPr>
        <w:t>F508del</w:t>
      </w:r>
      <w:r w:rsidR="00D5702C" w:rsidRPr="0047462D">
        <w:t xml:space="preserve"> και έχουν μια </w:t>
      </w:r>
      <w:r w:rsidR="006A318D" w:rsidRPr="0047462D">
        <w:t>από τις ακόλουθες μεταλλάξεις</w:t>
      </w:r>
      <w:r w:rsidR="00D5702C" w:rsidRPr="0047462D">
        <w:t xml:space="preserve"> στο γονίδιο </w:t>
      </w:r>
      <w:r w:rsidR="00D5702C" w:rsidRPr="0047462D">
        <w:rPr>
          <w:i/>
        </w:rPr>
        <w:t>CFTR</w:t>
      </w:r>
      <w:r w:rsidR="006A318D" w:rsidRPr="0047462D">
        <w:t xml:space="preserve">: </w:t>
      </w:r>
      <w:r w:rsidR="006A318D" w:rsidRPr="0047462D">
        <w:rPr>
          <w:i/>
        </w:rPr>
        <w:t>P67L, R117C, L206W, R352Q, A455E, D579G, 711+3A→G, S945L, S977F, R1070W, D1152H, 2789+5G→A, 3272</w:t>
      </w:r>
      <w:r w:rsidR="006A318D" w:rsidRPr="0047462D">
        <w:rPr>
          <w:i/>
        </w:rPr>
        <w:noBreakHyphen/>
        <w:t xml:space="preserve">26A→G </w:t>
      </w:r>
      <w:r w:rsidR="006A318D" w:rsidRPr="0047462D">
        <w:t xml:space="preserve">και </w:t>
      </w:r>
      <w:r w:rsidR="006A318D" w:rsidRPr="0047462D">
        <w:rPr>
          <w:i/>
        </w:rPr>
        <w:t>3849+10kbC→T</w:t>
      </w:r>
      <w:r w:rsidR="006A318D" w:rsidRPr="0047462D">
        <w:t>.</w:t>
      </w:r>
    </w:p>
    <w:p w14:paraId="23CBEEFD" w14:textId="648A614B" w:rsidR="009F35D3" w:rsidRPr="0047462D" w:rsidRDefault="009F35D3" w:rsidP="009F35D3">
      <w:pPr>
        <w:tabs>
          <w:tab w:val="left" w:pos="2070"/>
        </w:tabs>
        <w:autoSpaceDE w:val="0"/>
        <w:autoSpaceDN w:val="0"/>
        <w:adjustRightInd w:val="0"/>
        <w:spacing w:line="260" w:lineRule="exact"/>
      </w:pPr>
    </w:p>
    <w:p w14:paraId="0263404D" w14:textId="1DD3325F" w:rsidR="009F35D3" w:rsidRPr="0047462D" w:rsidRDefault="00DA7828" w:rsidP="009F35D3">
      <w:pPr>
        <w:pStyle w:val="ListParagraph"/>
        <w:numPr>
          <w:ilvl w:val="0"/>
          <w:numId w:val="63"/>
        </w:numPr>
        <w:tabs>
          <w:tab w:val="left" w:pos="2070"/>
        </w:tabs>
        <w:suppressAutoHyphens w:val="0"/>
        <w:autoSpaceDE w:val="0"/>
        <w:autoSpaceDN w:val="0"/>
        <w:adjustRightInd w:val="0"/>
        <w:ind w:left="567"/>
        <w:contextualSpacing/>
      </w:pPr>
      <w:bookmarkStart w:id="1" w:name="_Hlk36013910"/>
      <w:r w:rsidRPr="0047462D">
        <w:t>σε συνδυαστικό σχήμα με δισκία</w:t>
      </w:r>
      <w:r w:rsidR="009F35D3" w:rsidRPr="0047462D">
        <w:t xml:space="preserve"> ivacaftor/tezacaftor/elexacaftor </w:t>
      </w:r>
      <w:r w:rsidRPr="0047462D">
        <w:t>για τη θεραπεία ενηλίκων και εφήβων ηλικίας 12 ετών και άνω</w:t>
      </w:r>
      <w:r w:rsidR="00F856F0" w:rsidRPr="00F93ECE">
        <w:t xml:space="preserve"> </w:t>
      </w:r>
      <w:r w:rsidR="00F856F0" w:rsidRPr="0047462D">
        <w:t>με κυστική ίνωση (ΚΙ)</w:t>
      </w:r>
      <w:r w:rsidRPr="00F93ECE">
        <w:t>,</w:t>
      </w:r>
      <w:r w:rsidR="009F35D3" w:rsidRPr="0047462D">
        <w:t xml:space="preserve"> </w:t>
      </w:r>
      <w:r w:rsidRPr="0047462D">
        <w:t xml:space="preserve">οι οποίοι είναι ομόζυγοι για τη μετάλλαξη </w:t>
      </w:r>
      <w:r w:rsidR="009F35D3" w:rsidRPr="0047462D">
        <w:rPr>
          <w:i/>
          <w:iCs/>
        </w:rPr>
        <w:t>F508del</w:t>
      </w:r>
      <w:r w:rsidR="009F35D3" w:rsidRPr="0047462D">
        <w:t xml:space="preserve"> </w:t>
      </w:r>
      <w:r w:rsidRPr="0047462D">
        <w:t>στο γονίδιο</w:t>
      </w:r>
      <w:r w:rsidR="009F35D3" w:rsidRPr="0047462D">
        <w:t xml:space="preserve"> </w:t>
      </w:r>
      <w:r w:rsidR="009F35D3" w:rsidRPr="0047462D">
        <w:rPr>
          <w:i/>
          <w:iCs/>
        </w:rPr>
        <w:t>CFTR</w:t>
      </w:r>
      <w:r w:rsidR="009F35D3" w:rsidRPr="0047462D">
        <w:t xml:space="preserve"> </w:t>
      </w:r>
      <w:r w:rsidRPr="0047462D">
        <w:t>ή ετερόζυγοι για τη μετάλλαξη</w:t>
      </w:r>
      <w:r w:rsidR="009F35D3" w:rsidRPr="0047462D">
        <w:t xml:space="preserve"> </w:t>
      </w:r>
      <w:r w:rsidR="009F35D3" w:rsidRPr="0047462D">
        <w:rPr>
          <w:i/>
          <w:iCs/>
        </w:rPr>
        <w:t>F508del</w:t>
      </w:r>
      <w:r w:rsidR="009F35D3" w:rsidRPr="0047462D">
        <w:t xml:space="preserve"> </w:t>
      </w:r>
      <w:r w:rsidR="00296AC7">
        <w:rPr>
          <w:rStyle w:val="hps"/>
        </w:rPr>
        <w:t>και έχουν</w:t>
      </w:r>
      <w:r w:rsidRPr="0047462D">
        <w:rPr>
          <w:rStyle w:val="hps"/>
        </w:rPr>
        <w:t xml:space="preserve"> μια μετάλλαξη ελάχιστης λειτουργίας (</w:t>
      </w:r>
      <w:r w:rsidRPr="0047462D">
        <w:rPr>
          <w:lang w:val="en-US"/>
        </w:rPr>
        <w:t>MF</w:t>
      </w:r>
      <w:r w:rsidRPr="0047462D">
        <w:rPr>
          <w:rStyle w:val="hps"/>
        </w:rPr>
        <w:t>)</w:t>
      </w:r>
      <w:r w:rsidR="009F35D3" w:rsidRPr="0047462D">
        <w:t xml:space="preserve"> </w:t>
      </w:r>
      <w:r w:rsidR="00296AC7" w:rsidRPr="0047462D">
        <w:t xml:space="preserve">στο γονίδιο </w:t>
      </w:r>
      <w:r w:rsidR="00296AC7" w:rsidRPr="0047462D">
        <w:rPr>
          <w:i/>
          <w:iCs/>
        </w:rPr>
        <w:t>CFTR</w:t>
      </w:r>
      <w:r w:rsidR="00296AC7" w:rsidRPr="0047462D">
        <w:t xml:space="preserve"> </w:t>
      </w:r>
      <w:r w:rsidR="009F35D3" w:rsidRPr="0047462D">
        <w:t>(</w:t>
      </w:r>
      <w:r w:rsidRPr="0047462D">
        <w:t>βλ. παράγραφο </w:t>
      </w:r>
      <w:r w:rsidR="009F35D3" w:rsidRPr="0047462D">
        <w:t>5.1).</w:t>
      </w:r>
    </w:p>
    <w:bookmarkEnd w:id="1"/>
    <w:p w14:paraId="61E71635" w14:textId="77777777" w:rsidR="00D5702C" w:rsidRPr="0047462D" w:rsidRDefault="00D5702C" w:rsidP="007307BE">
      <w:pPr>
        <w:rPr>
          <w:szCs w:val="22"/>
          <w:lang w:eastAsia="en-US"/>
        </w:rPr>
      </w:pPr>
    </w:p>
    <w:p w14:paraId="794BD228" w14:textId="77777777" w:rsidR="00A67D3A" w:rsidRPr="0047462D" w:rsidRDefault="00A67D3A" w:rsidP="00141E57">
      <w:pPr>
        <w:keepNext/>
        <w:rPr>
          <w:b/>
          <w:bCs/>
          <w:i/>
          <w:iCs/>
          <w:szCs w:val="22"/>
        </w:rPr>
      </w:pPr>
      <w:r w:rsidRPr="0047462D">
        <w:rPr>
          <w:rFonts w:eastAsia="Times New Roman"/>
          <w:b/>
          <w:bCs/>
          <w:szCs w:val="22"/>
          <w:lang w:eastAsia="en-US"/>
        </w:rPr>
        <w:t>4.2</w:t>
      </w:r>
      <w:r w:rsidRPr="0047462D">
        <w:rPr>
          <w:rFonts w:eastAsia="Times New Roman"/>
          <w:b/>
          <w:bCs/>
          <w:szCs w:val="22"/>
          <w:lang w:eastAsia="en-US"/>
        </w:rPr>
        <w:tab/>
      </w:r>
      <w:r w:rsidRPr="0047462D">
        <w:rPr>
          <w:rFonts w:eastAsia="Times New Roman"/>
          <w:b/>
          <w:bCs/>
          <w:szCs w:val="22"/>
        </w:rPr>
        <w:t>Δοσολογία και τρόπος χορήγησης</w:t>
      </w:r>
    </w:p>
    <w:p w14:paraId="6CCA3FBD" w14:textId="77777777" w:rsidR="00A67D3A" w:rsidRPr="0047462D" w:rsidRDefault="00A67D3A" w:rsidP="00141E57">
      <w:pPr>
        <w:keepNext/>
        <w:rPr>
          <w:bCs/>
          <w:iCs/>
          <w:szCs w:val="22"/>
        </w:rPr>
      </w:pPr>
    </w:p>
    <w:p w14:paraId="25FC3591" w14:textId="0226F8BD" w:rsidR="00A67D3A" w:rsidRPr="0047462D" w:rsidRDefault="00A67D3A" w:rsidP="00141E57">
      <w:pPr>
        <w:rPr>
          <w:szCs w:val="22"/>
          <w:u w:val="single"/>
        </w:rPr>
      </w:pPr>
      <w:bookmarkStart w:id="2" w:name="paragraph00000061"/>
      <w:r w:rsidRPr="0047462D">
        <w:rPr>
          <w:rFonts w:eastAsia="Times New Roman"/>
          <w:szCs w:val="22"/>
        </w:rPr>
        <w:t xml:space="preserve">Το Kalydeco θα πρέπει να συνταγογραφείται μόνο από </w:t>
      </w:r>
      <w:r w:rsidR="00EB79F1" w:rsidRPr="0047462D">
        <w:rPr>
          <w:rFonts w:eastAsia="Times New Roman"/>
          <w:szCs w:val="22"/>
        </w:rPr>
        <w:t>γ</w:t>
      </w:r>
      <w:r w:rsidRPr="0047462D">
        <w:rPr>
          <w:rFonts w:eastAsia="Times New Roman"/>
          <w:szCs w:val="22"/>
        </w:rPr>
        <w:t xml:space="preserve">ιατρούς με εμπειρία στη θεραπεία της κυστικής ίνωσης. Εάν ο γονότυπος του ασθενούς δεν είναι γνωστός, θα πρέπει να </w:t>
      </w:r>
      <w:r w:rsidRPr="0047462D">
        <w:rPr>
          <w:szCs w:val="22"/>
        </w:rPr>
        <w:t>εφαρμόζεται</w:t>
      </w:r>
      <w:r w:rsidRPr="0047462D">
        <w:rPr>
          <w:rFonts w:eastAsia="Times New Roman"/>
          <w:szCs w:val="22"/>
        </w:rPr>
        <w:t xml:space="preserve"> μια ακριβής και επικυρωμένη μέθοδος γονοτυπικής ανάλυσης </w:t>
      </w:r>
      <w:r w:rsidR="003078E6" w:rsidRPr="0047462D">
        <w:rPr>
          <w:rFonts w:eastAsia="Times New Roman"/>
          <w:szCs w:val="22"/>
        </w:rPr>
        <w:t xml:space="preserve">πριν </w:t>
      </w:r>
      <w:r w:rsidR="009A10C6" w:rsidRPr="0047462D">
        <w:rPr>
          <w:rFonts w:eastAsia="Times New Roman"/>
          <w:szCs w:val="22"/>
        </w:rPr>
        <w:t xml:space="preserve">από </w:t>
      </w:r>
      <w:r w:rsidR="003078E6" w:rsidRPr="0047462D">
        <w:rPr>
          <w:rFonts w:eastAsia="Times New Roman"/>
          <w:szCs w:val="22"/>
        </w:rPr>
        <w:t xml:space="preserve">την έναρξη της θεραπείας </w:t>
      </w:r>
      <w:r w:rsidRPr="0047462D">
        <w:rPr>
          <w:rFonts w:eastAsia="Times New Roman"/>
          <w:szCs w:val="22"/>
        </w:rPr>
        <w:t xml:space="preserve">για την επιβεβαίωση της παρουσίας μιας μετάλλαξης </w:t>
      </w:r>
      <w:r w:rsidR="0089116A" w:rsidRPr="0047462D">
        <w:rPr>
          <w:rFonts w:eastAsia="Times New Roman"/>
          <w:szCs w:val="22"/>
        </w:rPr>
        <w:t xml:space="preserve">που αποτελεί ένδειξη </w:t>
      </w:r>
      <w:r w:rsidR="00677D05" w:rsidRPr="0047462D">
        <w:rPr>
          <w:rFonts w:eastAsia="Times New Roman"/>
          <w:szCs w:val="22"/>
        </w:rPr>
        <w:t>στο</w:t>
      </w:r>
      <w:r w:rsidRPr="0047462D">
        <w:rPr>
          <w:rFonts w:eastAsia="Times New Roman"/>
          <w:szCs w:val="22"/>
        </w:rPr>
        <w:t xml:space="preserve"> γον</w:t>
      </w:r>
      <w:r w:rsidR="00677D05" w:rsidRPr="0047462D">
        <w:rPr>
          <w:rFonts w:eastAsia="Times New Roman"/>
          <w:szCs w:val="22"/>
        </w:rPr>
        <w:t>ί</w:t>
      </w:r>
      <w:r w:rsidRPr="0047462D">
        <w:rPr>
          <w:rFonts w:eastAsia="Times New Roman"/>
          <w:szCs w:val="22"/>
        </w:rPr>
        <w:t>δ</w:t>
      </w:r>
      <w:r w:rsidR="00400CB3" w:rsidRPr="0047462D">
        <w:rPr>
          <w:rFonts w:eastAsia="Times New Roman"/>
          <w:szCs w:val="22"/>
        </w:rPr>
        <w:t>ι</w:t>
      </w:r>
      <w:r w:rsidRPr="0047462D">
        <w:rPr>
          <w:rFonts w:eastAsia="Times New Roman"/>
          <w:szCs w:val="22"/>
        </w:rPr>
        <w:t xml:space="preserve">ο </w:t>
      </w:r>
      <w:r w:rsidRPr="0047462D">
        <w:rPr>
          <w:rFonts w:eastAsia="Times New Roman"/>
          <w:i/>
          <w:iCs/>
          <w:szCs w:val="22"/>
        </w:rPr>
        <w:t>CFTR</w:t>
      </w:r>
      <w:r w:rsidR="00677D05" w:rsidRPr="0047462D">
        <w:rPr>
          <w:rFonts w:eastAsia="Times New Roman"/>
          <w:i/>
          <w:iCs/>
          <w:szCs w:val="22"/>
        </w:rPr>
        <w:t xml:space="preserve"> </w:t>
      </w:r>
      <w:r w:rsidR="00677D05" w:rsidRPr="0047462D">
        <w:rPr>
          <w:rFonts w:eastAsia="Times New Roman"/>
          <w:iCs/>
          <w:szCs w:val="22"/>
        </w:rPr>
        <w:t>(βλ. παράγραφο 4.1)</w:t>
      </w:r>
      <w:r w:rsidRPr="0047462D">
        <w:rPr>
          <w:rFonts w:eastAsia="Times New Roman"/>
          <w:szCs w:val="22"/>
        </w:rPr>
        <w:t xml:space="preserve">. </w:t>
      </w:r>
      <w:r w:rsidR="00090BAC" w:rsidRPr="0047462D">
        <w:rPr>
          <w:rFonts w:eastAsia="Times New Roman"/>
          <w:szCs w:val="22"/>
        </w:rPr>
        <w:t xml:space="preserve">Η φάση της παραλλαγής του τμήματος </w:t>
      </w:r>
      <w:r w:rsidR="00090BAC" w:rsidRPr="0047462D">
        <w:rPr>
          <w:szCs w:val="22"/>
        </w:rPr>
        <w:t xml:space="preserve">πολυθυμιδίνης (poly-T) </w:t>
      </w:r>
      <w:r w:rsidR="000F2645" w:rsidRPr="0047462D">
        <w:rPr>
          <w:szCs w:val="22"/>
        </w:rPr>
        <w:t xml:space="preserve">που </w:t>
      </w:r>
      <w:r w:rsidR="001B6EEE" w:rsidRPr="0047462D">
        <w:rPr>
          <w:szCs w:val="22"/>
        </w:rPr>
        <w:t>ταυτοποι</w:t>
      </w:r>
      <w:r w:rsidR="000F2645" w:rsidRPr="0047462D">
        <w:rPr>
          <w:szCs w:val="22"/>
        </w:rPr>
        <w:t>ε</w:t>
      </w:r>
      <w:r w:rsidR="001B6EEE" w:rsidRPr="0047462D">
        <w:rPr>
          <w:szCs w:val="22"/>
        </w:rPr>
        <w:t>ί</w:t>
      </w:r>
      <w:r w:rsidR="000F2645" w:rsidRPr="0047462D">
        <w:rPr>
          <w:szCs w:val="22"/>
        </w:rPr>
        <w:t xml:space="preserve">ται </w:t>
      </w:r>
      <w:r w:rsidR="00090BAC" w:rsidRPr="0047462D">
        <w:rPr>
          <w:szCs w:val="22"/>
        </w:rPr>
        <w:t xml:space="preserve">με τη μετάλλαξη </w:t>
      </w:r>
      <w:r w:rsidR="00090BAC" w:rsidRPr="0047462D">
        <w:rPr>
          <w:bCs/>
          <w:i/>
          <w:iCs/>
        </w:rPr>
        <w:t>R117H</w:t>
      </w:r>
      <w:r w:rsidR="00090BAC" w:rsidRPr="0047462D">
        <w:rPr>
          <w:bCs/>
          <w:iCs/>
        </w:rPr>
        <w:t xml:space="preserve"> θα πρέπει να καθορίζεται σύμφωνα με τις τοπικές κλινικές συστάσεις.</w:t>
      </w:r>
    </w:p>
    <w:bookmarkEnd w:id="2"/>
    <w:p w14:paraId="579FB18C" w14:textId="77777777" w:rsidR="00A67D3A" w:rsidRPr="0047462D" w:rsidRDefault="00A67D3A" w:rsidP="00141E57">
      <w:pPr>
        <w:rPr>
          <w:szCs w:val="22"/>
          <w:u w:val="single"/>
        </w:rPr>
      </w:pPr>
    </w:p>
    <w:p w14:paraId="246B38B4" w14:textId="77777777" w:rsidR="00A67D3A" w:rsidRPr="0047462D" w:rsidRDefault="00A67D3A" w:rsidP="00141E57">
      <w:pPr>
        <w:keepNext/>
        <w:rPr>
          <w:i/>
          <w:iCs/>
          <w:szCs w:val="22"/>
          <w:lang w:eastAsia="en-US"/>
        </w:rPr>
      </w:pPr>
      <w:r w:rsidRPr="0047462D">
        <w:rPr>
          <w:rFonts w:eastAsia="Times New Roman"/>
          <w:szCs w:val="22"/>
          <w:u w:val="single"/>
        </w:rPr>
        <w:t>Δοσολογία</w:t>
      </w:r>
    </w:p>
    <w:p w14:paraId="406B19FF" w14:textId="77777777" w:rsidR="00A67D3A" w:rsidRPr="0047462D" w:rsidRDefault="00A67D3A" w:rsidP="00141E57">
      <w:pPr>
        <w:keepNext/>
        <w:rPr>
          <w:i/>
          <w:iCs/>
          <w:szCs w:val="22"/>
          <w:lang w:eastAsia="en-US"/>
        </w:rPr>
      </w:pPr>
    </w:p>
    <w:p w14:paraId="4800751C" w14:textId="5226BA80" w:rsidR="002F40D0" w:rsidRPr="00F93ECE" w:rsidRDefault="002F40D0" w:rsidP="002F40D0">
      <w:pPr>
        <w:pStyle w:val="labeltext"/>
        <w:keepNext/>
        <w:keepLines/>
        <w:rPr>
          <w:iCs/>
          <w:sz w:val="22"/>
          <w:szCs w:val="22"/>
          <w:lang w:val="el-GR"/>
        </w:rPr>
      </w:pPr>
      <w:r w:rsidRPr="00F93ECE">
        <w:rPr>
          <w:iCs/>
          <w:sz w:val="22"/>
          <w:szCs w:val="22"/>
          <w:lang w:val="el-GR"/>
        </w:rPr>
        <w:t>Ενήλικες, έφηβοι και παιδιά ηλικίας 6</w:t>
      </w:r>
      <w:r w:rsidRPr="0047462D">
        <w:rPr>
          <w:iCs/>
          <w:sz w:val="22"/>
          <w:szCs w:val="22"/>
          <w:lang w:val="el-GR"/>
        </w:rPr>
        <w:t> </w:t>
      </w:r>
      <w:r w:rsidRPr="00F93ECE">
        <w:rPr>
          <w:iCs/>
          <w:sz w:val="22"/>
          <w:szCs w:val="22"/>
          <w:lang w:val="el-GR"/>
        </w:rPr>
        <w:t>ετών και άνω θα πρέπει να λαμβάνουν δόση σύμφωνα με τον Πίνακα</w:t>
      </w:r>
      <w:r w:rsidRPr="0047462D">
        <w:rPr>
          <w:iCs/>
          <w:sz w:val="22"/>
          <w:szCs w:val="22"/>
          <w:lang w:val="el-GR"/>
        </w:rPr>
        <w:t> </w:t>
      </w:r>
      <w:r w:rsidRPr="00F93ECE">
        <w:rPr>
          <w:iCs/>
          <w:sz w:val="22"/>
          <w:szCs w:val="22"/>
          <w:lang w:val="el-GR"/>
        </w:rPr>
        <w:t xml:space="preserve">1. </w:t>
      </w:r>
    </w:p>
    <w:p w14:paraId="549989B7" w14:textId="77777777" w:rsidR="002F40D0" w:rsidRPr="00F93ECE" w:rsidRDefault="002F40D0" w:rsidP="002F40D0">
      <w:pPr>
        <w:pStyle w:val="labeltext"/>
        <w:keepNext/>
        <w:keepLines/>
        <w:rPr>
          <w:i/>
          <w:sz w:val="22"/>
          <w:szCs w:val="22"/>
          <w:lang w:val="el-GR"/>
        </w:rPr>
      </w:pPr>
    </w:p>
    <w:p w14:paraId="21450374" w14:textId="3CB11E60" w:rsidR="002F40D0" w:rsidRPr="0047462D" w:rsidRDefault="002F40D0" w:rsidP="002F40D0">
      <w:pPr>
        <w:pStyle w:val="labeltext"/>
        <w:keepNext/>
        <w:keepLines/>
        <w:spacing w:after="120"/>
        <w:rPr>
          <w:b/>
          <w:sz w:val="22"/>
          <w:szCs w:val="22"/>
        </w:rPr>
      </w:pPr>
      <w:r w:rsidRPr="0047462D">
        <w:rPr>
          <w:b/>
          <w:sz w:val="22"/>
          <w:szCs w:val="22"/>
          <w:lang w:val="el-GR"/>
        </w:rPr>
        <w:t>Πίνακας </w:t>
      </w:r>
      <w:r w:rsidRPr="0047462D">
        <w:rPr>
          <w:b/>
          <w:sz w:val="22"/>
          <w:szCs w:val="22"/>
        </w:rPr>
        <w:t>1: Συστάσεις δοσολογίας</w:t>
      </w:r>
    </w:p>
    <w:tbl>
      <w:tblPr>
        <w:tblStyle w:val="TableGrid"/>
        <w:tblW w:w="9392" w:type="dxa"/>
        <w:tblInd w:w="-5" w:type="dxa"/>
        <w:tblLayout w:type="fixed"/>
        <w:tblLook w:val="04A0" w:firstRow="1" w:lastRow="0" w:firstColumn="1" w:lastColumn="0" w:noHBand="0" w:noVBand="1"/>
      </w:tblPr>
      <w:tblGrid>
        <w:gridCol w:w="2127"/>
        <w:gridCol w:w="4684"/>
        <w:gridCol w:w="2581"/>
      </w:tblGrid>
      <w:tr w:rsidR="002F40D0" w:rsidRPr="0047462D" w14:paraId="1C8834E7" w14:textId="77777777" w:rsidTr="005670EF">
        <w:trPr>
          <w:cantSplit/>
          <w:trHeight w:val="325"/>
          <w:tblHeader/>
        </w:trPr>
        <w:tc>
          <w:tcPr>
            <w:tcW w:w="2127" w:type="dxa"/>
            <w:vAlign w:val="center"/>
          </w:tcPr>
          <w:p w14:paraId="6FA2480A" w14:textId="77777777" w:rsidR="002F40D0" w:rsidRPr="0047462D" w:rsidRDefault="002F40D0" w:rsidP="005670EF">
            <w:pPr>
              <w:pStyle w:val="labeltext"/>
              <w:keepNext/>
              <w:rPr>
                <w:b/>
                <w:bCs/>
                <w:iCs/>
                <w:sz w:val="22"/>
                <w:szCs w:val="22"/>
              </w:rPr>
            </w:pPr>
          </w:p>
        </w:tc>
        <w:tc>
          <w:tcPr>
            <w:tcW w:w="4684" w:type="dxa"/>
            <w:vAlign w:val="center"/>
          </w:tcPr>
          <w:p w14:paraId="3FB28BBD" w14:textId="43E03174" w:rsidR="002F40D0" w:rsidRPr="0047462D" w:rsidRDefault="002F40D0" w:rsidP="005670EF">
            <w:pPr>
              <w:pStyle w:val="labeltext"/>
              <w:keepNext/>
              <w:jc w:val="center"/>
              <w:rPr>
                <w:b/>
                <w:bCs/>
                <w:iCs/>
                <w:sz w:val="22"/>
                <w:szCs w:val="22"/>
              </w:rPr>
            </w:pPr>
            <w:r w:rsidRPr="0047462D">
              <w:rPr>
                <w:b/>
                <w:bCs/>
                <w:iCs/>
                <w:sz w:val="22"/>
                <w:szCs w:val="22"/>
                <w:lang w:val="el-GR"/>
              </w:rPr>
              <w:t>Πρωί</w:t>
            </w:r>
          </w:p>
        </w:tc>
        <w:tc>
          <w:tcPr>
            <w:tcW w:w="2581" w:type="dxa"/>
            <w:vAlign w:val="center"/>
          </w:tcPr>
          <w:p w14:paraId="3FA79EE9" w14:textId="7D582504" w:rsidR="002F40D0" w:rsidRPr="0047462D" w:rsidRDefault="002F40D0" w:rsidP="005670EF">
            <w:pPr>
              <w:pStyle w:val="labeltext"/>
              <w:keepNext/>
              <w:jc w:val="center"/>
              <w:rPr>
                <w:b/>
                <w:bCs/>
                <w:iCs/>
                <w:sz w:val="22"/>
                <w:szCs w:val="22"/>
                <w:lang w:val="el-GR"/>
              </w:rPr>
            </w:pPr>
            <w:r w:rsidRPr="0047462D">
              <w:rPr>
                <w:b/>
                <w:bCs/>
                <w:iCs/>
                <w:sz w:val="22"/>
                <w:szCs w:val="22"/>
                <w:lang w:val="el-GR"/>
              </w:rPr>
              <w:t>Βράδυ</w:t>
            </w:r>
          </w:p>
        </w:tc>
      </w:tr>
      <w:tr w:rsidR="002F40D0" w:rsidRPr="0047462D" w14:paraId="42DAF309" w14:textId="77777777" w:rsidTr="005670EF">
        <w:trPr>
          <w:cantSplit/>
          <w:trHeight w:val="306"/>
        </w:trPr>
        <w:tc>
          <w:tcPr>
            <w:tcW w:w="9392" w:type="dxa"/>
            <w:gridSpan w:val="3"/>
            <w:vAlign w:val="center"/>
          </w:tcPr>
          <w:p w14:paraId="306236BE" w14:textId="52290074" w:rsidR="002F40D0" w:rsidRPr="0047462D" w:rsidRDefault="002F40D0" w:rsidP="005670EF">
            <w:pPr>
              <w:pStyle w:val="labeltext"/>
              <w:keepNext/>
              <w:rPr>
                <w:b/>
                <w:bCs/>
                <w:iCs/>
                <w:sz w:val="22"/>
                <w:szCs w:val="22"/>
              </w:rPr>
            </w:pPr>
            <w:r w:rsidRPr="0047462D">
              <w:rPr>
                <w:b/>
                <w:bCs/>
                <w:iCs/>
                <w:sz w:val="22"/>
                <w:szCs w:val="22"/>
              </w:rPr>
              <w:t xml:space="preserve">Ivacaftor </w:t>
            </w:r>
            <w:r w:rsidRPr="0047462D">
              <w:rPr>
                <w:b/>
                <w:bCs/>
                <w:iCs/>
                <w:sz w:val="22"/>
                <w:szCs w:val="22"/>
                <w:lang w:val="el-GR"/>
              </w:rPr>
              <w:t>ως μονοθεραπεία</w:t>
            </w:r>
          </w:p>
        </w:tc>
      </w:tr>
      <w:tr w:rsidR="002F40D0" w:rsidRPr="0047462D" w14:paraId="4E5443E6" w14:textId="77777777" w:rsidTr="005670EF">
        <w:trPr>
          <w:cantSplit/>
          <w:trHeight w:val="325"/>
        </w:trPr>
        <w:tc>
          <w:tcPr>
            <w:tcW w:w="2127" w:type="dxa"/>
            <w:vAlign w:val="center"/>
          </w:tcPr>
          <w:p w14:paraId="64AA7C34" w14:textId="064EE536" w:rsidR="002F40D0" w:rsidRPr="0047462D" w:rsidRDefault="002F40D0" w:rsidP="005670EF">
            <w:pPr>
              <w:pStyle w:val="labeltext"/>
              <w:keepNext/>
              <w:rPr>
                <w:iCs/>
                <w:sz w:val="22"/>
                <w:szCs w:val="22"/>
              </w:rPr>
            </w:pPr>
            <w:r w:rsidRPr="0047462D">
              <w:rPr>
                <w:iCs/>
                <w:sz w:val="22"/>
                <w:szCs w:val="22"/>
              </w:rPr>
              <w:t>6</w:t>
            </w:r>
            <w:r w:rsidR="00E043B2" w:rsidRPr="0047462D">
              <w:rPr>
                <w:iCs/>
                <w:sz w:val="22"/>
                <w:szCs w:val="22"/>
                <w:lang w:val="el-GR"/>
              </w:rPr>
              <w:t> </w:t>
            </w:r>
            <w:r w:rsidRPr="0047462D">
              <w:rPr>
                <w:iCs/>
                <w:sz w:val="22"/>
                <w:szCs w:val="22"/>
                <w:lang w:val="el-GR"/>
              </w:rPr>
              <w:t>ετών και άνω</w:t>
            </w:r>
            <w:r w:rsidRPr="0047462D">
              <w:rPr>
                <w:iCs/>
                <w:sz w:val="22"/>
                <w:szCs w:val="22"/>
              </w:rPr>
              <w:t>, ≥</w:t>
            </w:r>
            <w:r w:rsidRPr="0047462D">
              <w:rPr>
                <w:iCs/>
                <w:sz w:val="22"/>
                <w:szCs w:val="22"/>
                <w:lang w:val="el-GR"/>
              </w:rPr>
              <w:t> </w:t>
            </w:r>
            <w:r w:rsidRPr="0047462D">
              <w:rPr>
                <w:iCs/>
                <w:sz w:val="22"/>
                <w:szCs w:val="22"/>
              </w:rPr>
              <w:t>25 kg</w:t>
            </w:r>
          </w:p>
        </w:tc>
        <w:tc>
          <w:tcPr>
            <w:tcW w:w="4684" w:type="dxa"/>
            <w:vAlign w:val="center"/>
          </w:tcPr>
          <w:p w14:paraId="7B6BD238" w14:textId="07DD31D3" w:rsidR="002F40D0" w:rsidRPr="0047462D" w:rsidRDefault="002F40D0" w:rsidP="005670EF">
            <w:pPr>
              <w:pStyle w:val="labeltext"/>
              <w:keepNext/>
              <w:rPr>
                <w:iCs/>
                <w:sz w:val="22"/>
                <w:szCs w:val="22"/>
              </w:rPr>
            </w:pPr>
            <w:r w:rsidRPr="0047462D">
              <w:rPr>
                <w:iCs/>
                <w:sz w:val="22"/>
                <w:szCs w:val="22"/>
                <w:lang w:val="el-GR"/>
              </w:rPr>
              <w:t>Ένα δισκίο</w:t>
            </w:r>
            <w:r w:rsidRPr="0047462D">
              <w:rPr>
                <w:iCs/>
                <w:sz w:val="22"/>
                <w:szCs w:val="22"/>
              </w:rPr>
              <w:t xml:space="preserve"> ivacaftor 150</w:t>
            </w:r>
            <w:r w:rsidR="003E5217" w:rsidRPr="0047462D">
              <w:rPr>
                <w:iCs/>
                <w:sz w:val="22"/>
                <w:szCs w:val="22"/>
                <w:lang w:val="el-GR"/>
              </w:rPr>
              <w:t> </w:t>
            </w:r>
            <w:r w:rsidRPr="0047462D">
              <w:rPr>
                <w:iCs/>
                <w:sz w:val="22"/>
                <w:szCs w:val="22"/>
              </w:rPr>
              <w:t>mg</w:t>
            </w:r>
          </w:p>
        </w:tc>
        <w:tc>
          <w:tcPr>
            <w:tcW w:w="2581" w:type="dxa"/>
            <w:vAlign w:val="center"/>
          </w:tcPr>
          <w:p w14:paraId="726CADCB" w14:textId="2CBD3C8D" w:rsidR="002F40D0" w:rsidRPr="0047462D" w:rsidRDefault="002F40D0" w:rsidP="005670EF">
            <w:pPr>
              <w:pStyle w:val="labeltext"/>
              <w:keepNext/>
              <w:rPr>
                <w:iCs/>
                <w:sz w:val="22"/>
                <w:szCs w:val="22"/>
              </w:rPr>
            </w:pPr>
            <w:r w:rsidRPr="0047462D">
              <w:rPr>
                <w:iCs/>
                <w:sz w:val="22"/>
                <w:szCs w:val="22"/>
                <w:lang w:val="el-GR"/>
              </w:rPr>
              <w:t xml:space="preserve">Ένα δισκίο </w:t>
            </w:r>
            <w:r w:rsidRPr="0047462D">
              <w:rPr>
                <w:iCs/>
                <w:sz w:val="22"/>
                <w:szCs w:val="22"/>
              </w:rPr>
              <w:t>ivacaftor 150 mg</w:t>
            </w:r>
          </w:p>
        </w:tc>
      </w:tr>
      <w:tr w:rsidR="002F40D0" w:rsidRPr="0047462D" w14:paraId="355C2C12" w14:textId="77777777" w:rsidTr="005670EF">
        <w:trPr>
          <w:cantSplit/>
          <w:trHeight w:val="306"/>
        </w:trPr>
        <w:tc>
          <w:tcPr>
            <w:tcW w:w="9392" w:type="dxa"/>
            <w:gridSpan w:val="3"/>
            <w:vAlign w:val="center"/>
          </w:tcPr>
          <w:p w14:paraId="11BDB1D6" w14:textId="36DE8F2C" w:rsidR="002F40D0" w:rsidRPr="00F93ECE" w:rsidRDefault="002F40D0" w:rsidP="005670EF">
            <w:pPr>
              <w:pStyle w:val="labeltext"/>
              <w:keepNext/>
              <w:rPr>
                <w:b/>
                <w:bCs/>
                <w:iCs/>
                <w:sz w:val="22"/>
                <w:szCs w:val="22"/>
                <w:lang w:val="el-GR"/>
              </w:rPr>
            </w:pPr>
            <w:r w:rsidRPr="0047462D">
              <w:rPr>
                <w:b/>
                <w:bCs/>
                <w:iCs/>
                <w:sz w:val="22"/>
                <w:szCs w:val="22"/>
              </w:rPr>
              <w:t>Ivacaftor</w:t>
            </w:r>
            <w:r w:rsidRPr="00F93ECE">
              <w:rPr>
                <w:b/>
                <w:bCs/>
                <w:iCs/>
                <w:sz w:val="22"/>
                <w:szCs w:val="22"/>
                <w:lang w:val="el-GR"/>
              </w:rPr>
              <w:t xml:space="preserve"> </w:t>
            </w:r>
            <w:r w:rsidRPr="0047462D">
              <w:rPr>
                <w:b/>
                <w:bCs/>
                <w:iCs/>
                <w:sz w:val="22"/>
                <w:szCs w:val="22"/>
                <w:lang w:val="el-GR"/>
              </w:rPr>
              <w:t xml:space="preserve">σε συνδυασμό με </w:t>
            </w:r>
            <w:r w:rsidRPr="0047462D">
              <w:rPr>
                <w:b/>
                <w:bCs/>
                <w:iCs/>
                <w:sz w:val="22"/>
                <w:szCs w:val="22"/>
              </w:rPr>
              <w:t>tezacaftor</w:t>
            </w:r>
            <w:r w:rsidRPr="00F93ECE">
              <w:rPr>
                <w:b/>
                <w:bCs/>
                <w:iCs/>
                <w:sz w:val="22"/>
                <w:szCs w:val="22"/>
                <w:lang w:val="el-GR"/>
              </w:rPr>
              <w:t>/</w:t>
            </w:r>
            <w:r w:rsidRPr="0047462D">
              <w:rPr>
                <w:b/>
                <w:bCs/>
                <w:iCs/>
                <w:sz w:val="22"/>
                <w:szCs w:val="22"/>
              </w:rPr>
              <w:t>ivacaftor</w:t>
            </w:r>
          </w:p>
        </w:tc>
      </w:tr>
      <w:tr w:rsidR="006E68A7" w:rsidRPr="0047462D" w14:paraId="7436BCFF" w14:textId="77777777" w:rsidTr="005670EF">
        <w:trPr>
          <w:cantSplit/>
          <w:trHeight w:val="306"/>
        </w:trPr>
        <w:tc>
          <w:tcPr>
            <w:tcW w:w="2127" w:type="dxa"/>
            <w:vAlign w:val="center"/>
          </w:tcPr>
          <w:p w14:paraId="42744E40" w14:textId="3ABF4EDE" w:rsidR="006E68A7" w:rsidRPr="0047462D" w:rsidRDefault="006E68A7" w:rsidP="006E68A7">
            <w:pPr>
              <w:pStyle w:val="labeltext"/>
              <w:keepNext/>
              <w:rPr>
                <w:sz w:val="22"/>
                <w:szCs w:val="22"/>
              </w:rPr>
            </w:pPr>
            <w:r w:rsidRPr="00475296">
              <w:rPr>
                <w:sz w:val="22"/>
                <w:szCs w:val="22"/>
              </w:rPr>
              <w:t>6</w:t>
            </w:r>
            <w:r>
              <w:rPr>
                <w:sz w:val="22"/>
                <w:szCs w:val="22"/>
              </w:rPr>
              <w:t> </w:t>
            </w:r>
            <w:r>
              <w:rPr>
                <w:sz w:val="22"/>
                <w:szCs w:val="22"/>
                <w:lang w:val="el-GR"/>
              </w:rPr>
              <w:t>ετών έως</w:t>
            </w:r>
            <w:r w:rsidRPr="00475296">
              <w:rPr>
                <w:sz w:val="22"/>
                <w:szCs w:val="22"/>
              </w:rPr>
              <w:t xml:space="preserve"> &lt;</w:t>
            </w:r>
            <w:r>
              <w:rPr>
                <w:sz w:val="22"/>
                <w:szCs w:val="22"/>
                <w:lang w:val="el-GR"/>
              </w:rPr>
              <w:t> </w:t>
            </w:r>
            <w:r w:rsidRPr="00475296">
              <w:rPr>
                <w:sz w:val="22"/>
                <w:szCs w:val="22"/>
              </w:rPr>
              <w:t>12</w:t>
            </w:r>
            <w:r>
              <w:rPr>
                <w:sz w:val="22"/>
                <w:szCs w:val="22"/>
              </w:rPr>
              <w:t> </w:t>
            </w:r>
            <w:r>
              <w:rPr>
                <w:sz w:val="22"/>
                <w:szCs w:val="22"/>
                <w:lang w:val="el-GR"/>
              </w:rPr>
              <w:t>ετών</w:t>
            </w:r>
            <w:r w:rsidRPr="00475296">
              <w:rPr>
                <w:sz w:val="22"/>
                <w:szCs w:val="22"/>
              </w:rPr>
              <w:t>, &lt;</w:t>
            </w:r>
            <w:r>
              <w:rPr>
                <w:sz w:val="22"/>
                <w:szCs w:val="22"/>
                <w:lang w:val="el-GR"/>
              </w:rPr>
              <w:t> </w:t>
            </w:r>
            <w:r w:rsidRPr="00475296">
              <w:rPr>
                <w:sz w:val="22"/>
                <w:szCs w:val="22"/>
              </w:rPr>
              <w:t>30</w:t>
            </w:r>
            <w:r>
              <w:rPr>
                <w:sz w:val="22"/>
                <w:szCs w:val="22"/>
              </w:rPr>
              <w:t> </w:t>
            </w:r>
            <w:r w:rsidRPr="00475296">
              <w:rPr>
                <w:sz w:val="22"/>
                <w:szCs w:val="22"/>
              </w:rPr>
              <w:t>kg</w:t>
            </w:r>
          </w:p>
        </w:tc>
        <w:tc>
          <w:tcPr>
            <w:tcW w:w="4684" w:type="dxa"/>
            <w:vAlign w:val="center"/>
          </w:tcPr>
          <w:p w14:paraId="02EAC9CA" w14:textId="2B5620CD" w:rsidR="006E68A7" w:rsidRPr="00F93ECE" w:rsidRDefault="00883063" w:rsidP="006E68A7">
            <w:pPr>
              <w:pStyle w:val="labeltext"/>
              <w:keepNext/>
              <w:rPr>
                <w:iCs/>
                <w:sz w:val="22"/>
                <w:szCs w:val="22"/>
              </w:rPr>
            </w:pPr>
            <w:r>
              <w:rPr>
                <w:iCs/>
                <w:sz w:val="22"/>
                <w:szCs w:val="22"/>
                <w:lang w:val="el-GR"/>
              </w:rPr>
              <w:t>Ένα</w:t>
            </w:r>
            <w:r w:rsidRPr="00F93ECE">
              <w:rPr>
                <w:iCs/>
                <w:sz w:val="22"/>
                <w:szCs w:val="22"/>
              </w:rPr>
              <w:t xml:space="preserve"> </w:t>
            </w:r>
            <w:r>
              <w:rPr>
                <w:iCs/>
                <w:sz w:val="22"/>
                <w:szCs w:val="22"/>
                <w:lang w:val="el-GR"/>
              </w:rPr>
              <w:t>δισκίο</w:t>
            </w:r>
            <w:r w:rsidR="006E68A7" w:rsidRPr="00475296">
              <w:rPr>
                <w:iCs/>
                <w:sz w:val="22"/>
                <w:szCs w:val="22"/>
              </w:rPr>
              <w:t xml:space="preserve"> tezacaftor 50</w:t>
            </w:r>
            <w:r w:rsidR="006E68A7">
              <w:rPr>
                <w:iCs/>
                <w:sz w:val="22"/>
                <w:szCs w:val="22"/>
              </w:rPr>
              <w:t> </w:t>
            </w:r>
            <w:r w:rsidR="006E68A7" w:rsidRPr="00475296">
              <w:rPr>
                <w:iCs/>
                <w:sz w:val="22"/>
                <w:szCs w:val="22"/>
              </w:rPr>
              <w:t>mg/ivacaftor 75</w:t>
            </w:r>
            <w:r w:rsidR="006E68A7">
              <w:rPr>
                <w:iCs/>
                <w:sz w:val="22"/>
                <w:szCs w:val="22"/>
              </w:rPr>
              <w:t> </w:t>
            </w:r>
            <w:r w:rsidR="006E68A7" w:rsidRPr="00475296">
              <w:rPr>
                <w:iCs/>
                <w:sz w:val="22"/>
                <w:szCs w:val="22"/>
              </w:rPr>
              <w:t>mg</w:t>
            </w:r>
          </w:p>
        </w:tc>
        <w:tc>
          <w:tcPr>
            <w:tcW w:w="2581" w:type="dxa"/>
            <w:vAlign w:val="center"/>
          </w:tcPr>
          <w:p w14:paraId="044C0A60" w14:textId="56602B0F" w:rsidR="006E68A7" w:rsidRPr="0047462D" w:rsidRDefault="00883063" w:rsidP="006E68A7">
            <w:pPr>
              <w:pStyle w:val="labeltext"/>
              <w:keepNext/>
              <w:rPr>
                <w:iCs/>
                <w:sz w:val="22"/>
                <w:szCs w:val="22"/>
                <w:lang w:val="el-GR"/>
              </w:rPr>
            </w:pPr>
            <w:r>
              <w:rPr>
                <w:iCs/>
                <w:sz w:val="22"/>
                <w:szCs w:val="22"/>
                <w:lang w:val="el-GR"/>
              </w:rPr>
              <w:t>Ένα δισκίο</w:t>
            </w:r>
            <w:r w:rsidR="006E68A7" w:rsidRPr="00475296">
              <w:rPr>
                <w:iCs/>
                <w:sz w:val="22"/>
                <w:szCs w:val="22"/>
              </w:rPr>
              <w:t xml:space="preserve"> </w:t>
            </w:r>
            <w:r w:rsidR="006E68A7">
              <w:rPr>
                <w:iCs/>
                <w:sz w:val="22"/>
                <w:szCs w:val="22"/>
              </w:rPr>
              <w:t>ivacaftor</w:t>
            </w:r>
            <w:r w:rsidR="006E68A7" w:rsidRPr="00475296">
              <w:rPr>
                <w:iCs/>
                <w:sz w:val="22"/>
                <w:szCs w:val="22"/>
              </w:rPr>
              <w:t xml:space="preserve"> 75</w:t>
            </w:r>
            <w:r w:rsidR="006E68A7">
              <w:rPr>
                <w:iCs/>
                <w:sz w:val="22"/>
                <w:szCs w:val="22"/>
              </w:rPr>
              <w:t> </w:t>
            </w:r>
            <w:r w:rsidR="006E68A7" w:rsidRPr="00475296">
              <w:rPr>
                <w:iCs/>
                <w:sz w:val="22"/>
                <w:szCs w:val="22"/>
              </w:rPr>
              <w:t>mg</w:t>
            </w:r>
          </w:p>
        </w:tc>
      </w:tr>
      <w:tr w:rsidR="006E68A7" w:rsidRPr="0047462D" w14:paraId="5E927588" w14:textId="77777777" w:rsidTr="005670EF">
        <w:trPr>
          <w:cantSplit/>
          <w:trHeight w:val="306"/>
        </w:trPr>
        <w:tc>
          <w:tcPr>
            <w:tcW w:w="2127" w:type="dxa"/>
            <w:vAlign w:val="center"/>
          </w:tcPr>
          <w:p w14:paraId="7EEA9703" w14:textId="60052944" w:rsidR="006E68A7" w:rsidRPr="0047462D" w:rsidRDefault="006E68A7" w:rsidP="006E68A7">
            <w:pPr>
              <w:pStyle w:val="labeltext"/>
              <w:keepNext/>
              <w:rPr>
                <w:sz w:val="22"/>
                <w:szCs w:val="22"/>
              </w:rPr>
            </w:pPr>
            <w:r w:rsidRPr="00475296">
              <w:rPr>
                <w:sz w:val="22"/>
                <w:szCs w:val="22"/>
              </w:rPr>
              <w:t>6</w:t>
            </w:r>
            <w:r>
              <w:rPr>
                <w:sz w:val="22"/>
                <w:szCs w:val="22"/>
              </w:rPr>
              <w:t> </w:t>
            </w:r>
            <w:r>
              <w:rPr>
                <w:sz w:val="22"/>
                <w:szCs w:val="22"/>
                <w:lang w:val="el-GR"/>
              </w:rPr>
              <w:t>ετών έως</w:t>
            </w:r>
            <w:r w:rsidRPr="00475296">
              <w:rPr>
                <w:sz w:val="22"/>
                <w:szCs w:val="22"/>
              </w:rPr>
              <w:t xml:space="preserve"> &lt;</w:t>
            </w:r>
            <w:r>
              <w:rPr>
                <w:sz w:val="22"/>
                <w:szCs w:val="22"/>
                <w:lang w:val="el-GR"/>
              </w:rPr>
              <w:t> </w:t>
            </w:r>
            <w:r w:rsidRPr="00475296">
              <w:rPr>
                <w:sz w:val="22"/>
                <w:szCs w:val="22"/>
              </w:rPr>
              <w:t>12</w:t>
            </w:r>
            <w:r>
              <w:rPr>
                <w:sz w:val="22"/>
                <w:szCs w:val="22"/>
                <w:lang w:val="el-GR"/>
              </w:rPr>
              <w:t> ετών</w:t>
            </w:r>
            <w:r w:rsidRPr="00475296">
              <w:rPr>
                <w:sz w:val="22"/>
                <w:szCs w:val="22"/>
              </w:rPr>
              <w:t>, ≥</w:t>
            </w:r>
            <w:r>
              <w:rPr>
                <w:sz w:val="22"/>
                <w:szCs w:val="22"/>
                <w:lang w:val="el-GR"/>
              </w:rPr>
              <w:t> </w:t>
            </w:r>
            <w:r w:rsidRPr="00475296">
              <w:rPr>
                <w:sz w:val="22"/>
                <w:szCs w:val="22"/>
              </w:rPr>
              <w:t>30</w:t>
            </w:r>
            <w:r>
              <w:rPr>
                <w:sz w:val="22"/>
                <w:szCs w:val="22"/>
              </w:rPr>
              <w:t> </w:t>
            </w:r>
            <w:r w:rsidRPr="00475296">
              <w:rPr>
                <w:sz w:val="22"/>
                <w:szCs w:val="22"/>
              </w:rPr>
              <w:t>kg</w:t>
            </w:r>
          </w:p>
        </w:tc>
        <w:tc>
          <w:tcPr>
            <w:tcW w:w="4684" w:type="dxa"/>
            <w:vAlign w:val="center"/>
          </w:tcPr>
          <w:p w14:paraId="08B04574" w14:textId="047CDD20" w:rsidR="006E68A7" w:rsidRPr="00F93ECE" w:rsidRDefault="00883063" w:rsidP="006E68A7">
            <w:pPr>
              <w:pStyle w:val="labeltext"/>
              <w:keepNext/>
              <w:rPr>
                <w:iCs/>
                <w:sz w:val="22"/>
                <w:szCs w:val="22"/>
              </w:rPr>
            </w:pPr>
            <w:r>
              <w:rPr>
                <w:iCs/>
                <w:sz w:val="22"/>
                <w:szCs w:val="22"/>
                <w:lang w:val="el-GR"/>
              </w:rPr>
              <w:t>Ένα</w:t>
            </w:r>
            <w:r w:rsidRPr="00F93ECE">
              <w:rPr>
                <w:iCs/>
                <w:sz w:val="22"/>
                <w:szCs w:val="22"/>
              </w:rPr>
              <w:t xml:space="preserve"> </w:t>
            </w:r>
            <w:r>
              <w:rPr>
                <w:iCs/>
                <w:sz w:val="22"/>
                <w:szCs w:val="22"/>
                <w:lang w:val="el-GR"/>
              </w:rPr>
              <w:t>δισκίο</w:t>
            </w:r>
            <w:r w:rsidR="006E68A7" w:rsidRPr="00475296">
              <w:rPr>
                <w:iCs/>
                <w:sz w:val="22"/>
                <w:szCs w:val="22"/>
              </w:rPr>
              <w:t xml:space="preserve"> tezacaftor 100</w:t>
            </w:r>
            <w:r w:rsidR="006E68A7">
              <w:rPr>
                <w:iCs/>
                <w:sz w:val="22"/>
                <w:szCs w:val="22"/>
              </w:rPr>
              <w:t> </w:t>
            </w:r>
            <w:r w:rsidR="006E68A7" w:rsidRPr="00475296">
              <w:rPr>
                <w:iCs/>
                <w:sz w:val="22"/>
                <w:szCs w:val="22"/>
              </w:rPr>
              <w:t>mg/ivacaftor 150</w:t>
            </w:r>
            <w:r w:rsidR="006E68A7">
              <w:rPr>
                <w:iCs/>
                <w:sz w:val="22"/>
                <w:szCs w:val="22"/>
              </w:rPr>
              <w:t> </w:t>
            </w:r>
            <w:r w:rsidR="006E68A7" w:rsidRPr="00475296">
              <w:rPr>
                <w:iCs/>
                <w:sz w:val="22"/>
                <w:szCs w:val="22"/>
              </w:rPr>
              <w:t>mg</w:t>
            </w:r>
          </w:p>
        </w:tc>
        <w:tc>
          <w:tcPr>
            <w:tcW w:w="2581" w:type="dxa"/>
            <w:vAlign w:val="center"/>
          </w:tcPr>
          <w:p w14:paraId="6D653440" w14:textId="722598AD" w:rsidR="006E68A7" w:rsidRPr="0047462D" w:rsidRDefault="00883063" w:rsidP="006E68A7">
            <w:pPr>
              <w:pStyle w:val="labeltext"/>
              <w:keepNext/>
              <w:rPr>
                <w:iCs/>
                <w:sz w:val="22"/>
                <w:szCs w:val="22"/>
                <w:lang w:val="el-GR"/>
              </w:rPr>
            </w:pPr>
            <w:r>
              <w:rPr>
                <w:iCs/>
                <w:sz w:val="22"/>
                <w:szCs w:val="22"/>
                <w:lang w:val="el-GR"/>
              </w:rPr>
              <w:t>Ένα δισκίο</w:t>
            </w:r>
            <w:r w:rsidR="006E68A7" w:rsidRPr="00475296">
              <w:rPr>
                <w:iCs/>
                <w:sz w:val="22"/>
                <w:szCs w:val="22"/>
              </w:rPr>
              <w:t xml:space="preserve"> </w:t>
            </w:r>
            <w:r w:rsidR="006E68A7">
              <w:rPr>
                <w:iCs/>
                <w:sz w:val="22"/>
                <w:szCs w:val="22"/>
              </w:rPr>
              <w:t xml:space="preserve">ivacaftor </w:t>
            </w:r>
            <w:r w:rsidR="006E68A7" w:rsidRPr="00475296">
              <w:rPr>
                <w:iCs/>
                <w:sz w:val="22"/>
                <w:szCs w:val="22"/>
              </w:rPr>
              <w:t>150</w:t>
            </w:r>
            <w:r w:rsidR="006E68A7">
              <w:rPr>
                <w:iCs/>
                <w:sz w:val="22"/>
                <w:szCs w:val="22"/>
              </w:rPr>
              <w:t> </w:t>
            </w:r>
            <w:r w:rsidR="006E68A7" w:rsidRPr="00475296">
              <w:rPr>
                <w:iCs/>
                <w:sz w:val="22"/>
                <w:szCs w:val="22"/>
              </w:rPr>
              <w:t>mg</w:t>
            </w:r>
          </w:p>
        </w:tc>
      </w:tr>
      <w:tr w:rsidR="002F40D0" w:rsidRPr="0047462D" w14:paraId="4D95F4B9" w14:textId="77777777" w:rsidTr="005670EF">
        <w:trPr>
          <w:cantSplit/>
          <w:trHeight w:val="306"/>
        </w:trPr>
        <w:tc>
          <w:tcPr>
            <w:tcW w:w="2127" w:type="dxa"/>
            <w:vAlign w:val="center"/>
          </w:tcPr>
          <w:p w14:paraId="2C137366" w14:textId="0645D653" w:rsidR="002F40D0" w:rsidRPr="0047462D" w:rsidRDefault="002F40D0" w:rsidP="005670EF">
            <w:pPr>
              <w:pStyle w:val="labeltext"/>
              <w:keepNext/>
              <w:rPr>
                <w:iCs/>
                <w:sz w:val="22"/>
                <w:szCs w:val="22"/>
              </w:rPr>
            </w:pPr>
            <w:r w:rsidRPr="0047462D">
              <w:rPr>
                <w:sz w:val="22"/>
                <w:szCs w:val="22"/>
              </w:rPr>
              <w:t>12 </w:t>
            </w:r>
            <w:r w:rsidRPr="0047462D">
              <w:rPr>
                <w:sz w:val="22"/>
                <w:szCs w:val="22"/>
                <w:lang w:val="el-GR"/>
              </w:rPr>
              <w:t>ετών και άνω</w:t>
            </w:r>
          </w:p>
        </w:tc>
        <w:tc>
          <w:tcPr>
            <w:tcW w:w="4684" w:type="dxa"/>
            <w:vAlign w:val="center"/>
          </w:tcPr>
          <w:p w14:paraId="013EE720" w14:textId="4B6433C2" w:rsidR="002F40D0" w:rsidRPr="0047462D" w:rsidRDefault="002F40D0" w:rsidP="005670EF">
            <w:pPr>
              <w:pStyle w:val="labeltext"/>
              <w:keepNext/>
              <w:rPr>
                <w:iCs/>
                <w:sz w:val="22"/>
                <w:szCs w:val="22"/>
              </w:rPr>
            </w:pPr>
            <w:r w:rsidRPr="0047462D">
              <w:rPr>
                <w:iCs/>
                <w:sz w:val="22"/>
                <w:szCs w:val="22"/>
                <w:lang w:val="el-GR"/>
              </w:rPr>
              <w:t>Ένα</w:t>
            </w:r>
            <w:r w:rsidRPr="00F93ECE">
              <w:rPr>
                <w:iCs/>
                <w:sz w:val="22"/>
                <w:szCs w:val="22"/>
              </w:rPr>
              <w:t xml:space="preserve"> </w:t>
            </w:r>
            <w:r w:rsidRPr="0047462D">
              <w:rPr>
                <w:iCs/>
                <w:sz w:val="22"/>
                <w:szCs w:val="22"/>
                <w:lang w:val="el-GR"/>
              </w:rPr>
              <w:t>δισκίο</w:t>
            </w:r>
            <w:r w:rsidRPr="00F93ECE">
              <w:rPr>
                <w:iCs/>
                <w:sz w:val="22"/>
                <w:szCs w:val="22"/>
              </w:rPr>
              <w:t xml:space="preserve"> </w:t>
            </w:r>
            <w:r w:rsidRPr="0047462D">
              <w:rPr>
                <w:iCs/>
                <w:sz w:val="22"/>
                <w:szCs w:val="22"/>
              </w:rPr>
              <w:t>tezacaftor 100 mg/ivacaftor 150 mg</w:t>
            </w:r>
          </w:p>
        </w:tc>
        <w:tc>
          <w:tcPr>
            <w:tcW w:w="2581" w:type="dxa"/>
            <w:vAlign w:val="center"/>
          </w:tcPr>
          <w:p w14:paraId="65356CA5" w14:textId="0C48542B" w:rsidR="002F40D0" w:rsidRPr="0047462D" w:rsidRDefault="002F40D0" w:rsidP="005670EF">
            <w:pPr>
              <w:pStyle w:val="labeltext"/>
              <w:keepNext/>
              <w:rPr>
                <w:iCs/>
                <w:sz w:val="22"/>
                <w:szCs w:val="22"/>
              </w:rPr>
            </w:pPr>
            <w:r w:rsidRPr="0047462D">
              <w:rPr>
                <w:iCs/>
                <w:sz w:val="22"/>
                <w:szCs w:val="22"/>
                <w:lang w:val="el-GR"/>
              </w:rPr>
              <w:t>Ένα δισκίο</w:t>
            </w:r>
            <w:r w:rsidRPr="0047462D">
              <w:rPr>
                <w:iCs/>
                <w:sz w:val="22"/>
                <w:szCs w:val="22"/>
              </w:rPr>
              <w:t xml:space="preserve"> ivacaftor 150 mg</w:t>
            </w:r>
          </w:p>
        </w:tc>
      </w:tr>
      <w:tr w:rsidR="002F40D0" w:rsidRPr="0047462D" w14:paraId="28651138" w14:textId="77777777" w:rsidTr="005670EF">
        <w:trPr>
          <w:cantSplit/>
          <w:trHeight w:val="306"/>
        </w:trPr>
        <w:tc>
          <w:tcPr>
            <w:tcW w:w="9392" w:type="dxa"/>
            <w:gridSpan w:val="3"/>
            <w:vAlign w:val="center"/>
          </w:tcPr>
          <w:p w14:paraId="0CDA290A" w14:textId="67ACD73E" w:rsidR="002F40D0" w:rsidRPr="00F93ECE" w:rsidRDefault="002F40D0" w:rsidP="005670EF">
            <w:pPr>
              <w:pStyle w:val="labeltext"/>
              <w:keepNext/>
              <w:rPr>
                <w:b/>
                <w:bCs/>
                <w:iCs/>
                <w:sz w:val="22"/>
                <w:szCs w:val="22"/>
                <w:lang w:val="el-GR"/>
              </w:rPr>
            </w:pPr>
            <w:r w:rsidRPr="0047462D">
              <w:rPr>
                <w:b/>
                <w:bCs/>
                <w:sz w:val="22"/>
                <w:szCs w:val="22"/>
              </w:rPr>
              <w:t>Ivacaftor</w:t>
            </w:r>
            <w:r w:rsidRPr="00F93ECE">
              <w:rPr>
                <w:b/>
                <w:bCs/>
                <w:sz w:val="22"/>
                <w:szCs w:val="22"/>
                <w:lang w:val="el-GR"/>
              </w:rPr>
              <w:t xml:space="preserve"> </w:t>
            </w:r>
            <w:r w:rsidRPr="0047462D">
              <w:rPr>
                <w:b/>
                <w:bCs/>
                <w:sz w:val="22"/>
                <w:szCs w:val="22"/>
                <w:lang w:val="el-GR"/>
              </w:rPr>
              <w:t xml:space="preserve">σε συνδυασμό με </w:t>
            </w:r>
            <w:r w:rsidRPr="0047462D">
              <w:rPr>
                <w:b/>
                <w:bCs/>
                <w:sz w:val="22"/>
                <w:szCs w:val="22"/>
              </w:rPr>
              <w:t>ivacaftor</w:t>
            </w:r>
            <w:r w:rsidRPr="00F93ECE">
              <w:rPr>
                <w:b/>
                <w:bCs/>
                <w:sz w:val="22"/>
                <w:szCs w:val="22"/>
                <w:lang w:val="el-GR"/>
              </w:rPr>
              <w:t>/</w:t>
            </w:r>
            <w:r w:rsidRPr="0047462D">
              <w:rPr>
                <w:b/>
                <w:bCs/>
                <w:sz w:val="22"/>
                <w:szCs w:val="22"/>
              </w:rPr>
              <w:t>tezacaftor</w:t>
            </w:r>
            <w:r w:rsidRPr="00F93ECE">
              <w:rPr>
                <w:b/>
                <w:bCs/>
                <w:sz w:val="22"/>
                <w:szCs w:val="22"/>
                <w:lang w:val="el-GR"/>
              </w:rPr>
              <w:t>/</w:t>
            </w:r>
            <w:r w:rsidRPr="0047462D">
              <w:rPr>
                <w:b/>
                <w:bCs/>
                <w:sz w:val="22"/>
                <w:szCs w:val="22"/>
              </w:rPr>
              <w:t>elexacaftor</w:t>
            </w:r>
          </w:p>
        </w:tc>
      </w:tr>
      <w:tr w:rsidR="002F40D0" w:rsidRPr="0047462D" w14:paraId="1742DB9D" w14:textId="77777777" w:rsidTr="005670EF">
        <w:trPr>
          <w:cantSplit/>
          <w:trHeight w:val="306"/>
        </w:trPr>
        <w:tc>
          <w:tcPr>
            <w:tcW w:w="2127" w:type="dxa"/>
            <w:vAlign w:val="center"/>
          </w:tcPr>
          <w:p w14:paraId="485247BE" w14:textId="0D1A7A2A" w:rsidR="002F40D0" w:rsidRPr="0047462D" w:rsidRDefault="002F40D0" w:rsidP="005670EF">
            <w:pPr>
              <w:pStyle w:val="labeltext"/>
              <w:rPr>
                <w:sz w:val="22"/>
                <w:szCs w:val="22"/>
              </w:rPr>
            </w:pPr>
            <w:r w:rsidRPr="0047462D">
              <w:rPr>
                <w:sz w:val="22"/>
                <w:szCs w:val="22"/>
              </w:rPr>
              <w:t>12 </w:t>
            </w:r>
            <w:r w:rsidRPr="0047462D">
              <w:rPr>
                <w:sz w:val="22"/>
                <w:szCs w:val="22"/>
                <w:lang w:val="el-GR"/>
              </w:rPr>
              <w:t>ετών και άνω</w:t>
            </w:r>
          </w:p>
        </w:tc>
        <w:tc>
          <w:tcPr>
            <w:tcW w:w="4684" w:type="dxa"/>
            <w:vAlign w:val="center"/>
          </w:tcPr>
          <w:p w14:paraId="179718EC" w14:textId="322E06C0" w:rsidR="002F40D0" w:rsidRPr="0047462D" w:rsidRDefault="002F40D0" w:rsidP="005670EF">
            <w:pPr>
              <w:pStyle w:val="labeltext"/>
              <w:rPr>
                <w:iCs/>
                <w:sz w:val="22"/>
                <w:szCs w:val="22"/>
              </w:rPr>
            </w:pPr>
            <w:r w:rsidRPr="0047462D">
              <w:rPr>
                <w:iCs/>
                <w:sz w:val="22"/>
                <w:szCs w:val="22"/>
                <w:lang w:val="el-GR"/>
              </w:rPr>
              <w:t>Δύο</w:t>
            </w:r>
            <w:r w:rsidRPr="00F93ECE">
              <w:rPr>
                <w:iCs/>
                <w:sz w:val="22"/>
                <w:szCs w:val="22"/>
              </w:rPr>
              <w:t xml:space="preserve"> </w:t>
            </w:r>
            <w:r w:rsidRPr="0047462D">
              <w:rPr>
                <w:iCs/>
                <w:sz w:val="22"/>
                <w:szCs w:val="22"/>
                <w:lang w:val="el-GR"/>
              </w:rPr>
              <w:t>δισκία</w:t>
            </w:r>
            <w:r w:rsidRPr="0047462D">
              <w:rPr>
                <w:iCs/>
                <w:sz w:val="22"/>
                <w:szCs w:val="22"/>
              </w:rPr>
              <w:t xml:space="preserve"> ivacaftor 75 mg/tezacaftor 50 mg/elexacaftor 100 mg</w:t>
            </w:r>
          </w:p>
        </w:tc>
        <w:tc>
          <w:tcPr>
            <w:tcW w:w="2581" w:type="dxa"/>
            <w:vAlign w:val="center"/>
          </w:tcPr>
          <w:p w14:paraId="1AA3C17F" w14:textId="2F6AEF70" w:rsidR="002F40D0" w:rsidRPr="0047462D" w:rsidRDefault="002F40D0" w:rsidP="005670EF">
            <w:pPr>
              <w:pStyle w:val="labeltext"/>
              <w:rPr>
                <w:iCs/>
                <w:sz w:val="22"/>
                <w:szCs w:val="22"/>
              </w:rPr>
            </w:pPr>
            <w:r w:rsidRPr="0047462D">
              <w:rPr>
                <w:iCs/>
                <w:sz w:val="22"/>
                <w:szCs w:val="22"/>
                <w:lang w:val="el-GR"/>
              </w:rPr>
              <w:t>Ένα δισκίο</w:t>
            </w:r>
            <w:r w:rsidRPr="0047462D">
              <w:rPr>
                <w:iCs/>
                <w:sz w:val="22"/>
                <w:szCs w:val="22"/>
              </w:rPr>
              <w:t xml:space="preserve"> ivacaftor 150 mg</w:t>
            </w:r>
          </w:p>
        </w:tc>
      </w:tr>
    </w:tbl>
    <w:p w14:paraId="7AEFCB88" w14:textId="77777777" w:rsidR="002F40D0" w:rsidRPr="0047462D" w:rsidRDefault="002F40D0" w:rsidP="002F40D0">
      <w:pPr>
        <w:pStyle w:val="labeltext"/>
        <w:rPr>
          <w:iCs/>
          <w:sz w:val="22"/>
          <w:szCs w:val="22"/>
        </w:rPr>
      </w:pPr>
    </w:p>
    <w:p w14:paraId="5C6014C5" w14:textId="51B0304E" w:rsidR="002F40D0" w:rsidRPr="00F93ECE" w:rsidRDefault="00EF7E2E" w:rsidP="002F40D0">
      <w:pPr>
        <w:pStyle w:val="labeltext"/>
        <w:rPr>
          <w:iCs/>
          <w:sz w:val="22"/>
          <w:szCs w:val="22"/>
          <w:lang w:val="el-GR"/>
        </w:rPr>
      </w:pPr>
      <w:r w:rsidRPr="0047462D">
        <w:rPr>
          <w:iCs/>
          <w:sz w:val="22"/>
          <w:szCs w:val="22"/>
          <w:lang w:val="el-GR"/>
        </w:rPr>
        <w:t xml:space="preserve">Η πρωινή και η βραδινή δόση θα πρέπει να λαμβάνονται με χρονική απόσταση περίπου 12 ωρών μεταξύ τους, </w:t>
      </w:r>
      <w:r w:rsidRPr="00F93ECE">
        <w:rPr>
          <w:iCs/>
          <w:sz w:val="22"/>
          <w:szCs w:val="22"/>
          <w:lang w:val="el-GR"/>
        </w:rPr>
        <w:t xml:space="preserve">μαζί με τροφή που περιέχει λίπος </w:t>
      </w:r>
      <w:r w:rsidR="002F40D0" w:rsidRPr="00F93ECE">
        <w:rPr>
          <w:iCs/>
          <w:sz w:val="22"/>
          <w:szCs w:val="22"/>
          <w:lang w:val="el-GR"/>
        </w:rPr>
        <w:t>(</w:t>
      </w:r>
      <w:r w:rsidRPr="0047462D">
        <w:rPr>
          <w:iCs/>
          <w:sz w:val="22"/>
          <w:szCs w:val="22"/>
          <w:lang w:val="el-GR"/>
        </w:rPr>
        <w:t xml:space="preserve">βλ. </w:t>
      </w:r>
      <w:r w:rsidR="00FF4CC7" w:rsidRPr="0047462D">
        <w:rPr>
          <w:iCs/>
          <w:sz w:val="22"/>
          <w:szCs w:val="22"/>
          <w:lang w:val="el-GR"/>
        </w:rPr>
        <w:t>«</w:t>
      </w:r>
      <w:r w:rsidRPr="0047462D">
        <w:rPr>
          <w:iCs/>
          <w:sz w:val="22"/>
          <w:szCs w:val="22"/>
          <w:lang w:val="el-GR"/>
        </w:rPr>
        <w:t>Τρόπος χορήγησης</w:t>
      </w:r>
      <w:r w:rsidR="00FF4CC7" w:rsidRPr="0047462D">
        <w:rPr>
          <w:iCs/>
          <w:sz w:val="22"/>
          <w:szCs w:val="22"/>
          <w:lang w:val="el-GR"/>
        </w:rPr>
        <w:t>»</w:t>
      </w:r>
      <w:r w:rsidR="002F40D0" w:rsidRPr="00F93ECE">
        <w:rPr>
          <w:iCs/>
          <w:sz w:val="22"/>
          <w:szCs w:val="22"/>
          <w:lang w:val="el-GR"/>
        </w:rPr>
        <w:t>).</w:t>
      </w:r>
    </w:p>
    <w:p w14:paraId="777282E1" w14:textId="77777777" w:rsidR="00770C73" w:rsidRPr="0047462D" w:rsidRDefault="00770C73" w:rsidP="009A2EEC">
      <w:pPr>
        <w:pStyle w:val="labeltext"/>
        <w:rPr>
          <w:iCs/>
          <w:szCs w:val="22"/>
          <w:lang w:val="el-GR"/>
        </w:rPr>
      </w:pPr>
    </w:p>
    <w:p w14:paraId="7F13E367" w14:textId="7135A5EA" w:rsidR="00A67D3A" w:rsidRPr="0047462D" w:rsidRDefault="00A67D3A">
      <w:pPr>
        <w:pStyle w:val="labeltext"/>
        <w:keepNext/>
        <w:rPr>
          <w:rFonts w:eastAsia="Times New Roman"/>
          <w:i/>
          <w:sz w:val="22"/>
          <w:szCs w:val="22"/>
          <w:lang w:val="el-GR"/>
        </w:rPr>
      </w:pPr>
      <w:r w:rsidRPr="0047462D">
        <w:rPr>
          <w:rFonts w:eastAsia="Times New Roman"/>
          <w:i/>
          <w:sz w:val="22"/>
          <w:szCs w:val="22"/>
          <w:lang w:val="el-GR"/>
        </w:rPr>
        <w:t>Παράλειψη δόσης</w:t>
      </w:r>
    </w:p>
    <w:p w14:paraId="322B00F0" w14:textId="77777777" w:rsidR="00606C82" w:rsidRPr="0047462D" w:rsidRDefault="00606C82">
      <w:pPr>
        <w:pStyle w:val="labeltext"/>
        <w:keepNext/>
        <w:rPr>
          <w:rFonts w:eastAsia="Times New Roman"/>
          <w:i/>
          <w:sz w:val="22"/>
          <w:szCs w:val="22"/>
          <w:lang w:val="el-GR"/>
        </w:rPr>
      </w:pPr>
    </w:p>
    <w:p w14:paraId="3907D563" w14:textId="00797854" w:rsidR="00A67D3A" w:rsidRPr="0047462D" w:rsidRDefault="00A67D3A" w:rsidP="007307BE">
      <w:pPr>
        <w:pStyle w:val="labeltext"/>
        <w:rPr>
          <w:rFonts w:eastAsia="Times New Roman"/>
          <w:sz w:val="22"/>
          <w:szCs w:val="22"/>
          <w:lang w:val="el-GR"/>
        </w:rPr>
      </w:pPr>
      <w:r w:rsidRPr="0047462D">
        <w:rPr>
          <w:rFonts w:eastAsia="Times New Roman"/>
          <w:sz w:val="22"/>
          <w:szCs w:val="22"/>
          <w:lang w:val="el-GR"/>
        </w:rPr>
        <w:t xml:space="preserve">Εάν </w:t>
      </w:r>
      <w:r w:rsidR="00BD6B05" w:rsidRPr="0047462D">
        <w:rPr>
          <w:rFonts w:eastAsia="Times New Roman"/>
          <w:sz w:val="22"/>
          <w:szCs w:val="22"/>
          <w:lang w:val="el-GR"/>
        </w:rPr>
        <w:t xml:space="preserve">έχουν περάσει </w:t>
      </w:r>
      <w:r w:rsidRPr="0047462D">
        <w:rPr>
          <w:rFonts w:eastAsia="Times New Roman"/>
          <w:sz w:val="22"/>
          <w:szCs w:val="22"/>
          <w:lang w:val="el-GR"/>
        </w:rPr>
        <w:t>6</w:t>
      </w:r>
      <w:r w:rsidRPr="0047462D">
        <w:rPr>
          <w:rFonts w:eastAsia="Times New Roman"/>
          <w:sz w:val="22"/>
          <w:szCs w:val="22"/>
          <w:lang w:val="en-GB"/>
        </w:rPr>
        <w:t> </w:t>
      </w:r>
      <w:r w:rsidR="00BB101E" w:rsidRPr="0047462D">
        <w:rPr>
          <w:rFonts w:eastAsia="Times New Roman"/>
          <w:sz w:val="22"/>
          <w:szCs w:val="22"/>
          <w:lang w:val="el-GR"/>
        </w:rPr>
        <w:t xml:space="preserve">ή λιγότερες </w:t>
      </w:r>
      <w:r w:rsidR="00BD6B05" w:rsidRPr="0047462D">
        <w:rPr>
          <w:rFonts w:eastAsia="Times New Roman"/>
          <w:sz w:val="22"/>
          <w:szCs w:val="22"/>
          <w:lang w:val="el-GR"/>
        </w:rPr>
        <w:t>ώρες</w:t>
      </w:r>
      <w:r w:rsidRPr="0047462D">
        <w:rPr>
          <w:rFonts w:eastAsia="Times New Roman"/>
          <w:sz w:val="22"/>
          <w:szCs w:val="22"/>
          <w:lang w:val="el-GR"/>
        </w:rPr>
        <w:t xml:space="preserve"> </w:t>
      </w:r>
      <w:r w:rsidR="00BD6B05" w:rsidRPr="0047462D">
        <w:rPr>
          <w:rFonts w:eastAsia="Times New Roman"/>
          <w:sz w:val="22"/>
          <w:szCs w:val="22"/>
          <w:lang w:val="el-GR"/>
        </w:rPr>
        <w:t>από τη στιγμή που θα λαμβανόταν η πρωινή ή η βραδινή δόση που παραλείφθηκε</w:t>
      </w:r>
      <w:r w:rsidRPr="0047462D">
        <w:rPr>
          <w:rFonts w:eastAsia="Times New Roman"/>
          <w:sz w:val="22"/>
          <w:szCs w:val="22"/>
          <w:lang w:val="el-GR"/>
        </w:rPr>
        <w:t xml:space="preserve">, </w:t>
      </w:r>
      <w:r w:rsidR="00883063">
        <w:rPr>
          <w:rFonts w:eastAsia="Times New Roman"/>
          <w:sz w:val="22"/>
          <w:szCs w:val="22"/>
          <w:lang w:val="el-GR"/>
        </w:rPr>
        <w:t xml:space="preserve">θα πρέπει να δοθούν οδηγίες στον </w:t>
      </w:r>
      <w:r w:rsidRPr="0047462D">
        <w:rPr>
          <w:rFonts w:eastAsia="Times New Roman"/>
          <w:sz w:val="22"/>
          <w:szCs w:val="22"/>
          <w:lang w:val="el-GR"/>
        </w:rPr>
        <w:t xml:space="preserve">ασθενή να τη λάβει το συντομότερο δυνατόν και </w:t>
      </w:r>
      <w:r w:rsidR="00883063">
        <w:rPr>
          <w:rFonts w:eastAsia="Times New Roman"/>
          <w:sz w:val="22"/>
          <w:szCs w:val="22"/>
          <w:lang w:val="el-GR"/>
        </w:rPr>
        <w:t xml:space="preserve">κατόπιν να πάρει την επόμενη δόση τη συνήθη προγραμματισμένη ώρα. </w:t>
      </w:r>
      <w:r w:rsidRPr="0047462D">
        <w:rPr>
          <w:rFonts w:eastAsia="Times New Roman"/>
          <w:sz w:val="22"/>
          <w:szCs w:val="22"/>
          <w:lang w:val="el-GR"/>
        </w:rPr>
        <w:t>Εάν έχουν περάσει περισσότερες από 6</w:t>
      </w:r>
      <w:r w:rsidRPr="0047462D">
        <w:rPr>
          <w:rFonts w:eastAsia="Times New Roman"/>
          <w:sz w:val="22"/>
          <w:szCs w:val="22"/>
          <w:lang w:val="en-GB"/>
        </w:rPr>
        <w:t> </w:t>
      </w:r>
      <w:r w:rsidRPr="0047462D">
        <w:rPr>
          <w:rFonts w:eastAsia="Times New Roman"/>
          <w:sz w:val="22"/>
          <w:szCs w:val="22"/>
          <w:lang w:val="el-GR"/>
        </w:rPr>
        <w:t xml:space="preserve">ώρες από τη στιγμή που συνήθως λαμβάνεται η δόση, θα πρέπει να δοθούν οδηγίες στον ασθενή να περιμένει μέχρι την επόμενη προγραμματισμένη δόση. </w:t>
      </w:r>
    </w:p>
    <w:p w14:paraId="7C921140" w14:textId="77777777" w:rsidR="008E7AAA" w:rsidRPr="0047462D" w:rsidRDefault="008E7AAA" w:rsidP="007307BE">
      <w:pPr>
        <w:pStyle w:val="labeltext"/>
        <w:rPr>
          <w:rFonts w:eastAsia="Times New Roman"/>
          <w:sz w:val="22"/>
          <w:szCs w:val="22"/>
          <w:lang w:val="el-GR"/>
        </w:rPr>
      </w:pPr>
    </w:p>
    <w:p w14:paraId="0AACBFBC" w14:textId="3F7C8B26" w:rsidR="00770C73" w:rsidRPr="0047462D" w:rsidRDefault="00296AC7" w:rsidP="00770C73">
      <w:pPr>
        <w:pStyle w:val="labeltext"/>
        <w:rPr>
          <w:sz w:val="22"/>
          <w:szCs w:val="22"/>
          <w:lang w:val="el-GR"/>
        </w:rPr>
      </w:pPr>
      <w:r>
        <w:rPr>
          <w:sz w:val="22"/>
          <w:szCs w:val="22"/>
          <w:lang w:val="el-GR"/>
        </w:rPr>
        <w:t>Σε</w:t>
      </w:r>
      <w:r w:rsidR="00770C73" w:rsidRPr="0047462D">
        <w:rPr>
          <w:sz w:val="22"/>
          <w:szCs w:val="22"/>
          <w:lang w:val="el-GR"/>
        </w:rPr>
        <w:t xml:space="preserve"> ασθενείς που λαμβάνουν </w:t>
      </w:r>
      <w:r w:rsidR="006042BD">
        <w:rPr>
          <w:sz w:val="22"/>
          <w:szCs w:val="22"/>
        </w:rPr>
        <w:t>Kalydeco</w:t>
      </w:r>
      <w:r w:rsidR="006042BD" w:rsidRPr="00F93ECE">
        <w:rPr>
          <w:sz w:val="22"/>
          <w:szCs w:val="22"/>
          <w:lang w:val="el-GR"/>
        </w:rPr>
        <w:t xml:space="preserve"> </w:t>
      </w:r>
      <w:r w:rsidR="00770C73" w:rsidRPr="0047462D">
        <w:rPr>
          <w:sz w:val="22"/>
          <w:szCs w:val="22"/>
          <w:lang w:val="el-GR"/>
        </w:rPr>
        <w:t>σε συνδυ</w:t>
      </w:r>
      <w:r w:rsidR="00BD6B05" w:rsidRPr="0047462D">
        <w:rPr>
          <w:sz w:val="22"/>
          <w:szCs w:val="22"/>
          <w:lang w:val="el-GR"/>
        </w:rPr>
        <w:t xml:space="preserve">αστικό σχήμα </w:t>
      </w:r>
      <w:r w:rsidR="00770C73" w:rsidRPr="0047462D">
        <w:rPr>
          <w:sz w:val="22"/>
          <w:szCs w:val="22"/>
          <w:lang w:val="el-GR"/>
        </w:rPr>
        <w:t xml:space="preserve">θα πρέπει </w:t>
      </w:r>
      <w:r>
        <w:rPr>
          <w:sz w:val="22"/>
          <w:szCs w:val="22"/>
          <w:lang w:val="el-GR"/>
        </w:rPr>
        <w:t xml:space="preserve">να δοθούν οδηγίες </w:t>
      </w:r>
      <w:r w:rsidR="00770C73" w:rsidRPr="0047462D">
        <w:rPr>
          <w:sz w:val="22"/>
          <w:szCs w:val="22"/>
          <w:lang w:val="el-GR"/>
        </w:rPr>
        <w:t xml:space="preserve">να </w:t>
      </w:r>
      <w:r>
        <w:rPr>
          <w:sz w:val="22"/>
          <w:szCs w:val="22"/>
          <w:lang w:val="el-GR"/>
        </w:rPr>
        <w:t xml:space="preserve">μη </w:t>
      </w:r>
      <w:r w:rsidR="00770C73" w:rsidRPr="0047462D">
        <w:rPr>
          <w:sz w:val="22"/>
          <w:szCs w:val="22"/>
          <w:lang w:val="el-GR"/>
        </w:rPr>
        <w:t xml:space="preserve">λαμβάνουν ταυτόχρονα περισσότερες από μία δόσεις οποιουδήποτε από τα δύο </w:t>
      </w:r>
      <w:r w:rsidR="00BD6B05" w:rsidRPr="0047462D">
        <w:rPr>
          <w:sz w:val="22"/>
          <w:szCs w:val="22"/>
          <w:lang w:val="el-GR"/>
        </w:rPr>
        <w:t>φάρμακα</w:t>
      </w:r>
      <w:r w:rsidR="00770C73" w:rsidRPr="0047462D">
        <w:rPr>
          <w:sz w:val="22"/>
          <w:szCs w:val="22"/>
          <w:lang w:val="el-GR"/>
        </w:rPr>
        <w:t>.</w:t>
      </w:r>
    </w:p>
    <w:p w14:paraId="20444FF6" w14:textId="77777777" w:rsidR="00770C73" w:rsidRPr="0047462D" w:rsidRDefault="00770C73" w:rsidP="007307BE">
      <w:pPr>
        <w:pStyle w:val="labeltext"/>
        <w:rPr>
          <w:rFonts w:eastAsia="Times New Roman"/>
          <w:sz w:val="22"/>
          <w:szCs w:val="22"/>
          <w:lang w:val="el-GR"/>
        </w:rPr>
      </w:pPr>
    </w:p>
    <w:p w14:paraId="77BC60D6" w14:textId="77777777" w:rsidR="008E7AAA" w:rsidRPr="0047462D" w:rsidRDefault="008E7AAA" w:rsidP="008E7AAA">
      <w:pPr>
        <w:keepNext/>
        <w:rPr>
          <w:rFonts w:eastAsia="Times New Roman"/>
          <w:i/>
          <w:szCs w:val="22"/>
        </w:rPr>
      </w:pPr>
      <w:r w:rsidRPr="0047462D">
        <w:rPr>
          <w:rFonts w:eastAsia="Times New Roman"/>
          <w:i/>
          <w:szCs w:val="22"/>
        </w:rPr>
        <w:lastRenderedPageBreak/>
        <w:t xml:space="preserve">Ταυτόχρονη χρήση αναστολέων του </w:t>
      </w:r>
      <w:r w:rsidRPr="0047462D">
        <w:rPr>
          <w:i/>
          <w:szCs w:val="22"/>
        </w:rPr>
        <w:t>CYP3A</w:t>
      </w:r>
      <w:r w:rsidRPr="0047462D">
        <w:rPr>
          <w:rFonts w:eastAsia="Times New Roman"/>
          <w:i/>
          <w:szCs w:val="22"/>
        </w:rPr>
        <w:t xml:space="preserve"> </w:t>
      </w:r>
    </w:p>
    <w:p w14:paraId="61565D3A" w14:textId="77777777" w:rsidR="00CE7E67" w:rsidRPr="0047462D" w:rsidRDefault="00CE7E67" w:rsidP="006A0651">
      <w:pPr>
        <w:keepNext/>
        <w:rPr>
          <w:rFonts w:eastAsia="Times New Roman"/>
          <w:i/>
          <w:szCs w:val="22"/>
        </w:rPr>
      </w:pPr>
    </w:p>
    <w:p w14:paraId="632CD8F8" w14:textId="622D1C0C" w:rsidR="008E7AAA" w:rsidRPr="0047462D" w:rsidRDefault="008E7AAA" w:rsidP="008E7AAA">
      <w:pPr>
        <w:rPr>
          <w:rFonts w:eastAsia="Times New Roman"/>
          <w:szCs w:val="22"/>
          <w:u w:val="single"/>
        </w:rPr>
      </w:pPr>
      <w:r w:rsidRPr="0047462D">
        <w:rPr>
          <w:bCs/>
          <w:szCs w:val="22"/>
        </w:rPr>
        <w:t xml:space="preserve">Όταν συγχορηγείται με </w:t>
      </w:r>
      <w:r w:rsidR="00646A3B" w:rsidRPr="0047462D">
        <w:rPr>
          <w:bCs/>
          <w:szCs w:val="22"/>
        </w:rPr>
        <w:t xml:space="preserve">μέτριους </w:t>
      </w:r>
      <w:r w:rsidR="00BD6B05" w:rsidRPr="0047462D">
        <w:rPr>
          <w:bCs/>
          <w:szCs w:val="22"/>
        </w:rPr>
        <w:t xml:space="preserve">ή </w:t>
      </w:r>
      <w:r w:rsidRPr="0047462D">
        <w:rPr>
          <w:bCs/>
          <w:szCs w:val="22"/>
        </w:rPr>
        <w:t xml:space="preserve">ισχυρούς αναστολείς του CYP3A, </w:t>
      </w:r>
      <w:r w:rsidR="00BD6B05" w:rsidRPr="0047462D">
        <w:rPr>
          <w:bCs/>
          <w:szCs w:val="22"/>
        </w:rPr>
        <w:t xml:space="preserve">είτε </w:t>
      </w:r>
      <w:r w:rsidR="00BD6B05" w:rsidRPr="0047462D">
        <w:t xml:space="preserve">ως μονοθεραπεία είτε σε συνδυαστικό σχήμα </w:t>
      </w:r>
      <w:r w:rsidR="004C5B69" w:rsidRPr="0047462D">
        <w:t xml:space="preserve">με </w:t>
      </w:r>
      <w:r w:rsidR="00BD6B05" w:rsidRPr="0047462D">
        <w:rPr>
          <w:bCs/>
          <w:szCs w:val="22"/>
        </w:rPr>
        <w:t xml:space="preserve">tezacaftor/ivacaftor ή ivacaftor/tezacaftor/elexacaftor, </w:t>
      </w:r>
      <w:r w:rsidR="00457516" w:rsidRPr="0047462D">
        <w:rPr>
          <w:rStyle w:val="hps"/>
        </w:rPr>
        <w:t>η δόση πρέπει να μειώνεται</w:t>
      </w:r>
      <w:r w:rsidR="00BD6B05" w:rsidRPr="0047462D">
        <w:rPr>
          <w:bCs/>
          <w:szCs w:val="22"/>
        </w:rPr>
        <w:t xml:space="preserve"> (</w:t>
      </w:r>
      <w:r w:rsidR="00457516" w:rsidRPr="0047462D">
        <w:rPr>
          <w:bCs/>
          <w:szCs w:val="22"/>
        </w:rPr>
        <w:t>βλ. Πίνακα </w:t>
      </w:r>
      <w:r w:rsidR="00BD6B05" w:rsidRPr="0047462D">
        <w:rPr>
          <w:bCs/>
          <w:szCs w:val="22"/>
        </w:rPr>
        <w:t xml:space="preserve">2 </w:t>
      </w:r>
      <w:r w:rsidR="00457516" w:rsidRPr="0047462D">
        <w:rPr>
          <w:bCs/>
          <w:szCs w:val="22"/>
        </w:rPr>
        <w:t>για τη συνιστώμενη δόση</w:t>
      </w:r>
      <w:r w:rsidR="00BD6B05" w:rsidRPr="0047462D">
        <w:rPr>
          <w:bCs/>
          <w:szCs w:val="22"/>
        </w:rPr>
        <w:t xml:space="preserve">). </w:t>
      </w:r>
      <w:r w:rsidR="00457516" w:rsidRPr="0047462D">
        <w:t>Τα διαστήματα μεταξύ των δόσεων θα πρέπει να τροποποιούνται ανάλογα με την κλινική απόκριση και την ανεκτικότητα</w:t>
      </w:r>
      <w:r w:rsidR="00457516" w:rsidRPr="0047462D">
        <w:rPr>
          <w:bCs/>
          <w:szCs w:val="22"/>
        </w:rPr>
        <w:t xml:space="preserve"> </w:t>
      </w:r>
      <w:r w:rsidRPr="0047462D">
        <w:rPr>
          <w:bCs/>
          <w:szCs w:val="22"/>
        </w:rPr>
        <w:t>(βλ. παραγράφους 4.4 και 4.5).</w:t>
      </w:r>
    </w:p>
    <w:p w14:paraId="4A8C7B7C" w14:textId="77777777" w:rsidR="008E7AAA" w:rsidRPr="007D5E5D" w:rsidRDefault="008E7AAA" w:rsidP="008E7AAA">
      <w:pPr>
        <w:rPr>
          <w:rFonts w:eastAsia="Times New Roman"/>
          <w:szCs w:val="22"/>
          <w:u w:val="single"/>
        </w:rPr>
      </w:pPr>
    </w:p>
    <w:p w14:paraId="24AAF586" w14:textId="5573A30C" w:rsidR="00E23A9D" w:rsidRPr="00C749BA" w:rsidRDefault="00E23A9D" w:rsidP="00EB5A36">
      <w:pPr>
        <w:keepNext/>
        <w:autoSpaceDE w:val="0"/>
        <w:autoSpaceDN w:val="0"/>
        <w:adjustRightInd w:val="0"/>
        <w:ind w:left="1134" w:hanging="1134"/>
        <w:rPr>
          <w:rFonts w:eastAsia="TimesNewRoman"/>
          <w:szCs w:val="22"/>
        </w:rPr>
      </w:pPr>
      <w:r w:rsidRPr="00C749BA">
        <w:rPr>
          <w:b/>
          <w:szCs w:val="22"/>
        </w:rPr>
        <w:t>Πίνακας </w:t>
      </w:r>
      <w:r w:rsidR="00457516" w:rsidRPr="00C749BA">
        <w:rPr>
          <w:b/>
          <w:szCs w:val="22"/>
        </w:rPr>
        <w:t>2</w:t>
      </w:r>
      <w:r w:rsidRPr="00C749BA">
        <w:rPr>
          <w:b/>
          <w:szCs w:val="22"/>
        </w:rPr>
        <w:t xml:space="preserve">: </w:t>
      </w:r>
      <w:r w:rsidRPr="007D5E5D">
        <w:rPr>
          <w:b/>
          <w:bCs/>
          <w:szCs w:val="22"/>
        </w:rPr>
        <w:t xml:space="preserve">Συστάσεις </w:t>
      </w:r>
      <w:r w:rsidR="00494AAD" w:rsidRPr="007D5E5D">
        <w:rPr>
          <w:b/>
          <w:bCs/>
          <w:szCs w:val="22"/>
        </w:rPr>
        <w:t xml:space="preserve">δοσολογίας </w:t>
      </w:r>
      <w:r w:rsidRPr="00C749BA">
        <w:rPr>
          <w:b/>
          <w:szCs w:val="22"/>
        </w:rPr>
        <w:t xml:space="preserve">για ταυτόχρονη χρήση με </w:t>
      </w:r>
      <w:r w:rsidR="000A557A" w:rsidRPr="00C749BA">
        <w:rPr>
          <w:b/>
          <w:szCs w:val="22"/>
        </w:rPr>
        <w:t xml:space="preserve">μέτριους </w:t>
      </w:r>
      <w:r w:rsidR="00457516" w:rsidRPr="00C749BA">
        <w:rPr>
          <w:b/>
          <w:szCs w:val="22"/>
        </w:rPr>
        <w:t xml:space="preserve">ή ισχυρούς </w:t>
      </w:r>
      <w:r w:rsidRPr="00C749BA">
        <w:rPr>
          <w:b/>
          <w:szCs w:val="22"/>
        </w:rPr>
        <w:t>αναστολείς του CYP3A</w:t>
      </w:r>
    </w:p>
    <w:tbl>
      <w:tblPr>
        <w:tblStyle w:val="TableGrid"/>
        <w:tblW w:w="9067" w:type="dxa"/>
        <w:tblLayout w:type="fixed"/>
        <w:tblLook w:val="04A0" w:firstRow="1" w:lastRow="0" w:firstColumn="1" w:lastColumn="0" w:noHBand="0" w:noVBand="1"/>
      </w:tblPr>
      <w:tblGrid>
        <w:gridCol w:w="1838"/>
        <w:gridCol w:w="3402"/>
        <w:gridCol w:w="3827"/>
      </w:tblGrid>
      <w:tr w:rsidR="00243135" w:rsidRPr="007D5E5D" w14:paraId="240BE15C" w14:textId="77777777" w:rsidTr="002877EB">
        <w:trPr>
          <w:cantSplit/>
          <w:tblHeader/>
        </w:trPr>
        <w:tc>
          <w:tcPr>
            <w:tcW w:w="1838" w:type="dxa"/>
          </w:tcPr>
          <w:p w14:paraId="0BFCEE43" w14:textId="77777777" w:rsidR="00243135" w:rsidRPr="00F93ECE" w:rsidRDefault="00243135" w:rsidP="005670EF">
            <w:pPr>
              <w:keepNext/>
              <w:rPr>
                <w:szCs w:val="22"/>
              </w:rPr>
            </w:pPr>
          </w:p>
        </w:tc>
        <w:tc>
          <w:tcPr>
            <w:tcW w:w="3402" w:type="dxa"/>
          </w:tcPr>
          <w:p w14:paraId="014D4401" w14:textId="5042F83F" w:rsidR="00243135" w:rsidRPr="00F93ECE" w:rsidRDefault="008B288D" w:rsidP="005670EF">
            <w:pPr>
              <w:keepNext/>
              <w:jc w:val="center"/>
              <w:rPr>
                <w:b/>
                <w:bCs/>
                <w:szCs w:val="22"/>
              </w:rPr>
            </w:pPr>
            <w:r w:rsidRPr="00F93ECE">
              <w:rPr>
                <w:b/>
                <w:bCs/>
                <w:szCs w:val="22"/>
              </w:rPr>
              <w:t xml:space="preserve">Μέτριοι </w:t>
            </w:r>
            <w:r w:rsidR="00243135" w:rsidRPr="00F93ECE">
              <w:rPr>
                <w:b/>
                <w:bCs/>
                <w:szCs w:val="22"/>
              </w:rPr>
              <w:t>αναστολείς του CYP3A</w:t>
            </w:r>
          </w:p>
        </w:tc>
        <w:tc>
          <w:tcPr>
            <w:tcW w:w="3827" w:type="dxa"/>
          </w:tcPr>
          <w:p w14:paraId="0C368EAB" w14:textId="525BE056" w:rsidR="00243135" w:rsidRPr="00F93ECE" w:rsidRDefault="00243135" w:rsidP="005670EF">
            <w:pPr>
              <w:keepNext/>
              <w:jc w:val="center"/>
              <w:rPr>
                <w:b/>
                <w:bCs/>
                <w:szCs w:val="22"/>
              </w:rPr>
            </w:pPr>
            <w:r w:rsidRPr="00F93ECE">
              <w:rPr>
                <w:b/>
                <w:bCs/>
                <w:szCs w:val="22"/>
              </w:rPr>
              <w:t>Ισχυροί αναστολείς του CYP3A</w:t>
            </w:r>
          </w:p>
        </w:tc>
      </w:tr>
      <w:tr w:rsidR="00243135" w:rsidRPr="007D5E5D" w14:paraId="5443A72D" w14:textId="77777777" w:rsidTr="002877EB">
        <w:trPr>
          <w:cantSplit/>
        </w:trPr>
        <w:tc>
          <w:tcPr>
            <w:tcW w:w="9067" w:type="dxa"/>
            <w:gridSpan w:val="3"/>
            <w:shd w:val="clear" w:color="auto" w:fill="auto"/>
          </w:tcPr>
          <w:p w14:paraId="76D13DFA" w14:textId="2908DF1F" w:rsidR="00243135" w:rsidRPr="00F93ECE" w:rsidRDefault="00243135" w:rsidP="005670EF">
            <w:pPr>
              <w:keepNext/>
              <w:rPr>
                <w:b/>
                <w:bCs/>
                <w:szCs w:val="22"/>
              </w:rPr>
            </w:pPr>
            <w:r w:rsidRPr="00F93ECE">
              <w:rPr>
                <w:b/>
                <w:bCs/>
                <w:szCs w:val="22"/>
              </w:rPr>
              <w:t xml:space="preserve">Ivacaftor </w:t>
            </w:r>
            <w:r w:rsidR="00DD21E7" w:rsidRPr="00F93ECE">
              <w:rPr>
                <w:b/>
                <w:bCs/>
                <w:szCs w:val="22"/>
              </w:rPr>
              <w:t>ως μονοθεραπεία</w:t>
            </w:r>
          </w:p>
        </w:tc>
      </w:tr>
      <w:tr w:rsidR="00243135" w:rsidRPr="007D5E5D" w14:paraId="0D331F2B" w14:textId="77777777" w:rsidTr="002877EB">
        <w:trPr>
          <w:cantSplit/>
        </w:trPr>
        <w:tc>
          <w:tcPr>
            <w:tcW w:w="1838" w:type="dxa"/>
          </w:tcPr>
          <w:p w14:paraId="42715B9D" w14:textId="3183F8E5" w:rsidR="00243135" w:rsidRPr="00F93ECE" w:rsidRDefault="00243135" w:rsidP="005670EF">
            <w:pPr>
              <w:rPr>
                <w:szCs w:val="22"/>
              </w:rPr>
            </w:pPr>
            <w:r w:rsidRPr="00F93ECE">
              <w:rPr>
                <w:szCs w:val="22"/>
              </w:rPr>
              <w:t>6 </w:t>
            </w:r>
            <w:r w:rsidR="00096650" w:rsidRPr="00F93ECE">
              <w:rPr>
                <w:szCs w:val="22"/>
              </w:rPr>
              <w:t>ετών και άνω</w:t>
            </w:r>
            <w:r w:rsidRPr="00F93ECE">
              <w:rPr>
                <w:szCs w:val="22"/>
              </w:rPr>
              <w:t>,</w:t>
            </w:r>
            <w:r w:rsidRPr="00F93ECE">
              <w:rPr>
                <w:szCs w:val="22"/>
              </w:rPr>
              <w:br/>
            </w:r>
            <w:r w:rsidRPr="00F93ECE">
              <w:rPr>
                <w:rFonts w:hint="eastAsia"/>
                <w:szCs w:val="22"/>
              </w:rPr>
              <w:t>≥</w:t>
            </w:r>
            <w:r w:rsidR="00096650" w:rsidRPr="00F93ECE">
              <w:rPr>
                <w:szCs w:val="22"/>
              </w:rPr>
              <w:t> </w:t>
            </w:r>
            <w:r w:rsidRPr="00F93ECE">
              <w:rPr>
                <w:szCs w:val="22"/>
              </w:rPr>
              <w:t>25</w:t>
            </w:r>
            <w:r w:rsidR="00096650" w:rsidRPr="00F93ECE">
              <w:rPr>
                <w:szCs w:val="22"/>
              </w:rPr>
              <w:t> </w:t>
            </w:r>
            <w:r w:rsidRPr="00F93ECE">
              <w:rPr>
                <w:szCs w:val="22"/>
              </w:rPr>
              <w:t>kg</w:t>
            </w:r>
          </w:p>
        </w:tc>
        <w:tc>
          <w:tcPr>
            <w:tcW w:w="3402" w:type="dxa"/>
          </w:tcPr>
          <w:p w14:paraId="11D46FF4" w14:textId="1DF2D0CD" w:rsidR="00243135" w:rsidRPr="00F93ECE" w:rsidRDefault="001A57E7" w:rsidP="005670EF">
            <w:pPr>
              <w:rPr>
                <w:szCs w:val="22"/>
              </w:rPr>
            </w:pPr>
            <w:r w:rsidRPr="00F93ECE">
              <w:rPr>
                <w:szCs w:val="22"/>
              </w:rPr>
              <w:t xml:space="preserve">Ένα πρωινό δισκίο </w:t>
            </w:r>
            <w:r w:rsidR="00243135" w:rsidRPr="00F93ECE">
              <w:rPr>
                <w:szCs w:val="22"/>
              </w:rPr>
              <w:t xml:space="preserve">ivacaftor 150 mg </w:t>
            </w:r>
            <w:r w:rsidRPr="00F93ECE">
              <w:rPr>
                <w:szCs w:val="22"/>
              </w:rPr>
              <w:t>άπαξ ημερησίως</w:t>
            </w:r>
            <w:r w:rsidR="00243135" w:rsidRPr="00F93ECE">
              <w:rPr>
                <w:szCs w:val="22"/>
              </w:rPr>
              <w:t xml:space="preserve">. </w:t>
            </w:r>
          </w:p>
          <w:p w14:paraId="1DD795EC" w14:textId="77777777" w:rsidR="00243135" w:rsidRPr="00F93ECE" w:rsidRDefault="00243135" w:rsidP="005670EF">
            <w:pPr>
              <w:rPr>
                <w:szCs w:val="22"/>
              </w:rPr>
            </w:pPr>
          </w:p>
          <w:p w14:paraId="729F2DA3" w14:textId="15555893" w:rsidR="00243135" w:rsidRPr="00F93ECE" w:rsidRDefault="001A57E7" w:rsidP="005670EF">
            <w:pPr>
              <w:rPr>
                <w:szCs w:val="22"/>
              </w:rPr>
            </w:pPr>
            <w:r w:rsidRPr="00F93ECE">
              <w:rPr>
                <w:szCs w:val="22"/>
              </w:rPr>
              <w:t>Καμία βραδινή δόση</w:t>
            </w:r>
            <w:r w:rsidR="00243135" w:rsidRPr="00F93ECE">
              <w:rPr>
                <w:szCs w:val="22"/>
              </w:rPr>
              <w:t>.</w:t>
            </w:r>
          </w:p>
        </w:tc>
        <w:tc>
          <w:tcPr>
            <w:tcW w:w="3827" w:type="dxa"/>
          </w:tcPr>
          <w:p w14:paraId="5FA6BB2D" w14:textId="411E7C29" w:rsidR="00243135" w:rsidRPr="00F93ECE" w:rsidRDefault="001A57E7" w:rsidP="005670EF">
            <w:pPr>
              <w:rPr>
                <w:szCs w:val="22"/>
              </w:rPr>
            </w:pPr>
            <w:r w:rsidRPr="00F93ECE">
              <w:rPr>
                <w:szCs w:val="22"/>
              </w:rPr>
              <w:t>Ένα πρωινό δισκίο</w:t>
            </w:r>
            <w:r w:rsidR="00243135" w:rsidRPr="00F93ECE">
              <w:rPr>
                <w:szCs w:val="22"/>
              </w:rPr>
              <w:t xml:space="preserve"> ivacaftor 150 mg </w:t>
            </w:r>
            <w:r w:rsidRPr="00F93ECE">
              <w:rPr>
                <w:szCs w:val="22"/>
              </w:rPr>
              <w:t>δύο φορές την εβδομάδα</w:t>
            </w:r>
            <w:r w:rsidR="00243135" w:rsidRPr="00F93ECE">
              <w:rPr>
                <w:szCs w:val="22"/>
              </w:rPr>
              <w:t xml:space="preserve">, </w:t>
            </w:r>
            <w:r w:rsidRPr="00F93ECE">
              <w:rPr>
                <w:szCs w:val="22"/>
              </w:rPr>
              <w:t xml:space="preserve">με χρονική απόσταση περίπου 3 έως 4 ημερών μεταξύ των δύο </w:t>
            </w:r>
            <w:r w:rsidR="00BD3681" w:rsidRPr="00F93ECE">
              <w:rPr>
                <w:szCs w:val="22"/>
              </w:rPr>
              <w:t>χορηγήσεων</w:t>
            </w:r>
            <w:r w:rsidR="00243135" w:rsidRPr="00F93ECE">
              <w:rPr>
                <w:szCs w:val="22"/>
              </w:rPr>
              <w:t>.</w:t>
            </w:r>
          </w:p>
          <w:p w14:paraId="1A679C05" w14:textId="77777777" w:rsidR="00243135" w:rsidRPr="00F93ECE" w:rsidRDefault="00243135" w:rsidP="005670EF">
            <w:pPr>
              <w:rPr>
                <w:szCs w:val="22"/>
              </w:rPr>
            </w:pPr>
          </w:p>
          <w:p w14:paraId="13D92A29" w14:textId="09DF3882" w:rsidR="00243135" w:rsidRPr="00F93ECE" w:rsidRDefault="001A57E7" w:rsidP="005670EF">
            <w:pPr>
              <w:rPr>
                <w:szCs w:val="22"/>
              </w:rPr>
            </w:pPr>
            <w:r w:rsidRPr="00F93ECE">
              <w:rPr>
                <w:szCs w:val="22"/>
              </w:rPr>
              <w:t>Καμία βραδινή δόση</w:t>
            </w:r>
            <w:r w:rsidR="00243135" w:rsidRPr="00F93ECE">
              <w:rPr>
                <w:szCs w:val="22"/>
              </w:rPr>
              <w:t>.</w:t>
            </w:r>
          </w:p>
        </w:tc>
      </w:tr>
      <w:tr w:rsidR="00243135" w:rsidRPr="007D5E5D" w14:paraId="06E7DD78" w14:textId="77777777" w:rsidTr="002877EB">
        <w:trPr>
          <w:cantSplit/>
        </w:trPr>
        <w:tc>
          <w:tcPr>
            <w:tcW w:w="9067" w:type="dxa"/>
            <w:gridSpan w:val="3"/>
            <w:shd w:val="clear" w:color="auto" w:fill="auto"/>
          </w:tcPr>
          <w:p w14:paraId="7D3F77E7" w14:textId="24BB8B60" w:rsidR="00243135" w:rsidRPr="00F93ECE" w:rsidRDefault="00243135" w:rsidP="005670EF">
            <w:pPr>
              <w:keepNext/>
              <w:rPr>
                <w:b/>
                <w:bCs/>
                <w:szCs w:val="22"/>
              </w:rPr>
            </w:pPr>
            <w:r w:rsidRPr="00F93ECE">
              <w:rPr>
                <w:b/>
                <w:bCs/>
                <w:szCs w:val="22"/>
              </w:rPr>
              <w:t xml:space="preserve">Ivacaftor </w:t>
            </w:r>
            <w:r w:rsidR="003A18F6" w:rsidRPr="00F93ECE">
              <w:rPr>
                <w:b/>
                <w:bCs/>
                <w:szCs w:val="22"/>
              </w:rPr>
              <w:t xml:space="preserve">σε συνδυαστικό σχήμα με </w:t>
            </w:r>
            <w:r w:rsidRPr="00F93ECE">
              <w:rPr>
                <w:b/>
                <w:bCs/>
                <w:szCs w:val="22"/>
              </w:rPr>
              <w:t>tezacaftor/ivacaftor</w:t>
            </w:r>
          </w:p>
        </w:tc>
      </w:tr>
      <w:tr w:rsidR="006042BD" w:rsidRPr="007D5E5D" w14:paraId="0625AC29" w14:textId="77777777" w:rsidTr="002877EB">
        <w:trPr>
          <w:cantSplit/>
        </w:trPr>
        <w:tc>
          <w:tcPr>
            <w:tcW w:w="1838" w:type="dxa"/>
          </w:tcPr>
          <w:p w14:paraId="050C0C09" w14:textId="13B823EF" w:rsidR="006042BD" w:rsidRPr="00F93ECE" w:rsidRDefault="006042BD" w:rsidP="006042BD">
            <w:pPr>
              <w:rPr>
                <w:szCs w:val="22"/>
              </w:rPr>
            </w:pPr>
            <w:r w:rsidRPr="00C749BA">
              <w:rPr>
                <w:szCs w:val="22"/>
              </w:rPr>
              <w:t xml:space="preserve">6 ετών έως &lt; 12 ετών, </w:t>
            </w:r>
            <w:r w:rsidRPr="00C749BA">
              <w:rPr>
                <w:szCs w:val="22"/>
              </w:rPr>
              <w:br/>
              <w:t>&lt; 30 kg</w:t>
            </w:r>
          </w:p>
        </w:tc>
        <w:tc>
          <w:tcPr>
            <w:tcW w:w="3402" w:type="dxa"/>
          </w:tcPr>
          <w:p w14:paraId="4FFFB5C7" w14:textId="12016A33" w:rsidR="006042BD" w:rsidRPr="00C749BA" w:rsidRDefault="00B70EB8" w:rsidP="006042BD">
            <w:pPr>
              <w:keepNext/>
              <w:rPr>
                <w:szCs w:val="22"/>
              </w:rPr>
            </w:pPr>
            <w:r w:rsidRPr="00F93ECE">
              <w:rPr>
                <w:szCs w:val="22"/>
              </w:rPr>
              <w:t>Πραγματοποιήστε καθημερινή εναλλάξ χορήγηση το πρωί</w:t>
            </w:r>
            <w:r w:rsidR="006042BD" w:rsidRPr="00C749BA">
              <w:rPr>
                <w:szCs w:val="22"/>
              </w:rPr>
              <w:t xml:space="preserve">: </w:t>
            </w:r>
          </w:p>
          <w:p w14:paraId="1FED802B" w14:textId="51B893EB" w:rsidR="006042BD" w:rsidRPr="00263E81" w:rsidRDefault="00B70EB8" w:rsidP="006042BD">
            <w:pPr>
              <w:pStyle w:val="ListParagraph"/>
              <w:keepNext/>
              <w:numPr>
                <w:ilvl w:val="0"/>
                <w:numId w:val="73"/>
              </w:numPr>
              <w:suppressAutoHyphens w:val="0"/>
              <w:contextualSpacing/>
              <w:rPr>
                <w:szCs w:val="22"/>
              </w:rPr>
            </w:pPr>
            <w:r w:rsidRPr="00F93ECE">
              <w:rPr>
                <w:szCs w:val="22"/>
              </w:rPr>
              <w:t xml:space="preserve">την πρώτη ημέρα ένα δισκίο </w:t>
            </w:r>
            <w:r w:rsidR="006042BD" w:rsidRPr="00C749BA">
              <w:rPr>
                <w:szCs w:val="22"/>
              </w:rPr>
              <w:t>tezacaftor 50 mg/ivacaftor 75 mg</w:t>
            </w:r>
          </w:p>
          <w:p w14:paraId="755AA22C" w14:textId="2FC2ADB2" w:rsidR="006042BD" w:rsidRPr="00C749BA" w:rsidRDefault="00B70EB8" w:rsidP="006042BD">
            <w:pPr>
              <w:pStyle w:val="ListParagraph"/>
              <w:keepNext/>
              <w:numPr>
                <w:ilvl w:val="0"/>
                <w:numId w:val="73"/>
              </w:numPr>
              <w:suppressAutoHyphens w:val="0"/>
              <w:contextualSpacing/>
              <w:rPr>
                <w:szCs w:val="22"/>
              </w:rPr>
            </w:pPr>
            <w:r w:rsidRPr="00F93ECE">
              <w:rPr>
                <w:szCs w:val="22"/>
              </w:rPr>
              <w:t xml:space="preserve">την επόμενη ημέρα ένα δισκίο </w:t>
            </w:r>
            <w:r w:rsidR="006042BD" w:rsidRPr="00C749BA">
              <w:rPr>
                <w:szCs w:val="22"/>
              </w:rPr>
              <w:t xml:space="preserve">ivacaftor 75 mg.  </w:t>
            </w:r>
          </w:p>
          <w:p w14:paraId="310C66CC" w14:textId="39554181" w:rsidR="006042BD" w:rsidRPr="00C749BA" w:rsidRDefault="00B70EB8" w:rsidP="006042BD">
            <w:pPr>
              <w:keepNext/>
              <w:rPr>
                <w:szCs w:val="22"/>
              </w:rPr>
            </w:pPr>
            <w:r w:rsidRPr="00F93ECE">
              <w:rPr>
                <w:szCs w:val="22"/>
              </w:rPr>
              <w:t>Συνεχίστε την καθημερινή εναλλάξ χορήγηση δισκίων</w:t>
            </w:r>
            <w:r w:rsidR="006042BD" w:rsidRPr="00C749BA">
              <w:rPr>
                <w:szCs w:val="22"/>
              </w:rPr>
              <w:t>.</w:t>
            </w:r>
          </w:p>
          <w:p w14:paraId="43D080D8" w14:textId="77777777" w:rsidR="006042BD" w:rsidRPr="00263E81" w:rsidRDefault="006042BD" w:rsidP="006042BD">
            <w:pPr>
              <w:keepNext/>
              <w:rPr>
                <w:szCs w:val="22"/>
              </w:rPr>
            </w:pPr>
          </w:p>
          <w:p w14:paraId="3A365557" w14:textId="5A3AED44" w:rsidR="006042BD" w:rsidRPr="00F93ECE" w:rsidRDefault="00B70EB8" w:rsidP="006042BD">
            <w:pPr>
              <w:rPr>
                <w:szCs w:val="22"/>
              </w:rPr>
            </w:pPr>
            <w:r w:rsidRPr="00F93ECE">
              <w:rPr>
                <w:szCs w:val="22"/>
              </w:rPr>
              <w:t>Καμία βραδινή δόση</w:t>
            </w:r>
            <w:r w:rsidR="006042BD" w:rsidRPr="00C749BA">
              <w:rPr>
                <w:szCs w:val="22"/>
              </w:rPr>
              <w:t>.</w:t>
            </w:r>
          </w:p>
        </w:tc>
        <w:tc>
          <w:tcPr>
            <w:tcW w:w="3827" w:type="dxa"/>
          </w:tcPr>
          <w:p w14:paraId="5B27C19B" w14:textId="40F195AE" w:rsidR="006042BD" w:rsidRPr="00C749BA" w:rsidRDefault="00B70EB8" w:rsidP="006042BD">
            <w:pPr>
              <w:keepNext/>
              <w:rPr>
                <w:szCs w:val="22"/>
              </w:rPr>
            </w:pPr>
            <w:r w:rsidRPr="00F93ECE">
              <w:rPr>
                <w:szCs w:val="22"/>
              </w:rPr>
              <w:t>Ένα πρωινό δισκίο</w:t>
            </w:r>
            <w:r w:rsidR="006042BD" w:rsidRPr="00C749BA">
              <w:rPr>
                <w:szCs w:val="22"/>
              </w:rPr>
              <w:t xml:space="preserve"> tezacaftor 50 mg/ivacaftor 75 mg </w:t>
            </w:r>
            <w:r w:rsidRPr="00F93ECE">
              <w:rPr>
                <w:bCs/>
                <w:szCs w:val="22"/>
              </w:rPr>
              <w:t xml:space="preserve">δύο φορές την εβδομάδα, </w:t>
            </w:r>
            <w:r w:rsidRPr="00F93ECE">
              <w:rPr>
                <w:szCs w:val="22"/>
              </w:rPr>
              <w:t>με χρονική απόσταση περίπου 3 έως 4 ημερών μεταξύ των δύο χορηγήσεων</w:t>
            </w:r>
            <w:r w:rsidR="006042BD" w:rsidRPr="00C749BA">
              <w:rPr>
                <w:szCs w:val="22"/>
              </w:rPr>
              <w:t xml:space="preserve">. </w:t>
            </w:r>
          </w:p>
          <w:p w14:paraId="1F3B4801" w14:textId="77777777" w:rsidR="006042BD" w:rsidRPr="00263E81" w:rsidRDefault="006042BD" w:rsidP="006042BD">
            <w:pPr>
              <w:keepNext/>
              <w:rPr>
                <w:szCs w:val="22"/>
              </w:rPr>
            </w:pPr>
          </w:p>
          <w:p w14:paraId="5174BA8E" w14:textId="0C642436" w:rsidR="006042BD" w:rsidRPr="00F93ECE" w:rsidRDefault="00B70EB8" w:rsidP="006042BD">
            <w:pPr>
              <w:rPr>
                <w:szCs w:val="22"/>
              </w:rPr>
            </w:pPr>
            <w:r w:rsidRPr="00F93ECE">
              <w:rPr>
                <w:szCs w:val="22"/>
              </w:rPr>
              <w:t>Καμία βραδινή δόση</w:t>
            </w:r>
            <w:r w:rsidR="006042BD" w:rsidRPr="00C749BA">
              <w:rPr>
                <w:szCs w:val="22"/>
              </w:rPr>
              <w:t>.</w:t>
            </w:r>
          </w:p>
        </w:tc>
      </w:tr>
      <w:tr w:rsidR="006042BD" w:rsidRPr="007D5E5D" w14:paraId="76C2B699" w14:textId="77777777" w:rsidTr="002877EB">
        <w:trPr>
          <w:cantSplit/>
        </w:trPr>
        <w:tc>
          <w:tcPr>
            <w:tcW w:w="1838" w:type="dxa"/>
          </w:tcPr>
          <w:p w14:paraId="6185A973" w14:textId="3C022B39" w:rsidR="006042BD" w:rsidRPr="00F93ECE" w:rsidRDefault="006042BD" w:rsidP="006042BD">
            <w:pPr>
              <w:rPr>
                <w:szCs w:val="22"/>
              </w:rPr>
            </w:pPr>
            <w:r w:rsidRPr="00C749BA">
              <w:rPr>
                <w:szCs w:val="22"/>
              </w:rPr>
              <w:t>6 ετών &lt; 12 ετών,</w:t>
            </w:r>
            <w:r w:rsidRPr="00C749BA">
              <w:rPr>
                <w:szCs w:val="22"/>
              </w:rPr>
              <w:br/>
            </w:r>
            <w:r w:rsidRPr="00C749BA">
              <w:rPr>
                <w:rFonts w:hint="eastAsia"/>
                <w:szCs w:val="22"/>
              </w:rPr>
              <w:t>≥</w:t>
            </w:r>
            <w:r w:rsidRPr="00C749BA">
              <w:rPr>
                <w:rFonts w:hint="eastAsia"/>
                <w:szCs w:val="22"/>
              </w:rPr>
              <w:t> </w:t>
            </w:r>
            <w:r w:rsidRPr="00C749BA">
              <w:rPr>
                <w:szCs w:val="22"/>
              </w:rPr>
              <w:t>30 kg</w:t>
            </w:r>
          </w:p>
        </w:tc>
        <w:tc>
          <w:tcPr>
            <w:tcW w:w="3402" w:type="dxa"/>
          </w:tcPr>
          <w:p w14:paraId="1D9D6CA0" w14:textId="3EBBFD8C" w:rsidR="006042BD" w:rsidRPr="00C749BA" w:rsidRDefault="00B70EB8" w:rsidP="006042BD">
            <w:pPr>
              <w:keepNext/>
              <w:rPr>
                <w:szCs w:val="22"/>
              </w:rPr>
            </w:pPr>
            <w:r w:rsidRPr="00F93ECE">
              <w:rPr>
                <w:szCs w:val="22"/>
              </w:rPr>
              <w:t>Πραγματοποιήστε καθημερινή εναλλάξ χορήγηση το πρωί</w:t>
            </w:r>
            <w:r w:rsidR="006042BD" w:rsidRPr="00C749BA">
              <w:rPr>
                <w:szCs w:val="22"/>
              </w:rPr>
              <w:t xml:space="preserve">: </w:t>
            </w:r>
          </w:p>
          <w:p w14:paraId="3B5CE5DB" w14:textId="53ED146F" w:rsidR="006042BD" w:rsidRPr="00C749BA" w:rsidRDefault="00B70EB8" w:rsidP="006042BD">
            <w:pPr>
              <w:pStyle w:val="ListParagraph"/>
              <w:keepNext/>
              <w:numPr>
                <w:ilvl w:val="0"/>
                <w:numId w:val="73"/>
              </w:numPr>
              <w:suppressAutoHyphens w:val="0"/>
              <w:contextualSpacing/>
              <w:rPr>
                <w:szCs w:val="22"/>
              </w:rPr>
            </w:pPr>
            <w:r w:rsidRPr="00F93ECE">
              <w:rPr>
                <w:szCs w:val="22"/>
              </w:rPr>
              <w:t xml:space="preserve">την πρώτη ημέρα ένα δισκίο </w:t>
            </w:r>
            <w:r w:rsidR="006042BD" w:rsidRPr="00C749BA">
              <w:rPr>
                <w:szCs w:val="22"/>
              </w:rPr>
              <w:t xml:space="preserve">tezacaftor 100 mg/ivacaftor 150 mg </w:t>
            </w:r>
            <w:r w:rsidRPr="00F93ECE">
              <w:rPr>
                <w:szCs w:val="22"/>
              </w:rPr>
              <w:t>άπαξ ημερησίως</w:t>
            </w:r>
          </w:p>
          <w:p w14:paraId="75EAD115" w14:textId="49CE6E2F" w:rsidR="006042BD" w:rsidRPr="00C749BA" w:rsidRDefault="00B70EB8" w:rsidP="006042BD">
            <w:pPr>
              <w:pStyle w:val="ListParagraph"/>
              <w:keepNext/>
              <w:numPr>
                <w:ilvl w:val="0"/>
                <w:numId w:val="73"/>
              </w:numPr>
              <w:suppressAutoHyphens w:val="0"/>
              <w:contextualSpacing/>
              <w:rPr>
                <w:szCs w:val="22"/>
              </w:rPr>
            </w:pPr>
            <w:r w:rsidRPr="00F93ECE">
              <w:rPr>
                <w:szCs w:val="22"/>
              </w:rPr>
              <w:t>την επόμενη ημέρα ένα δισκίο</w:t>
            </w:r>
            <w:r w:rsidR="006042BD" w:rsidRPr="00C749BA">
              <w:rPr>
                <w:szCs w:val="22"/>
              </w:rPr>
              <w:t xml:space="preserve"> ivacaftor 150 mg.  </w:t>
            </w:r>
          </w:p>
          <w:p w14:paraId="4C63FA41" w14:textId="64328E26" w:rsidR="006042BD" w:rsidRPr="00C749BA" w:rsidRDefault="00B70EB8" w:rsidP="006042BD">
            <w:pPr>
              <w:keepNext/>
              <w:rPr>
                <w:szCs w:val="22"/>
              </w:rPr>
            </w:pPr>
            <w:r w:rsidRPr="00F93ECE">
              <w:rPr>
                <w:szCs w:val="22"/>
              </w:rPr>
              <w:t>Συνεχίστε την καθημερινή εναλλάξ χορήγηση δισκίων</w:t>
            </w:r>
            <w:r w:rsidR="006042BD" w:rsidRPr="00C749BA">
              <w:rPr>
                <w:szCs w:val="22"/>
              </w:rPr>
              <w:t>.</w:t>
            </w:r>
          </w:p>
          <w:p w14:paraId="3284718C" w14:textId="77777777" w:rsidR="006042BD" w:rsidRPr="00C749BA" w:rsidRDefault="006042BD" w:rsidP="006042BD">
            <w:pPr>
              <w:keepNext/>
              <w:rPr>
                <w:szCs w:val="22"/>
              </w:rPr>
            </w:pPr>
          </w:p>
          <w:p w14:paraId="5FC27AD7" w14:textId="77E54765" w:rsidR="006042BD" w:rsidRPr="00F93ECE" w:rsidRDefault="00B70EB8" w:rsidP="006042BD">
            <w:pPr>
              <w:rPr>
                <w:szCs w:val="22"/>
              </w:rPr>
            </w:pPr>
            <w:r w:rsidRPr="00F93ECE">
              <w:rPr>
                <w:szCs w:val="22"/>
              </w:rPr>
              <w:t>Καμία βραδινή δόση</w:t>
            </w:r>
            <w:r w:rsidR="006042BD" w:rsidRPr="00C749BA">
              <w:rPr>
                <w:szCs w:val="22"/>
              </w:rPr>
              <w:t>.</w:t>
            </w:r>
          </w:p>
        </w:tc>
        <w:tc>
          <w:tcPr>
            <w:tcW w:w="3827" w:type="dxa"/>
          </w:tcPr>
          <w:p w14:paraId="03F3C0C5" w14:textId="514C97E9" w:rsidR="006042BD" w:rsidRPr="00C749BA" w:rsidRDefault="00B70EB8" w:rsidP="006042BD">
            <w:pPr>
              <w:keepNext/>
              <w:rPr>
                <w:szCs w:val="22"/>
              </w:rPr>
            </w:pPr>
            <w:r w:rsidRPr="00F93ECE">
              <w:rPr>
                <w:szCs w:val="22"/>
              </w:rPr>
              <w:t xml:space="preserve">Ένα πρωινό δισκίο </w:t>
            </w:r>
            <w:r w:rsidR="006042BD" w:rsidRPr="00C749BA">
              <w:rPr>
                <w:szCs w:val="22"/>
              </w:rPr>
              <w:t>tezacaftor 100 mg/ivacaftor 150 mg</w:t>
            </w:r>
            <w:r w:rsidR="006042BD" w:rsidRPr="00C749BA">
              <w:rPr>
                <w:bCs/>
                <w:szCs w:val="22"/>
              </w:rPr>
              <w:t xml:space="preserve"> </w:t>
            </w:r>
            <w:r w:rsidRPr="00F93ECE">
              <w:rPr>
                <w:bCs/>
                <w:szCs w:val="22"/>
              </w:rPr>
              <w:t xml:space="preserve">δύο φορές την εβδομάδα, </w:t>
            </w:r>
            <w:r w:rsidRPr="00F93ECE">
              <w:rPr>
                <w:szCs w:val="22"/>
              </w:rPr>
              <w:t>με χρονική απόσταση περίπου 3 έως 4 ημερών μεταξύ των δύο χορηγήσεων</w:t>
            </w:r>
            <w:r w:rsidR="006042BD" w:rsidRPr="00C749BA">
              <w:rPr>
                <w:szCs w:val="22"/>
              </w:rPr>
              <w:t>.</w:t>
            </w:r>
          </w:p>
          <w:p w14:paraId="3936EE41" w14:textId="77777777" w:rsidR="006042BD" w:rsidRPr="00C749BA" w:rsidRDefault="006042BD" w:rsidP="006042BD">
            <w:pPr>
              <w:keepNext/>
              <w:rPr>
                <w:szCs w:val="22"/>
              </w:rPr>
            </w:pPr>
          </w:p>
          <w:p w14:paraId="42EF70AF" w14:textId="021CE4F1" w:rsidR="006042BD" w:rsidRPr="00F93ECE" w:rsidRDefault="00B70EB8" w:rsidP="006042BD">
            <w:pPr>
              <w:rPr>
                <w:szCs w:val="22"/>
              </w:rPr>
            </w:pPr>
            <w:r w:rsidRPr="00F93ECE">
              <w:rPr>
                <w:szCs w:val="22"/>
              </w:rPr>
              <w:t>Καμία βραδινή δόση</w:t>
            </w:r>
            <w:r w:rsidR="006042BD" w:rsidRPr="00C749BA">
              <w:rPr>
                <w:szCs w:val="22"/>
              </w:rPr>
              <w:t>.</w:t>
            </w:r>
          </w:p>
        </w:tc>
      </w:tr>
      <w:tr w:rsidR="00243135" w:rsidRPr="007D5E5D" w14:paraId="535F46BB" w14:textId="77777777" w:rsidTr="002877EB">
        <w:trPr>
          <w:cantSplit/>
        </w:trPr>
        <w:tc>
          <w:tcPr>
            <w:tcW w:w="1838" w:type="dxa"/>
          </w:tcPr>
          <w:p w14:paraId="08280483" w14:textId="591B6CEE" w:rsidR="00243135" w:rsidRPr="00F93ECE" w:rsidRDefault="00243135" w:rsidP="005670EF">
            <w:pPr>
              <w:rPr>
                <w:szCs w:val="22"/>
              </w:rPr>
            </w:pPr>
            <w:r w:rsidRPr="00F93ECE">
              <w:rPr>
                <w:szCs w:val="22"/>
              </w:rPr>
              <w:t>12 </w:t>
            </w:r>
            <w:r w:rsidR="003A18F6" w:rsidRPr="00F93ECE">
              <w:rPr>
                <w:szCs w:val="22"/>
              </w:rPr>
              <w:t>ετών και άνω</w:t>
            </w:r>
          </w:p>
        </w:tc>
        <w:tc>
          <w:tcPr>
            <w:tcW w:w="3402" w:type="dxa"/>
          </w:tcPr>
          <w:p w14:paraId="0241C6BF" w14:textId="09085EB6" w:rsidR="00243135" w:rsidRPr="00F93ECE" w:rsidRDefault="00F23588" w:rsidP="005670EF">
            <w:pPr>
              <w:rPr>
                <w:szCs w:val="22"/>
              </w:rPr>
            </w:pPr>
            <w:r w:rsidRPr="00F93ECE">
              <w:rPr>
                <w:szCs w:val="22"/>
              </w:rPr>
              <w:t>Πραγματοποιήστε κ</w:t>
            </w:r>
            <w:r w:rsidR="001A72B8" w:rsidRPr="00F93ECE">
              <w:rPr>
                <w:szCs w:val="22"/>
              </w:rPr>
              <w:t xml:space="preserve">αθημερινή εναλλάξ </w:t>
            </w:r>
            <w:r w:rsidR="003A66B9" w:rsidRPr="00F93ECE">
              <w:rPr>
                <w:szCs w:val="22"/>
              </w:rPr>
              <w:t>χορήγηση</w:t>
            </w:r>
            <w:r w:rsidR="00E42F6A" w:rsidRPr="00F93ECE">
              <w:rPr>
                <w:szCs w:val="22"/>
              </w:rPr>
              <w:t xml:space="preserve"> το πρωί</w:t>
            </w:r>
            <w:r w:rsidR="00243135" w:rsidRPr="00F93ECE">
              <w:rPr>
                <w:szCs w:val="22"/>
              </w:rPr>
              <w:t>:</w:t>
            </w:r>
          </w:p>
          <w:p w14:paraId="307246DC" w14:textId="343A7083" w:rsidR="00243135" w:rsidRPr="00F93ECE" w:rsidRDefault="001A72B8" w:rsidP="00243135">
            <w:pPr>
              <w:pStyle w:val="ListParagraph"/>
              <w:numPr>
                <w:ilvl w:val="0"/>
                <w:numId w:val="64"/>
              </w:numPr>
              <w:suppressAutoHyphens w:val="0"/>
              <w:contextualSpacing/>
              <w:rPr>
                <w:szCs w:val="22"/>
              </w:rPr>
            </w:pPr>
            <w:r w:rsidRPr="00F93ECE">
              <w:rPr>
                <w:szCs w:val="22"/>
              </w:rPr>
              <w:t>τη</w:t>
            </w:r>
            <w:r w:rsidR="001655C7" w:rsidRPr="00F93ECE">
              <w:rPr>
                <w:szCs w:val="22"/>
              </w:rPr>
              <w:t>ν</w:t>
            </w:r>
            <w:r w:rsidRPr="00F93ECE">
              <w:rPr>
                <w:szCs w:val="22"/>
              </w:rPr>
              <w:t xml:space="preserve"> </w:t>
            </w:r>
            <w:r w:rsidR="001655C7" w:rsidRPr="00F93ECE">
              <w:rPr>
                <w:szCs w:val="22"/>
              </w:rPr>
              <w:t>πρώτη</w:t>
            </w:r>
            <w:r w:rsidRPr="00F93ECE">
              <w:rPr>
                <w:szCs w:val="22"/>
              </w:rPr>
              <w:t xml:space="preserve"> ημέρα ένα δισκίο </w:t>
            </w:r>
            <w:r w:rsidR="00243135" w:rsidRPr="00F93ECE">
              <w:rPr>
                <w:szCs w:val="22"/>
              </w:rPr>
              <w:t>tezacaftor 100 mg/ivacaftor 150 mg</w:t>
            </w:r>
          </w:p>
          <w:p w14:paraId="2B15259D" w14:textId="40FB3372" w:rsidR="00243135" w:rsidRPr="00F93ECE" w:rsidRDefault="001A72B8" w:rsidP="00243135">
            <w:pPr>
              <w:pStyle w:val="ListParagraph"/>
              <w:numPr>
                <w:ilvl w:val="0"/>
                <w:numId w:val="64"/>
              </w:numPr>
              <w:suppressAutoHyphens w:val="0"/>
              <w:contextualSpacing/>
              <w:rPr>
                <w:szCs w:val="22"/>
              </w:rPr>
            </w:pPr>
            <w:r w:rsidRPr="00F93ECE">
              <w:rPr>
                <w:szCs w:val="22"/>
              </w:rPr>
              <w:t xml:space="preserve">την </w:t>
            </w:r>
            <w:r w:rsidR="00D37C77" w:rsidRPr="00F93ECE">
              <w:rPr>
                <w:szCs w:val="22"/>
              </w:rPr>
              <w:t>επόμενη</w:t>
            </w:r>
            <w:r w:rsidRPr="00F93ECE">
              <w:rPr>
                <w:szCs w:val="22"/>
              </w:rPr>
              <w:t xml:space="preserve"> ημέρα ένα δισκίο </w:t>
            </w:r>
            <w:r w:rsidR="00243135" w:rsidRPr="00F93ECE">
              <w:rPr>
                <w:szCs w:val="22"/>
              </w:rPr>
              <w:t>ivacaftor 150 mg</w:t>
            </w:r>
          </w:p>
          <w:p w14:paraId="6550D1A6" w14:textId="128E49A6" w:rsidR="00243135" w:rsidRPr="00F93ECE" w:rsidRDefault="00F23588" w:rsidP="005670EF">
            <w:pPr>
              <w:ind w:left="50"/>
              <w:rPr>
                <w:szCs w:val="22"/>
              </w:rPr>
            </w:pPr>
            <w:r w:rsidRPr="00F93ECE">
              <w:rPr>
                <w:szCs w:val="22"/>
              </w:rPr>
              <w:t>Συνεχίστε την</w:t>
            </w:r>
            <w:r w:rsidR="001A72B8" w:rsidRPr="00F93ECE">
              <w:rPr>
                <w:szCs w:val="22"/>
              </w:rPr>
              <w:t xml:space="preserve"> καθημερινή εναλλάξ </w:t>
            </w:r>
            <w:r w:rsidR="003A66B9" w:rsidRPr="00F93ECE">
              <w:rPr>
                <w:szCs w:val="22"/>
              </w:rPr>
              <w:t>χορήγηση</w:t>
            </w:r>
            <w:r w:rsidR="001A72B8" w:rsidRPr="00F93ECE">
              <w:rPr>
                <w:szCs w:val="22"/>
              </w:rPr>
              <w:t xml:space="preserve"> δισκίων</w:t>
            </w:r>
            <w:r w:rsidR="00243135" w:rsidRPr="00F93ECE">
              <w:rPr>
                <w:szCs w:val="22"/>
              </w:rPr>
              <w:t>.</w:t>
            </w:r>
          </w:p>
          <w:p w14:paraId="6887B06F" w14:textId="77777777" w:rsidR="00243135" w:rsidRPr="00F93ECE" w:rsidRDefault="00243135" w:rsidP="005670EF">
            <w:pPr>
              <w:ind w:left="50"/>
              <w:rPr>
                <w:szCs w:val="22"/>
              </w:rPr>
            </w:pPr>
          </w:p>
          <w:p w14:paraId="38887814" w14:textId="05A30309" w:rsidR="00243135" w:rsidRPr="00F93ECE" w:rsidRDefault="00722183" w:rsidP="005670EF">
            <w:pPr>
              <w:ind w:left="50"/>
              <w:rPr>
                <w:szCs w:val="22"/>
              </w:rPr>
            </w:pPr>
            <w:r w:rsidRPr="00F93ECE">
              <w:rPr>
                <w:szCs w:val="22"/>
              </w:rPr>
              <w:t>Καμία βραδινή δόση</w:t>
            </w:r>
            <w:r w:rsidR="00243135" w:rsidRPr="00F93ECE">
              <w:rPr>
                <w:szCs w:val="22"/>
              </w:rPr>
              <w:t>.</w:t>
            </w:r>
          </w:p>
        </w:tc>
        <w:tc>
          <w:tcPr>
            <w:tcW w:w="3827" w:type="dxa"/>
          </w:tcPr>
          <w:p w14:paraId="6673645D" w14:textId="46E59940" w:rsidR="00243135" w:rsidRPr="00F93ECE" w:rsidRDefault="001A72B8" w:rsidP="005670EF">
            <w:pPr>
              <w:rPr>
                <w:szCs w:val="22"/>
              </w:rPr>
            </w:pPr>
            <w:r w:rsidRPr="00F93ECE">
              <w:rPr>
                <w:szCs w:val="22"/>
              </w:rPr>
              <w:t xml:space="preserve">Ένα πρωινό δισκίο </w:t>
            </w:r>
            <w:r w:rsidR="00243135" w:rsidRPr="00F93ECE">
              <w:rPr>
                <w:szCs w:val="22"/>
              </w:rPr>
              <w:t>tezacaftor 100 mg/ivacaftor 150 mg</w:t>
            </w:r>
            <w:r w:rsidR="00243135" w:rsidRPr="00F93ECE">
              <w:rPr>
                <w:bCs/>
                <w:szCs w:val="22"/>
              </w:rPr>
              <w:t xml:space="preserve"> </w:t>
            </w:r>
            <w:r w:rsidRPr="00F93ECE">
              <w:rPr>
                <w:bCs/>
                <w:szCs w:val="22"/>
              </w:rPr>
              <w:t>δύο φορές την εβδομάδα</w:t>
            </w:r>
            <w:r w:rsidR="00243135" w:rsidRPr="00F93ECE">
              <w:rPr>
                <w:bCs/>
                <w:szCs w:val="22"/>
              </w:rPr>
              <w:t xml:space="preserve">, </w:t>
            </w:r>
            <w:r w:rsidRPr="00F93ECE">
              <w:rPr>
                <w:szCs w:val="22"/>
              </w:rPr>
              <w:t xml:space="preserve">με χρονική απόσταση περίπου 3 έως 4 ημερών μεταξύ των δύο </w:t>
            </w:r>
            <w:r w:rsidR="003A66B9" w:rsidRPr="00F93ECE">
              <w:rPr>
                <w:szCs w:val="22"/>
              </w:rPr>
              <w:t>χορηγήσεων</w:t>
            </w:r>
            <w:r w:rsidR="00243135" w:rsidRPr="00F93ECE">
              <w:rPr>
                <w:szCs w:val="22"/>
              </w:rPr>
              <w:t>.</w:t>
            </w:r>
          </w:p>
          <w:p w14:paraId="73DE4077" w14:textId="77777777" w:rsidR="00243135" w:rsidRPr="00F93ECE" w:rsidRDefault="00243135" w:rsidP="005670EF">
            <w:pPr>
              <w:rPr>
                <w:szCs w:val="22"/>
              </w:rPr>
            </w:pPr>
          </w:p>
          <w:p w14:paraId="305BF8A9" w14:textId="3482D6C8" w:rsidR="00243135" w:rsidRPr="00F93ECE" w:rsidRDefault="00722183" w:rsidP="005670EF">
            <w:pPr>
              <w:rPr>
                <w:szCs w:val="22"/>
              </w:rPr>
            </w:pPr>
            <w:r w:rsidRPr="00F93ECE">
              <w:rPr>
                <w:szCs w:val="22"/>
              </w:rPr>
              <w:t>Καμία βραδινή δόση</w:t>
            </w:r>
            <w:r w:rsidR="00243135" w:rsidRPr="00F93ECE">
              <w:rPr>
                <w:szCs w:val="22"/>
              </w:rPr>
              <w:t>.</w:t>
            </w:r>
          </w:p>
        </w:tc>
      </w:tr>
      <w:tr w:rsidR="00243135" w:rsidRPr="007D5E5D" w14:paraId="13037ACD" w14:textId="77777777" w:rsidTr="002877EB">
        <w:trPr>
          <w:cantSplit/>
        </w:trPr>
        <w:tc>
          <w:tcPr>
            <w:tcW w:w="9067" w:type="dxa"/>
            <w:gridSpan w:val="3"/>
            <w:shd w:val="clear" w:color="auto" w:fill="auto"/>
          </w:tcPr>
          <w:p w14:paraId="09295DE3" w14:textId="5AE8500F" w:rsidR="00243135" w:rsidRPr="00F93ECE" w:rsidRDefault="00243135" w:rsidP="005670EF">
            <w:pPr>
              <w:keepNext/>
              <w:rPr>
                <w:b/>
                <w:bCs/>
                <w:szCs w:val="22"/>
              </w:rPr>
            </w:pPr>
            <w:r w:rsidRPr="00F93ECE">
              <w:rPr>
                <w:b/>
                <w:bCs/>
                <w:szCs w:val="22"/>
              </w:rPr>
              <w:t xml:space="preserve">Ivacaftor </w:t>
            </w:r>
            <w:r w:rsidR="003A18F6" w:rsidRPr="00F93ECE">
              <w:rPr>
                <w:b/>
                <w:bCs/>
                <w:szCs w:val="22"/>
              </w:rPr>
              <w:t xml:space="preserve">σε συνδυαστικό σχήμα με </w:t>
            </w:r>
            <w:r w:rsidRPr="00F93ECE">
              <w:rPr>
                <w:b/>
                <w:bCs/>
                <w:szCs w:val="22"/>
              </w:rPr>
              <w:t>ivacaftor/tezacaftor/elexacaftor</w:t>
            </w:r>
          </w:p>
        </w:tc>
      </w:tr>
      <w:tr w:rsidR="00243135" w:rsidRPr="007D5E5D" w14:paraId="494CD72B" w14:textId="77777777" w:rsidTr="002877EB">
        <w:trPr>
          <w:cantSplit/>
        </w:trPr>
        <w:tc>
          <w:tcPr>
            <w:tcW w:w="1838" w:type="dxa"/>
          </w:tcPr>
          <w:p w14:paraId="078AB9D5" w14:textId="7D971A52" w:rsidR="00243135" w:rsidRPr="00F93ECE" w:rsidRDefault="00243135" w:rsidP="005670EF">
            <w:pPr>
              <w:rPr>
                <w:szCs w:val="22"/>
              </w:rPr>
            </w:pPr>
            <w:r w:rsidRPr="00F93ECE">
              <w:rPr>
                <w:szCs w:val="22"/>
              </w:rPr>
              <w:t>12 </w:t>
            </w:r>
            <w:r w:rsidR="003A18F6" w:rsidRPr="00F93ECE">
              <w:rPr>
                <w:szCs w:val="22"/>
              </w:rPr>
              <w:t>ετών και άνω</w:t>
            </w:r>
          </w:p>
        </w:tc>
        <w:tc>
          <w:tcPr>
            <w:tcW w:w="3402" w:type="dxa"/>
          </w:tcPr>
          <w:p w14:paraId="7007CC0F" w14:textId="43CE0776" w:rsidR="00243135" w:rsidRPr="00F93ECE" w:rsidRDefault="00F23588" w:rsidP="005670EF">
            <w:pPr>
              <w:rPr>
                <w:szCs w:val="22"/>
              </w:rPr>
            </w:pPr>
            <w:r w:rsidRPr="00F93ECE">
              <w:rPr>
                <w:szCs w:val="22"/>
              </w:rPr>
              <w:t>Πραγματοποιήστε κ</w:t>
            </w:r>
            <w:r w:rsidR="001A72B8" w:rsidRPr="00F93ECE">
              <w:rPr>
                <w:szCs w:val="22"/>
              </w:rPr>
              <w:t xml:space="preserve">αθημερινή εναλλάξ </w:t>
            </w:r>
            <w:r w:rsidR="003A66B9" w:rsidRPr="00F93ECE">
              <w:rPr>
                <w:szCs w:val="22"/>
              </w:rPr>
              <w:t>χορήγηση</w:t>
            </w:r>
            <w:r w:rsidR="00D478B4" w:rsidRPr="00F93ECE">
              <w:rPr>
                <w:szCs w:val="22"/>
              </w:rPr>
              <w:t xml:space="preserve"> το πρωί</w:t>
            </w:r>
            <w:r w:rsidR="00243135" w:rsidRPr="00F93ECE">
              <w:rPr>
                <w:szCs w:val="22"/>
              </w:rPr>
              <w:t xml:space="preserve">: </w:t>
            </w:r>
          </w:p>
          <w:p w14:paraId="762C57AD" w14:textId="7FF17ECB" w:rsidR="00243135" w:rsidRPr="00F93ECE" w:rsidRDefault="001A72B8" w:rsidP="00243135">
            <w:pPr>
              <w:pStyle w:val="ListParagraph"/>
              <w:numPr>
                <w:ilvl w:val="0"/>
                <w:numId w:val="64"/>
              </w:numPr>
              <w:suppressAutoHyphens w:val="0"/>
              <w:contextualSpacing/>
              <w:rPr>
                <w:szCs w:val="22"/>
              </w:rPr>
            </w:pPr>
            <w:r w:rsidRPr="00F93ECE">
              <w:rPr>
                <w:szCs w:val="22"/>
              </w:rPr>
              <w:t>τη</w:t>
            </w:r>
            <w:r w:rsidR="0079725A" w:rsidRPr="00F93ECE">
              <w:rPr>
                <w:szCs w:val="22"/>
              </w:rPr>
              <w:t>ν</w:t>
            </w:r>
            <w:r w:rsidRPr="00F93ECE">
              <w:rPr>
                <w:szCs w:val="22"/>
              </w:rPr>
              <w:t xml:space="preserve"> </w:t>
            </w:r>
            <w:r w:rsidR="0079725A" w:rsidRPr="00F93ECE">
              <w:rPr>
                <w:szCs w:val="22"/>
              </w:rPr>
              <w:t xml:space="preserve">πρώτη </w:t>
            </w:r>
            <w:r w:rsidRPr="00F93ECE">
              <w:rPr>
                <w:szCs w:val="22"/>
              </w:rPr>
              <w:t>ημέρα δύο δισκία</w:t>
            </w:r>
            <w:r w:rsidR="00243135" w:rsidRPr="00F93ECE">
              <w:rPr>
                <w:szCs w:val="22"/>
              </w:rPr>
              <w:t xml:space="preserve"> ivacaftor 75 mg/tezacaftor 50 mg/elexacaftor 100 mg </w:t>
            </w:r>
          </w:p>
          <w:p w14:paraId="1E2C8E59" w14:textId="6E9A1E8A" w:rsidR="00243135" w:rsidRPr="00F93ECE" w:rsidRDefault="001A72B8" w:rsidP="00243135">
            <w:pPr>
              <w:pStyle w:val="ListParagraph"/>
              <w:numPr>
                <w:ilvl w:val="0"/>
                <w:numId w:val="64"/>
              </w:numPr>
              <w:suppressAutoHyphens w:val="0"/>
              <w:contextualSpacing/>
              <w:rPr>
                <w:szCs w:val="22"/>
              </w:rPr>
            </w:pPr>
            <w:r w:rsidRPr="00F93ECE">
              <w:rPr>
                <w:szCs w:val="22"/>
              </w:rPr>
              <w:t xml:space="preserve">την </w:t>
            </w:r>
            <w:r w:rsidR="00D478B4" w:rsidRPr="00F93ECE">
              <w:rPr>
                <w:szCs w:val="22"/>
              </w:rPr>
              <w:t>επόμενη</w:t>
            </w:r>
            <w:r w:rsidRPr="00F93ECE">
              <w:rPr>
                <w:szCs w:val="22"/>
              </w:rPr>
              <w:t xml:space="preserve"> ημέρα ένα δισκίο</w:t>
            </w:r>
            <w:r w:rsidR="00243135" w:rsidRPr="00F93ECE">
              <w:rPr>
                <w:szCs w:val="22"/>
              </w:rPr>
              <w:t xml:space="preserve"> ivacaftor 150 mg </w:t>
            </w:r>
          </w:p>
          <w:p w14:paraId="2E5DA19C" w14:textId="0407F5E8" w:rsidR="00243135" w:rsidRPr="00F93ECE" w:rsidRDefault="00F23588" w:rsidP="005670EF">
            <w:pPr>
              <w:ind w:left="50"/>
              <w:rPr>
                <w:szCs w:val="22"/>
              </w:rPr>
            </w:pPr>
            <w:r w:rsidRPr="00F93ECE">
              <w:rPr>
                <w:szCs w:val="22"/>
              </w:rPr>
              <w:t>Συνεχίστε την</w:t>
            </w:r>
            <w:r w:rsidR="001A72B8" w:rsidRPr="00F93ECE">
              <w:rPr>
                <w:szCs w:val="22"/>
              </w:rPr>
              <w:t xml:space="preserve"> καθημερινή εναλλάξ </w:t>
            </w:r>
            <w:r w:rsidR="003A66B9" w:rsidRPr="00F93ECE">
              <w:rPr>
                <w:szCs w:val="22"/>
              </w:rPr>
              <w:t>χορήγηση</w:t>
            </w:r>
            <w:r w:rsidR="001A72B8" w:rsidRPr="00F93ECE">
              <w:rPr>
                <w:szCs w:val="22"/>
              </w:rPr>
              <w:t xml:space="preserve"> δισκίων</w:t>
            </w:r>
            <w:r w:rsidR="00243135" w:rsidRPr="00F93ECE">
              <w:rPr>
                <w:szCs w:val="22"/>
              </w:rPr>
              <w:t>.</w:t>
            </w:r>
          </w:p>
          <w:p w14:paraId="590D96C4" w14:textId="77777777" w:rsidR="00243135" w:rsidRPr="00F93ECE" w:rsidRDefault="00243135" w:rsidP="005670EF">
            <w:pPr>
              <w:ind w:left="50"/>
              <w:rPr>
                <w:szCs w:val="22"/>
              </w:rPr>
            </w:pPr>
          </w:p>
          <w:p w14:paraId="795DC6C6" w14:textId="4B3A5C4E" w:rsidR="00243135" w:rsidRPr="00F93ECE" w:rsidRDefault="00722183" w:rsidP="005670EF">
            <w:pPr>
              <w:ind w:left="50"/>
              <w:rPr>
                <w:szCs w:val="22"/>
              </w:rPr>
            </w:pPr>
            <w:r w:rsidRPr="00F93ECE">
              <w:rPr>
                <w:szCs w:val="22"/>
              </w:rPr>
              <w:t>Καμία βραδινή δόση</w:t>
            </w:r>
            <w:r w:rsidR="00243135" w:rsidRPr="00F93ECE">
              <w:rPr>
                <w:szCs w:val="22"/>
              </w:rPr>
              <w:t>.</w:t>
            </w:r>
          </w:p>
        </w:tc>
        <w:tc>
          <w:tcPr>
            <w:tcW w:w="3827" w:type="dxa"/>
          </w:tcPr>
          <w:p w14:paraId="1D9F9783" w14:textId="27F30D0B" w:rsidR="00243135" w:rsidRPr="00F93ECE" w:rsidRDefault="00494AAD" w:rsidP="005670EF">
            <w:pPr>
              <w:rPr>
                <w:szCs w:val="22"/>
              </w:rPr>
            </w:pPr>
            <w:r w:rsidRPr="00F93ECE">
              <w:rPr>
                <w:szCs w:val="22"/>
              </w:rPr>
              <w:t>Δύο</w:t>
            </w:r>
            <w:r w:rsidR="00296AC7">
              <w:rPr>
                <w:szCs w:val="22"/>
              </w:rPr>
              <w:t xml:space="preserve"> πρωινά</w:t>
            </w:r>
            <w:r w:rsidRPr="00F93ECE">
              <w:rPr>
                <w:szCs w:val="22"/>
              </w:rPr>
              <w:t xml:space="preserve"> δισκία </w:t>
            </w:r>
            <w:r w:rsidR="00243135" w:rsidRPr="00F93ECE">
              <w:rPr>
                <w:szCs w:val="22"/>
              </w:rPr>
              <w:t>ivacaftor 75 mg/tezacaftor 50 mg/elexacaftor 100 mg</w:t>
            </w:r>
            <w:r w:rsidR="00243135" w:rsidRPr="00F93ECE">
              <w:rPr>
                <w:bCs/>
                <w:szCs w:val="22"/>
              </w:rPr>
              <w:t xml:space="preserve"> </w:t>
            </w:r>
            <w:r w:rsidR="001A72B8" w:rsidRPr="00F93ECE">
              <w:rPr>
                <w:bCs/>
                <w:szCs w:val="22"/>
              </w:rPr>
              <w:t xml:space="preserve">δύο φορές την εβδομάδα, </w:t>
            </w:r>
            <w:r w:rsidR="001A72B8" w:rsidRPr="00F93ECE">
              <w:rPr>
                <w:szCs w:val="22"/>
              </w:rPr>
              <w:t xml:space="preserve">με χρονική απόσταση περίπου 3 έως 4 ημερών μεταξύ των δύο </w:t>
            </w:r>
            <w:r w:rsidR="003A66B9" w:rsidRPr="00F93ECE">
              <w:rPr>
                <w:szCs w:val="22"/>
              </w:rPr>
              <w:t>χορηγήσεων</w:t>
            </w:r>
            <w:r w:rsidR="00243135" w:rsidRPr="00F93ECE">
              <w:rPr>
                <w:szCs w:val="22"/>
              </w:rPr>
              <w:t>.</w:t>
            </w:r>
          </w:p>
          <w:p w14:paraId="0E84408E" w14:textId="77777777" w:rsidR="00243135" w:rsidRPr="00F93ECE" w:rsidRDefault="00243135" w:rsidP="005670EF">
            <w:pPr>
              <w:rPr>
                <w:szCs w:val="22"/>
              </w:rPr>
            </w:pPr>
          </w:p>
          <w:p w14:paraId="02AD3166" w14:textId="1845E664" w:rsidR="00243135" w:rsidRPr="00F93ECE" w:rsidRDefault="00722183" w:rsidP="005670EF">
            <w:pPr>
              <w:rPr>
                <w:szCs w:val="22"/>
              </w:rPr>
            </w:pPr>
            <w:r w:rsidRPr="00F93ECE">
              <w:rPr>
                <w:szCs w:val="22"/>
              </w:rPr>
              <w:t>Καμία βραδινή δόση</w:t>
            </w:r>
            <w:r w:rsidR="00243135" w:rsidRPr="00F93ECE">
              <w:rPr>
                <w:szCs w:val="22"/>
              </w:rPr>
              <w:t>.</w:t>
            </w:r>
          </w:p>
        </w:tc>
      </w:tr>
    </w:tbl>
    <w:p w14:paraId="1F62E328" w14:textId="77777777" w:rsidR="00243135" w:rsidRPr="007D5E5D" w:rsidRDefault="00243135">
      <w:pPr>
        <w:keepNext/>
        <w:rPr>
          <w:rFonts w:eastAsia="Times New Roman"/>
          <w:szCs w:val="22"/>
          <w:u w:val="single"/>
        </w:rPr>
      </w:pPr>
    </w:p>
    <w:p w14:paraId="36E3E805" w14:textId="40BFF691" w:rsidR="00A67D3A" w:rsidRPr="0047462D" w:rsidRDefault="00A67D3A">
      <w:pPr>
        <w:keepNext/>
        <w:rPr>
          <w:szCs w:val="22"/>
          <w:lang w:eastAsia="en-US"/>
        </w:rPr>
      </w:pPr>
      <w:r w:rsidRPr="0047462D">
        <w:rPr>
          <w:rFonts w:eastAsia="Times New Roman"/>
          <w:szCs w:val="22"/>
          <w:u w:val="single"/>
        </w:rPr>
        <w:t>Ειδικοί πληθυσμοί</w:t>
      </w:r>
    </w:p>
    <w:p w14:paraId="6048D67D" w14:textId="77777777" w:rsidR="00A67D3A" w:rsidRPr="0047462D" w:rsidRDefault="00A67D3A">
      <w:pPr>
        <w:pStyle w:val="labeltext"/>
        <w:keepNext/>
        <w:rPr>
          <w:sz w:val="22"/>
          <w:szCs w:val="22"/>
          <w:lang w:val="el-GR" w:eastAsia="en-US"/>
        </w:rPr>
      </w:pPr>
    </w:p>
    <w:p w14:paraId="65596EF8" w14:textId="69BBF6FD" w:rsidR="008E7AAA" w:rsidRPr="0047462D" w:rsidRDefault="008E7AAA" w:rsidP="008E7AAA">
      <w:pPr>
        <w:keepNext/>
        <w:rPr>
          <w:b/>
          <w:bCs/>
        </w:rPr>
      </w:pPr>
      <w:r w:rsidRPr="0047462D">
        <w:rPr>
          <w:bCs/>
          <w:i/>
          <w:iCs/>
          <w:szCs w:val="22"/>
          <w:lang w:eastAsia="en-US"/>
        </w:rPr>
        <w:t>Ηλικιωμένοι</w:t>
      </w:r>
      <w:r w:rsidRPr="0047462D">
        <w:rPr>
          <w:b/>
          <w:bCs/>
        </w:rPr>
        <w:t xml:space="preserve"> </w:t>
      </w:r>
    </w:p>
    <w:p w14:paraId="6AFF29EA" w14:textId="77777777" w:rsidR="00606C82" w:rsidRPr="0047462D" w:rsidRDefault="00606C82" w:rsidP="008E7AAA">
      <w:pPr>
        <w:keepNext/>
        <w:rPr>
          <w:b/>
          <w:bCs/>
        </w:rPr>
      </w:pPr>
    </w:p>
    <w:p w14:paraId="33032013" w14:textId="3E0BE2D4" w:rsidR="008E7AAA" w:rsidRPr="0047462D" w:rsidRDefault="00DA1068" w:rsidP="008E7AAA">
      <w:pPr>
        <w:rPr>
          <w:rFonts w:eastAsia="Times New Roman"/>
          <w:szCs w:val="22"/>
        </w:rPr>
      </w:pPr>
      <w:r w:rsidRPr="0047462D">
        <w:rPr>
          <w:rFonts w:eastAsia="Times New Roman"/>
          <w:szCs w:val="22"/>
        </w:rPr>
        <w:t>Δ</w:t>
      </w:r>
      <w:r w:rsidR="008E7AAA" w:rsidRPr="0047462D">
        <w:rPr>
          <w:rFonts w:eastAsia="Times New Roman"/>
          <w:szCs w:val="22"/>
        </w:rPr>
        <w:t xml:space="preserve">ιατίθενται πολύ περιορισμένα δεδομένα για τους ηλικιωμένους ασθενείς που </w:t>
      </w:r>
      <w:r w:rsidR="00D92F09" w:rsidRPr="0047462D">
        <w:rPr>
          <w:rFonts w:eastAsia="Times New Roman"/>
          <w:szCs w:val="22"/>
        </w:rPr>
        <w:t>έλαβαν θεραπεία με</w:t>
      </w:r>
      <w:r w:rsidR="00C246E2" w:rsidRPr="0047462D">
        <w:rPr>
          <w:rFonts w:eastAsia="Times New Roman"/>
          <w:szCs w:val="22"/>
        </w:rPr>
        <w:t xml:space="preserve"> </w:t>
      </w:r>
      <w:r w:rsidR="008E7AAA" w:rsidRPr="0047462D">
        <w:rPr>
          <w:rFonts w:eastAsia="Times New Roman"/>
          <w:szCs w:val="22"/>
        </w:rPr>
        <w:t xml:space="preserve">ivacaftor </w:t>
      </w:r>
      <w:r w:rsidR="00C246E2" w:rsidRPr="0047462D">
        <w:t>(χορηγούμενο ως μονοθεραπεία ή σε συνδυαστικό σχήμα)</w:t>
      </w:r>
      <w:r w:rsidR="00C246E2" w:rsidRPr="0047462D">
        <w:rPr>
          <w:rFonts w:eastAsia="Times New Roman"/>
          <w:szCs w:val="22"/>
        </w:rPr>
        <w:t>.</w:t>
      </w:r>
      <w:r w:rsidR="008E7AAA" w:rsidRPr="0047462D">
        <w:rPr>
          <w:rFonts w:eastAsia="Times New Roman"/>
          <w:szCs w:val="22"/>
        </w:rPr>
        <w:t xml:space="preserve"> </w:t>
      </w:r>
      <w:r w:rsidR="008B74A6" w:rsidRPr="0047462D">
        <w:t>Δ</w:t>
      </w:r>
      <w:r w:rsidR="008B74A6" w:rsidRPr="0047462D">
        <w:rPr>
          <w:rFonts w:eastAsia="Times New Roman"/>
          <w:szCs w:val="22"/>
        </w:rPr>
        <w:t xml:space="preserve">εν απαιτείται προσαρμογή της δόσης ειδικά για αυτόν τον πληθυσμό ασθενών </w:t>
      </w:r>
      <w:r w:rsidR="008B74A6" w:rsidRPr="00F93ECE">
        <w:t>(</w:t>
      </w:r>
      <w:r w:rsidR="008B74A6" w:rsidRPr="0047462D">
        <w:t>βλ. παράγραφο </w:t>
      </w:r>
      <w:r w:rsidR="008B74A6" w:rsidRPr="00F93ECE">
        <w:t>5.2)</w:t>
      </w:r>
    </w:p>
    <w:p w14:paraId="19F235AC" w14:textId="77777777" w:rsidR="008E7AAA" w:rsidRPr="0047462D" w:rsidRDefault="008E7AAA" w:rsidP="008E7AAA"/>
    <w:p w14:paraId="7C01C6DF" w14:textId="59F7E653" w:rsidR="00A67D3A" w:rsidRPr="0047462D" w:rsidRDefault="00A67D3A" w:rsidP="00141E57">
      <w:pPr>
        <w:keepNext/>
        <w:rPr>
          <w:rFonts w:eastAsia="Times New Roman"/>
          <w:i/>
          <w:iCs/>
          <w:szCs w:val="22"/>
        </w:rPr>
      </w:pPr>
      <w:r w:rsidRPr="0047462D">
        <w:rPr>
          <w:rFonts w:eastAsia="Times New Roman"/>
          <w:i/>
          <w:iCs/>
          <w:szCs w:val="22"/>
        </w:rPr>
        <w:t>Νεφρική δυσλειτουργία</w:t>
      </w:r>
    </w:p>
    <w:p w14:paraId="164BE2C9" w14:textId="77777777" w:rsidR="00606C82" w:rsidRPr="0047462D" w:rsidRDefault="00606C82" w:rsidP="00141E57">
      <w:pPr>
        <w:keepNext/>
        <w:rPr>
          <w:rFonts w:eastAsia="Times New Roman"/>
          <w:i/>
          <w:iCs/>
          <w:szCs w:val="22"/>
        </w:rPr>
      </w:pPr>
    </w:p>
    <w:p w14:paraId="6B374C79" w14:textId="6909A84B" w:rsidR="00A67D3A" w:rsidRPr="0047462D" w:rsidRDefault="00A67D3A" w:rsidP="002331FF">
      <w:pPr>
        <w:pStyle w:val="labeltext"/>
        <w:rPr>
          <w:sz w:val="22"/>
          <w:szCs w:val="22"/>
          <w:lang w:val="el-GR"/>
        </w:rPr>
      </w:pPr>
      <w:r w:rsidRPr="0047462D">
        <w:rPr>
          <w:rFonts w:eastAsia="Times New Roman"/>
          <w:sz w:val="22"/>
          <w:szCs w:val="22"/>
          <w:lang w:val="el-GR"/>
        </w:rPr>
        <w:t xml:space="preserve">Δεν απαιτείται ρύθμιση της δόσης σε ασθενείς με ήπια έως μέτρια νεφρική δυσλειτουργία. Συνιστάται προσοχή σε ασθενείς με </w:t>
      </w:r>
      <w:r w:rsidR="00603BB8" w:rsidRPr="0047462D">
        <w:rPr>
          <w:rFonts w:eastAsia="Times New Roman"/>
          <w:sz w:val="22"/>
          <w:szCs w:val="22"/>
          <w:lang w:val="el-GR"/>
        </w:rPr>
        <w:t xml:space="preserve">σοβαρή </w:t>
      </w:r>
      <w:r w:rsidRPr="0047462D">
        <w:rPr>
          <w:rFonts w:eastAsia="Times New Roman"/>
          <w:sz w:val="22"/>
          <w:szCs w:val="22"/>
          <w:lang w:val="el-GR"/>
        </w:rPr>
        <w:t>νεφρική δυσλειτουργία (κάθαρση κρεατινίνης μικρότερη ή ίση των 30 </w:t>
      </w:r>
      <w:r w:rsidRPr="0047462D">
        <w:rPr>
          <w:sz w:val="22"/>
          <w:lang w:val="en-GB"/>
        </w:rPr>
        <w:t>m</w:t>
      </w:r>
      <w:r w:rsidRPr="0047462D">
        <w:rPr>
          <w:sz w:val="22"/>
          <w:szCs w:val="22"/>
        </w:rPr>
        <w:t>l</w:t>
      </w:r>
      <w:r w:rsidRPr="0047462D">
        <w:rPr>
          <w:rFonts w:eastAsia="Times New Roman"/>
          <w:sz w:val="22"/>
          <w:szCs w:val="22"/>
          <w:lang w:val="el-GR"/>
        </w:rPr>
        <w:t>/min) ή νεφρική νόσο τελικού σταδίου (βλ. παραγράφους</w:t>
      </w:r>
      <w:r w:rsidRPr="0047462D">
        <w:rPr>
          <w:rFonts w:eastAsia="Times New Roman"/>
          <w:sz w:val="22"/>
          <w:szCs w:val="22"/>
          <w:lang w:val="en-GB"/>
        </w:rPr>
        <w:t> </w:t>
      </w:r>
      <w:r w:rsidRPr="0047462D">
        <w:rPr>
          <w:rFonts w:eastAsia="Times New Roman"/>
          <w:sz w:val="22"/>
          <w:szCs w:val="22"/>
          <w:lang w:val="el-GR"/>
        </w:rPr>
        <w:t>4.4 και</w:t>
      </w:r>
      <w:r w:rsidRPr="0047462D">
        <w:rPr>
          <w:rFonts w:eastAsia="Times New Roman"/>
          <w:sz w:val="22"/>
          <w:szCs w:val="22"/>
          <w:lang w:val="en-GB"/>
        </w:rPr>
        <w:t> </w:t>
      </w:r>
      <w:r w:rsidRPr="0047462D">
        <w:rPr>
          <w:rFonts w:eastAsia="Times New Roman"/>
          <w:sz w:val="22"/>
          <w:szCs w:val="22"/>
          <w:lang w:val="el-GR"/>
        </w:rPr>
        <w:t>5.2).</w:t>
      </w:r>
    </w:p>
    <w:p w14:paraId="437DBAB6" w14:textId="77777777" w:rsidR="00A67D3A" w:rsidRPr="0047462D" w:rsidRDefault="00A67D3A">
      <w:pPr>
        <w:pStyle w:val="labeltext"/>
        <w:rPr>
          <w:sz w:val="22"/>
          <w:szCs w:val="22"/>
          <w:lang w:val="el-GR"/>
        </w:rPr>
      </w:pPr>
    </w:p>
    <w:p w14:paraId="4970C297" w14:textId="7847EA52" w:rsidR="00A67D3A" w:rsidRPr="0047462D" w:rsidRDefault="00A67D3A">
      <w:pPr>
        <w:pStyle w:val="labeltextheading"/>
        <w:rPr>
          <w:rFonts w:eastAsia="Times New Roman"/>
          <w:sz w:val="22"/>
          <w:szCs w:val="22"/>
          <w:lang w:val="el-GR"/>
        </w:rPr>
      </w:pPr>
      <w:r w:rsidRPr="0047462D">
        <w:rPr>
          <w:rFonts w:eastAsia="Times New Roman"/>
          <w:sz w:val="22"/>
          <w:szCs w:val="22"/>
          <w:lang w:val="el-GR"/>
        </w:rPr>
        <w:t>Ηπατική δυσλειτουργία</w:t>
      </w:r>
    </w:p>
    <w:p w14:paraId="79F5398E" w14:textId="77777777" w:rsidR="00606C82" w:rsidRPr="0047462D" w:rsidRDefault="00606C82">
      <w:pPr>
        <w:pStyle w:val="labeltextheading"/>
        <w:rPr>
          <w:rFonts w:eastAsia="Times New Roman"/>
          <w:sz w:val="22"/>
          <w:szCs w:val="22"/>
          <w:lang w:val="el-GR"/>
        </w:rPr>
      </w:pPr>
    </w:p>
    <w:p w14:paraId="7A073251" w14:textId="751520F5" w:rsidR="00494AAD" w:rsidRPr="0047462D" w:rsidRDefault="00A67D3A">
      <w:pPr>
        <w:pStyle w:val="labeltext"/>
        <w:rPr>
          <w:rFonts w:eastAsia="Times New Roman"/>
          <w:sz w:val="22"/>
          <w:szCs w:val="22"/>
          <w:lang w:val="el-GR"/>
        </w:rPr>
      </w:pPr>
      <w:r w:rsidRPr="0047462D">
        <w:rPr>
          <w:rFonts w:eastAsia="Times New Roman"/>
          <w:sz w:val="22"/>
          <w:szCs w:val="22"/>
          <w:lang w:val="el-GR"/>
        </w:rPr>
        <w:t xml:space="preserve">Δεν απαιτείται ρύθμιση της δόσης </w:t>
      </w:r>
      <w:r w:rsidR="005A3D35" w:rsidRPr="0047462D">
        <w:rPr>
          <w:rFonts w:eastAsia="Times New Roman"/>
          <w:sz w:val="22"/>
          <w:szCs w:val="22"/>
          <w:lang w:val="el-GR"/>
        </w:rPr>
        <w:t xml:space="preserve">για το </w:t>
      </w:r>
      <w:r w:rsidR="005A3D35" w:rsidRPr="0047462D">
        <w:rPr>
          <w:sz w:val="22"/>
          <w:szCs w:val="22"/>
          <w:lang w:val="en-GB"/>
        </w:rPr>
        <w:t>ivacaftor</w:t>
      </w:r>
      <w:r w:rsidR="005A3D35" w:rsidRPr="00F93ECE">
        <w:rPr>
          <w:sz w:val="22"/>
          <w:szCs w:val="22"/>
          <w:lang w:val="el-GR"/>
        </w:rPr>
        <w:t xml:space="preserve"> </w:t>
      </w:r>
      <w:r w:rsidR="005A3D35" w:rsidRPr="0047462D">
        <w:rPr>
          <w:sz w:val="22"/>
          <w:szCs w:val="22"/>
          <w:lang w:val="el-GR"/>
        </w:rPr>
        <w:t xml:space="preserve">ως μονοθεραπεία ή σε συνδυαστικό σχήμα </w:t>
      </w:r>
      <w:r w:rsidRPr="0047462D">
        <w:rPr>
          <w:rFonts w:eastAsia="Times New Roman"/>
          <w:sz w:val="22"/>
          <w:szCs w:val="22"/>
          <w:lang w:val="el-GR"/>
        </w:rPr>
        <w:t xml:space="preserve">σε ασθενείς με ήπια ηπατική δυσλειτουργία (Τάξη Α κατά Child-Pugh). </w:t>
      </w:r>
    </w:p>
    <w:p w14:paraId="187C941B" w14:textId="7E4A87B4" w:rsidR="00494AAD" w:rsidRPr="0047462D" w:rsidRDefault="00494AAD">
      <w:pPr>
        <w:pStyle w:val="labeltext"/>
        <w:rPr>
          <w:rFonts w:eastAsia="Times New Roman"/>
          <w:sz w:val="22"/>
          <w:szCs w:val="22"/>
          <w:lang w:val="el-GR"/>
        </w:rPr>
      </w:pPr>
    </w:p>
    <w:p w14:paraId="42BB270E" w14:textId="043DE0D0" w:rsidR="005A3D35" w:rsidRPr="00F93ECE" w:rsidRDefault="00F23588" w:rsidP="00494AAD">
      <w:pPr>
        <w:pStyle w:val="labeltextheading"/>
        <w:keepNext w:val="0"/>
        <w:rPr>
          <w:i w:val="0"/>
          <w:sz w:val="22"/>
          <w:szCs w:val="22"/>
          <w:lang w:val="el-GR"/>
        </w:rPr>
      </w:pPr>
      <w:r w:rsidRPr="0047462D">
        <w:rPr>
          <w:i w:val="0"/>
          <w:sz w:val="22"/>
          <w:szCs w:val="22"/>
          <w:lang w:val="el-GR"/>
        </w:rPr>
        <w:t xml:space="preserve">Για ασθενείς με μέτρια ηπατική δυσλειτουργία </w:t>
      </w:r>
      <w:r w:rsidR="00494AAD" w:rsidRPr="00F93ECE">
        <w:rPr>
          <w:i w:val="0"/>
          <w:sz w:val="22"/>
          <w:szCs w:val="22"/>
          <w:lang w:val="el-GR"/>
        </w:rPr>
        <w:t>(</w:t>
      </w:r>
      <w:r w:rsidRPr="0047462D">
        <w:rPr>
          <w:i w:val="0"/>
          <w:sz w:val="22"/>
          <w:szCs w:val="22"/>
          <w:lang w:val="el-GR"/>
        </w:rPr>
        <w:t xml:space="preserve">Τάξη Β κατά </w:t>
      </w:r>
      <w:r w:rsidR="00494AAD" w:rsidRPr="0047462D">
        <w:rPr>
          <w:i w:val="0"/>
          <w:sz w:val="22"/>
          <w:szCs w:val="22"/>
          <w:lang w:val="en-GB"/>
        </w:rPr>
        <w:t>Child</w:t>
      </w:r>
      <w:r w:rsidR="00494AAD" w:rsidRPr="00F93ECE">
        <w:rPr>
          <w:i w:val="0"/>
          <w:sz w:val="22"/>
          <w:szCs w:val="22"/>
          <w:lang w:val="el-GR"/>
        </w:rPr>
        <w:noBreakHyphen/>
      </w:r>
      <w:r w:rsidR="00494AAD" w:rsidRPr="0047462D">
        <w:rPr>
          <w:i w:val="0"/>
          <w:sz w:val="22"/>
          <w:szCs w:val="22"/>
          <w:lang w:val="en-GB"/>
        </w:rPr>
        <w:t>Pugh</w:t>
      </w:r>
      <w:r w:rsidR="00494AAD" w:rsidRPr="00F93ECE">
        <w:rPr>
          <w:i w:val="0"/>
          <w:sz w:val="22"/>
          <w:szCs w:val="22"/>
          <w:lang w:val="el-GR"/>
        </w:rPr>
        <w:t>)</w:t>
      </w:r>
      <w:r w:rsidR="007B22D5" w:rsidRPr="00F93ECE">
        <w:rPr>
          <w:i w:val="0"/>
          <w:sz w:val="22"/>
          <w:szCs w:val="22"/>
          <w:lang w:val="el-GR"/>
        </w:rPr>
        <w:t>,</w:t>
      </w:r>
      <w:r w:rsidR="00494AAD" w:rsidRPr="00F93ECE">
        <w:rPr>
          <w:i w:val="0"/>
          <w:sz w:val="22"/>
          <w:szCs w:val="22"/>
          <w:lang w:val="el-GR"/>
        </w:rPr>
        <w:t xml:space="preserve"> </w:t>
      </w:r>
      <w:r w:rsidRPr="0047462D">
        <w:rPr>
          <w:i w:val="0"/>
          <w:sz w:val="22"/>
          <w:szCs w:val="22"/>
          <w:lang w:val="el-GR"/>
        </w:rPr>
        <w:t xml:space="preserve">η δόση του </w:t>
      </w:r>
      <w:r w:rsidR="00494AAD" w:rsidRPr="0047462D">
        <w:rPr>
          <w:i w:val="0"/>
          <w:sz w:val="22"/>
          <w:szCs w:val="22"/>
          <w:lang w:val="en-GB"/>
        </w:rPr>
        <w:t>ivacaftor</w:t>
      </w:r>
      <w:r w:rsidR="00494AAD" w:rsidRPr="00F93ECE">
        <w:rPr>
          <w:i w:val="0"/>
          <w:sz w:val="22"/>
          <w:szCs w:val="22"/>
          <w:lang w:val="el-GR"/>
        </w:rPr>
        <w:t xml:space="preserve"> </w:t>
      </w:r>
      <w:r w:rsidRPr="0047462D">
        <w:rPr>
          <w:i w:val="0"/>
          <w:sz w:val="22"/>
          <w:szCs w:val="22"/>
          <w:lang w:val="el-GR"/>
        </w:rPr>
        <w:t xml:space="preserve">ως μονοθεραπεία θα πρέπει να μειωθεί στα </w:t>
      </w:r>
      <w:r w:rsidR="00494AAD" w:rsidRPr="00F93ECE">
        <w:rPr>
          <w:i w:val="0"/>
          <w:sz w:val="22"/>
          <w:szCs w:val="22"/>
          <w:lang w:val="el-GR"/>
        </w:rPr>
        <w:t>150</w:t>
      </w:r>
      <w:r w:rsidR="00494AAD" w:rsidRPr="0047462D">
        <w:rPr>
          <w:i w:val="0"/>
          <w:sz w:val="22"/>
          <w:szCs w:val="22"/>
          <w:lang w:val="en-GB"/>
        </w:rPr>
        <w:t> mg</w:t>
      </w:r>
      <w:r w:rsidR="00494AAD" w:rsidRPr="00F93ECE">
        <w:rPr>
          <w:i w:val="0"/>
          <w:sz w:val="22"/>
          <w:szCs w:val="22"/>
          <w:lang w:val="el-GR"/>
        </w:rPr>
        <w:t xml:space="preserve"> </w:t>
      </w:r>
      <w:r w:rsidRPr="0047462D">
        <w:rPr>
          <w:i w:val="0"/>
          <w:sz w:val="22"/>
          <w:szCs w:val="22"/>
          <w:lang w:val="el-GR"/>
        </w:rPr>
        <w:t>άπαξ ημερησίως</w:t>
      </w:r>
      <w:r w:rsidR="00494AAD" w:rsidRPr="00F93ECE">
        <w:rPr>
          <w:i w:val="0"/>
          <w:sz w:val="22"/>
          <w:szCs w:val="22"/>
          <w:lang w:val="el-GR"/>
        </w:rPr>
        <w:t xml:space="preserve">. </w:t>
      </w:r>
    </w:p>
    <w:p w14:paraId="4F7DD355" w14:textId="77777777" w:rsidR="005A3D35" w:rsidRPr="00F93ECE" w:rsidRDefault="005A3D35" w:rsidP="00494AAD">
      <w:pPr>
        <w:pStyle w:val="labeltextheading"/>
        <w:keepNext w:val="0"/>
        <w:rPr>
          <w:i w:val="0"/>
          <w:sz w:val="22"/>
          <w:szCs w:val="22"/>
          <w:lang w:val="el-GR"/>
        </w:rPr>
      </w:pPr>
    </w:p>
    <w:p w14:paraId="13E4CFC1" w14:textId="328A37D0" w:rsidR="005A3D35" w:rsidRPr="00F93ECE" w:rsidRDefault="005A3D35" w:rsidP="00494AAD">
      <w:pPr>
        <w:pStyle w:val="labeltextheading"/>
        <w:keepNext w:val="0"/>
        <w:rPr>
          <w:i w:val="0"/>
          <w:sz w:val="22"/>
          <w:szCs w:val="22"/>
          <w:lang w:val="el-GR"/>
        </w:rPr>
      </w:pPr>
      <w:r w:rsidRPr="0047462D">
        <w:rPr>
          <w:i w:val="0"/>
          <w:sz w:val="22"/>
          <w:szCs w:val="22"/>
          <w:lang w:val="el-GR"/>
        </w:rPr>
        <w:t>Για</w:t>
      </w:r>
      <w:r w:rsidR="00892E8D" w:rsidRPr="0047462D">
        <w:rPr>
          <w:i w:val="0"/>
          <w:sz w:val="22"/>
          <w:szCs w:val="22"/>
          <w:lang w:val="el-GR"/>
        </w:rPr>
        <w:t xml:space="preserve"> ασθενείς με </w:t>
      </w:r>
      <w:r w:rsidR="00D91C4A" w:rsidRPr="0047462D">
        <w:rPr>
          <w:i w:val="0"/>
          <w:sz w:val="22"/>
          <w:szCs w:val="22"/>
          <w:lang w:val="el-GR"/>
        </w:rPr>
        <w:t xml:space="preserve">σοβαρή </w:t>
      </w:r>
      <w:r w:rsidR="00892E8D" w:rsidRPr="0047462D">
        <w:rPr>
          <w:i w:val="0"/>
          <w:sz w:val="22"/>
          <w:szCs w:val="22"/>
          <w:lang w:val="el-GR"/>
        </w:rPr>
        <w:t xml:space="preserve">ηπατική δυσλειτουργία </w:t>
      </w:r>
      <w:r w:rsidR="00494AAD" w:rsidRPr="00F93ECE">
        <w:rPr>
          <w:i w:val="0"/>
          <w:sz w:val="22"/>
          <w:szCs w:val="22"/>
          <w:lang w:val="el-GR"/>
        </w:rPr>
        <w:t>(</w:t>
      </w:r>
      <w:r w:rsidR="00892E8D" w:rsidRPr="0047462D">
        <w:rPr>
          <w:i w:val="0"/>
          <w:sz w:val="22"/>
          <w:szCs w:val="22"/>
          <w:lang w:val="el-GR"/>
        </w:rPr>
        <w:t xml:space="preserve">Τάξη Γ κατά </w:t>
      </w:r>
      <w:r w:rsidR="00494AAD" w:rsidRPr="0047462D">
        <w:rPr>
          <w:i w:val="0"/>
          <w:sz w:val="22"/>
          <w:szCs w:val="22"/>
          <w:lang w:val="en-GB"/>
        </w:rPr>
        <w:t>Child</w:t>
      </w:r>
      <w:r w:rsidR="00494AAD" w:rsidRPr="00F93ECE">
        <w:rPr>
          <w:i w:val="0"/>
          <w:sz w:val="22"/>
          <w:szCs w:val="22"/>
          <w:lang w:val="el-GR"/>
        </w:rPr>
        <w:t>-</w:t>
      </w:r>
      <w:r w:rsidR="00494AAD" w:rsidRPr="0047462D">
        <w:rPr>
          <w:i w:val="0"/>
          <w:sz w:val="22"/>
          <w:szCs w:val="22"/>
          <w:lang w:val="en-GB"/>
        </w:rPr>
        <w:t>Pugh</w:t>
      </w:r>
      <w:r w:rsidR="00494AAD" w:rsidRPr="00F93ECE">
        <w:rPr>
          <w:i w:val="0"/>
          <w:sz w:val="22"/>
          <w:szCs w:val="22"/>
          <w:lang w:val="el-GR"/>
        </w:rPr>
        <w:t>)</w:t>
      </w:r>
      <w:r w:rsidR="00892E8D" w:rsidRPr="0047462D">
        <w:rPr>
          <w:i w:val="0"/>
          <w:sz w:val="22"/>
          <w:szCs w:val="22"/>
          <w:lang w:val="el-GR"/>
        </w:rPr>
        <w:t xml:space="preserve">, η δόση του </w:t>
      </w:r>
      <w:r w:rsidR="00494AAD" w:rsidRPr="0047462D">
        <w:rPr>
          <w:i w:val="0"/>
          <w:sz w:val="22"/>
          <w:szCs w:val="22"/>
          <w:lang w:val="en-GB"/>
        </w:rPr>
        <w:t>ivacaftor</w:t>
      </w:r>
      <w:r w:rsidR="00494AAD" w:rsidRPr="00F93ECE">
        <w:rPr>
          <w:i w:val="0"/>
          <w:sz w:val="22"/>
          <w:szCs w:val="22"/>
          <w:lang w:val="el-GR"/>
        </w:rPr>
        <w:t xml:space="preserve"> </w:t>
      </w:r>
      <w:r w:rsidR="00892E8D" w:rsidRPr="0047462D">
        <w:rPr>
          <w:i w:val="0"/>
          <w:sz w:val="22"/>
          <w:szCs w:val="22"/>
          <w:lang w:val="el-GR"/>
        </w:rPr>
        <w:t xml:space="preserve">ως μονοθεραπεία </w:t>
      </w:r>
      <w:r w:rsidR="00ED49D1" w:rsidRPr="0047462D">
        <w:rPr>
          <w:i w:val="0"/>
          <w:sz w:val="22"/>
          <w:szCs w:val="22"/>
          <w:lang w:val="el-GR"/>
        </w:rPr>
        <w:t xml:space="preserve">θα πρέπει να </w:t>
      </w:r>
      <w:r w:rsidR="00C7516E" w:rsidRPr="0047462D">
        <w:rPr>
          <w:i w:val="0"/>
          <w:sz w:val="22"/>
          <w:szCs w:val="22"/>
          <w:lang w:val="el-GR"/>
        </w:rPr>
        <w:t>μειωθεί</w:t>
      </w:r>
      <w:r w:rsidR="00ED49D1" w:rsidRPr="0047462D">
        <w:rPr>
          <w:i w:val="0"/>
          <w:sz w:val="22"/>
          <w:szCs w:val="22"/>
          <w:lang w:val="el-GR"/>
        </w:rPr>
        <w:t xml:space="preserve"> στα </w:t>
      </w:r>
      <w:r w:rsidR="00494AAD" w:rsidRPr="00F93ECE">
        <w:rPr>
          <w:i w:val="0"/>
          <w:sz w:val="22"/>
          <w:szCs w:val="22"/>
          <w:lang w:val="el-GR"/>
        </w:rPr>
        <w:t>150</w:t>
      </w:r>
      <w:r w:rsidR="00494AAD" w:rsidRPr="0047462D">
        <w:rPr>
          <w:i w:val="0"/>
          <w:sz w:val="22"/>
          <w:szCs w:val="22"/>
          <w:lang w:val="en-GB"/>
        </w:rPr>
        <w:t> mg</w:t>
      </w:r>
      <w:r w:rsidR="00494AAD" w:rsidRPr="00F93ECE">
        <w:rPr>
          <w:i w:val="0"/>
          <w:sz w:val="22"/>
          <w:szCs w:val="22"/>
          <w:lang w:val="el-GR"/>
        </w:rPr>
        <w:t xml:space="preserve"> </w:t>
      </w:r>
      <w:r w:rsidR="00ED49D1" w:rsidRPr="0047462D">
        <w:rPr>
          <w:i w:val="0"/>
          <w:sz w:val="22"/>
          <w:szCs w:val="22"/>
          <w:lang w:val="el-GR"/>
        </w:rPr>
        <w:t>κάθε δεύτερη ημέρα ή λιγότερο συχνά</w:t>
      </w:r>
      <w:r w:rsidR="00494AAD" w:rsidRPr="00F93ECE">
        <w:rPr>
          <w:i w:val="0"/>
          <w:sz w:val="22"/>
          <w:szCs w:val="22"/>
          <w:lang w:val="el-GR"/>
        </w:rPr>
        <w:t xml:space="preserve">. </w:t>
      </w:r>
    </w:p>
    <w:p w14:paraId="22672743" w14:textId="77777777" w:rsidR="005A3D35" w:rsidRPr="00F93ECE" w:rsidRDefault="005A3D35" w:rsidP="00494AAD">
      <w:pPr>
        <w:pStyle w:val="labeltextheading"/>
        <w:keepNext w:val="0"/>
        <w:rPr>
          <w:i w:val="0"/>
          <w:sz w:val="22"/>
          <w:szCs w:val="22"/>
          <w:lang w:val="el-GR"/>
        </w:rPr>
      </w:pPr>
    </w:p>
    <w:p w14:paraId="3DBCD4AF" w14:textId="14A5F412" w:rsidR="00494AAD" w:rsidRPr="00F93ECE" w:rsidRDefault="005A3D35" w:rsidP="00494AAD">
      <w:pPr>
        <w:pStyle w:val="labeltextheading"/>
        <w:keepNext w:val="0"/>
        <w:rPr>
          <w:i w:val="0"/>
          <w:sz w:val="22"/>
          <w:szCs w:val="22"/>
          <w:lang w:val="el-GR"/>
        </w:rPr>
      </w:pPr>
      <w:r w:rsidRPr="0047462D">
        <w:rPr>
          <w:i w:val="0"/>
          <w:sz w:val="22"/>
          <w:szCs w:val="22"/>
          <w:lang w:val="el-GR"/>
        </w:rPr>
        <w:t xml:space="preserve">Για χρήση ως βραδινή δόση </w:t>
      </w:r>
      <w:r w:rsidR="00ED49D1" w:rsidRPr="0047462D">
        <w:rPr>
          <w:i w:val="0"/>
          <w:sz w:val="22"/>
          <w:szCs w:val="22"/>
          <w:lang w:val="el-GR"/>
        </w:rPr>
        <w:t xml:space="preserve">σε συνδυαστικό σχήμα με </w:t>
      </w:r>
      <w:r w:rsidRPr="0047462D">
        <w:rPr>
          <w:i w:val="0"/>
          <w:sz w:val="22"/>
          <w:szCs w:val="22"/>
          <w:lang w:val="el-GR"/>
        </w:rPr>
        <w:t xml:space="preserve">tezacaftor/ivacaftor ή </w:t>
      </w:r>
      <w:r w:rsidR="00494AAD" w:rsidRPr="0047462D">
        <w:rPr>
          <w:i w:val="0"/>
          <w:sz w:val="22"/>
          <w:szCs w:val="22"/>
          <w:lang w:val="en-GB"/>
        </w:rPr>
        <w:t>ivacaftor</w:t>
      </w:r>
      <w:r w:rsidR="00494AAD" w:rsidRPr="00F93ECE">
        <w:rPr>
          <w:i w:val="0"/>
          <w:sz w:val="22"/>
          <w:szCs w:val="22"/>
          <w:lang w:val="el-GR"/>
        </w:rPr>
        <w:t>/</w:t>
      </w:r>
      <w:r w:rsidR="00494AAD" w:rsidRPr="0047462D">
        <w:rPr>
          <w:i w:val="0"/>
          <w:sz w:val="22"/>
          <w:szCs w:val="22"/>
          <w:lang w:val="en-GB"/>
        </w:rPr>
        <w:t>tezacaftor</w:t>
      </w:r>
      <w:r w:rsidR="00494AAD" w:rsidRPr="00F93ECE">
        <w:rPr>
          <w:i w:val="0"/>
          <w:sz w:val="22"/>
          <w:szCs w:val="22"/>
          <w:lang w:val="el-GR"/>
        </w:rPr>
        <w:t>/</w:t>
      </w:r>
      <w:r w:rsidR="00494AAD" w:rsidRPr="0047462D">
        <w:rPr>
          <w:i w:val="0"/>
          <w:sz w:val="22"/>
          <w:szCs w:val="22"/>
          <w:lang w:val="en-GB"/>
        </w:rPr>
        <w:t>elexacaftor</w:t>
      </w:r>
      <w:r w:rsidRPr="0047462D">
        <w:rPr>
          <w:i w:val="0"/>
          <w:sz w:val="22"/>
          <w:szCs w:val="22"/>
          <w:lang w:val="el-GR"/>
        </w:rPr>
        <w:t>, β</w:t>
      </w:r>
      <w:r w:rsidR="00ED49D1" w:rsidRPr="0047462D">
        <w:rPr>
          <w:i w:val="0"/>
          <w:sz w:val="22"/>
          <w:szCs w:val="22"/>
          <w:lang w:val="el-GR"/>
        </w:rPr>
        <w:t>λ. Πίνακα</w:t>
      </w:r>
      <w:r w:rsidR="00494AAD" w:rsidRPr="0047462D">
        <w:rPr>
          <w:i w:val="0"/>
          <w:sz w:val="22"/>
          <w:szCs w:val="22"/>
          <w:lang w:val="en-GB"/>
        </w:rPr>
        <w:t> </w:t>
      </w:r>
      <w:r w:rsidR="00494AAD" w:rsidRPr="00F93ECE">
        <w:rPr>
          <w:i w:val="0"/>
          <w:sz w:val="22"/>
          <w:szCs w:val="22"/>
          <w:lang w:val="el-GR"/>
        </w:rPr>
        <w:t xml:space="preserve">3 </w:t>
      </w:r>
      <w:r w:rsidRPr="0047462D">
        <w:rPr>
          <w:i w:val="0"/>
          <w:sz w:val="22"/>
          <w:szCs w:val="22"/>
          <w:lang w:val="el-GR"/>
        </w:rPr>
        <w:t>για συστάσεις δοσολογικού σχήματος</w:t>
      </w:r>
      <w:r w:rsidR="00494AAD" w:rsidRPr="00F93ECE">
        <w:rPr>
          <w:i w:val="0"/>
          <w:sz w:val="22"/>
          <w:szCs w:val="22"/>
          <w:lang w:val="el-GR"/>
        </w:rPr>
        <w:t>.</w:t>
      </w:r>
    </w:p>
    <w:p w14:paraId="628CFAF6" w14:textId="77777777" w:rsidR="007F05ED" w:rsidRPr="00133AC1" w:rsidRDefault="007F05ED">
      <w:pPr>
        <w:pStyle w:val="labeltext"/>
        <w:rPr>
          <w:rFonts w:eastAsia="Times New Roman"/>
          <w:sz w:val="22"/>
          <w:szCs w:val="22"/>
          <w:lang w:val="el-GR"/>
        </w:rPr>
      </w:pPr>
    </w:p>
    <w:p w14:paraId="5584AA66" w14:textId="34904C50" w:rsidR="004E6B86" w:rsidRPr="00133AC1" w:rsidRDefault="007F05ED" w:rsidP="00EB5A36">
      <w:pPr>
        <w:pStyle w:val="labeltext"/>
        <w:keepNext/>
        <w:spacing w:after="120"/>
        <w:ind w:left="1080" w:hanging="1080"/>
        <w:rPr>
          <w:sz w:val="22"/>
          <w:szCs w:val="22"/>
          <w:lang w:val="el-GR"/>
        </w:rPr>
      </w:pPr>
      <w:r w:rsidRPr="00133AC1">
        <w:rPr>
          <w:b/>
          <w:color w:val="000000" w:themeColor="text1"/>
          <w:sz w:val="22"/>
          <w:szCs w:val="22"/>
          <w:lang w:val="el-GR"/>
        </w:rPr>
        <w:t>Πίνακας</w:t>
      </w:r>
      <w:r w:rsidRPr="00133AC1">
        <w:rPr>
          <w:b/>
          <w:color w:val="000000" w:themeColor="text1"/>
          <w:sz w:val="22"/>
          <w:szCs w:val="22"/>
        </w:rPr>
        <w:t> </w:t>
      </w:r>
      <w:r w:rsidR="00180C4D" w:rsidRPr="00B309DE">
        <w:rPr>
          <w:b/>
          <w:color w:val="000000" w:themeColor="text1"/>
          <w:sz w:val="22"/>
          <w:szCs w:val="22"/>
          <w:lang w:val="el-GR"/>
        </w:rPr>
        <w:t>3</w:t>
      </w:r>
      <w:r w:rsidRPr="00B309DE">
        <w:rPr>
          <w:b/>
          <w:color w:val="000000" w:themeColor="text1"/>
          <w:sz w:val="22"/>
          <w:szCs w:val="22"/>
          <w:lang w:val="el-GR"/>
        </w:rPr>
        <w:t xml:space="preserve">: </w:t>
      </w:r>
      <w:r w:rsidRPr="00133AC1">
        <w:rPr>
          <w:b/>
          <w:color w:val="000000" w:themeColor="text1"/>
          <w:sz w:val="22"/>
          <w:szCs w:val="22"/>
          <w:lang w:val="el-GR"/>
        </w:rPr>
        <w:t>Συστάσεις</w:t>
      </w:r>
      <w:r w:rsidR="00C2681B" w:rsidRPr="00133AC1">
        <w:rPr>
          <w:b/>
          <w:color w:val="000000" w:themeColor="text1"/>
          <w:sz w:val="22"/>
          <w:szCs w:val="22"/>
          <w:lang w:val="el-GR"/>
        </w:rPr>
        <w:t xml:space="preserve"> δοσολογίας</w:t>
      </w:r>
      <w:r w:rsidRPr="00133AC1">
        <w:rPr>
          <w:b/>
          <w:color w:val="000000" w:themeColor="text1"/>
          <w:sz w:val="22"/>
          <w:szCs w:val="22"/>
          <w:lang w:val="el-GR"/>
        </w:rPr>
        <w:t xml:space="preserve"> </w:t>
      </w:r>
      <w:r w:rsidR="002B4907" w:rsidRPr="00133AC1">
        <w:rPr>
          <w:b/>
          <w:color w:val="000000" w:themeColor="text1"/>
          <w:sz w:val="22"/>
          <w:szCs w:val="22"/>
          <w:lang w:val="el-GR"/>
        </w:rPr>
        <w:t>για</w:t>
      </w:r>
      <w:r w:rsidRPr="00133AC1">
        <w:rPr>
          <w:b/>
          <w:color w:val="000000" w:themeColor="text1"/>
          <w:sz w:val="22"/>
          <w:szCs w:val="22"/>
          <w:lang w:val="el-GR"/>
        </w:rPr>
        <w:t xml:space="preserve"> ασθενείς με </w:t>
      </w:r>
      <w:r w:rsidR="00180C4D" w:rsidRPr="00133AC1">
        <w:rPr>
          <w:b/>
          <w:color w:val="000000" w:themeColor="text1"/>
          <w:sz w:val="22"/>
          <w:szCs w:val="22"/>
          <w:lang w:val="el-GR"/>
        </w:rPr>
        <w:t xml:space="preserve">μέτρια ή </w:t>
      </w:r>
      <w:r w:rsidR="0019223B" w:rsidRPr="00133AC1">
        <w:rPr>
          <w:b/>
          <w:color w:val="000000" w:themeColor="text1"/>
          <w:sz w:val="22"/>
          <w:szCs w:val="22"/>
          <w:lang w:val="el-GR"/>
        </w:rPr>
        <w:t>σοβαρή</w:t>
      </w:r>
      <w:r w:rsidR="00180C4D" w:rsidRPr="00133AC1">
        <w:rPr>
          <w:b/>
          <w:color w:val="000000" w:themeColor="text1"/>
          <w:sz w:val="22"/>
          <w:szCs w:val="22"/>
          <w:lang w:val="el-GR"/>
        </w:rPr>
        <w:t xml:space="preserve"> </w:t>
      </w:r>
      <w:r w:rsidRPr="00133AC1">
        <w:rPr>
          <w:b/>
          <w:color w:val="000000" w:themeColor="text1"/>
          <w:sz w:val="22"/>
          <w:szCs w:val="22"/>
          <w:lang w:val="el-GR"/>
        </w:rPr>
        <w:t>ηπατική δυσλειτουργία</w:t>
      </w:r>
    </w:p>
    <w:tbl>
      <w:tblPr>
        <w:tblW w:w="9918" w:type="dxa"/>
        <w:tblLook w:val="04A0" w:firstRow="1" w:lastRow="0" w:firstColumn="1" w:lastColumn="0" w:noHBand="0" w:noVBand="1"/>
      </w:tblPr>
      <w:tblGrid>
        <w:gridCol w:w="1435"/>
        <w:gridCol w:w="4514"/>
        <w:gridCol w:w="3969"/>
      </w:tblGrid>
      <w:tr w:rsidR="00180C4D" w:rsidRPr="00133AC1" w14:paraId="237CBE3B" w14:textId="77777777" w:rsidTr="002877EB">
        <w:tc>
          <w:tcPr>
            <w:tcW w:w="1435" w:type="dxa"/>
            <w:tcBorders>
              <w:top w:val="single" w:sz="4" w:space="0" w:color="auto"/>
              <w:left w:val="single" w:sz="4" w:space="0" w:color="auto"/>
              <w:bottom w:val="single" w:sz="4" w:space="0" w:color="auto"/>
              <w:right w:val="single" w:sz="4" w:space="0" w:color="auto"/>
            </w:tcBorders>
          </w:tcPr>
          <w:p w14:paraId="7621B3AE" w14:textId="77777777" w:rsidR="00180C4D" w:rsidRPr="00C749BA" w:rsidDel="00110E6B" w:rsidRDefault="00180C4D" w:rsidP="005670EF">
            <w:pPr>
              <w:keepNext/>
              <w:widowControl w:val="0"/>
              <w:rPr>
                <w:b/>
                <w:szCs w:val="22"/>
              </w:rPr>
            </w:pPr>
          </w:p>
        </w:tc>
        <w:tc>
          <w:tcPr>
            <w:tcW w:w="4514" w:type="dxa"/>
            <w:tcBorders>
              <w:top w:val="single" w:sz="4" w:space="0" w:color="auto"/>
              <w:left w:val="single" w:sz="4" w:space="0" w:color="auto"/>
              <w:bottom w:val="single" w:sz="4" w:space="0" w:color="auto"/>
              <w:right w:val="single" w:sz="4" w:space="0" w:color="auto"/>
            </w:tcBorders>
          </w:tcPr>
          <w:p w14:paraId="05F6FEEB" w14:textId="60873527" w:rsidR="00180C4D" w:rsidRPr="00F93ECE" w:rsidDel="00110E6B" w:rsidRDefault="00164F29" w:rsidP="005670EF">
            <w:pPr>
              <w:keepNext/>
              <w:widowControl w:val="0"/>
              <w:rPr>
                <w:b/>
                <w:bCs/>
                <w:szCs w:val="22"/>
              </w:rPr>
            </w:pPr>
            <w:r w:rsidRPr="00F93ECE">
              <w:rPr>
                <w:b/>
                <w:bCs/>
                <w:szCs w:val="22"/>
              </w:rPr>
              <w:t>Μέτρια</w:t>
            </w:r>
            <w:r w:rsidR="00180C4D" w:rsidRPr="00F93ECE">
              <w:rPr>
                <w:b/>
                <w:bCs/>
                <w:szCs w:val="22"/>
              </w:rPr>
              <w:t xml:space="preserve"> (</w:t>
            </w:r>
            <w:r w:rsidRPr="00F93ECE">
              <w:rPr>
                <w:b/>
                <w:bCs/>
                <w:szCs w:val="22"/>
              </w:rPr>
              <w:t>Τάξη</w:t>
            </w:r>
            <w:r w:rsidR="00972A1E" w:rsidRPr="00F93ECE">
              <w:rPr>
                <w:b/>
                <w:bCs/>
                <w:szCs w:val="22"/>
                <w:lang w:val="en-US"/>
              </w:rPr>
              <w:t> </w:t>
            </w:r>
            <w:r w:rsidRPr="00F93ECE">
              <w:rPr>
                <w:b/>
                <w:bCs/>
                <w:szCs w:val="22"/>
              </w:rPr>
              <w:t xml:space="preserve">Β κατά </w:t>
            </w:r>
            <w:r w:rsidR="00180C4D" w:rsidRPr="00F93ECE">
              <w:rPr>
                <w:b/>
                <w:bCs/>
                <w:szCs w:val="22"/>
              </w:rPr>
              <w:t>Child-Pugh)</w:t>
            </w:r>
          </w:p>
        </w:tc>
        <w:tc>
          <w:tcPr>
            <w:tcW w:w="3969" w:type="dxa"/>
            <w:tcBorders>
              <w:top w:val="single" w:sz="4" w:space="0" w:color="auto"/>
              <w:left w:val="single" w:sz="4" w:space="0" w:color="auto"/>
              <w:bottom w:val="single" w:sz="4" w:space="0" w:color="auto"/>
              <w:right w:val="single" w:sz="4" w:space="0" w:color="auto"/>
            </w:tcBorders>
          </w:tcPr>
          <w:p w14:paraId="6F9E35A4" w14:textId="717942F4" w:rsidR="00180C4D" w:rsidRPr="00F93ECE" w:rsidDel="00110E6B" w:rsidRDefault="00D91C4A" w:rsidP="005670EF">
            <w:pPr>
              <w:keepNext/>
              <w:widowControl w:val="0"/>
              <w:rPr>
                <w:b/>
                <w:bCs/>
                <w:szCs w:val="22"/>
              </w:rPr>
            </w:pPr>
            <w:r w:rsidRPr="00F93ECE">
              <w:rPr>
                <w:b/>
                <w:bCs/>
                <w:szCs w:val="22"/>
              </w:rPr>
              <w:t>Σοβαρή</w:t>
            </w:r>
            <w:r w:rsidR="00180C4D" w:rsidRPr="00F93ECE">
              <w:rPr>
                <w:b/>
                <w:bCs/>
                <w:szCs w:val="22"/>
              </w:rPr>
              <w:t xml:space="preserve"> (</w:t>
            </w:r>
            <w:r w:rsidR="00164F29" w:rsidRPr="00F93ECE">
              <w:rPr>
                <w:b/>
                <w:bCs/>
                <w:szCs w:val="22"/>
              </w:rPr>
              <w:t>Τάξη</w:t>
            </w:r>
            <w:r w:rsidR="00972A1E" w:rsidRPr="00F93ECE">
              <w:rPr>
                <w:b/>
                <w:bCs/>
                <w:szCs w:val="22"/>
                <w:lang w:val="en-US"/>
              </w:rPr>
              <w:t> </w:t>
            </w:r>
            <w:r w:rsidR="00164F29" w:rsidRPr="00F93ECE">
              <w:rPr>
                <w:b/>
                <w:bCs/>
                <w:szCs w:val="22"/>
              </w:rPr>
              <w:t xml:space="preserve">Γ κατά </w:t>
            </w:r>
            <w:r w:rsidR="00180C4D" w:rsidRPr="00F93ECE">
              <w:rPr>
                <w:b/>
                <w:bCs/>
                <w:szCs w:val="22"/>
              </w:rPr>
              <w:t>Child-Pugh)</w:t>
            </w:r>
          </w:p>
        </w:tc>
      </w:tr>
    </w:tbl>
    <w:tbl>
      <w:tblPr>
        <w:tblStyle w:val="TableGrid"/>
        <w:tblW w:w="9918" w:type="dxa"/>
        <w:tblLayout w:type="fixed"/>
        <w:tblLook w:val="04A0" w:firstRow="1" w:lastRow="0" w:firstColumn="1" w:lastColumn="0" w:noHBand="0" w:noVBand="1"/>
      </w:tblPr>
      <w:tblGrid>
        <w:gridCol w:w="1413"/>
        <w:gridCol w:w="4536"/>
        <w:gridCol w:w="3969"/>
      </w:tblGrid>
      <w:tr w:rsidR="00180C4D" w:rsidRPr="00133AC1" w14:paraId="5C62848E" w14:textId="77777777" w:rsidTr="002877EB">
        <w:trPr>
          <w:cantSplit/>
        </w:trPr>
        <w:tc>
          <w:tcPr>
            <w:tcW w:w="9918" w:type="dxa"/>
            <w:gridSpan w:val="3"/>
            <w:shd w:val="clear" w:color="auto" w:fill="auto"/>
          </w:tcPr>
          <w:p w14:paraId="039A9569" w14:textId="44D63D80" w:rsidR="00180C4D" w:rsidRPr="00F93ECE" w:rsidRDefault="00180C4D" w:rsidP="005670EF">
            <w:pPr>
              <w:keepNext/>
              <w:widowControl w:val="0"/>
              <w:rPr>
                <w:b/>
                <w:bCs/>
                <w:szCs w:val="22"/>
              </w:rPr>
            </w:pPr>
            <w:r w:rsidRPr="00F93ECE">
              <w:rPr>
                <w:b/>
                <w:bCs/>
                <w:szCs w:val="22"/>
              </w:rPr>
              <w:t xml:space="preserve">Ivacaftor </w:t>
            </w:r>
            <w:r w:rsidR="00164F29" w:rsidRPr="00F93ECE">
              <w:rPr>
                <w:b/>
                <w:bCs/>
                <w:szCs w:val="22"/>
              </w:rPr>
              <w:t>ως μονοθεραπεία</w:t>
            </w:r>
          </w:p>
        </w:tc>
      </w:tr>
      <w:tr w:rsidR="00180C4D" w:rsidRPr="00133AC1" w14:paraId="7D38014D" w14:textId="77777777" w:rsidTr="002877EB">
        <w:trPr>
          <w:cantSplit/>
        </w:trPr>
        <w:tc>
          <w:tcPr>
            <w:tcW w:w="1413" w:type="dxa"/>
          </w:tcPr>
          <w:p w14:paraId="4A842A41" w14:textId="3E16B701" w:rsidR="00180C4D" w:rsidRPr="00F93ECE" w:rsidRDefault="00180C4D" w:rsidP="005670EF">
            <w:pPr>
              <w:widowControl w:val="0"/>
              <w:rPr>
                <w:szCs w:val="22"/>
              </w:rPr>
            </w:pPr>
            <w:r w:rsidRPr="00F93ECE">
              <w:rPr>
                <w:szCs w:val="22"/>
              </w:rPr>
              <w:t>6 </w:t>
            </w:r>
            <w:r w:rsidR="004C0389" w:rsidRPr="00F93ECE">
              <w:rPr>
                <w:szCs w:val="22"/>
              </w:rPr>
              <w:t>ετών και άνω</w:t>
            </w:r>
            <w:r w:rsidRPr="00F93ECE">
              <w:rPr>
                <w:szCs w:val="22"/>
              </w:rPr>
              <w:t>,</w:t>
            </w:r>
            <w:r w:rsidRPr="00F93ECE">
              <w:rPr>
                <w:szCs w:val="22"/>
              </w:rPr>
              <w:br/>
            </w:r>
            <w:r w:rsidRPr="00F93ECE">
              <w:rPr>
                <w:rFonts w:hint="eastAsia"/>
                <w:szCs w:val="22"/>
              </w:rPr>
              <w:t>≥</w:t>
            </w:r>
            <w:r w:rsidR="004C0389" w:rsidRPr="00F93ECE">
              <w:rPr>
                <w:szCs w:val="22"/>
              </w:rPr>
              <w:t> </w:t>
            </w:r>
            <w:r w:rsidRPr="00F93ECE">
              <w:rPr>
                <w:szCs w:val="22"/>
              </w:rPr>
              <w:t>25 kg</w:t>
            </w:r>
          </w:p>
        </w:tc>
        <w:tc>
          <w:tcPr>
            <w:tcW w:w="4536" w:type="dxa"/>
          </w:tcPr>
          <w:p w14:paraId="4B55E451" w14:textId="4B96F4B2" w:rsidR="00180C4D" w:rsidRPr="00F93ECE" w:rsidRDefault="004C0389" w:rsidP="005670EF">
            <w:pPr>
              <w:widowControl w:val="0"/>
              <w:rPr>
                <w:szCs w:val="22"/>
              </w:rPr>
            </w:pPr>
            <w:r w:rsidRPr="00F93ECE">
              <w:rPr>
                <w:szCs w:val="22"/>
              </w:rPr>
              <w:t xml:space="preserve">Ένα πρωινό δισκίο </w:t>
            </w:r>
            <w:r w:rsidR="00180C4D" w:rsidRPr="00F93ECE">
              <w:rPr>
                <w:szCs w:val="22"/>
              </w:rPr>
              <w:t xml:space="preserve">ivacaftor 150 mg </w:t>
            </w:r>
            <w:r w:rsidRPr="00F93ECE">
              <w:rPr>
                <w:szCs w:val="22"/>
              </w:rPr>
              <w:t>άπαξ ημερησίως</w:t>
            </w:r>
            <w:r w:rsidR="00180C4D" w:rsidRPr="00F93ECE">
              <w:rPr>
                <w:szCs w:val="22"/>
              </w:rPr>
              <w:t xml:space="preserve">. </w:t>
            </w:r>
          </w:p>
          <w:p w14:paraId="3924D610" w14:textId="77777777" w:rsidR="00180C4D" w:rsidRPr="00F93ECE" w:rsidRDefault="00180C4D" w:rsidP="005670EF">
            <w:pPr>
              <w:widowControl w:val="0"/>
              <w:rPr>
                <w:szCs w:val="22"/>
              </w:rPr>
            </w:pPr>
          </w:p>
          <w:p w14:paraId="5534E719" w14:textId="4241478C" w:rsidR="00180C4D" w:rsidRPr="00F93ECE" w:rsidRDefault="004C0389" w:rsidP="005670EF">
            <w:pPr>
              <w:widowControl w:val="0"/>
              <w:rPr>
                <w:szCs w:val="22"/>
              </w:rPr>
            </w:pPr>
            <w:r w:rsidRPr="00F93ECE">
              <w:rPr>
                <w:szCs w:val="22"/>
              </w:rPr>
              <w:t>Καμία βραδινή δόση</w:t>
            </w:r>
            <w:r w:rsidR="00180C4D" w:rsidRPr="00F93ECE">
              <w:rPr>
                <w:szCs w:val="22"/>
              </w:rPr>
              <w:t>.</w:t>
            </w:r>
          </w:p>
        </w:tc>
        <w:tc>
          <w:tcPr>
            <w:tcW w:w="3969" w:type="dxa"/>
          </w:tcPr>
          <w:p w14:paraId="69928844" w14:textId="07C82A8E" w:rsidR="00180C4D" w:rsidRPr="00F93ECE" w:rsidRDefault="007B7147" w:rsidP="005670EF">
            <w:pPr>
              <w:widowControl w:val="0"/>
              <w:rPr>
                <w:szCs w:val="22"/>
              </w:rPr>
            </w:pPr>
            <w:r w:rsidRPr="00F93ECE">
              <w:rPr>
                <w:szCs w:val="22"/>
              </w:rPr>
              <w:t>Η χρήση δεν συνιστάται, εκτός εάν τα οφέλη αναμένεται να υπερτερούν των κινδύνων</w:t>
            </w:r>
            <w:r w:rsidR="00180C4D" w:rsidRPr="00F93ECE">
              <w:rPr>
                <w:szCs w:val="22"/>
              </w:rPr>
              <w:t xml:space="preserve">. </w:t>
            </w:r>
          </w:p>
          <w:p w14:paraId="35827EE8" w14:textId="77777777" w:rsidR="00180C4D" w:rsidRPr="00F93ECE" w:rsidRDefault="00180C4D" w:rsidP="005670EF">
            <w:pPr>
              <w:widowControl w:val="0"/>
              <w:rPr>
                <w:szCs w:val="22"/>
              </w:rPr>
            </w:pPr>
          </w:p>
          <w:p w14:paraId="6A4B5AD4" w14:textId="69C65F4F" w:rsidR="00180C4D" w:rsidRPr="00F93ECE" w:rsidRDefault="00FA013F" w:rsidP="005670EF">
            <w:pPr>
              <w:widowControl w:val="0"/>
              <w:rPr>
                <w:szCs w:val="22"/>
              </w:rPr>
            </w:pPr>
            <w:r w:rsidRPr="005826C8">
              <w:rPr>
                <w:szCs w:val="22"/>
              </w:rPr>
              <w:t>Εάν χρησιμοποιηθεί:</w:t>
            </w:r>
            <w:r w:rsidR="007B7147" w:rsidRPr="00F93ECE">
              <w:rPr>
                <w:szCs w:val="22"/>
              </w:rPr>
              <w:t xml:space="preserve"> ένα πρωινό δισκίο </w:t>
            </w:r>
            <w:r w:rsidR="00180C4D" w:rsidRPr="00F93ECE">
              <w:rPr>
                <w:szCs w:val="22"/>
              </w:rPr>
              <w:t xml:space="preserve">ivacaftor 150 mg </w:t>
            </w:r>
            <w:r w:rsidR="007B7147" w:rsidRPr="00F93ECE">
              <w:rPr>
                <w:szCs w:val="22"/>
              </w:rPr>
              <w:t>κάθε δεύτερη ημέρα ή λιγότερο συχνά</w:t>
            </w:r>
            <w:r w:rsidR="00180C4D" w:rsidRPr="00F93ECE">
              <w:rPr>
                <w:szCs w:val="22"/>
              </w:rPr>
              <w:t xml:space="preserve">. </w:t>
            </w:r>
          </w:p>
          <w:p w14:paraId="67E85AF8" w14:textId="77777777" w:rsidR="00180C4D" w:rsidRPr="00F93ECE" w:rsidRDefault="00180C4D" w:rsidP="005670EF">
            <w:pPr>
              <w:widowControl w:val="0"/>
              <w:rPr>
                <w:szCs w:val="22"/>
              </w:rPr>
            </w:pPr>
          </w:p>
          <w:p w14:paraId="57F6C1C5" w14:textId="1708C48E" w:rsidR="00180C4D" w:rsidRPr="00F93ECE" w:rsidRDefault="007B7147" w:rsidP="005670EF">
            <w:pPr>
              <w:widowControl w:val="0"/>
              <w:rPr>
                <w:szCs w:val="22"/>
              </w:rPr>
            </w:pPr>
            <w:r w:rsidRPr="00F93ECE">
              <w:rPr>
                <w:szCs w:val="22"/>
              </w:rPr>
              <w:t>Τα διαστήματα μεταξύ των δόσεων θα πρέπει να τροποποιούνται ανάλογα με την κλινική απόκριση και την ανεκτικότητα</w:t>
            </w:r>
            <w:r w:rsidR="00180C4D" w:rsidRPr="00F93ECE">
              <w:rPr>
                <w:szCs w:val="22"/>
              </w:rPr>
              <w:t xml:space="preserve">. </w:t>
            </w:r>
          </w:p>
          <w:p w14:paraId="30748F10" w14:textId="77777777" w:rsidR="00180C4D" w:rsidRPr="00F93ECE" w:rsidRDefault="00180C4D" w:rsidP="005670EF">
            <w:pPr>
              <w:widowControl w:val="0"/>
              <w:rPr>
                <w:szCs w:val="22"/>
              </w:rPr>
            </w:pPr>
          </w:p>
          <w:p w14:paraId="02A13341" w14:textId="6BEC5035" w:rsidR="00180C4D" w:rsidRPr="00F93ECE" w:rsidRDefault="007B7147" w:rsidP="005670EF">
            <w:pPr>
              <w:widowControl w:val="0"/>
              <w:rPr>
                <w:szCs w:val="22"/>
              </w:rPr>
            </w:pPr>
            <w:r w:rsidRPr="00F93ECE">
              <w:rPr>
                <w:szCs w:val="22"/>
              </w:rPr>
              <w:t>Καμία βραδινή δόση</w:t>
            </w:r>
            <w:r w:rsidR="00180C4D" w:rsidRPr="00F93ECE">
              <w:rPr>
                <w:szCs w:val="22"/>
              </w:rPr>
              <w:t>.</w:t>
            </w:r>
          </w:p>
        </w:tc>
      </w:tr>
      <w:tr w:rsidR="00180C4D" w:rsidRPr="00133AC1" w14:paraId="00ED497E" w14:textId="77777777" w:rsidTr="002877EB">
        <w:trPr>
          <w:cantSplit/>
        </w:trPr>
        <w:tc>
          <w:tcPr>
            <w:tcW w:w="9918" w:type="dxa"/>
            <w:gridSpan w:val="3"/>
            <w:shd w:val="clear" w:color="auto" w:fill="auto"/>
          </w:tcPr>
          <w:p w14:paraId="6896EC1F" w14:textId="10E727FD" w:rsidR="00180C4D" w:rsidRPr="00F93ECE" w:rsidRDefault="00180C4D" w:rsidP="005670EF">
            <w:pPr>
              <w:keepNext/>
              <w:widowControl w:val="0"/>
              <w:rPr>
                <w:b/>
                <w:bCs/>
                <w:szCs w:val="22"/>
              </w:rPr>
            </w:pPr>
            <w:r w:rsidRPr="00F93ECE">
              <w:rPr>
                <w:b/>
                <w:bCs/>
                <w:szCs w:val="22"/>
              </w:rPr>
              <w:t xml:space="preserve">Ivacaftor </w:t>
            </w:r>
            <w:r w:rsidR="00F5599D" w:rsidRPr="00F93ECE">
              <w:rPr>
                <w:b/>
                <w:bCs/>
                <w:szCs w:val="22"/>
              </w:rPr>
              <w:t>σε συνδυαστικό σχήμα με</w:t>
            </w:r>
            <w:r w:rsidRPr="00F93ECE">
              <w:rPr>
                <w:b/>
                <w:bCs/>
                <w:szCs w:val="22"/>
              </w:rPr>
              <w:t xml:space="preserve"> tezacaftor/ivacaftor</w:t>
            </w:r>
          </w:p>
        </w:tc>
      </w:tr>
      <w:tr w:rsidR="007B5AE0" w:rsidRPr="00133AC1" w14:paraId="3304BAB2" w14:textId="77777777" w:rsidTr="002877EB">
        <w:trPr>
          <w:cantSplit/>
        </w:trPr>
        <w:tc>
          <w:tcPr>
            <w:tcW w:w="1413" w:type="dxa"/>
          </w:tcPr>
          <w:p w14:paraId="0060337B" w14:textId="5BDF79B5" w:rsidR="007B5AE0" w:rsidRPr="00F93ECE" w:rsidRDefault="007B5AE0" w:rsidP="007B5AE0">
            <w:pPr>
              <w:widowControl w:val="0"/>
              <w:rPr>
                <w:szCs w:val="22"/>
              </w:rPr>
            </w:pPr>
            <w:r w:rsidRPr="00F93ECE">
              <w:rPr>
                <w:szCs w:val="22"/>
              </w:rPr>
              <w:t xml:space="preserve">6 ετών έως &lt; 12 ετών, </w:t>
            </w:r>
            <w:r w:rsidRPr="00F93ECE">
              <w:rPr>
                <w:szCs w:val="22"/>
              </w:rPr>
              <w:br/>
              <w:t>&lt; 30 kg</w:t>
            </w:r>
          </w:p>
        </w:tc>
        <w:tc>
          <w:tcPr>
            <w:tcW w:w="4536" w:type="dxa"/>
          </w:tcPr>
          <w:p w14:paraId="274CF231" w14:textId="77777777" w:rsidR="007B5AE0" w:rsidRPr="00F93ECE" w:rsidRDefault="007B5AE0" w:rsidP="007B5AE0">
            <w:pPr>
              <w:rPr>
                <w:szCs w:val="22"/>
              </w:rPr>
            </w:pPr>
            <w:r w:rsidRPr="00F93ECE">
              <w:rPr>
                <w:szCs w:val="22"/>
              </w:rPr>
              <w:t xml:space="preserve">Ένα πρωινό δισκίο tezacaftor 50 mg/ivacaftor 75 mg άπαξ ημερησίως. </w:t>
            </w:r>
          </w:p>
          <w:p w14:paraId="4DF408AF" w14:textId="77777777" w:rsidR="007B5AE0" w:rsidRPr="00F93ECE" w:rsidRDefault="007B5AE0" w:rsidP="007B5AE0">
            <w:pPr>
              <w:rPr>
                <w:szCs w:val="22"/>
              </w:rPr>
            </w:pPr>
          </w:p>
          <w:p w14:paraId="05A3B8C0" w14:textId="25FDF4F9" w:rsidR="007B5AE0" w:rsidRPr="00F93ECE" w:rsidRDefault="007B5AE0" w:rsidP="007B5AE0">
            <w:pPr>
              <w:widowControl w:val="0"/>
              <w:rPr>
                <w:szCs w:val="22"/>
              </w:rPr>
            </w:pPr>
            <w:r w:rsidRPr="00F93ECE">
              <w:rPr>
                <w:szCs w:val="22"/>
              </w:rPr>
              <w:t>Καμία βραδινή δόση.</w:t>
            </w:r>
          </w:p>
        </w:tc>
        <w:tc>
          <w:tcPr>
            <w:tcW w:w="3969" w:type="dxa"/>
          </w:tcPr>
          <w:p w14:paraId="1AABAE4E" w14:textId="77777777" w:rsidR="007B5AE0" w:rsidRPr="00F93ECE" w:rsidRDefault="007B5AE0" w:rsidP="007B5AE0">
            <w:pPr>
              <w:rPr>
                <w:szCs w:val="22"/>
              </w:rPr>
            </w:pPr>
            <w:r w:rsidRPr="00F93ECE">
              <w:rPr>
                <w:szCs w:val="22"/>
              </w:rPr>
              <w:t xml:space="preserve">Η χρήση δεν συνιστάται, εκτός εάν τα οφέλη αναμένεται να υπερτερούν των κινδύνων. </w:t>
            </w:r>
          </w:p>
          <w:p w14:paraId="474AA281" w14:textId="77777777" w:rsidR="007B5AE0" w:rsidRPr="00F93ECE" w:rsidRDefault="007B5AE0" w:rsidP="007B5AE0">
            <w:pPr>
              <w:rPr>
                <w:szCs w:val="22"/>
              </w:rPr>
            </w:pPr>
          </w:p>
          <w:p w14:paraId="1549033C" w14:textId="0627805D" w:rsidR="007B5AE0" w:rsidRPr="00F93ECE" w:rsidRDefault="00FA013F" w:rsidP="007B5AE0">
            <w:pPr>
              <w:rPr>
                <w:szCs w:val="22"/>
              </w:rPr>
            </w:pPr>
            <w:r w:rsidRPr="005826C8">
              <w:rPr>
                <w:szCs w:val="22"/>
              </w:rPr>
              <w:t>Εάν χρησιμοποιηθεί:</w:t>
            </w:r>
            <w:r w:rsidR="007B5AE0" w:rsidRPr="00F93ECE">
              <w:rPr>
                <w:szCs w:val="22"/>
              </w:rPr>
              <w:t xml:space="preserve"> ένα πρωινό δισκίο tezacaftor 50 mg/ivacaftor 75 mg άπαξ ημερησίως ή λιγότερο συχνά. </w:t>
            </w:r>
          </w:p>
          <w:p w14:paraId="2D0DDC81" w14:textId="77777777" w:rsidR="007B5AE0" w:rsidRPr="00F93ECE" w:rsidRDefault="007B5AE0" w:rsidP="007B5AE0">
            <w:pPr>
              <w:rPr>
                <w:szCs w:val="22"/>
              </w:rPr>
            </w:pPr>
          </w:p>
          <w:p w14:paraId="07D11430" w14:textId="77777777" w:rsidR="007B5AE0" w:rsidRPr="00F93ECE" w:rsidRDefault="007B5AE0" w:rsidP="007B5AE0">
            <w:pPr>
              <w:rPr>
                <w:szCs w:val="22"/>
              </w:rPr>
            </w:pPr>
            <w:r w:rsidRPr="00F93ECE">
              <w:rPr>
                <w:szCs w:val="22"/>
              </w:rPr>
              <w:t xml:space="preserve">Τα διαστήματα μεταξύ των δόσεων θα πρέπει να τροποποιούνται ανάλογα με την κλινική απόκριση και την ανεκτικότητα. </w:t>
            </w:r>
          </w:p>
          <w:p w14:paraId="7B00284F" w14:textId="77777777" w:rsidR="007B5AE0" w:rsidRPr="00F93ECE" w:rsidRDefault="007B5AE0" w:rsidP="007B5AE0">
            <w:pPr>
              <w:rPr>
                <w:szCs w:val="22"/>
              </w:rPr>
            </w:pPr>
          </w:p>
          <w:p w14:paraId="74F340AA" w14:textId="50176BB7" w:rsidR="007B5AE0" w:rsidRPr="00F93ECE" w:rsidRDefault="007B5AE0" w:rsidP="007B5AE0">
            <w:pPr>
              <w:widowControl w:val="0"/>
              <w:rPr>
                <w:szCs w:val="22"/>
              </w:rPr>
            </w:pPr>
            <w:r w:rsidRPr="00F93ECE">
              <w:rPr>
                <w:szCs w:val="22"/>
              </w:rPr>
              <w:t>Καμία βραδινή δόση.</w:t>
            </w:r>
          </w:p>
        </w:tc>
      </w:tr>
      <w:tr w:rsidR="007B5AE0" w:rsidRPr="00133AC1" w14:paraId="714F6BBA" w14:textId="77777777" w:rsidTr="002877EB">
        <w:trPr>
          <w:cantSplit/>
        </w:trPr>
        <w:tc>
          <w:tcPr>
            <w:tcW w:w="1413" w:type="dxa"/>
          </w:tcPr>
          <w:p w14:paraId="4B57B06E" w14:textId="2D8C1FA0" w:rsidR="007B5AE0" w:rsidRPr="00F93ECE" w:rsidRDefault="007B5AE0" w:rsidP="007B5AE0">
            <w:pPr>
              <w:widowControl w:val="0"/>
              <w:rPr>
                <w:szCs w:val="22"/>
              </w:rPr>
            </w:pPr>
            <w:r w:rsidRPr="00F93ECE">
              <w:rPr>
                <w:szCs w:val="22"/>
              </w:rPr>
              <w:t>6 ετών έως &lt; 12 ετών,</w:t>
            </w:r>
            <w:r w:rsidRPr="00F93ECE">
              <w:rPr>
                <w:szCs w:val="22"/>
              </w:rPr>
              <w:br/>
            </w:r>
            <w:r w:rsidRPr="00F93ECE">
              <w:rPr>
                <w:rFonts w:hint="eastAsia"/>
                <w:szCs w:val="22"/>
              </w:rPr>
              <w:t>≥</w:t>
            </w:r>
            <w:r w:rsidRPr="00F93ECE">
              <w:rPr>
                <w:szCs w:val="22"/>
              </w:rPr>
              <w:t> 30 kg</w:t>
            </w:r>
          </w:p>
        </w:tc>
        <w:tc>
          <w:tcPr>
            <w:tcW w:w="4536" w:type="dxa"/>
          </w:tcPr>
          <w:p w14:paraId="73A61649" w14:textId="77777777" w:rsidR="007B5AE0" w:rsidRPr="00F93ECE" w:rsidRDefault="007B5AE0" w:rsidP="007B5AE0">
            <w:pPr>
              <w:rPr>
                <w:szCs w:val="22"/>
              </w:rPr>
            </w:pPr>
            <w:r w:rsidRPr="00F93ECE">
              <w:rPr>
                <w:szCs w:val="22"/>
              </w:rPr>
              <w:t xml:space="preserve">Ένα πρωινό δισκίο tezacaftor 100 mg/ivacaftor 150 mg άπαξ ημερησίως. </w:t>
            </w:r>
          </w:p>
          <w:p w14:paraId="45B1F491" w14:textId="77777777" w:rsidR="007B5AE0" w:rsidRPr="00F93ECE" w:rsidRDefault="007B5AE0" w:rsidP="007B5AE0">
            <w:pPr>
              <w:rPr>
                <w:szCs w:val="22"/>
              </w:rPr>
            </w:pPr>
          </w:p>
          <w:p w14:paraId="7E183829" w14:textId="570036DE" w:rsidR="007B5AE0" w:rsidRPr="00F93ECE" w:rsidRDefault="007B5AE0" w:rsidP="007B5AE0">
            <w:pPr>
              <w:widowControl w:val="0"/>
              <w:rPr>
                <w:szCs w:val="22"/>
              </w:rPr>
            </w:pPr>
            <w:r w:rsidRPr="00F93ECE">
              <w:rPr>
                <w:szCs w:val="22"/>
              </w:rPr>
              <w:t>Καμία βραδινή δόση.</w:t>
            </w:r>
          </w:p>
        </w:tc>
        <w:tc>
          <w:tcPr>
            <w:tcW w:w="3969" w:type="dxa"/>
          </w:tcPr>
          <w:p w14:paraId="3E45B478" w14:textId="77777777" w:rsidR="007B5AE0" w:rsidRPr="00F93ECE" w:rsidRDefault="007B5AE0" w:rsidP="007B5AE0">
            <w:pPr>
              <w:rPr>
                <w:szCs w:val="22"/>
              </w:rPr>
            </w:pPr>
            <w:r w:rsidRPr="00F93ECE">
              <w:rPr>
                <w:szCs w:val="22"/>
              </w:rPr>
              <w:t xml:space="preserve">Η χρήση δεν συνιστάται, εκτός εάν τα οφέλη αναμένεται να υπερτερούν των κινδύνων. </w:t>
            </w:r>
          </w:p>
          <w:p w14:paraId="132946EC" w14:textId="77777777" w:rsidR="007B5AE0" w:rsidRPr="00F93ECE" w:rsidRDefault="007B5AE0" w:rsidP="007B5AE0">
            <w:pPr>
              <w:rPr>
                <w:szCs w:val="22"/>
              </w:rPr>
            </w:pPr>
          </w:p>
          <w:p w14:paraId="319291B8" w14:textId="47D7ACB1" w:rsidR="007B5AE0" w:rsidRPr="00F93ECE" w:rsidRDefault="00FA013F" w:rsidP="007B5AE0">
            <w:pPr>
              <w:rPr>
                <w:szCs w:val="22"/>
              </w:rPr>
            </w:pPr>
            <w:r w:rsidRPr="005826C8">
              <w:rPr>
                <w:szCs w:val="22"/>
              </w:rPr>
              <w:t>Εάν χρησιμοποιηθεί:</w:t>
            </w:r>
            <w:r w:rsidR="007B5AE0" w:rsidRPr="00F93ECE">
              <w:rPr>
                <w:szCs w:val="22"/>
              </w:rPr>
              <w:t xml:space="preserve"> ένα πρωινό δισκίο tezacaftor 100 mg/ivacaftor 150 mg</w:t>
            </w:r>
            <w:r w:rsidR="007B5AE0" w:rsidRPr="00F93ECE">
              <w:rPr>
                <w:bCs/>
                <w:szCs w:val="22"/>
              </w:rPr>
              <w:t xml:space="preserve"> </w:t>
            </w:r>
            <w:r w:rsidR="007B5AE0" w:rsidRPr="00F93ECE">
              <w:rPr>
                <w:szCs w:val="22"/>
              </w:rPr>
              <w:t>άπαξ ημερησίως ή λιγότερο συχνά.</w:t>
            </w:r>
          </w:p>
          <w:p w14:paraId="5EED0C58" w14:textId="77777777" w:rsidR="007B5AE0" w:rsidRPr="00F93ECE" w:rsidRDefault="007B5AE0" w:rsidP="007B5AE0">
            <w:pPr>
              <w:rPr>
                <w:szCs w:val="22"/>
              </w:rPr>
            </w:pPr>
            <w:r w:rsidRPr="00F93ECE">
              <w:rPr>
                <w:szCs w:val="22"/>
              </w:rPr>
              <w:t xml:space="preserve"> </w:t>
            </w:r>
          </w:p>
          <w:p w14:paraId="46FF7744" w14:textId="77777777" w:rsidR="007B5AE0" w:rsidRPr="00F93ECE" w:rsidRDefault="007B5AE0" w:rsidP="007B5AE0">
            <w:pPr>
              <w:rPr>
                <w:szCs w:val="22"/>
              </w:rPr>
            </w:pPr>
            <w:r w:rsidRPr="00F93ECE">
              <w:rPr>
                <w:szCs w:val="22"/>
              </w:rPr>
              <w:t xml:space="preserve">Τα διαστήματα μεταξύ των δόσεων θα πρέπει να τροποποιούνται ανάλογα με την κλινική απόκριση και την ανεκτικότητα. </w:t>
            </w:r>
          </w:p>
          <w:p w14:paraId="518F49BD" w14:textId="77777777" w:rsidR="007B5AE0" w:rsidRPr="00F93ECE" w:rsidRDefault="007B5AE0" w:rsidP="007B5AE0">
            <w:pPr>
              <w:rPr>
                <w:szCs w:val="22"/>
              </w:rPr>
            </w:pPr>
          </w:p>
          <w:p w14:paraId="022F72B0" w14:textId="010CAFEE" w:rsidR="007B5AE0" w:rsidRPr="00F93ECE" w:rsidRDefault="007B5AE0" w:rsidP="007B5AE0">
            <w:pPr>
              <w:widowControl w:val="0"/>
              <w:rPr>
                <w:szCs w:val="22"/>
              </w:rPr>
            </w:pPr>
            <w:r w:rsidRPr="00F93ECE">
              <w:rPr>
                <w:szCs w:val="22"/>
              </w:rPr>
              <w:t>Καμία βραδινή δόση.</w:t>
            </w:r>
          </w:p>
        </w:tc>
      </w:tr>
      <w:tr w:rsidR="00180C4D" w:rsidRPr="00133AC1" w14:paraId="551AB15F" w14:textId="77777777" w:rsidTr="002877EB">
        <w:trPr>
          <w:cantSplit/>
        </w:trPr>
        <w:tc>
          <w:tcPr>
            <w:tcW w:w="1413" w:type="dxa"/>
          </w:tcPr>
          <w:p w14:paraId="2A290D4A" w14:textId="41BB1D8E" w:rsidR="00180C4D" w:rsidRPr="00F93ECE" w:rsidRDefault="00180C4D" w:rsidP="005670EF">
            <w:pPr>
              <w:widowControl w:val="0"/>
              <w:rPr>
                <w:szCs w:val="22"/>
              </w:rPr>
            </w:pPr>
            <w:r w:rsidRPr="00F93ECE">
              <w:rPr>
                <w:szCs w:val="22"/>
              </w:rPr>
              <w:t>12 </w:t>
            </w:r>
            <w:r w:rsidR="007B7147" w:rsidRPr="00F93ECE">
              <w:rPr>
                <w:szCs w:val="22"/>
              </w:rPr>
              <w:t>ετών και άνω</w:t>
            </w:r>
          </w:p>
        </w:tc>
        <w:tc>
          <w:tcPr>
            <w:tcW w:w="4536" w:type="dxa"/>
          </w:tcPr>
          <w:p w14:paraId="03EF914D" w14:textId="0B8649BE" w:rsidR="00180C4D" w:rsidRPr="00F93ECE" w:rsidRDefault="007B7147" w:rsidP="005670EF">
            <w:pPr>
              <w:widowControl w:val="0"/>
              <w:rPr>
                <w:szCs w:val="22"/>
              </w:rPr>
            </w:pPr>
            <w:r w:rsidRPr="00F93ECE">
              <w:rPr>
                <w:szCs w:val="22"/>
              </w:rPr>
              <w:t>Ένα πρωινό δισκίο</w:t>
            </w:r>
            <w:r w:rsidR="00180C4D" w:rsidRPr="00F93ECE">
              <w:rPr>
                <w:szCs w:val="22"/>
              </w:rPr>
              <w:t xml:space="preserve"> tezacaftor 100 mg/ivacaftor 150 mg </w:t>
            </w:r>
            <w:r w:rsidRPr="00F93ECE">
              <w:rPr>
                <w:szCs w:val="22"/>
              </w:rPr>
              <w:t>άπαξ ημερησίως</w:t>
            </w:r>
            <w:r w:rsidR="00180C4D" w:rsidRPr="00F93ECE">
              <w:rPr>
                <w:szCs w:val="22"/>
              </w:rPr>
              <w:t>.</w:t>
            </w:r>
          </w:p>
          <w:p w14:paraId="18A5E58B" w14:textId="77777777" w:rsidR="00180C4D" w:rsidRPr="00F93ECE" w:rsidRDefault="00180C4D" w:rsidP="005670EF">
            <w:pPr>
              <w:widowControl w:val="0"/>
              <w:rPr>
                <w:szCs w:val="22"/>
              </w:rPr>
            </w:pPr>
          </w:p>
          <w:p w14:paraId="2F63C7EC" w14:textId="2EBF4C88" w:rsidR="00180C4D" w:rsidRPr="00F93ECE" w:rsidRDefault="007B7147" w:rsidP="005670EF">
            <w:pPr>
              <w:widowControl w:val="0"/>
              <w:rPr>
                <w:szCs w:val="22"/>
              </w:rPr>
            </w:pPr>
            <w:r w:rsidRPr="00F93ECE">
              <w:rPr>
                <w:szCs w:val="22"/>
              </w:rPr>
              <w:t>Καμία βραδινή δόση</w:t>
            </w:r>
            <w:r w:rsidR="00180C4D" w:rsidRPr="00F93ECE">
              <w:rPr>
                <w:szCs w:val="22"/>
              </w:rPr>
              <w:t>.</w:t>
            </w:r>
          </w:p>
        </w:tc>
        <w:tc>
          <w:tcPr>
            <w:tcW w:w="3969" w:type="dxa"/>
          </w:tcPr>
          <w:p w14:paraId="21F97055" w14:textId="6502863D" w:rsidR="00180C4D" w:rsidRPr="00F93ECE" w:rsidRDefault="007B7147" w:rsidP="005670EF">
            <w:pPr>
              <w:widowControl w:val="0"/>
              <w:rPr>
                <w:szCs w:val="22"/>
              </w:rPr>
            </w:pPr>
            <w:r w:rsidRPr="00F93ECE">
              <w:rPr>
                <w:szCs w:val="22"/>
              </w:rPr>
              <w:t>Η χρήση δεν συνιστάται, εκτός εάν τα οφέλη αναμένεται να υπερτερούν των κινδύνων</w:t>
            </w:r>
            <w:r w:rsidR="00180C4D" w:rsidRPr="00F93ECE">
              <w:rPr>
                <w:szCs w:val="22"/>
              </w:rPr>
              <w:t xml:space="preserve">. </w:t>
            </w:r>
          </w:p>
          <w:p w14:paraId="79572290" w14:textId="77777777" w:rsidR="00180C4D" w:rsidRPr="00F93ECE" w:rsidRDefault="00180C4D" w:rsidP="005670EF">
            <w:pPr>
              <w:widowControl w:val="0"/>
              <w:rPr>
                <w:szCs w:val="22"/>
              </w:rPr>
            </w:pPr>
          </w:p>
          <w:p w14:paraId="1ED5E0EB" w14:textId="7A434E36" w:rsidR="00180C4D" w:rsidRPr="00F93ECE" w:rsidRDefault="00FA013F" w:rsidP="005670EF">
            <w:pPr>
              <w:widowControl w:val="0"/>
              <w:rPr>
                <w:szCs w:val="22"/>
              </w:rPr>
            </w:pPr>
            <w:r w:rsidRPr="005826C8">
              <w:rPr>
                <w:szCs w:val="22"/>
              </w:rPr>
              <w:t>Εάν χρησιμοποιηθεί:</w:t>
            </w:r>
            <w:r w:rsidR="007B7147" w:rsidRPr="00F93ECE">
              <w:rPr>
                <w:szCs w:val="22"/>
              </w:rPr>
              <w:t xml:space="preserve"> ένα πρωινό δισκίο</w:t>
            </w:r>
            <w:r w:rsidR="00180C4D" w:rsidRPr="00F93ECE">
              <w:rPr>
                <w:szCs w:val="22"/>
              </w:rPr>
              <w:t xml:space="preserve"> tezacaftor 100 mg/ivacaftor 150 mg</w:t>
            </w:r>
            <w:r w:rsidR="00180C4D" w:rsidRPr="00F93ECE">
              <w:rPr>
                <w:bCs/>
                <w:szCs w:val="22"/>
              </w:rPr>
              <w:t xml:space="preserve"> </w:t>
            </w:r>
            <w:r w:rsidR="007B7147" w:rsidRPr="00F93ECE">
              <w:rPr>
                <w:szCs w:val="22"/>
              </w:rPr>
              <w:t>άπαξ ημερησίως ή λιγότερο συχνά</w:t>
            </w:r>
            <w:r w:rsidR="00180C4D" w:rsidRPr="00F93ECE">
              <w:rPr>
                <w:szCs w:val="22"/>
              </w:rPr>
              <w:t xml:space="preserve">. </w:t>
            </w:r>
          </w:p>
          <w:p w14:paraId="0E225723" w14:textId="77777777" w:rsidR="00180C4D" w:rsidRPr="00F93ECE" w:rsidRDefault="00180C4D" w:rsidP="005670EF">
            <w:pPr>
              <w:widowControl w:val="0"/>
              <w:rPr>
                <w:szCs w:val="22"/>
              </w:rPr>
            </w:pPr>
          </w:p>
          <w:p w14:paraId="5675A34B" w14:textId="1B36C97A" w:rsidR="00180C4D" w:rsidRPr="00F93ECE" w:rsidRDefault="007B7147" w:rsidP="005670EF">
            <w:pPr>
              <w:widowControl w:val="0"/>
              <w:rPr>
                <w:szCs w:val="22"/>
              </w:rPr>
            </w:pPr>
            <w:r w:rsidRPr="00F93ECE">
              <w:rPr>
                <w:szCs w:val="22"/>
              </w:rPr>
              <w:t>Τα διαστήματα μεταξύ των δόσεων θα πρέπει να τροποποιούνται ανάλογα με την κλινική απόκριση και την ανεκτικότητα</w:t>
            </w:r>
            <w:r w:rsidR="00180C4D" w:rsidRPr="00F93ECE">
              <w:rPr>
                <w:szCs w:val="22"/>
              </w:rPr>
              <w:t xml:space="preserve">. </w:t>
            </w:r>
          </w:p>
          <w:p w14:paraId="7A065C51" w14:textId="77777777" w:rsidR="00180C4D" w:rsidRPr="00F93ECE" w:rsidRDefault="00180C4D" w:rsidP="005670EF">
            <w:pPr>
              <w:widowControl w:val="0"/>
              <w:rPr>
                <w:szCs w:val="22"/>
              </w:rPr>
            </w:pPr>
          </w:p>
          <w:p w14:paraId="61109B17" w14:textId="68AC8261" w:rsidR="00180C4D" w:rsidRPr="00F93ECE" w:rsidRDefault="007B7147" w:rsidP="005670EF">
            <w:pPr>
              <w:widowControl w:val="0"/>
              <w:rPr>
                <w:szCs w:val="22"/>
              </w:rPr>
            </w:pPr>
            <w:r w:rsidRPr="00F93ECE">
              <w:rPr>
                <w:szCs w:val="22"/>
              </w:rPr>
              <w:t>Καμία βραδινή δόση</w:t>
            </w:r>
            <w:r w:rsidR="00180C4D" w:rsidRPr="00F93ECE">
              <w:rPr>
                <w:szCs w:val="22"/>
              </w:rPr>
              <w:t>.</w:t>
            </w:r>
          </w:p>
        </w:tc>
      </w:tr>
      <w:tr w:rsidR="00180C4D" w:rsidRPr="00133AC1" w14:paraId="1204C0C5" w14:textId="77777777" w:rsidTr="002877EB">
        <w:trPr>
          <w:cantSplit/>
        </w:trPr>
        <w:tc>
          <w:tcPr>
            <w:tcW w:w="9918" w:type="dxa"/>
            <w:gridSpan w:val="3"/>
            <w:tcBorders>
              <w:bottom w:val="single" w:sz="4" w:space="0" w:color="auto"/>
            </w:tcBorders>
            <w:shd w:val="clear" w:color="auto" w:fill="auto"/>
          </w:tcPr>
          <w:p w14:paraId="7C13788D" w14:textId="028C6314" w:rsidR="00180C4D" w:rsidRPr="00F93ECE" w:rsidRDefault="00180C4D" w:rsidP="005670EF">
            <w:pPr>
              <w:keepNext/>
              <w:widowControl w:val="0"/>
              <w:rPr>
                <w:b/>
                <w:bCs/>
                <w:szCs w:val="22"/>
              </w:rPr>
            </w:pPr>
            <w:r w:rsidRPr="00F93ECE">
              <w:rPr>
                <w:b/>
                <w:bCs/>
                <w:szCs w:val="22"/>
              </w:rPr>
              <w:t xml:space="preserve">Ivacaftor </w:t>
            </w:r>
            <w:r w:rsidR="00764A6B" w:rsidRPr="00F93ECE">
              <w:rPr>
                <w:b/>
                <w:bCs/>
                <w:szCs w:val="22"/>
              </w:rPr>
              <w:t xml:space="preserve">σε συνδυαστικό σχήμα με </w:t>
            </w:r>
            <w:r w:rsidRPr="00F93ECE">
              <w:rPr>
                <w:b/>
                <w:bCs/>
                <w:szCs w:val="22"/>
              </w:rPr>
              <w:t xml:space="preserve">ivacaftor/tezacaftor/elexacaftor </w:t>
            </w:r>
          </w:p>
        </w:tc>
      </w:tr>
      <w:tr w:rsidR="00180C4D" w:rsidRPr="00133AC1" w14:paraId="6975C349" w14:textId="77777777" w:rsidTr="002877EB">
        <w:trPr>
          <w:cantSplit/>
        </w:trPr>
        <w:tc>
          <w:tcPr>
            <w:tcW w:w="1413" w:type="dxa"/>
            <w:tcBorders>
              <w:bottom w:val="single" w:sz="4" w:space="0" w:color="auto"/>
            </w:tcBorders>
          </w:tcPr>
          <w:p w14:paraId="5B640FAB" w14:textId="69E60B7A" w:rsidR="00180C4D" w:rsidRPr="00F93ECE" w:rsidRDefault="00180C4D" w:rsidP="005670EF">
            <w:pPr>
              <w:widowControl w:val="0"/>
              <w:rPr>
                <w:szCs w:val="22"/>
              </w:rPr>
            </w:pPr>
            <w:r w:rsidRPr="00F93ECE">
              <w:rPr>
                <w:szCs w:val="22"/>
              </w:rPr>
              <w:t>12 </w:t>
            </w:r>
            <w:r w:rsidR="00764A6B" w:rsidRPr="00F93ECE">
              <w:rPr>
                <w:szCs w:val="22"/>
              </w:rPr>
              <w:t>ετών και άνω</w:t>
            </w:r>
          </w:p>
        </w:tc>
        <w:tc>
          <w:tcPr>
            <w:tcW w:w="4536" w:type="dxa"/>
            <w:tcBorders>
              <w:bottom w:val="single" w:sz="4" w:space="0" w:color="auto"/>
            </w:tcBorders>
          </w:tcPr>
          <w:p w14:paraId="28BA059D" w14:textId="059F4A39" w:rsidR="00180C4D" w:rsidRPr="00F93ECE" w:rsidRDefault="00764A6B" w:rsidP="005670EF">
            <w:pPr>
              <w:widowControl w:val="0"/>
              <w:rPr>
                <w:szCs w:val="22"/>
              </w:rPr>
            </w:pPr>
            <w:r w:rsidRPr="00F93ECE">
              <w:rPr>
                <w:szCs w:val="22"/>
              </w:rPr>
              <w:t>Η χρήση δεν συνιστάται</w:t>
            </w:r>
            <w:r w:rsidR="00180C4D" w:rsidRPr="00F93ECE">
              <w:rPr>
                <w:szCs w:val="22"/>
              </w:rPr>
              <w:t>.</w:t>
            </w:r>
          </w:p>
          <w:p w14:paraId="0376207F" w14:textId="2AD8A0C9" w:rsidR="00180C4D" w:rsidRPr="00F93ECE" w:rsidRDefault="005D29BD" w:rsidP="005670EF">
            <w:pPr>
              <w:widowControl w:val="0"/>
              <w:rPr>
                <w:szCs w:val="22"/>
              </w:rPr>
            </w:pPr>
            <w:r w:rsidRPr="00F93ECE">
              <w:rPr>
                <w:szCs w:val="22"/>
              </w:rPr>
              <w:t>Το ενδεχόμενο χρήσης θα πρέπει να εξετάζεται μόνο όταν υπάρχει σαφής ιατρική ανάγκη και τα οφέλη αναμένεται να υπερτερούν των κινδύνων</w:t>
            </w:r>
            <w:r w:rsidR="00180C4D" w:rsidRPr="00F93ECE">
              <w:rPr>
                <w:szCs w:val="22"/>
              </w:rPr>
              <w:t>.</w:t>
            </w:r>
          </w:p>
          <w:p w14:paraId="65C94E0C" w14:textId="77777777" w:rsidR="00180C4D" w:rsidRPr="00F93ECE" w:rsidRDefault="00180C4D" w:rsidP="005670EF">
            <w:pPr>
              <w:widowControl w:val="0"/>
              <w:rPr>
                <w:szCs w:val="22"/>
              </w:rPr>
            </w:pPr>
          </w:p>
          <w:p w14:paraId="76C41F1D" w14:textId="67D6DE75" w:rsidR="00180C4D" w:rsidRPr="00F93ECE" w:rsidRDefault="005D29BD" w:rsidP="005670EF">
            <w:pPr>
              <w:widowControl w:val="0"/>
              <w:rPr>
                <w:szCs w:val="22"/>
              </w:rPr>
            </w:pPr>
            <w:r w:rsidRPr="00F93ECE">
              <w:rPr>
                <w:szCs w:val="22"/>
              </w:rPr>
              <w:t>Εάν χρησιμοποιηθεί</w:t>
            </w:r>
            <w:r w:rsidR="00180C4D" w:rsidRPr="00F93ECE">
              <w:rPr>
                <w:szCs w:val="22"/>
              </w:rPr>
              <w:t xml:space="preserve">: </w:t>
            </w:r>
            <w:r w:rsidRPr="00F93ECE">
              <w:rPr>
                <w:szCs w:val="22"/>
              </w:rPr>
              <w:t xml:space="preserve">εναλλάξ </w:t>
            </w:r>
            <w:r w:rsidR="00C7516E" w:rsidRPr="00F93ECE">
              <w:rPr>
                <w:szCs w:val="22"/>
              </w:rPr>
              <w:t>χορήγηση</w:t>
            </w:r>
            <w:r w:rsidRPr="00F93ECE">
              <w:rPr>
                <w:szCs w:val="22"/>
              </w:rPr>
              <w:t xml:space="preserve"> καθημερινά, δηλαδή τη μία ημέρα δύο δισκία </w:t>
            </w:r>
            <w:r w:rsidR="00180C4D" w:rsidRPr="00F93ECE">
              <w:rPr>
                <w:szCs w:val="22"/>
              </w:rPr>
              <w:t xml:space="preserve">ivacaftor 75 mg/tezacaftor 50 mg/elexacaftor 100 mg </w:t>
            </w:r>
            <w:r w:rsidRPr="00F93ECE">
              <w:rPr>
                <w:szCs w:val="22"/>
              </w:rPr>
              <w:t>και την άλλη ημέρα ένα δισκίο</w:t>
            </w:r>
            <w:r w:rsidR="00180C4D" w:rsidRPr="00F93ECE">
              <w:rPr>
                <w:szCs w:val="22"/>
              </w:rPr>
              <w:t xml:space="preserve"> ivacaftor 75 mg/tezacaftor 50 mg/elexacaftor 100 mg.</w:t>
            </w:r>
          </w:p>
          <w:p w14:paraId="5CEA85EF" w14:textId="77777777" w:rsidR="00180C4D" w:rsidRPr="00F93ECE" w:rsidRDefault="00180C4D" w:rsidP="005670EF">
            <w:pPr>
              <w:widowControl w:val="0"/>
              <w:rPr>
                <w:szCs w:val="22"/>
              </w:rPr>
            </w:pPr>
          </w:p>
          <w:p w14:paraId="2C20F8F8" w14:textId="1F227B9F" w:rsidR="00180C4D" w:rsidRPr="00F93ECE" w:rsidRDefault="00900398" w:rsidP="005670EF">
            <w:pPr>
              <w:widowControl w:val="0"/>
              <w:rPr>
                <w:szCs w:val="22"/>
              </w:rPr>
            </w:pPr>
            <w:r w:rsidRPr="00F93ECE">
              <w:rPr>
                <w:szCs w:val="22"/>
              </w:rPr>
              <w:t>Καμία βραδινή δόση</w:t>
            </w:r>
            <w:r w:rsidR="00180C4D" w:rsidRPr="00F93ECE">
              <w:rPr>
                <w:szCs w:val="22"/>
              </w:rPr>
              <w:t>.</w:t>
            </w:r>
          </w:p>
        </w:tc>
        <w:tc>
          <w:tcPr>
            <w:tcW w:w="3969" w:type="dxa"/>
            <w:tcBorders>
              <w:bottom w:val="single" w:sz="4" w:space="0" w:color="auto"/>
            </w:tcBorders>
          </w:tcPr>
          <w:p w14:paraId="0A6E0265" w14:textId="77777777" w:rsidR="00180C4D" w:rsidRPr="00F93ECE" w:rsidRDefault="00764A6B" w:rsidP="005670EF">
            <w:pPr>
              <w:widowControl w:val="0"/>
              <w:rPr>
                <w:szCs w:val="22"/>
              </w:rPr>
            </w:pPr>
            <w:r w:rsidRPr="00F93ECE">
              <w:rPr>
                <w:szCs w:val="22"/>
              </w:rPr>
              <w:t>Δεν πρέπει να χρησιμοποιείται</w:t>
            </w:r>
            <w:r w:rsidR="00180C4D" w:rsidRPr="00F93ECE">
              <w:rPr>
                <w:szCs w:val="22"/>
              </w:rPr>
              <w:t>.</w:t>
            </w:r>
          </w:p>
          <w:p w14:paraId="7E967337" w14:textId="77777777" w:rsidR="005A3D35" w:rsidRPr="00F93ECE" w:rsidRDefault="005A3D35" w:rsidP="005670EF">
            <w:pPr>
              <w:widowControl w:val="0"/>
              <w:rPr>
                <w:szCs w:val="22"/>
              </w:rPr>
            </w:pPr>
          </w:p>
          <w:p w14:paraId="07FBFF17" w14:textId="42A45539" w:rsidR="005A3D35" w:rsidRPr="00F93ECE" w:rsidRDefault="005A3D35" w:rsidP="005A3D35">
            <w:pPr>
              <w:widowControl w:val="0"/>
              <w:rPr>
                <w:szCs w:val="22"/>
              </w:rPr>
            </w:pPr>
          </w:p>
        </w:tc>
      </w:tr>
    </w:tbl>
    <w:p w14:paraId="3004DA3F" w14:textId="77777777" w:rsidR="00A67D3A" w:rsidRPr="00133AC1" w:rsidRDefault="00A67D3A">
      <w:pPr>
        <w:pStyle w:val="labeltext"/>
        <w:rPr>
          <w:sz w:val="22"/>
          <w:szCs w:val="22"/>
          <w:lang w:val="el-GR"/>
        </w:rPr>
      </w:pPr>
    </w:p>
    <w:p w14:paraId="45356978" w14:textId="77777777" w:rsidR="00A67D3A" w:rsidRPr="0047462D" w:rsidRDefault="00ED7342" w:rsidP="00141E57">
      <w:pPr>
        <w:keepNext/>
        <w:tabs>
          <w:tab w:val="left" w:pos="567"/>
        </w:tabs>
        <w:suppressAutoHyphens w:val="0"/>
        <w:spacing w:line="260" w:lineRule="exact"/>
        <w:rPr>
          <w:bCs/>
          <w:iCs/>
          <w:szCs w:val="22"/>
          <w:u w:val="single"/>
          <w:lang w:eastAsia="en-US"/>
        </w:rPr>
      </w:pPr>
      <w:r w:rsidRPr="0047462D">
        <w:rPr>
          <w:bCs/>
          <w:iCs/>
          <w:szCs w:val="22"/>
          <w:u w:val="single"/>
          <w:lang w:eastAsia="en-US"/>
        </w:rPr>
        <w:t>Παιδιατρικός πληθυσμός</w:t>
      </w:r>
    </w:p>
    <w:p w14:paraId="2D1BFE7B" w14:textId="77777777" w:rsidR="004C1466" w:rsidRPr="0047462D" w:rsidRDefault="004C1466" w:rsidP="00141E57">
      <w:pPr>
        <w:keepNext/>
        <w:tabs>
          <w:tab w:val="left" w:pos="567"/>
        </w:tabs>
        <w:suppressAutoHyphens w:val="0"/>
        <w:spacing w:line="260" w:lineRule="exact"/>
        <w:rPr>
          <w:bCs/>
          <w:iCs/>
          <w:szCs w:val="22"/>
          <w:u w:val="single"/>
          <w:lang w:eastAsia="en-US"/>
        </w:rPr>
      </w:pPr>
    </w:p>
    <w:p w14:paraId="25FE7F04" w14:textId="55282DCB" w:rsidR="00A67D3A" w:rsidRPr="0047462D" w:rsidRDefault="00A67D3A" w:rsidP="00141E57">
      <w:pPr>
        <w:rPr>
          <w:rFonts w:eastAsia="Times New Roman"/>
          <w:szCs w:val="22"/>
        </w:rPr>
      </w:pPr>
      <w:r w:rsidRPr="0047462D">
        <w:rPr>
          <w:rFonts w:eastAsia="Times New Roman"/>
          <w:szCs w:val="22"/>
        </w:rPr>
        <w:t xml:space="preserve">Η ασφάλεια και </w:t>
      </w:r>
      <w:r w:rsidR="00D37CD7" w:rsidRPr="0047462D">
        <w:rPr>
          <w:rFonts w:eastAsia="Times New Roman"/>
          <w:szCs w:val="22"/>
        </w:rPr>
        <w:t xml:space="preserve">η </w:t>
      </w:r>
      <w:r w:rsidRPr="0047462D">
        <w:rPr>
          <w:rFonts w:eastAsia="Times New Roman"/>
          <w:szCs w:val="22"/>
        </w:rPr>
        <w:t xml:space="preserve">αποτελεσματικότητα </w:t>
      </w:r>
      <w:r w:rsidR="00C64FBB">
        <w:rPr>
          <w:rFonts w:eastAsia="Times New Roman"/>
          <w:szCs w:val="22"/>
        </w:rPr>
        <w:t xml:space="preserve">του </w:t>
      </w:r>
      <w:r w:rsidR="00101A03" w:rsidRPr="0047462D">
        <w:t xml:space="preserve">ivacaftor </w:t>
      </w:r>
      <w:r w:rsidR="00FA013F">
        <w:rPr>
          <w:rFonts w:eastAsia="Times New Roman"/>
          <w:szCs w:val="22"/>
        </w:rPr>
        <w:t>ως μονοθεραπείας</w:t>
      </w:r>
      <w:r w:rsidR="00FA013F" w:rsidRPr="0047462D">
        <w:rPr>
          <w:rFonts w:eastAsia="Times New Roman"/>
          <w:szCs w:val="22"/>
        </w:rPr>
        <w:t xml:space="preserve"> δεν έχουν τεκμηριωθεί </w:t>
      </w:r>
      <w:r w:rsidRPr="0047462D">
        <w:rPr>
          <w:rFonts w:eastAsia="Times New Roman"/>
          <w:szCs w:val="22"/>
        </w:rPr>
        <w:t xml:space="preserve">σε παιδιά ηλικίας κάτω των </w:t>
      </w:r>
      <w:r w:rsidR="00973BAC" w:rsidRPr="00F93ECE">
        <w:rPr>
          <w:rFonts w:eastAsia="Times New Roman"/>
          <w:szCs w:val="22"/>
        </w:rPr>
        <w:t>4</w:t>
      </w:r>
      <w:r w:rsidR="00973BAC" w:rsidRPr="0047462D">
        <w:rPr>
          <w:rFonts w:eastAsia="Times New Roman"/>
          <w:szCs w:val="22"/>
        </w:rPr>
        <w:t> </w:t>
      </w:r>
      <w:r w:rsidR="00377BE3" w:rsidRPr="0047462D">
        <w:rPr>
          <w:rFonts w:eastAsia="Times New Roman"/>
          <w:szCs w:val="22"/>
        </w:rPr>
        <w:t>μηνών</w:t>
      </w:r>
      <w:r w:rsidR="00C64FBB">
        <w:rPr>
          <w:rFonts w:eastAsia="Times New Roman"/>
          <w:szCs w:val="22"/>
        </w:rPr>
        <w:t xml:space="preserve">, </w:t>
      </w:r>
      <w:r w:rsidR="00FA013F">
        <w:rPr>
          <w:rFonts w:eastAsia="Times New Roman"/>
          <w:szCs w:val="22"/>
        </w:rPr>
        <w:t xml:space="preserve">ούτε </w:t>
      </w:r>
      <w:r w:rsidR="00C64FBB">
        <w:t xml:space="preserve">σε </w:t>
      </w:r>
      <w:r w:rsidR="00314815">
        <w:t>συνδυασμό</w:t>
      </w:r>
      <w:r w:rsidR="00C64FBB">
        <w:t xml:space="preserve"> με tezacaftor/ivacaftor σε παιδιά ηλικίας κάτω των 6 ετών, </w:t>
      </w:r>
      <w:r w:rsidR="00FA013F">
        <w:t>ούτε</w:t>
      </w:r>
      <w:r w:rsidR="00C64FBB">
        <w:t xml:space="preserve"> σε </w:t>
      </w:r>
      <w:r w:rsidR="00314815">
        <w:t>συνδυασμό</w:t>
      </w:r>
      <w:r w:rsidR="00C64FBB">
        <w:t xml:space="preserve"> με ivacaftor/tezacaftor/elexacaftor σε παιδιά ηλικίας κάτω των 12 ετών</w:t>
      </w:r>
      <w:r w:rsidRPr="0047462D">
        <w:rPr>
          <w:rFonts w:eastAsia="Times New Roman"/>
          <w:szCs w:val="22"/>
        </w:rPr>
        <w:t>. Δεν υπάρχουν διαθέσιμα δεδομένα.</w:t>
      </w:r>
    </w:p>
    <w:p w14:paraId="2F5B7720" w14:textId="77777777" w:rsidR="007A7D01" w:rsidRPr="0047462D" w:rsidRDefault="007A7D01" w:rsidP="007307BE"/>
    <w:p w14:paraId="58306EB7" w14:textId="1BAE171A" w:rsidR="007332BA" w:rsidRPr="0047462D" w:rsidRDefault="00606C82" w:rsidP="007307BE">
      <w:pPr>
        <w:rPr>
          <w:noProof/>
          <w:szCs w:val="22"/>
        </w:rPr>
      </w:pPr>
      <w:r w:rsidRPr="0047462D">
        <w:rPr>
          <w:rFonts w:eastAsia="Times New Roman"/>
          <w:szCs w:val="22"/>
        </w:rPr>
        <w:t>Υπάρχουν περιορισμένα δεδομένα</w:t>
      </w:r>
      <w:r w:rsidR="00A67D3A" w:rsidRPr="0047462D">
        <w:rPr>
          <w:rFonts w:eastAsia="Times New Roman"/>
          <w:szCs w:val="22"/>
        </w:rPr>
        <w:t xml:space="preserve"> σε ασθενείς ηλικίας κάτω των </w:t>
      </w:r>
      <w:r w:rsidRPr="0047462D">
        <w:rPr>
          <w:rFonts w:eastAsia="Times New Roman"/>
          <w:szCs w:val="22"/>
        </w:rPr>
        <w:t>6</w:t>
      </w:r>
      <w:r w:rsidR="00A67D3A" w:rsidRPr="0047462D">
        <w:rPr>
          <w:rFonts w:eastAsia="Times New Roman"/>
          <w:szCs w:val="22"/>
        </w:rPr>
        <w:t xml:space="preserve"> ετών με μια μετάλλαξη </w:t>
      </w:r>
      <w:r w:rsidR="00A67D3A" w:rsidRPr="0047462D">
        <w:rPr>
          <w:i/>
          <w:lang w:val="en-US"/>
        </w:rPr>
        <w:t>R</w:t>
      </w:r>
      <w:r w:rsidR="00A67D3A" w:rsidRPr="0047462D">
        <w:rPr>
          <w:i/>
        </w:rPr>
        <w:t>117</w:t>
      </w:r>
      <w:r w:rsidR="00A67D3A" w:rsidRPr="0047462D">
        <w:rPr>
          <w:i/>
          <w:lang w:val="en-US"/>
        </w:rPr>
        <w:t>H</w:t>
      </w:r>
      <w:r w:rsidR="00A67D3A" w:rsidRPr="0047462D">
        <w:rPr>
          <w:rFonts w:eastAsia="Times New Roman"/>
          <w:szCs w:val="22"/>
        </w:rPr>
        <w:t xml:space="preserve"> στο γονίδιο </w:t>
      </w:r>
      <w:r w:rsidR="00A67D3A" w:rsidRPr="0047462D">
        <w:rPr>
          <w:rFonts w:eastAsia="Times New Roman"/>
          <w:i/>
          <w:iCs/>
          <w:szCs w:val="22"/>
        </w:rPr>
        <w:t>CFTR</w:t>
      </w:r>
      <w:r w:rsidR="00A67D3A" w:rsidRPr="0047462D">
        <w:rPr>
          <w:rFonts w:eastAsia="Times New Roman"/>
          <w:szCs w:val="22"/>
        </w:rPr>
        <w:t xml:space="preserve">. </w:t>
      </w:r>
      <w:r w:rsidR="00A67D3A" w:rsidRPr="0047462D">
        <w:rPr>
          <w:noProof/>
          <w:szCs w:val="22"/>
        </w:rPr>
        <w:t xml:space="preserve">Τα διαθέσιμα δεδομένα </w:t>
      </w:r>
      <w:r w:rsidRPr="0047462D">
        <w:rPr>
          <w:noProof/>
          <w:szCs w:val="22"/>
        </w:rPr>
        <w:t xml:space="preserve">σε ασθενείς ηλικίας 6 ετών και άνω </w:t>
      </w:r>
      <w:r w:rsidR="00A67D3A" w:rsidRPr="0047462D">
        <w:rPr>
          <w:noProof/>
          <w:szCs w:val="22"/>
        </w:rPr>
        <w:t>περιγράφονται στις παραγράφους 4.8</w:t>
      </w:r>
      <w:r w:rsidRPr="0047462D">
        <w:rPr>
          <w:noProof/>
          <w:szCs w:val="22"/>
        </w:rPr>
        <w:t>,</w:t>
      </w:r>
      <w:r w:rsidR="00A67D3A" w:rsidRPr="0047462D">
        <w:rPr>
          <w:noProof/>
          <w:szCs w:val="22"/>
        </w:rPr>
        <w:t xml:space="preserve"> 5.1</w:t>
      </w:r>
      <w:r w:rsidRPr="0047462D">
        <w:rPr>
          <w:noProof/>
          <w:szCs w:val="22"/>
        </w:rPr>
        <w:t xml:space="preserve"> και 5.2</w:t>
      </w:r>
      <w:r w:rsidR="00A67D3A" w:rsidRPr="0047462D">
        <w:rPr>
          <w:noProof/>
          <w:szCs w:val="22"/>
        </w:rPr>
        <w:t>.</w:t>
      </w:r>
    </w:p>
    <w:p w14:paraId="5514356D" w14:textId="77777777" w:rsidR="00A67D3A" w:rsidRPr="0047462D" w:rsidRDefault="00A67D3A" w:rsidP="007307BE">
      <w:pPr>
        <w:rPr>
          <w:rFonts w:eastAsia="Times New Roman"/>
          <w:szCs w:val="22"/>
        </w:rPr>
      </w:pPr>
    </w:p>
    <w:p w14:paraId="2EDBA68D" w14:textId="77777777" w:rsidR="00A67D3A" w:rsidRPr="0047462D" w:rsidRDefault="00A67D3A" w:rsidP="00141E57">
      <w:pPr>
        <w:keepNext/>
        <w:rPr>
          <w:rFonts w:eastAsia="Times New Roman"/>
          <w:szCs w:val="22"/>
          <w:u w:val="single"/>
        </w:rPr>
      </w:pPr>
      <w:r w:rsidRPr="0047462D">
        <w:rPr>
          <w:rFonts w:eastAsia="Times New Roman"/>
          <w:szCs w:val="22"/>
          <w:u w:val="single"/>
        </w:rPr>
        <w:t xml:space="preserve">Τρόπος χορήγησης </w:t>
      </w:r>
    </w:p>
    <w:p w14:paraId="3B913CB1" w14:textId="77777777" w:rsidR="00292EEB" w:rsidRPr="0047462D" w:rsidRDefault="00292EEB" w:rsidP="00141E57">
      <w:pPr>
        <w:keepNext/>
        <w:rPr>
          <w:rFonts w:eastAsia="Times New Roman"/>
          <w:szCs w:val="22"/>
        </w:rPr>
      </w:pPr>
    </w:p>
    <w:p w14:paraId="4DD215D9" w14:textId="77777777" w:rsidR="00292EEB" w:rsidRPr="0047462D" w:rsidRDefault="00AF6CEA" w:rsidP="00AB088E">
      <w:pPr>
        <w:rPr>
          <w:rFonts w:eastAsia="Times New Roman"/>
          <w:szCs w:val="22"/>
        </w:rPr>
      </w:pPr>
      <w:r w:rsidRPr="0047462D">
        <w:rPr>
          <w:rFonts w:eastAsia="Times New Roman"/>
          <w:szCs w:val="22"/>
        </w:rPr>
        <w:t xml:space="preserve">Για από </w:t>
      </w:r>
      <w:r w:rsidR="00A67D3A" w:rsidRPr="0047462D">
        <w:rPr>
          <w:rFonts w:eastAsia="Times New Roman"/>
          <w:szCs w:val="22"/>
        </w:rPr>
        <w:t xml:space="preserve">στόματος χρήση. </w:t>
      </w:r>
    </w:p>
    <w:p w14:paraId="0F9D0931" w14:textId="77777777" w:rsidR="00292EEB" w:rsidRPr="0047462D" w:rsidRDefault="00292EEB" w:rsidP="00AB088E">
      <w:pPr>
        <w:rPr>
          <w:rFonts w:eastAsia="Times New Roman"/>
          <w:szCs w:val="22"/>
        </w:rPr>
      </w:pPr>
    </w:p>
    <w:p w14:paraId="16764ABC" w14:textId="44BFCD0B" w:rsidR="00AB088E" w:rsidRPr="0047462D" w:rsidRDefault="00AB088E" w:rsidP="00AB088E">
      <w:pPr>
        <w:rPr>
          <w:rFonts w:eastAsia="Times New Roman"/>
        </w:rPr>
      </w:pPr>
      <w:r w:rsidRPr="0047462D">
        <w:t>Στους ασθενείς θα πρέπει να δίνονται οδηγίες να καταπίνουν τα δισκία ολόκληρα. Τα δισκία δεν θα πρέπει να μασώνται, να θρυμματίζονται ή να σπάζονται πριν την κατάποση</w:t>
      </w:r>
      <w:r w:rsidR="00981CE5" w:rsidRPr="00F93ECE">
        <w:t xml:space="preserve">, </w:t>
      </w:r>
      <w:r w:rsidR="00981CE5" w:rsidRPr="0047462D">
        <w:rPr>
          <w:rStyle w:val="hps"/>
        </w:rPr>
        <w:t>επειδή επί του παρόντος δεν υπάρχουν κλινικά δεδομένα που να υποστηρίζουν άλλους τρόπους χορήγησης</w:t>
      </w:r>
      <w:r w:rsidRPr="0047462D">
        <w:t>.</w:t>
      </w:r>
    </w:p>
    <w:p w14:paraId="531DCF09" w14:textId="77777777" w:rsidR="00A67D3A" w:rsidRPr="0047462D" w:rsidRDefault="00A67D3A">
      <w:pPr>
        <w:pStyle w:val="labeltext"/>
        <w:suppressAutoHyphens w:val="0"/>
        <w:rPr>
          <w:rFonts w:eastAsia="MS Mincho"/>
          <w:color w:val="000000"/>
          <w:szCs w:val="22"/>
          <w:lang w:val="el-GR" w:eastAsia="ja-JP"/>
        </w:rPr>
      </w:pPr>
    </w:p>
    <w:p w14:paraId="399C63B6" w14:textId="218EDDE1" w:rsidR="00A67D3A" w:rsidRPr="0047462D" w:rsidRDefault="00A67D3A" w:rsidP="007307BE">
      <w:pPr>
        <w:pStyle w:val="labeltext"/>
        <w:rPr>
          <w:rFonts w:eastAsia="Times New Roman"/>
          <w:sz w:val="22"/>
          <w:szCs w:val="22"/>
          <w:lang w:val="el-GR"/>
        </w:rPr>
      </w:pPr>
      <w:r w:rsidRPr="0047462D">
        <w:rPr>
          <w:rFonts w:eastAsia="Times New Roman"/>
          <w:sz w:val="22"/>
          <w:szCs w:val="22"/>
          <w:lang w:val="el-GR"/>
        </w:rPr>
        <w:t>Τ</w:t>
      </w:r>
      <w:r w:rsidR="00431358" w:rsidRPr="0047462D">
        <w:rPr>
          <w:rFonts w:eastAsia="Times New Roman"/>
          <w:sz w:val="22"/>
          <w:szCs w:val="22"/>
          <w:lang w:val="el-GR"/>
        </w:rPr>
        <w:t xml:space="preserve">α δισκία </w:t>
      </w:r>
      <w:r w:rsidR="00981CE5" w:rsidRPr="0047462D">
        <w:rPr>
          <w:sz w:val="22"/>
          <w:szCs w:val="22"/>
          <w:lang w:val="en-GB"/>
        </w:rPr>
        <w:t>ivacaftor</w:t>
      </w:r>
      <w:r w:rsidR="00981CE5" w:rsidRPr="0047462D" w:rsidDel="00981CE5">
        <w:rPr>
          <w:rFonts w:eastAsia="Times New Roman"/>
          <w:sz w:val="22"/>
          <w:szCs w:val="22"/>
          <w:lang w:val="el-GR"/>
        </w:rPr>
        <w:t xml:space="preserve"> </w:t>
      </w:r>
      <w:r w:rsidRPr="0047462D">
        <w:rPr>
          <w:rFonts w:eastAsia="Times New Roman"/>
          <w:sz w:val="22"/>
          <w:szCs w:val="22"/>
          <w:lang w:val="el-GR"/>
        </w:rPr>
        <w:t xml:space="preserve">θα πρέπει να </w:t>
      </w:r>
      <w:r w:rsidR="000066C3" w:rsidRPr="0047462D">
        <w:rPr>
          <w:rFonts w:eastAsia="Times New Roman"/>
          <w:sz w:val="22"/>
          <w:szCs w:val="22"/>
          <w:lang w:val="el-GR"/>
        </w:rPr>
        <w:t xml:space="preserve">λαμβάνονται </w:t>
      </w:r>
      <w:r w:rsidRPr="0047462D">
        <w:rPr>
          <w:rFonts w:eastAsia="Times New Roman"/>
          <w:sz w:val="22"/>
          <w:szCs w:val="22"/>
          <w:lang w:val="el-GR"/>
        </w:rPr>
        <w:t xml:space="preserve">μαζί με τροφή που περιέχει λίπος. </w:t>
      </w:r>
    </w:p>
    <w:p w14:paraId="3FAA15FC" w14:textId="77777777" w:rsidR="00A67D3A" w:rsidRPr="0047462D" w:rsidRDefault="00A67D3A" w:rsidP="007307BE">
      <w:pPr>
        <w:pStyle w:val="labeltext"/>
        <w:rPr>
          <w:rFonts w:eastAsia="Times New Roman"/>
          <w:sz w:val="22"/>
          <w:szCs w:val="22"/>
          <w:lang w:val="el-GR"/>
        </w:rPr>
      </w:pPr>
    </w:p>
    <w:p w14:paraId="7B1A285B" w14:textId="7790DD1D" w:rsidR="00A67D3A" w:rsidRPr="0047462D" w:rsidRDefault="00A67D3A" w:rsidP="00141E57">
      <w:pPr>
        <w:pStyle w:val="labeltext"/>
        <w:rPr>
          <w:rFonts w:eastAsia="Times New Roman"/>
          <w:sz w:val="22"/>
          <w:szCs w:val="22"/>
          <w:lang w:val="el-GR"/>
        </w:rPr>
      </w:pPr>
      <w:r w:rsidRPr="0047462D">
        <w:rPr>
          <w:rFonts w:eastAsia="Times New Roman"/>
          <w:sz w:val="22"/>
          <w:szCs w:val="22"/>
          <w:lang w:val="el-GR"/>
        </w:rPr>
        <w:t>Τροφές</w:t>
      </w:r>
      <w:r w:rsidR="00431358" w:rsidRPr="0047462D">
        <w:rPr>
          <w:rFonts w:eastAsia="Times New Roman"/>
          <w:sz w:val="22"/>
          <w:szCs w:val="22"/>
          <w:lang w:val="el-GR"/>
        </w:rPr>
        <w:t xml:space="preserve"> ή ποτά</w:t>
      </w:r>
      <w:r w:rsidRPr="0047462D">
        <w:rPr>
          <w:rFonts w:eastAsia="Times New Roman"/>
          <w:sz w:val="22"/>
          <w:szCs w:val="22"/>
          <w:lang w:val="el-GR"/>
        </w:rPr>
        <w:t xml:space="preserve"> που περιέχουν γκρέιπφρουτ θα πρέπει να αποφεύγονται κατά τη θεραπεία (βλ. παράγραφο</w:t>
      </w:r>
      <w:r w:rsidRPr="0047462D">
        <w:rPr>
          <w:rFonts w:eastAsia="Times New Roman"/>
          <w:sz w:val="22"/>
          <w:szCs w:val="22"/>
          <w:lang w:val="en-GB"/>
        </w:rPr>
        <w:t> </w:t>
      </w:r>
      <w:r w:rsidRPr="0047462D">
        <w:rPr>
          <w:rFonts w:eastAsia="Times New Roman"/>
          <w:sz w:val="22"/>
          <w:szCs w:val="22"/>
          <w:lang w:val="el-GR"/>
        </w:rPr>
        <w:t>4.5).</w:t>
      </w:r>
    </w:p>
    <w:p w14:paraId="358B13A9" w14:textId="77777777" w:rsidR="00A67D3A" w:rsidRPr="0047462D" w:rsidRDefault="00A67D3A" w:rsidP="00141E57">
      <w:pPr>
        <w:pStyle w:val="labeltext"/>
        <w:rPr>
          <w:rFonts w:eastAsia="Times New Roman"/>
          <w:sz w:val="22"/>
          <w:szCs w:val="22"/>
          <w:lang w:val="el-GR"/>
        </w:rPr>
      </w:pPr>
    </w:p>
    <w:p w14:paraId="337E03C0" w14:textId="77777777" w:rsidR="00A67D3A" w:rsidRPr="0047462D" w:rsidRDefault="00A67D3A" w:rsidP="00141E57">
      <w:pPr>
        <w:keepNext/>
        <w:tabs>
          <w:tab w:val="left" w:pos="567"/>
        </w:tabs>
        <w:suppressAutoHyphens w:val="0"/>
        <w:ind w:left="562" w:hanging="562"/>
        <w:rPr>
          <w:b/>
        </w:rPr>
      </w:pPr>
      <w:r w:rsidRPr="0047462D">
        <w:rPr>
          <w:b/>
          <w:bCs/>
          <w:szCs w:val="22"/>
          <w:lang w:eastAsia="en-US"/>
        </w:rPr>
        <w:t>4.3</w:t>
      </w:r>
      <w:r w:rsidRPr="0047462D">
        <w:rPr>
          <w:b/>
          <w:bCs/>
          <w:szCs w:val="22"/>
          <w:lang w:eastAsia="en-US"/>
        </w:rPr>
        <w:tab/>
        <w:t>Αντενδείξεις</w:t>
      </w:r>
    </w:p>
    <w:p w14:paraId="0462AFED" w14:textId="77777777" w:rsidR="00A67D3A" w:rsidRPr="0047462D" w:rsidRDefault="00A67D3A" w:rsidP="00141E57">
      <w:pPr>
        <w:pStyle w:val="labeltext"/>
        <w:keepNext/>
        <w:suppressAutoHyphens w:val="0"/>
        <w:rPr>
          <w:szCs w:val="22"/>
          <w:lang w:val="el-GR" w:eastAsia="en-US"/>
        </w:rPr>
      </w:pPr>
    </w:p>
    <w:p w14:paraId="5903BC09" w14:textId="77777777" w:rsidR="00A67D3A" w:rsidRPr="0047462D" w:rsidRDefault="00A67D3A" w:rsidP="002331FF">
      <w:pPr>
        <w:pStyle w:val="1"/>
        <w:spacing w:after="0"/>
        <w:ind w:left="0"/>
        <w:rPr>
          <w:b/>
          <w:bCs/>
          <w:szCs w:val="22"/>
          <w:lang w:eastAsia="en-US"/>
        </w:rPr>
      </w:pPr>
      <w:r w:rsidRPr="0047462D">
        <w:rPr>
          <w:rFonts w:eastAsia="Times New Roman"/>
          <w:szCs w:val="22"/>
        </w:rPr>
        <w:t>Υπερευαισθησία στη δραστική ουσία ή σε κάποιο από τα έκδοχα που αναφέρονται στην παράγραφο 6.1.</w:t>
      </w:r>
    </w:p>
    <w:p w14:paraId="7F519429" w14:textId="77777777" w:rsidR="00A67D3A" w:rsidRPr="0047462D" w:rsidRDefault="00A67D3A" w:rsidP="00141E57">
      <w:pPr>
        <w:tabs>
          <w:tab w:val="left" w:pos="567"/>
        </w:tabs>
        <w:suppressAutoHyphens w:val="0"/>
        <w:spacing w:line="260" w:lineRule="exact"/>
        <w:rPr>
          <w:bCs/>
          <w:szCs w:val="22"/>
          <w:lang w:eastAsia="en-US"/>
        </w:rPr>
      </w:pPr>
    </w:p>
    <w:p w14:paraId="77ADE280" w14:textId="77777777" w:rsidR="00A67D3A" w:rsidRPr="0047462D" w:rsidRDefault="00A67D3A" w:rsidP="00141E57">
      <w:pPr>
        <w:keepNext/>
        <w:rPr>
          <w:bCs/>
          <w:i/>
          <w:szCs w:val="22"/>
          <w:lang w:eastAsia="en-US"/>
        </w:rPr>
      </w:pPr>
      <w:r w:rsidRPr="0047462D">
        <w:rPr>
          <w:rFonts w:eastAsia="Times New Roman"/>
          <w:b/>
          <w:bCs/>
          <w:szCs w:val="22"/>
          <w:lang w:eastAsia="en-US"/>
        </w:rPr>
        <w:t>4.4</w:t>
      </w:r>
      <w:r w:rsidRPr="0047462D">
        <w:rPr>
          <w:rFonts w:eastAsia="Times New Roman"/>
          <w:b/>
          <w:bCs/>
          <w:szCs w:val="22"/>
          <w:lang w:eastAsia="en-US"/>
        </w:rPr>
        <w:tab/>
      </w:r>
      <w:r w:rsidRPr="0047462D">
        <w:rPr>
          <w:rFonts w:eastAsia="Times New Roman"/>
          <w:b/>
          <w:bCs/>
          <w:szCs w:val="22"/>
        </w:rPr>
        <w:t>Ειδικές προειδοποιήσεις και προφυλάξεις κατά τη χρήση</w:t>
      </w:r>
      <w:r w:rsidRPr="0047462D">
        <w:rPr>
          <w:rFonts w:eastAsia="Times New Roman"/>
          <w:i/>
          <w:iCs/>
          <w:szCs w:val="22"/>
          <w:lang w:eastAsia="en-US"/>
        </w:rPr>
        <w:t xml:space="preserve"> </w:t>
      </w:r>
    </w:p>
    <w:p w14:paraId="64D74135" w14:textId="77777777" w:rsidR="00A67D3A" w:rsidRPr="0047462D" w:rsidRDefault="00A67D3A" w:rsidP="00141E57">
      <w:pPr>
        <w:keepNext/>
        <w:ind w:left="567" w:hanging="567"/>
        <w:rPr>
          <w:bCs/>
          <w:i/>
          <w:szCs w:val="22"/>
          <w:lang w:eastAsia="en-US"/>
        </w:rPr>
      </w:pPr>
    </w:p>
    <w:p w14:paraId="30ED8012" w14:textId="0F8D75C0" w:rsidR="00A67D3A" w:rsidRPr="0047462D" w:rsidRDefault="00A67D3A" w:rsidP="00141E57">
      <w:pPr>
        <w:tabs>
          <w:tab w:val="left" w:pos="0"/>
        </w:tabs>
        <w:rPr>
          <w:bCs/>
          <w:szCs w:val="22"/>
          <w:lang w:eastAsia="en-US"/>
        </w:rPr>
      </w:pPr>
      <w:r w:rsidRPr="0047462D">
        <w:rPr>
          <w:rFonts w:eastAsia="Times New Roman"/>
          <w:szCs w:val="22"/>
        </w:rPr>
        <w:t xml:space="preserve">Μόνο ασθενείς με ΚΙ που είχαν μια </w:t>
      </w:r>
      <w:r w:rsidR="00AA5F74" w:rsidRPr="0047462D">
        <w:rPr>
          <w:szCs w:val="22"/>
        </w:rPr>
        <w:t>«</w:t>
      </w:r>
      <w:r w:rsidRPr="0047462D">
        <w:rPr>
          <w:szCs w:val="22"/>
        </w:rPr>
        <w:t>gating</w:t>
      </w:r>
      <w:r w:rsidR="00AA5F74" w:rsidRPr="0047462D">
        <w:rPr>
          <w:szCs w:val="22"/>
        </w:rPr>
        <w:t>»</w:t>
      </w:r>
      <w:r w:rsidRPr="0047462D">
        <w:rPr>
          <w:szCs w:val="22"/>
        </w:rPr>
        <w:t xml:space="preserve"> </w:t>
      </w:r>
      <w:r w:rsidRPr="0047462D">
        <w:rPr>
          <w:rFonts w:eastAsia="Times New Roman"/>
          <w:szCs w:val="22"/>
        </w:rPr>
        <w:t xml:space="preserve">μετάλλαξη (ομάδας ΙΙΙ) </w:t>
      </w:r>
      <w:r w:rsidRPr="0047462D">
        <w:rPr>
          <w:rFonts w:eastAsia="Times New Roman"/>
          <w:i/>
          <w:iCs/>
          <w:szCs w:val="22"/>
        </w:rPr>
        <w:t>G551D</w:t>
      </w:r>
      <w:r w:rsidRPr="0047462D">
        <w:rPr>
          <w:i/>
          <w:szCs w:val="22"/>
        </w:rPr>
        <w:t>, G1244E, G1349D, G178R, G551S</w:t>
      </w:r>
      <w:r w:rsidR="00673BDF" w:rsidRPr="0047462D">
        <w:rPr>
          <w:i/>
          <w:szCs w:val="22"/>
        </w:rPr>
        <w:t xml:space="preserve">, </w:t>
      </w:r>
      <w:r w:rsidRPr="0047462D">
        <w:rPr>
          <w:i/>
          <w:szCs w:val="22"/>
        </w:rPr>
        <w:t>S1251N, S1255P, S549N, S549R</w:t>
      </w:r>
      <w:r w:rsidR="006016FB" w:rsidRPr="0047462D">
        <w:rPr>
          <w:i/>
          <w:szCs w:val="22"/>
        </w:rPr>
        <w:t xml:space="preserve">, </w:t>
      </w:r>
      <w:r w:rsidR="006016FB" w:rsidRPr="0047462D">
        <w:rPr>
          <w:szCs w:val="22"/>
        </w:rPr>
        <w:t xml:space="preserve">μετάλλαξη </w:t>
      </w:r>
      <w:r w:rsidR="006016FB" w:rsidRPr="0047462D">
        <w:rPr>
          <w:bCs/>
          <w:i/>
        </w:rPr>
        <w:t>G970R</w:t>
      </w:r>
      <w:r w:rsidRPr="0047462D">
        <w:t xml:space="preserve"> </w:t>
      </w:r>
      <w:r w:rsidRPr="0047462D">
        <w:rPr>
          <w:rFonts w:eastAsia="Times New Roman"/>
          <w:szCs w:val="22"/>
        </w:rPr>
        <w:t>ή</w:t>
      </w:r>
      <w:r w:rsidRPr="0047462D">
        <w:t xml:space="preserve"> </w:t>
      </w:r>
      <w:r w:rsidRPr="0047462D">
        <w:rPr>
          <w:rFonts w:eastAsia="Times New Roman"/>
          <w:szCs w:val="22"/>
        </w:rPr>
        <w:t xml:space="preserve">μετάλλαξη </w:t>
      </w:r>
      <w:r w:rsidRPr="0047462D">
        <w:rPr>
          <w:rFonts w:eastAsia="Times New Roman"/>
          <w:i/>
          <w:szCs w:val="22"/>
        </w:rPr>
        <w:t>R117H</w:t>
      </w:r>
      <w:r w:rsidRPr="0047462D">
        <w:rPr>
          <w:i/>
        </w:rPr>
        <w:t xml:space="preserve"> </w:t>
      </w:r>
      <w:r w:rsidRPr="0047462D">
        <w:rPr>
          <w:rFonts w:eastAsia="Times New Roman"/>
          <w:szCs w:val="22"/>
        </w:rPr>
        <w:t xml:space="preserve">σε τουλάχιστον ένα αλληλόμορφο του γονιδίου </w:t>
      </w:r>
      <w:r w:rsidRPr="0047462D">
        <w:rPr>
          <w:rFonts w:eastAsia="Times New Roman"/>
          <w:i/>
          <w:iCs/>
          <w:szCs w:val="22"/>
        </w:rPr>
        <w:t>CFTR</w:t>
      </w:r>
      <w:r w:rsidRPr="0047462D">
        <w:rPr>
          <w:rFonts w:eastAsia="Times New Roman"/>
          <w:szCs w:val="22"/>
        </w:rPr>
        <w:t xml:space="preserve"> περιελήφθησαν στις μελέτες 1, 2, 5 και 6 (βλ. παράγραφο 5.1).</w:t>
      </w:r>
      <w:r w:rsidRPr="0047462D">
        <w:rPr>
          <w:rFonts w:eastAsia="Times New Roman"/>
          <w:szCs w:val="22"/>
          <w:lang w:eastAsia="en-US"/>
        </w:rPr>
        <w:t xml:space="preserve"> </w:t>
      </w:r>
    </w:p>
    <w:p w14:paraId="22570902" w14:textId="77777777" w:rsidR="00A67D3A" w:rsidRPr="0047462D" w:rsidRDefault="00A67D3A" w:rsidP="00141E57">
      <w:pPr>
        <w:ind w:left="567" w:hanging="567"/>
        <w:rPr>
          <w:bCs/>
          <w:szCs w:val="22"/>
          <w:lang w:eastAsia="en-US"/>
        </w:rPr>
      </w:pPr>
    </w:p>
    <w:p w14:paraId="00015CBC" w14:textId="0432CB16" w:rsidR="00A67D3A" w:rsidRPr="0047462D" w:rsidRDefault="00A67D3A" w:rsidP="002331FF">
      <w:r w:rsidRPr="0047462D">
        <w:rPr>
          <w:bCs/>
        </w:rPr>
        <w:t>Στη μελέτη</w:t>
      </w:r>
      <w:r w:rsidR="00981CE5" w:rsidRPr="0047462D">
        <w:rPr>
          <w:bCs/>
          <w:lang w:val="en-US"/>
        </w:rPr>
        <w:t> </w:t>
      </w:r>
      <w:r w:rsidRPr="0047462D">
        <w:rPr>
          <w:bCs/>
        </w:rPr>
        <w:t xml:space="preserve">5, συμπεριλήφθησαν τέσσερις ασθενείς με τη μετάλλαξη </w:t>
      </w:r>
      <w:r w:rsidRPr="0047462D">
        <w:rPr>
          <w:bCs/>
          <w:i/>
        </w:rPr>
        <w:t>G970R</w:t>
      </w:r>
      <w:r w:rsidRPr="0047462D">
        <w:rPr>
          <w:bCs/>
        </w:rPr>
        <w:t xml:space="preserve">. Σε τρεις από τους τέσσερις ασθενείς η </w:t>
      </w:r>
      <w:r w:rsidR="0035266B" w:rsidRPr="0047462D">
        <w:rPr>
          <w:bCs/>
        </w:rPr>
        <w:t xml:space="preserve">μεταβολή </w:t>
      </w:r>
      <w:r w:rsidRPr="0047462D">
        <w:rPr>
          <w:bCs/>
        </w:rPr>
        <w:t>στη δοκιμασία του χλωρίου ιδρώτα ήταν &lt;</w:t>
      </w:r>
      <w:r w:rsidR="00AA5F74" w:rsidRPr="0047462D">
        <w:rPr>
          <w:bCs/>
          <w:lang w:val="en-US"/>
        </w:rPr>
        <w:t> </w:t>
      </w:r>
      <w:r w:rsidRPr="0047462D">
        <w:rPr>
          <w:bCs/>
        </w:rPr>
        <w:t>5 mmol/l και αυτή η ομάδα δεν εμφάνισε κλινικά σημαντική βελτίωση στον FEV</w:t>
      </w:r>
      <w:r w:rsidRPr="0047462D">
        <w:rPr>
          <w:bCs/>
          <w:vertAlign w:val="subscript"/>
        </w:rPr>
        <w:t>1</w:t>
      </w:r>
      <w:r w:rsidRPr="0047462D">
        <w:rPr>
          <w:bCs/>
        </w:rPr>
        <w:t xml:space="preserve"> μετά από 8 εβδομάδες θεραπείας. Δεν μπόρεσε να τεκμηριωθεί η κλινική αποτελεσματικότητα σε ασθενείς με τη μετάλλαξη </w:t>
      </w:r>
      <w:r w:rsidRPr="0047462D">
        <w:rPr>
          <w:bCs/>
          <w:i/>
        </w:rPr>
        <w:t>G970R</w:t>
      </w:r>
      <w:r w:rsidRPr="0047462D">
        <w:rPr>
          <w:bCs/>
        </w:rPr>
        <w:t xml:space="preserve"> του γονιδίου </w:t>
      </w:r>
      <w:r w:rsidRPr="0047462D">
        <w:rPr>
          <w:bCs/>
          <w:i/>
        </w:rPr>
        <w:t>CFTR</w:t>
      </w:r>
      <w:r w:rsidRPr="0047462D">
        <w:rPr>
          <w:bCs/>
        </w:rPr>
        <w:t xml:space="preserve"> (βλ. παράγραφο 5.1).</w:t>
      </w:r>
    </w:p>
    <w:p w14:paraId="4F4F44F4" w14:textId="77777777" w:rsidR="00A67D3A" w:rsidRPr="0047462D" w:rsidRDefault="00A67D3A" w:rsidP="00141E57">
      <w:pPr>
        <w:ind w:left="567" w:hanging="567"/>
        <w:rPr>
          <w:u w:val="single"/>
        </w:rPr>
      </w:pPr>
    </w:p>
    <w:p w14:paraId="2F15285F" w14:textId="0B7F8C9C" w:rsidR="00A67D3A" w:rsidRPr="0047462D" w:rsidRDefault="00A67D3A" w:rsidP="00141E57">
      <w:pPr>
        <w:tabs>
          <w:tab w:val="left" w:pos="567"/>
        </w:tabs>
        <w:rPr>
          <w:szCs w:val="22"/>
          <w:u w:val="single"/>
          <w:lang w:eastAsia="en-US"/>
        </w:rPr>
      </w:pPr>
      <w:r w:rsidRPr="0047462D">
        <w:rPr>
          <w:rFonts w:eastAsia="Times New Roman"/>
          <w:szCs w:val="22"/>
        </w:rPr>
        <w:t xml:space="preserve">Αποτελέσματα σχετικά με την αποτελεσματικότητα από μια μελέτη </w:t>
      </w:r>
      <w:r w:rsidR="00973BAC">
        <w:rPr>
          <w:rFonts w:eastAsia="Times New Roman"/>
          <w:szCs w:val="22"/>
        </w:rPr>
        <w:t>φ</w:t>
      </w:r>
      <w:r w:rsidRPr="0047462D">
        <w:rPr>
          <w:rFonts w:eastAsia="Times New Roman"/>
          <w:szCs w:val="22"/>
        </w:rPr>
        <w:t xml:space="preserve">άσης 2 σε ασθενείς με ΚΙ, οι οποίοι </w:t>
      </w:r>
      <w:r w:rsidR="00010245" w:rsidRPr="0047462D">
        <w:rPr>
          <w:rFonts w:eastAsia="Times New Roman"/>
          <w:szCs w:val="22"/>
        </w:rPr>
        <w:t xml:space="preserve">ήταν </w:t>
      </w:r>
      <w:r w:rsidRPr="0047462D">
        <w:rPr>
          <w:rFonts w:eastAsia="Times New Roman"/>
          <w:szCs w:val="22"/>
        </w:rPr>
        <w:t xml:space="preserve">ομόζυγοι για τη μετάλλαξη </w:t>
      </w:r>
      <w:r w:rsidRPr="0047462D">
        <w:rPr>
          <w:rFonts w:eastAsia="Times New Roman"/>
          <w:i/>
          <w:iCs/>
          <w:szCs w:val="22"/>
        </w:rPr>
        <w:t xml:space="preserve">F508del </w:t>
      </w:r>
      <w:r w:rsidRPr="0047462D">
        <w:rPr>
          <w:rFonts w:eastAsia="Times New Roman"/>
          <w:szCs w:val="22"/>
        </w:rPr>
        <w:t xml:space="preserve">στο γονίδιο </w:t>
      </w:r>
      <w:r w:rsidRPr="0047462D">
        <w:rPr>
          <w:rFonts w:eastAsia="Times New Roman"/>
          <w:i/>
          <w:iCs/>
          <w:szCs w:val="22"/>
        </w:rPr>
        <w:t>CFTR</w:t>
      </w:r>
      <w:r w:rsidRPr="0047462D">
        <w:rPr>
          <w:rFonts w:eastAsia="Times New Roman"/>
          <w:iCs/>
          <w:szCs w:val="22"/>
        </w:rPr>
        <w:t>,</w:t>
      </w:r>
      <w:r w:rsidRPr="0047462D">
        <w:rPr>
          <w:rFonts w:eastAsia="Times New Roman"/>
          <w:szCs w:val="22"/>
        </w:rPr>
        <w:t xml:space="preserve"> δεν έδειξαν στατιστικά σημαντική διαφορά στον FEV</w:t>
      </w:r>
      <w:r w:rsidRPr="0047462D">
        <w:rPr>
          <w:rFonts w:eastAsia="Times New Roman"/>
          <w:szCs w:val="22"/>
          <w:vertAlign w:val="subscript"/>
        </w:rPr>
        <w:t>1</w:t>
      </w:r>
      <w:r w:rsidRPr="0047462D">
        <w:rPr>
          <w:rFonts w:eastAsia="Times New Roman"/>
          <w:szCs w:val="22"/>
        </w:rPr>
        <w:t xml:space="preserve"> κατά τη διάρκεια των 16 εβδομάδων θεραπείας με ivacaftor σε σύγκριση με εικονικό φάρμακο (βλ. παράγραφο 5.1).</w:t>
      </w:r>
      <w:r w:rsidRPr="0047462D">
        <w:rPr>
          <w:rFonts w:eastAsia="Times New Roman"/>
          <w:szCs w:val="22"/>
          <w:lang w:eastAsia="en-US"/>
        </w:rPr>
        <w:t xml:space="preserve"> </w:t>
      </w:r>
      <w:r w:rsidRPr="0047462D">
        <w:rPr>
          <w:rFonts w:eastAsia="Times New Roman"/>
          <w:szCs w:val="22"/>
        </w:rPr>
        <w:t xml:space="preserve">Ως εκ τούτου, η χρήση </w:t>
      </w:r>
      <w:r w:rsidR="00981CE5" w:rsidRPr="0047462D">
        <w:rPr>
          <w:rFonts w:eastAsia="Times New Roman"/>
          <w:szCs w:val="22"/>
        </w:rPr>
        <w:t xml:space="preserve">του </w:t>
      </w:r>
      <w:r w:rsidR="00981CE5" w:rsidRPr="0047462D">
        <w:rPr>
          <w:bCs/>
        </w:rPr>
        <w:t>ivacaftor ως</w:t>
      </w:r>
      <w:r w:rsidR="00981CE5" w:rsidRPr="0047462D">
        <w:rPr>
          <w:rFonts w:eastAsia="Times New Roman"/>
          <w:szCs w:val="22"/>
        </w:rPr>
        <w:t xml:space="preserve"> </w:t>
      </w:r>
      <w:r w:rsidR="00C52701" w:rsidRPr="0047462D">
        <w:rPr>
          <w:rFonts w:eastAsia="Times New Roman"/>
          <w:szCs w:val="22"/>
        </w:rPr>
        <w:t xml:space="preserve">μονοθεραπεία </w:t>
      </w:r>
      <w:r w:rsidRPr="0047462D">
        <w:rPr>
          <w:rFonts w:eastAsia="Times New Roman"/>
          <w:szCs w:val="22"/>
        </w:rPr>
        <w:t>σε αυτούς τους ασθενείς δεν συνιστάται.</w:t>
      </w:r>
    </w:p>
    <w:p w14:paraId="0903CC8B" w14:textId="77777777" w:rsidR="00A67D3A" w:rsidRPr="0047462D" w:rsidRDefault="00A67D3A">
      <w:pPr>
        <w:pStyle w:val="labeltextheading"/>
        <w:keepNext w:val="0"/>
        <w:rPr>
          <w:i w:val="0"/>
          <w:iCs w:val="0"/>
          <w:sz w:val="22"/>
          <w:szCs w:val="22"/>
          <w:lang w:val="el-GR"/>
        </w:rPr>
      </w:pPr>
    </w:p>
    <w:p w14:paraId="71CAB055" w14:textId="226C9D1F" w:rsidR="00A67D3A" w:rsidRPr="0047462D" w:rsidRDefault="007972C4">
      <w:pPr>
        <w:pStyle w:val="labeltextheading"/>
        <w:keepNext w:val="0"/>
        <w:rPr>
          <w:i w:val="0"/>
          <w:iCs w:val="0"/>
          <w:sz w:val="22"/>
          <w:szCs w:val="22"/>
          <w:u w:val="single"/>
          <w:lang w:val="el-GR"/>
        </w:rPr>
      </w:pPr>
      <w:r w:rsidRPr="0047462D">
        <w:rPr>
          <w:i w:val="0"/>
          <w:iCs w:val="0"/>
          <w:sz w:val="22"/>
          <w:szCs w:val="22"/>
          <w:lang w:val="el-GR"/>
        </w:rPr>
        <w:t>Στη μελέτη 6, έ</w:t>
      </w:r>
      <w:r w:rsidR="00A67D3A" w:rsidRPr="0047462D">
        <w:rPr>
          <w:i w:val="0"/>
          <w:iCs w:val="0"/>
          <w:sz w:val="22"/>
          <w:szCs w:val="22"/>
          <w:lang w:val="el-GR"/>
        </w:rPr>
        <w:t xml:space="preserve">χουν καταδειχθεί λιγότερες ενδείξεις θετικής επίδρασης του ivacaftor για ασθενείς με μια μετάλλαξη </w:t>
      </w:r>
      <w:r w:rsidR="00A67D3A" w:rsidRPr="0047462D">
        <w:rPr>
          <w:iCs w:val="0"/>
          <w:sz w:val="22"/>
          <w:szCs w:val="22"/>
          <w:lang w:val="el-GR"/>
        </w:rPr>
        <w:t>R117H-7T</w:t>
      </w:r>
      <w:r w:rsidR="00A67D3A" w:rsidRPr="0047462D">
        <w:rPr>
          <w:i w:val="0"/>
          <w:iCs w:val="0"/>
          <w:sz w:val="22"/>
          <w:szCs w:val="22"/>
          <w:lang w:val="el-GR"/>
        </w:rPr>
        <w:t xml:space="preserve"> σχετιζόμενη με λιγότερο σοβαρή νόσο</w:t>
      </w:r>
      <w:r w:rsidR="00197E09" w:rsidRPr="0047462D">
        <w:rPr>
          <w:i w:val="0"/>
          <w:iCs w:val="0"/>
          <w:sz w:val="22"/>
          <w:szCs w:val="22"/>
          <w:lang w:val="el-GR"/>
        </w:rPr>
        <w:t xml:space="preserve"> (βλ. παράγραφο</w:t>
      </w:r>
      <w:r w:rsidRPr="0047462D">
        <w:rPr>
          <w:i w:val="0"/>
          <w:iCs w:val="0"/>
          <w:sz w:val="22"/>
          <w:szCs w:val="22"/>
          <w:lang w:val="el-GR"/>
        </w:rPr>
        <w:t> </w:t>
      </w:r>
      <w:r w:rsidR="00197E09" w:rsidRPr="0047462D">
        <w:rPr>
          <w:i w:val="0"/>
          <w:iCs w:val="0"/>
          <w:sz w:val="22"/>
          <w:szCs w:val="22"/>
          <w:lang w:val="el-GR"/>
        </w:rPr>
        <w:t>5.1)</w:t>
      </w:r>
      <w:r w:rsidR="00A67D3A" w:rsidRPr="0047462D">
        <w:rPr>
          <w:i w:val="0"/>
          <w:iCs w:val="0"/>
          <w:sz w:val="22"/>
          <w:szCs w:val="22"/>
          <w:lang w:val="el-GR"/>
        </w:rPr>
        <w:t>.</w:t>
      </w:r>
    </w:p>
    <w:p w14:paraId="07DBA3CB" w14:textId="77777777" w:rsidR="00A67D3A" w:rsidRPr="0047462D" w:rsidRDefault="00A67D3A">
      <w:pPr>
        <w:pStyle w:val="labeltextheading"/>
        <w:keepNext w:val="0"/>
        <w:rPr>
          <w:i w:val="0"/>
          <w:iCs w:val="0"/>
          <w:sz w:val="22"/>
          <w:szCs w:val="22"/>
          <w:u w:val="single"/>
          <w:lang w:val="el-GR"/>
        </w:rPr>
      </w:pPr>
    </w:p>
    <w:p w14:paraId="1027606A" w14:textId="52F42EBC" w:rsidR="00003D97" w:rsidRPr="0047462D" w:rsidRDefault="00003D97" w:rsidP="00003D97">
      <w:pPr>
        <w:pStyle w:val="labeltext"/>
        <w:rPr>
          <w:bCs/>
          <w:sz w:val="22"/>
          <w:szCs w:val="22"/>
          <w:lang w:val="el-GR"/>
        </w:rPr>
      </w:pPr>
      <w:r w:rsidRPr="0047462D">
        <w:rPr>
          <w:bCs/>
          <w:sz w:val="22"/>
          <w:szCs w:val="22"/>
          <w:lang w:val="el-GR"/>
        </w:rPr>
        <w:t xml:space="preserve">Το </w:t>
      </w:r>
      <w:r w:rsidR="00981CE5" w:rsidRPr="0047462D">
        <w:rPr>
          <w:bCs/>
          <w:sz w:val="22"/>
          <w:szCs w:val="22"/>
        </w:rPr>
        <w:t>ivacaftor</w:t>
      </w:r>
      <w:r w:rsidR="00981CE5" w:rsidRPr="00F93ECE">
        <w:rPr>
          <w:bCs/>
          <w:sz w:val="22"/>
          <w:szCs w:val="22"/>
          <w:lang w:val="el-GR"/>
        </w:rPr>
        <w:t xml:space="preserve"> </w:t>
      </w:r>
      <w:r w:rsidRPr="0047462D">
        <w:rPr>
          <w:bCs/>
          <w:sz w:val="22"/>
          <w:szCs w:val="22"/>
          <w:lang w:val="el-GR"/>
        </w:rPr>
        <w:t>σε συνδυα</w:t>
      </w:r>
      <w:r w:rsidR="00981CE5" w:rsidRPr="0047462D">
        <w:rPr>
          <w:bCs/>
          <w:sz w:val="22"/>
          <w:szCs w:val="22"/>
          <w:lang w:val="el-GR"/>
        </w:rPr>
        <w:t xml:space="preserve">στικό σχήμα </w:t>
      </w:r>
      <w:r w:rsidRPr="0047462D">
        <w:rPr>
          <w:bCs/>
          <w:sz w:val="22"/>
          <w:szCs w:val="22"/>
          <w:lang w:val="el-GR"/>
        </w:rPr>
        <w:t xml:space="preserve">με </w:t>
      </w:r>
      <w:r w:rsidRPr="0047462D">
        <w:rPr>
          <w:bCs/>
          <w:sz w:val="22"/>
          <w:szCs w:val="22"/>
        </w:rPr>
        <w:t>tezacaftor</w:t>
      </w:r>
      <w:r w:rsidRPr="0047462D">
        <w:rPr>
          <w:bCs/>
          <w:sz w:val="22"/>
          <w:szCs w:val="22"/>
          <w:lang w:val="el-GR"/>
        </w:rPr>
        <w:t>/</w:t>
      </w:r>
      <w:r w:rsidRPr="0047462D">
        <w:rPr>
          <w:bCs/>
          <w:sz w:val="22"/>
          <w:szCs w:val="22"/>
        </w:rPr>
        <w:t>ivacaftor</w:t>
      </w:r>
      <w:r w:rsidRPr="0047462D">
        <w:rPr>
          <w:bCs/>
          <w:sz w:val="22"/>
          <w:szCs w:val="22"/>
          <w:lang w:val="el-GR"/>
        </w:rPr>
        <w:t xml:space="preserve"> δεν θα πρέπει να συνταγογραφείται σε ασθενείς με ΚΙ οι οποίοι είναι ετερόζυγοι για τη μετάλλαξη </w:t>
      </w:r>
      <w:r w:rsidRPr="0047462D">
        <w:rPr>
          <w:bCs/>
          <w:i/>
          <w:sz w:val="22"/>
          <w:szCs w:val="22"/>
        </w:rPr>
        <w:t>F</w:t>
      </w:r>
      <w:r w:rsidRPr="0047462D">
        <w:rPr>
          <w:bCs/>
          <w:i/>
          <w:sz w:val="22"/>
          <w:szCs w:val="22"/>
          <w:lang w:val="el-GR"/>
        </w:rPr>
        <w:t>508</w:t>
      </w:r>
      <w:r w:rsidRPr="0047462D">
        <w:rPr>
          <w:bCs/>
          <w:i/>
          <w:sz w:val="22"/>
          <w:szCs w:val="22"/>
        </w:rPr>
        <w:t>del</w:t>
      </w:r>
      <w:r w:rsidRPr="0047462D">
        <w:rPr>
          <w:bCs/>
          <w:sz w:val="22"/>
          <w:szCs w:val="22"/>
          <w:lang w:val="el-GR"/>
        </w:rPr>
        <w:t xml:space="preserve"> και έχουν μια δεύτερη μετάλλαξη στο γονίδιο </w:t>
      </w:r>
      <w:r w:rsidRPr="0047462D">
        <w:rPr>
          <w:bCs/>
          <w:i/>
          <w:sz w:val="22"/>
          <w:szCs w:val="22"/>
        </w:rPr>
        <w:t>CFTR</w:t>
      </w:r>
      <w:r w:rsidRPr="0047462D">
        <w:rPr>
          <w:bCs/>
          <w:sz w:val="22"/>
          <w:szCs w:val="22"/>
          <w:lang w:val="el-GR"/>
        </w:rPr>
        <w:t xml:space="preserve"> </w:t>
      </w:r>
      <w:r w:rsidR="00677D05" w:rsidRPr="0047462D">
        <w:rPr>
          <w:bCs/>
          <w:sz w:val="22"/>
          <w:szCs w:val="22"/>
          <w:lang w:val="el-GR"/>
        </w:rPr>
        <w:t>η οποία δεν παρατίθεται στην παράγραφο 4.1</w:t>
      </w:r>
      <w:r w:rsidRPr="0047462D">
        <w:rPr>
          <w:bCs/>
          <w:sz w:val="22"/>
          <w:szCs w:val="22"/>
          <w:lang w:val="el-GR"/>
        </w:rPr>
        <w:t>.</w:t>
      </w:r>
    </w:p>
    <w:p w14:paraId="51AA88CA" w14:textId="77777777" w:rsidR="00003D97" w:rsidRPr="0047462D" w:rsidRDefault="00003D97" w:rsidP="00003D97">
      <w:pPr>
        <w:pStyle w:val="labeltext"/>
        <w:rPr>
          <w:i/>
          <w:iCs/>
          <w:sz w:val="22"/>
          <w:szCs w:val="22"/>
          <w:u w:val="single"/>
          <w:lang w:val="el-GR"/>
        </w:rPr>
      </w:pPr>
    </w:p>
    <w:p w14:paraId="164E95C3" w14:textId="77777777" w:rsidR="00A67D3A" w:rsidRPr="0047462D" w:rsidRDefault="00A67D3A">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Επίδραση στις εξετάσεις ηπατικής λειτουργίας</w:t>
      </w:r>
    </w:p>
    <w:p w14:paraId="5FD40E4A" w14:textId="77777777" w:rsidR="004C1466" w:rsidRPr="0047462D" w:rsidRDefault="004C1466">
      <w:pPr>
        <w:pStyle w:val="labeltextheading"/>
        <w:rPr>
          <w:rFonts w:eastAsia="Times New Roman"/>
          <w:i w:val="0"/>
          <w:iCs w:val="0"/>
          <w:sz w:val="22"/>
          <w:szCs w:val="22"/>
          <w:lang w:val="el-GR"/>
        </w:rPr>
      </w:pPr>
    </w:p>
    <w:p w14:paraId="65350C6A" w14:textId="5F3786E2" w:rsidR="00A67D3A" w:rsidRPr="0047462D" w:rsidRDefault="00A67D3A">
      <w:pPr>
        <w:pStyle w:val="labeltextheading"/>
        <w:keepNext w:val="0"/>
        <w:rPr>
          <w:rFonts w:eastAsia="Times New Roman"/>
          <w:i w:val="0"/>
          <w:iCs w:val="0"/>
          <w:sz w:val="22"/>
          <w:szCs w:val="22"/>
          <w:lang w:val="el-GR"/>
        </w:rPr>
      </w:pPr>
      <w:r w:rsidRPr="0047462D">
        <w:rPr>
          <w:rFonts w:eastAsia="Times New Roman"/>
          <w:i w:val="0"/>
          <w:iCs w:val="0"/>
          <w:sz w:val="22"/>
          <w:szCs w:val="22"/>
          <w:lang w:val="el-GR"/>
        </w:rPr>
        <w:t xml:space="preserve">Μέτριες αυξήσεις τρανσαμινασών </w:t>
      </w:r>
      <w:r w:rsidR="00C267B6" w:rsidRPr="0047462D">
        <w:rPr>
          <w:rFonts w:eastAsia="Times New Roman"/>
          <w:i w:val="0"/>
          <w:iCs w:val="0"/>
          <w:sz w:val="22"/>
          <w:szCs w:val="22"/>
          <w:lang w:val="el-GR"/>
        </w:rPr>
        <w:t>(</w:t>
      </w:r>
      <w:r w:rsidRPr="0047462D">
        <w:rPr>
          <w:rFonts w:eastAsia="Times New Roman"/>
          <w:i w:val="0"/>
          <w:iCs w:val="0"/>
          <w:sz w:val="22"/>
          <w:szCs w:val="22"/>
          <w:lang w:val="el-GR"/>
        </w:rPr>
        <w:t xml:space="preserve">τρανσαμινάση της αλανίνης </w:t>
      </w:r>
      <w:r w:rsidR="00C267B6" w:rsidRPr="0047462D">
        <w:rPr>
          <w:rFonts w:eastAsia="Times New Roman"/>
          <w:i w:val="0"/>
          <w:iCs w:val="0"/>
          <w:sz w:val="22"/>
          <w:szCs w:val="22"/>
          <w:lang w:val="el-GR"/>
        </w:rPr>
        <w:t>[</w:t>
      </w:r>
      <w:r w:rsidRPr="0047462D">
        <w:rPr>
          <w:rFonts w:eastAsia="Times New Roman"/>
          <w:i w:val="0"/>
          <w:iCs w:val="0"/>
          <w:sz w:val="22"/>
          <w:szCs w:val="22"/>
          <w:lang w:val="el-GR"/>
        </w:rPr>
        <w:t>ALT</w:t>
      </w:r>
      <w:r w:rsidR="00C267B6" w:rsidRPr="0047462D">
        <w:rPr>
          <w:rFonts w:eastAsia="Times New Roman"/>
          <w:i w:val="0"/>
          <w:iCs w:val="0"/>
          <w:sz w:val="22"/>
          <w:szCs w:val="22"/>
          <w:lang w:val="el-GR"/>
        </w:rPr>
        <w:t>]</w:t>
      </w:r>
      <w:r w:rsidRPr="0047462D">
        <w:rPr>
          <w:rFonts w:eastAsia="Times New Roman"/>
          <w:i w:val="0"/>
          <w:iCs w:val="0"/>
          <w:sz w:val="22"/>
          <w:szCs w:val="22"/>
          <w:lang w:val="el-GR"/>
        </w:rPr>
        <w:t xml:space="preserve"> ή ασπαρτική τρανσαμινάση </w:t>
      </w:r>
      <w:r w:rsidR="00C267B6" w:rsidRPr="0047462D">
        <w:rPr>
          <w:rFonts w:eastAsia="Times New Roman"/>
          <w:i w:val="0"/>
          <w:iCs w:val="0"/>
          <w:sz w:val="22"/>
          <w:szCs w:val="22"/>
          <w:lang w:val="el-GR"/>
        </w:rPr>
        <w:t>[</w:t>
      </w:r>
      <w:r w:rsidRPr="0047462D">
        <w:rPr>
          <w:rFonts w:eastAsia="Times New Roman"/>
          <w:i w:val="0"/>
          <w:iCs w:val="0"/>
          <w:sz w:val="22"/>
          <w:szCs w:val="22"/>
          <w:lang w:val="el-GR"/>
        </w:rPr>
        <w:t>AST]</w:t>
      </w:r>
      <w:r w:rsidR="00C267B6" w:rsidRPr="0047462D">
        <w:rPr>
          <w:rFonts w:eastAsia="Times New Roman"/>
          <w:i w:val="0"/>
          <w:iCs w:val="0"/>
          <w:sz w:val="22"/>
          <w:szCs w:val="22"/>
          <w:lang w:val="el-GR"/>
        </w:rPr>
        <w:t>)</w:t>
      </w:r>
      <w:r w:rsidRPr="0047462D">
        <w:rPr>
          <w:rFonts w:eastAsia="Times New Roman"/>
          <w:i w:val="0"/>
          <w:iCs w:val="0"/>
          <w:sz w:val="22"/>
          <w:szCs w:val="22"/>
          <w:lang w:val="el-GR"/>
        </w:rPr>
        <w:t xml:space="preserve"> </w:t>
      </w:r>
      <w:r w:rsidRPr="0047462D">
        <w:rPr>
          <w:bCs/>
          <w:i w:val="0"/>
          <w:sz w:val="22"/>
          <w:szCs w:val="22"/>
          <w:lang w:val="el-GR"/>
        </w:rPr>
        <w:t xml:space="preserve">είναι συχνές σε άτομα με ΚΙ. </w:t>
      </w:r>
      <w:r w:rsidR="005833A5" w:rsidRPr="0047462D">
        <w:rPr>
          <w:rFonts w:eastAsia="Times New Roman"/>
          <w:i w:val="0"/>
          <w:iCs w:val="0"/>
          <w:sz w:val="22"/>
          <w:szCs w:val="22"/>
          <w:lang w:val="el-GR"/>
        </w:rPr>
        <w:t>Αυξ</w:t>
      </w:r>
      <w:r w:rsidR="00AE5A8F" w:rsidRPr="0047462D">
        <w:rPr>
          <w:rFonts w:eastAsia="Times New Roman"/>
          <w:i w:val="0"/>
          <w:iCs w:val="0"/>
          <w:sz w:val="22"/>
          <w:szCs w:val="22"/>
          <w:lang w:val="el-GR"/>
        </w:rPr>
        <w:t>ήσεις των</w:t>
      </w:r>
      <w:r w:rsidR="001B3303" w:rsidRPr="0047462D">
        <w:rPr>
          <w:rFonts w:eastAsia="Times New Roman"/>
          <w:i w:val="0"/>
          <w:iCs w:val="0"/>
          <w:sz w:val="22"/>
          <w:szCs w:val="22"/>
          <w:lang w:val="el-GR"/>
        </w:rPr>
        <w:t xml:space="preserve"> τρανσαμιν</w:t>
      </w:r>
      <w:r w:rsidR="00AE5A8F" w:rsidRPr="0047462D">
        <w:rPr>
          <w:rFonts w:eastAsia="Times New Roman"/>
          <w:i w:val="0"/>
          <w:iCs w:val="0"/>
          <w:sz w:val="22"/>
          <w:szCs w:val="22"/>
          <w:lang w:val="el-GR"/>
        </w:rPr>
        <w:t>ασών</w:t>
      </w:r>
      <w:r w:rsidR="001B3303" w:rsidRPr="0047462D">
        <w:rPr>
          <w:rFonts w:eastAsia="Times New Roman"/>
          <w:i w:val="0"/>
          <w:iCs w:val="0"/>
          <w:sz w:val="22"/>
          <w:szCs w:val="22"/>
          <w:lang w:val="el-GR"/>
        </w:rPr>
        <w:t xml:space="preserve"> έχουν παρατηρηθεί σε μερικούς ασθενείς που έλαβαν ivacaftor </w:t>
      </w:r>
      <w:r w:rsidR="00D8482A" w:rsidRPr="0047462D">
        <w:rPr>
          <w:rFonts w:eastAsia="Times New Roman"/>
          <w:i w:val="0"/>
          <w:iCs w:val="0"/>
          <w:sz w:val="22"/>
          <w:szCs w:val="22"/>
          <w:lang w:val="el-GR"/>
        </w:rPr>
        <w:t xml:space="preserve">ως μονοθεραπεία </w:t>
      </w:r>
      <w:r w:rsidR="001B3303" w:rsidRPr="0047462D">
        <w:rPr>
          <w:rFonts w:eastAsia="Times New Roman"/>
          <w:i w:val="0"/>
          <w:iCs w:val="0"/>
          <w:sz w:val="22"/>
          <w:szCs w:val="22"/>
          <w:lang w:val="el-GR"/>
        </w:rPr>
        <w:t>και σε συνδυαστικ</w:t>
      </w:r>
      <w:r w:rsidR="005833A5" w:rsidRPr="0047462D">
        <w:rPr>
          <w:rFonts w:eastAsia="Times New Roman"/>
          <w:i w:val="0"/>
          <w:iCs w:val="0"/>
          <w:sz w:val="22"/>
          <w:szCs w:val="22"/>
          <w:lang w:val="el-GR"/>
        </w:rPr>
        <w:t>ά</w:t>
      </w:r>
      <w:r w:rsidR="001B3303" w:rsidRPr="0047462D">
        <w:rPr>
          <w:rFonts w:eastAsia="Times New Roman"/>
          <w:i w:val="0"/>
          <w:iCs w:val="0"/>
          <w:sz w:val="22"/>
          <w:szCs w:val="22"/>
          <w:lang w:val="el-GR"/>
        </w:rPr>
        <w:t xml:space="preserve"> σχήμα</w:t>
      </w:r>
      <w:r w:rsidR="005833A5" w:rsidRPr="0047462D">
        <w:rPr>
          <w:rFonts w:eastAsia="Times New Roman"/>
          <w:i w:val="0"/>
          <w:iCs w:val="0"/>
          <w:sz w:val="22"/>
          <w:szCs w:val="22"/>
          <w:lang w:val="el-GR"/>
        </w:rPr>
        <w:t>τα</w:t>
      </w:r>
      <w:r w:rsidR="001B3303" w:rsidRPr="0047462D">
        <w:rPr>
          <w:rFonts w:eastAsia="Times New Roman"/>
          <w:i w:val="0"/>
          <w:iCs w:val="0"/>
          <w:sz w:val="22"/>
          <w:szCs w:val="22"/>
          <w:lang w:val="el-GR"/>
        </w:rPr>
        <w:t xml:space="preserve"> με tezacaftor/ivacaftor</w:t>
      </w:r>
      <w:r w:rsidR="005833A5" w:rsidRPr="0047462D">
        <w:rPr>
          <w:rFonts w:eastAsia="Times New Roman"/>
          <w:i w:val="0"/>
          <w:iCs w:val="0"/>
          <w:sz w:val="22"/>
          <w:szCs w:val="22"/>
          <w:lang w:val="el-GR"/>
        </w:rPr>
        <w:t xml:space="preserve"> ή ivacaftor/tezacaftor/elexacaftor. </w:t>
      </w:r>
      <w:r w:rsidR="00AE5A8F" w:rsidRPr="0047462D">
        <w:rPr>
          <w:rFonts w:eastAsia="Times New Roman"/>
          <w:i w:val="0"/>
          <w:iCs w:val="0"/>
          <w:sz w:val="22"/>
          <w:szCs w:val="22"/>
          <w:lang w:val="el-GR"/>
        </w:rPr>
        <w:t xml:space="preserve">Συνεπώς, συνιστώνται </w:t>
      </w:r>
      <w:r w:rsidR="006D2376" w:rsidRPr="0047462D">
        <w:rPr>
          <w:rFonts w:eastAsia="Times New Roman"/>
          <w:i w:val="0"/>
          <w:iCs w:val="0"/>
          <w:sz w:val="22"/>
          <w:szCs w:val="22"/>
          <w:lang w:val="el-GR"/>
        </w:rPr>
        <w:t xml:space="preserve">εξετάσεις ηπατικής λειτουργίας </w:t>
      </w:r>
      <w:r w:rsidR="00AE5A8F" w:rsidRPr="0047462D">
        <w:rPr>
          <w:rFonts w:eastAsia="Times New Roman"/>
          <w:i w:val="0"/>
          <w:iCs w:val="0"/>
          <w:sz w:val="22"/>
          <w:szCs w:val="22"/>
          <w:lang w:val="el-GR"/>
        </w:rPr>
        <w:t>γ</w:t>
      </w:r>
      <w:r w:rsidRPr="0047462D">
        <w:rPr>
          <w:rFonts w:eastAsia="Times New Roman"/>
          <w:i w:val="0"/>
          <w:iCs w:val="0"/>
          <w:sz w:val="22"/>
          <w:szCs w:val="22"/>
          <w:lang w:val="el-GR"/>
        </w:rPr>
        <w:t>ια όλους τους ασθενείς</w:t>
      </w:r>
      <w:r w:rsidR="005833A5" w:rsidRPr="0047462D">
        <w:rPr>
          <w:rFonts w:eastAsia="Times New Roman"/>
          <w:i w:val="0"/>
          <w:iCs w:val="0"/>
          <w:sz w:val="22"/>
          <w:szCs w:val="22"/>
          <w:lang w:val="el-GR"/>
        </w:rPr>
        <w:t xml:space="preserve"> </w:t>
      </w:r>
      <w:r w:rsidRPr="0047462D">
        <w:rPr>
          <w:rFonts w:eastAsia="Times New Roman"/>
          <w:i w:val="0"/>
          <w:iCs w:val="0"/>
          <w:sz w:val="22"/>
          <w:szCs w:val="22"/>
          <w:lang w:val="el-GR"/>
        </w:rPr>
        <w:t>πριν από την έναρξη τ</w:t>
      </w:r>
      <w:r w:rsidR="006D2376" w:rsidRPr="0047462D">
        <w:rPr>
          <w:rFonts w:eastAsia="Times New Roman"/>
          <w:i w:val="0"/>
          <w:iCs w:val="0"/>
          <w:sz w:val="22"/>
          <w:szCs w:val="22"/>
          <w:lang w:val="el-GR"/>
        </w:rPr>
        <w:t>ου</w:t>
      </w:r>
      <w:r w:rsidRPr="0047462D">
        <w:rPr>
          <w:rFonts w:eastAsia="Times New Roman"/>
          <w:i w:val="0"/>
          <w:iCs w:val="0"/>
          <w:sz w:val="22"/>
          <w:szCs w:val="22"/>
          <w:lang w:val="el-GR"/>
        </w:rPr>
        <w:t xml:space="preserve"> </w:t>
      </w:r>
      <w:r w:rsidR="006D2376" w:rsidRPr="0047462D">
        <w:rPr>
          <w:rFonts w:eastAsia="Times New Roman"/>
          <w:i w:val="0"/>
          <w:iCs w:val="0"/>
          <w:sz w:val="22"/>
          <w:szCs w:val="22"/>
          <w:lang w:val="el-GR"/>
        </w:rPr>
        <w:t>ivacaftor</w:t>
      </w:r>
      <w:r w:rsidRPr="0047462D">
        <w:rPr>
          <w:rFonts w:eastAsia="Times New Roman"/>
          <w:i w:val="0"/>
          <w:iCs w:val="0"/>
          <w:sz w:val="22"/>
          <w:szCs w:val="22"/>
          <w:lang w:val="el-GR"/>
        </w:rPr>
        <w:t xml:space="preserve">, κάθε 3 μήνες κατά το πρώτο έτος της θεραπείας και ετησίως μετέπειτα. Για </w:t>
      </w:r>
      <w:r w:rsidR="006D2376" w:rsidRPr="0047462D">
        <w:rPr>
          <w:rFonts w:eastAsia="Times New Roman"/>
          <w:i w:val="0"/>
          <w:iCs w:val="0"/>
          <w:sz w:val="22"/>
          <w:szCs w:val="22"/>
          <w:lang w:val="el-GR"/>
        </w:rPr>
        <w:t xml:space="preserve">όλους τους </w:t>
      </w:r>
      <w:r w:rsidRPr="0047462D">
        <w:rPr>
          <w:rFonts w:eastAsia="Times New Roman"/>
          <w:i w:val="0"/>
          <w:iCs w:val="0"/>
          <w:sz w:val="22"/>
          <w:szCs w:val="22"/>
          <w:lang w:val="el-GR"/>
        </w:rPr>
        <w:t>ασθενείς με ιστορικό αυξήσεων των τρανσαμινασών, θα πρέπει να εξετάζεται το ενδεχόμενο συχνότερης παρακολούθησης</w:t>
      </w:r>
      <w:r w:rsidR="006D2376" w:rsidRPr="0047462D">
        <w:rPr>
          <w:rFonts w:eastAsia="Times New Roman"/>
          <w:i w:val="0"/>
          <w:iCs w:val="0"/>
          <w:sz w:val="22"/>
          <w:szCs w:val="22"/>
          <w:lang w:val="el-GR"/>
        </w:rPr>
        <w:t xml:space="preserve"> των εξετάσεων ηπατικής λειτουργίας</w:t>
      </w:r>
      <w:r w:rsidRPr="0047462D">
        <w:rPr>
          <w:rFonts w:eastAsia="Times New Roman"/>
          <w:i w:val="0"/>
          <w:iCs w:val="0"/>
          <w:sz w:val="22"/>
          <w:szCs w:val="22"/>
          <w:lang w:val="el-GR"/>
        </w:rPr>
        <w:t>.</w:t>
      </w:r>
      <w:r w:rsidR="001B3303" w:rsidRPr="0047462D">
        <w:rPr>
          <w:rFonts w:eastAsia="Times New Roman"/>
          <w:i w:val="0"/>
          <w:iCs w:val="0"/>
          <w:sz w:val="22"/>
          <w:szCs w:val="22"/>
          <w:lang w:val="el-GR"/>
        </w:rPr>
        <w:t xml:space="preserve"> Σε περίπτωση</w:t>
      </w:r>
      <w:r w:rsidR="006D2376" w:rsidRPr="0047462D">
        <w:rPr>
          <w:rFonts w:eastAsia="Times New Roman"/>
          <w:i w:val="0"/>
          <w:iCs w:val="0"/>
          <w:sz w:val="22"/>
          <w:szCs w:val="22"/>
          <w:lang w:val="el-GR"/>
        </w:rPr>
        <w:t xml:space="preserve"> σημαντικών αυξήσεων των τρανσαμινασών (π.χ.</w:t>
      </w:r>
      <w:r w:rsidR="001B3303" w:rsidRPr="0047462D">
        <w:rPr>
          <w:rFonts w:eastAsia="Times New Roman"/>
          <w:i w:val="0"/>
          <w:iCs w:val="0"/>
          <w:sz w:val="22"/>
          <w:szCs w:val="22"/>
          <w:lang w:val="el-GR"/>
        </w:rPr>
        <w:t xml:space="preserve"> </w:t>
      </w:r>
      <w:r w:rsidR="006D2376" w:rsidRPr="0047462D">
        <w:rPr>
          <w:rFonts w:eastAsia="Times New Roman"/>
          <w:i w:val="0"/>
          <w:iCs w:val="0"/>
          <w:sz w:val="22"/>
          <w:szCs w:val="22"/>
          <w:lang w:val="el-GR"/>
        </w:rPr>
        <w:t xml:space="preserve">ασθενείς με </w:t>
      </w:r>
      <w:r w:rsidR="001B3303" w:rsidRPr="0047462D">
        <w:rPr>
          <w:rFonts w:eastAsia="Times New Roman"/>
          <w:i w:val="0"/>
          <w:iCs w:val="0"/>
          <w:sz w:val="22"/>
          <w:szCs w:val="22"/>
          <w:lang w:val="el-GR"/>
        </w:rPr>
        <w:t>ALT ή AST &gt;</w:t>
      </w:r>
      <w:r w:rsidR="00752CFA" w:rsidRPr="0047462D">
        <w:rPr>
          <w:rFonts w:eastAsia="Times New Roman"/>
          <w:i w:val="0"/>
          <w:iCs w:val="0"/>
          <w:sz w:val="22"/>
          <w:szCs w:val="22"/>
        </w:rPr>
        <w:t> </w:t>
      </w:r>
      <w:r w:rsidR="001B3303" w:rsidRPr="0047462D">
        <w:rPr>
          <w:rFonts w:eastAsia="Times New Roman"/>
          <w:i w:val="0"/>
          <w:iCs w:val="0"/>
          <w:sz w:val="22"/>
          <w:szCs w:val="22"/>
          <w:lang w:val="el-GR"/>
        </w:rPr>
        <w:t>5 x το ανώτερο φυσιολογικό όριο [ULN] ή ALT ή AST &gt;</w:t>
      </w:r>
      <w:r w:rsidR="00752CFA" w:rsidRPr="0047462D">
        <w:rPr>
          <w:rFonts w:eastAsia="Times New Roman"/>
          <w:i w:val="0"/>
          <w:iCs w:val="0"/>
          <w:sz w:val="22"/>
          <w:szCs w:val="22"/>
        </w:rPr>
        <w:t> </w:t>
      </w:r>
      <w:r w:rsidR="001B3303" w:rsidRPr="0047462D">
        <w:rPr>
          <w:rFonts w:eastAsia="Times New Roman"/>
          <w:i w:val="0"/>
          <w:iCs w:val="0"/>
          <w:sz w:val="22"/>
          <w:szCs w:val="22"/>
          <w:lang w:val="el-GR"/>
        </w:rPr>
        <w:t>3 x ULN με χολερυθρίνη &gt;</w:t>
      </w:r>
      <w:r w:rsidR="00752CFA" w:rsidRPr="0047462D">
        <w:rPr>
          <w:rFonts w:eastAsia="Times New Roman"/>
          <w:i w:val="0"/>
          <w:iCs w:val="0"/>
          <w:sz w:val="22"/>
          <w:szCs w:val="22"/>
        </w:rPr>
        <w:t> </w:t>
      </w:r>
      <w:r w:rsidR="001B3303" w:rsidRPr="0047462D">
        <w:rPr>
          <w:rFonts w:eastAsia="Times New Roman"/>
          <w:i w:val="0"/>
          <w:iCs w:val="0"/>
          <w:sz w:val="22"/>
          <w:szCs w:val="22"/>
          <w:lang w:val="el-GR"/>
        </w:rPr>
        <w:t>2 x ULN</w:t>
      </w:r>
      <w:r w:rsidR="006D2376" w:rsidRPr="0047462D">
        <w:rPr>
          <w:rFonts w:eastAsia="Times New Roman"/>
          <w:i w:val="0"/>
          <w:iCs w:val="0"/>
          <w:sz w:val="22"/>
          <w:szCs w:val="22"/>
          <w:lang w:val="el-GR"/>
        </w:rPr>
        <w:t>)</w:t>
      </w:r>
      <w:r w:rsidR="001B3303" w:rsidRPr="0047462D">
        <w:rPr>
          <w:rFonts w:eastAsia="Times New Roman"/>
          <w:i w:val="0"/>
          <w:iCs w:val="0"/>
          <w:sz w:val="22"/>
          <w:szCs w:val="22"/>
          <w:lang w:val="el-GR"/>
        </w:rPr>
        <w:t xml:space="preserve">, η χορήγηση δόσης πρέπει να διακόπτεται </w:t>
      </w:r>
      <w:r w:rsidR="004819F3" w:rsidRPr="0047462D">
        <w:rPr>
          <w:rFonts w:eastAsia="Times New Roman"/>
          <w:i w:val="0"/>
          <w:iCs w:val="0"/>
          <w:sz w:val="22"/>
          <w:szCs w:val="22"/>
          <w:lang w:val="el-GR"/>
        </w:rPr>
        <w:t xml:space="preserve">προσωρινά </w:t>
      </w:r>
      <w:r w:rsidR="001B3303" w:rsidRPr="0047462D">
        <w:rPr>
          <w:rFonts w:eastAsia="Times New Roman"/>
          <w:i w:val="0"/>
          <w:iCs w:val="0"/>
          <w:sz w:val="22"/>
          <w:szCs w:val="22"/>
          <w:lang w:val="el-GR"/>
        </w:rPr>
        <w:t>και να παρακολουθούνται στενά οι εργαστηριακές εξετάσεις έως ότου αποκατασταθούν οι μη φυσιολογικές τιμές. Μετά την αποκατάσταση των αυξήσεων των τρανσαμινασών, θα πρέπει να λαμβάνονται υπόψη τα οφέλη και οι κίνδυνοι για τη συνέχιση της θεραπείας (βλ. παράγραφο 4.8).</w:t>
      </w:r>
    </w:p>
    <w:p w14:paraId="3F2A2F0D" w14:textId="77777777" w:rsidR="00A67D3A" w:rsidRPr="0047462D" w:rsidRDefault="00A67D3A">
      <w:pPr>
        <w:rPr>
          <w:bCs/>
          <w:szCs w:val="22"/>
        </w:rPr>
      </w:pPr>
    </w:p>
    <w:p w14:paraId="505BD8D1" w14:textId="77777777" w:rsidR="008E7AAA" w:rsidRPr="0047462D" w:rsidRDefault="008E7AAA" w:rsidP="008E7AAA">
      <w:pPr>
        <w:keepNext/>
        <w:rPr>
          <w:rFonts w:eastAsia="Times New Roman"/>
          <w:szCs w:val="22"/>
          <w:u w:val="single"/>
        </w:rPr>
      </w:pPr>
      <w:r w:rsidRPr="0047462D">
        <w:rPr>
          <w:rFonts w:eastAsia="Times New Roman"/>
          <w:szCs w:val="22"/>
          <w:u w:val="single"/>
        </w:rPr>
        <w:t>Ηπατική δυσλειτουργία</w:t>
      </w:r>
    </w:p>
    <w:p w14:paraId="6E99B49F" w14:textId="4676273B" w:rsidR="004C1466" w:rsidRPr="0047462D" w:rsidRDefault="004C1466" w:rsidP="008E7AAA">
      <w:pPr>
        <w:keepNext/>
        <w:rPr>
          <w:rFonts w:eastAsia="Times New Roman"/>
          <w:szCs w:val="22"/>
        </w:rPr>
      </w:pPr>
    </w:p>
    <w:p w14:paraId="1ED4679B" w14:textId="27046744" w:rsidR="00101F3A" w:rsidRPr="0047462D" w:rsidRDefault="008E7AAA" w:rsidP="00101F3A">
      <w:r w:rsidRPr="0047462D">
        <w:rPr>
          <w:rFonts w:eastAsia="Times New Roman"/>
          <w:szCs w:val="22"/>
        </w:rPr>
        <w:t xml:space="preserve">Η χρήση του </w:t>
      </w:r>
      <w:r w:rsidRPr="0047462D">
        <w:rPr>
          <w:szCs w:val="22"/>
        </w:rPr>
        <w:t>ivacaftor</w:t>
      </w:r>
      <w:r w:rsidR="00760609" w:rsidRPr="0047462D">
        <w:rPr>
          <w:szCs w:val="22"/>
        </w:rPr>
        <w:t xml:space="preserve">, είτε ως μονοθεραπεία είτε σε συνδυαστικό σχήμα με </w:t>
      </w:r>
      <w:r w:rsidR="00760609" w:rsidRPr="0047462D">
        <w:t>tezacaftor/ivacaftor,</w:t>
      </w:r>
      <w:r w:rsidRPr="0047462D">
        <w:rPr>
          <w:rFonts w:eastAsia="Times New Roman"/>
          <w:szCs w:val="22"/>
        </w:rPr>
        <w:t xml:space="preserve"> δεν συνιστάται σε ασθενείς με </w:t>
      </w:r>
      <w:r w:rsidR="00D91C4A" w:rsidRPr="0047462D">
        <w:rPr>
          <w:rFonts w:eastAsia="Times New Roman"/>
          <w:szCs w:val="22"/>
        </w:rPr>
        <w:t xml:space="preserve">σοβαρή </w:t>
      </w:r>
      <w:r w:rsidRPr="0047462D">
        <w:rPr>
          <w:rFonts w:eastAsia="Times New Roman"/>
          <w:szCs w:val="22"/>
        </w:rPr>
        <w:t>ηπατική δυσλειτουργία εκτός εάν τα οφέλη αναμένεται να αντισταθμίσουν τους κινδύνους</w:t>
      </w:r>
      <w:r w:rsidR="00101F3A" w:rsidRPr="0047462D">
        <w:rPr>
          <w:rFonts w:eastAsia="Times New Roman"/>
          <w:szCs w:val="22"/>
        </w:rPr>
        <w:t xml:space="preserve">. Οι ασθενείς με </w:t>
      </w:r>
      <w:r w:rsidR="004D470A" w:rsidRPr="0047462D">
        <w:rPr>
          <w:rFonts w:eastAsia="Times New Roman"/>
          <w:szCs w:val="22"/>
        </w:rPr>
        <w:t>σοβαρή</w:t>
      </w:r>
      <w:r w:rsidR="00101F3A" w:rsidRPr="0047462D">
        <w:rPr>
          <w:rFonts w:eastAsia="Times New Roman"/>
          <w:szCs w:val="22"/>
        </w:rPr>
        <w:t xml:space="preserve"> ηπατική δυσλειτουργία δεν πρέπει να λαμβάνουν </w:t>
      </w:r>
      <w:r w:rsidR="00101F3A" w:rsidRPr="0047462D">
        <w:t xml:space="preserve">ivacaftor σε συνδυαστικό σχήμα με ivacaftor/tezacaftor/elexacaftor. (Βλ. Πίνακα 3 και παραγράφους 4.2 και 5.2). </w:t>
      </w:r>
    </w:p>
    <w:p w14:paraId="55976F90" w14:textId="77777777" w:rsidR="00101F3A" w:rsidRPr="0047462D" w:rsidRDefault="00101F3A" w:rsidP="00101F3A"/>
    <w:p w14:paraId="43C93D2B" w14:textId="7A1B4A78" w:rsidR="00101F3A" w:rsidRPr="0047462D" w:rsidRDefault="002A1003" w:rsidP="00101F3A">
      <w:r w:rsidRPr="0047462D">
        <w:t xml:space="preserve">Για ασθενείς με μέτρια ηπατική δυσλειτουργία, η χρήση του </w:t>
      </w:r>
      <w:r w:rsidR="00101F3A" w:rsidRPr="0047462D">
        <w:t xml:space="preserve">ivacaftor </w:t>
      </w:r>
      <w:r w:rsidRPr="0047462D">
        <w:t xml:space="preserve">σε συνδυαστικό σχήμα με </w:t>
      </w:r>
      <w:r w:rsidR="00101F3A" w:rsidRPr="0047462D">
        <w:t xml:space="preserve">ivacaftor/tezacaftor/elexacaftor </w:t>
      </w:r>
      <w:r w:rsidRPr="0047462D">
        <w:t>δεν συνιστάται</w:t>
      </w:r>
      <w:r w:rsidR="00101F3A" w:rsidRPr="0047462D">
        <w:t xml:space="preserve">. </w:t>
      </w:r>
      <w:r w:rsidRPr="0047462D">
        <w:t>Το ενδεχόμενο θεραπείας θα πρέπει να εξετάζεται μόνο όταν υπάρχει σαφής ιατρική ανάγκη και τα οφέλη αναμένεται να υπερτερούν των κινδύνων</w:t>
      </w:r>
      <w:r w:rsidR="00101F3A" w:rsidRPr="0047462D">
        <w:t>.</w:t>
      </w:r>
      <w:r w:rsidRPr="0047462D">
        <w:t xml:space="preserve"> Σε περίπτωση χρήσης του, θα πρέπει να χρησιμοποιηθεί με προσοχή σε μειωμένη δόση (βλ. Πίνακα 3 και παραγράφους 4.2 και 5.2).</w:t>
      </w:r>
    </w:p>
    <w:p w14:paraId="097CE73E" w14:textId="77777777" w:rsidR="008E7AAA" w:rsidRPr="0047462D" w:rsidRDefault="008E7AAA" w:rsidP="008E7AAA">
      <w:pPr>
        <w:rPr>
          <w:szCs w:val="22"/>
        </w:rPr>
      </w:pPr>
    </w:p>
    <w:p w14:paraId="17BFEBED" w14:textId="77777777" w:rsidR="00A67D3A" w:rsidRPr="0047462D" w:rsidRDefault="00A67D3A" w:rsidP="00141E57">
      <w:pPr>
        <w:keepNext/>
        <w:rPr>
          <w:rFonts w:eastAsia="Times New Roman"/>
          <w:szCs w:val="22"/>
          <w:u w:val="single"/>
        </w:rPr>
      </w:pPr>
      <w:r w:rsidRPr="0047462D">
        <w:rPr>
          <w:rFonts w:eastAsia="Times New Roman"/>
          <w:szCs w:val="22"/>
          <w:u w:val="single"/>
        </w:rPr>
        <w:t>Νεφρική δυσλειτουργία</w:t>
      </w:r>
    </w:p>
    <w:p w14:paraId="38CA91A1" w14:textId="77777777" w:rsidR="004C1466" w:rsidRPr="0047462D" w:rsidRDefault="004C1466" w:rsidP="00141E57">
      <w:pPr>
        <w:keepNext/>
        <w:rPr>
          <w:rFonts w:eastAsia="Times New Roman"/>
          <w:szCs w:val="22"/>
        </w:rPr>
      </w:pPr>
    </w:p>
    <w:p w14:paraId="4E419F9C" w14:textId="2D35D202" w:rsidR="00A67D3A" w:rsidRPr="0047462D" w:rsidRDefault="00A67D3A" w:rsidP="002331FF">
      <w:pPr>
        <w:pStyle w:val="labeltext"/>
        <w:rPr>
          <w:szCs w:val="22"/>
          <w:lang w:val="el-GR"/>
        </w:rPr>
      </w:pPr>
      <w:r w:rsidRPr="0047462D">
        <w:rPr>
          <w:rFonts w:eastAsia="Times New Roman"/>
          <w:sz w:val="22"/>
          <w:szCs w:val="22"/>
          <w:lang w:val="el-GR"/>
        </w:rPr>
        <w:t xml:space="preserve">Συνιστάται προσοχή κατά τη χρήση του </w:t>
      </w:r>
      <w:r w:rsidRPr="0047462D">
        <w:rPr>
          <w:sz w:val="22"/>
          <w:szCs w:val="22"/>
          <w:lang w:val="en-GB"/>
        </w:rPr>
        <w:t>ivacaftor</w:t>
      </w:r>
      <w:r w:rsidR="00760609" w:rsidRPr="0047462D">
        <w:rPr>
          <w:sz w:val="22"/>
          <w:szCs w:val="22"/>
          <w:lang w:val="el-GR"/>
        </w:rPr>
        <w:t xml:space="preserve">, είτε ως μονοθεραπεία είτε σε συνδυαστικό σχήμα με </w:t>
      </w:r>
      <w:r w:rsidR="00760609" w:rsidRPr="0047462D">
        <w:rPr>
          <w:sz w:val="22"/>
          <w:szCs w:val="22"/>
          <w:lang w:val="en-GB"/>
        </w:rPr>
        <w:t>tezacaftor</w:t>
      </w:r>
      <w:r w:rsidR="00760609" w:rsidRPr="0047462D">
        <w:rPr>
          <w:sz w:val="22"/>
          <w:szCs w:val="22"/>
          <w:lang w:val="el-GR"/>
        </w:rPr>
        <w:t>/</w:t>
      </w:r>
      <w:r w:rsidR="00760609" w:rsidRPr="0047462D">
        <w:rPr>
          <w:sz w:val="22"/>
          <w:szCs w:val="22"/>
          <w:lang w:val="en-GB"/>
        </w:rPr>
        <w:t>ivacaftor</w:t>
      </w:r>
      <w:r w:rsidR="002A1003" w:rsidRPr="0047462D">
        <w:rPr>
          <w:sz w:val="22"/>
          <w:szCs w:val="22"/>
          <w:lang w:val="el-GR"/>
        </w:rPr>
        <w:t xml:space="preserve"> ή </w:t>
      </w:r>
      <w:r w:rsidR="002A1003" w:rsidRPr="0047462D">
        <w:rPr>
          <w:sz w:val="22"/>
          <w:szCs w:val="22"/>
        </w:rPr>
        <w:t>ivacaftor</w:t>
      </w:r>
      <w:r w:rsidR="002A1003" w:rsidRPr="00F93ECE">
        <w:rPr>
          <w:sz w:val="22"/>
          <w:szCs w:val="22"/>
          <w:lang w:val="el-GR"/>
        </w:rPr>
        <w:t>/</w:t>
      </w:r>
      <w:r w:rsidR="002A1003" w:rsidRPr="0047462D">
        <w:rPr>
          <w:sz w:val="22"/>
          <w:szCs w:val="22"/>
        </w:rPr>
        <w:t>tezacaftor</w:t>
      </w:r>
      <w:r w:rsidR="002A1003" w:rsidRPr="00F93ECE">
        <w:rPr>
          <w:sz w:val="22"/>
          <w:szCs w:val="22"/>
          <w:lang w:val="el-GR"/>
        </w:rPr>
        <w:t>/</w:t>
      </w:r>
      <w:r w:rsidR="002A1003" w:rsidRPr="0047462D">
        <w:rPr>
          <w:sz w:val="22"/>
          <w:szCs w:val="22"/>
        </w:rPr>
        <w:t>elexacaftor</w:t>
      </w:r>
      <w:r w:rsidR="00760609" w:rsidRPr="0047462D">
        <w:rPr>
          <w:sz w:val="22"/>
          <w:szCs w:val="22"/>
          <w:lang w:val="el-GR"/>
        </w:rPr>
        <w:t>,</w:t>
      </w:r>
      <w:r w:rsidRPr="0047462D">
        <w:rPr>
          <w:rFonts w:eastAsia="Times New Roman"/>
          <w:sz w:val="22"/>
          <w:szCs w:val="22"/>
          <w:lang w:val="el-GR"/>
        </w:rPr>
        <w:t xml:space="preserve"> σε ασθενείς με </w:t>
      </w:r>
      <w:r w:rsidR="00246AF5" w:rsidRPr="0047462D">
        <w:rPr>
          <w:rFonts w:eastAsia="Times New Roman"/>
          <w:sz w:val="22"/>
          <w:szCs w:val="22"/>
          <w:lang w:val="el-GR"/>
        </w:rPr>
        <w:t xml:space="preserve">σοβαρή </w:t>
      </w:r>
      <w:r w:rsidRPr="0047462D">
        <w:rPr>
          <w:rFonts w:eastAsia="Times New Roman"/>
          <w:sz w:val="22"/>
          <w:szCs w:val="22"/>
          <w:lang w:val="el-GR"/>
        </w:rPr>
        <w:t xml:space="preserve">νεφρική δυσλειτουργία ή νεφρική νόσο τελικού σταδίου </w:t>
      </w:r>
      <w:r w:rsidRPr="0047462D">
        <w:rPr>
          <w:bCs/>
          <w:sz w:val="22"/>
          <w:szCs w:val="22"/>
          <w:lang w:val="el-GR"/>
        </w:rPr>
        <w:t>(βλ. παραγράφους 4.2 και 5.2)</w:t>
      </w:r>
      <w:r w:rsidRPr="0047462D">
        <w:rPr>
          <w:rFonts w:eastAsia="Times New Roman"/>
          <w:sz w:val="22"/>
          <w:szCs w:val="22"/>
          <w:lang w:val="el-GR"/>
        </w:rPr>
        <w:t xml:space="preserve">. </w:t>
      </w:r>
    </w:p>
    <w:p w14:paraId="46950082" w14:textId="77777777" w:rsidR="00A67D3A" w:rsidRPr="0047462D" w:rsidRDefault="00A67D3A">
      <w:pPr>
        <w:rPr>
          <w:szCs w:val="22"/>
        </w:rPr>
      </w:pPr>
    </w:p>
    <w:p w14:paraId="5D415716" w14:textId="77777777" w:rsidR="00A67D3A" w:rsidRPr="0047462D" w:rsidRDefault="00A67D3A" w:rsidP="00141E57">
      <w:pPr>
        <w:keepNext/>
        <w:rPr>
          <w:rFonts w:eastAsia="Times New Roman"/>
          <w:szCs w:val="22"/>
          <w:u w:val="single"/>
        </w:rPr>
      </w:pPr>
      <w:r w:rsidRPr="0047462D">
        <w:rPr>
          <w:rFonts w:eastAsia="Times New Roman"/>
          <w:szCs w:val="22"/>
          <w:u w:val="single"/>
        </w:rPr>
        <w:t>Ασθενείς μετά από μεταμόσχευση οργάνου</w:t>
      </w:r>
    </w:p>
    <w:p w14:paraId="2EB6DB5B" w14:textId="77777777" w:rsidR="004C1466" w:rsidRPr="0047462D" w:rsidRDefault="004C1466" w:rsidP="00141E57">
      <w:pPr>
        <w:keepNext/>
        <w:rPr>
          <w:rFonts w:eastAsia="Times New Roman"/>
          <w:szCs w:val="22"/>
        </w:rPr>
      </w:pPr>
    </w:p>
    <w:p w14:paraId="380A0F45" w14:textId="191250A1" w:rsidR="00A67D3A" w:rsidRPr="0047462D" w:rsidRDefault="00A67D3A" w:rsidP="002331FF">
      <w:pPr>
        <w:rPr>
          <w:rFonts w:eastAsia="Times New Roman"/>
          <w:szCs w:val="22"/>
        </w:rPr>
      </w:pPr>
      <w:r w:rsidRPr="0047462D">
        <w:rPr>
          <w:rFonts w:eastAsia="Times New Roman"/>
          <w:szCs w:val="22"/>
        </w:rPr>
        <w:t xml:space="preserve">Το </w:t>
      </w:r>
      <w:r w:rsidRPr="0047462D">
        <w:rPr>
          <w:szCs w:val="22"/>
        </w:rPr>
        <w:t>ivacaftor</w:t>
      </w:r>
      <w:r w:rsidR="00760609" w:rsidRPr="0047462D">
        <w:rPr>
          <w:szCs w:val="22"/>
        </w:rPr>
        <w:t xml:space="preserve">, είτε ως μονοθεραπεία είτε σε συνδυαστικό σχήμα με </w:t>
      </w:r>
      <w:r w:rsidR="00760609" w:rsidRPr="0047462D">
        <w:rPr>
          <w:szCs w:val="22"/>
          <w:lang w:val="en-US"/>
        </w:rPr>
        <w:t>tezacaftor</w:t>
      </w:r>
      <w:r w:rsidR="00760609" w:rsidRPr="0047462D">
        <w:rPr>
          <w:szCs w:val="22"/>
        </w:rPr>
        <w:t>/</w:t>
      </w:r>
      <w:r w:rsidR="00760609" w:rsidRPr="0047462D">
        <w:rPr>
          <w:szCs w:val="22"/>
          <w:lang w:val="en-US"/>
        </w:rPr>
        <w:t>ivacaftor</w:t>
      </w:r>
      <w:r w:rsidR="002A1003" w:rsidRPr="0047462D">
        <w:rPr>
          <w:szCs w:val="22"/>
        </w:rPr>
        <w:t xml:space="preserve"> ή ivacaftor/tezacaftor/elexacaftor</w:t>
      </w:r>
      <w:r w:rsidR="00760609" w:rsidRPr="0047462D">
        <w:rPr>
          <w:szCs w:val="22"/>
        </w:rPr>
        <w:t>,</w:t>
      </w:r>
      <w:r w:rsidRPr="0047462D">
        <w:rPr>
          <w:rFonts w:eastAsia="Times New Roman"/>
          <w:szCs w:val="22"/>
        </w:rPr>
        <w:t xml:space="preserve"> δεν έχει μελετηθεί σε ασθενείς με ΚΙ που έχουν υποβληθεί σε μεταμόσχευση οργάνου. Συνεπώς, η χρήση σε ασθενείς που έχουν υποβληθεί σε μεταμόσχευση δεν συνιστάται. Βλ. παράγραφο 4.5 για αλληλεπιδράσεις με κυκλοσπορίνη ή τακρόλιμους. </w:t>
      </w:r>
    </w:p>
    <w:p w14:paraId="74F8A267" w14:textId="04C655BF" w:rsidR="00A67D3A" w:rsidRPr="0047462D" w:rsidRDefault="00A67D3A">
      <w:pPr>
        <w:rPr>
          <w:rFonts w:eastAsia="Times New Roman"/>
          <w:szCs w:val="22"/>
        </w:rPr>
      </w:pPr>
    </w:p>
    <w:p w14:paraId="40ABBB30" w14:textId="77777777" w:rsidR="00D87ECC" w:rsidRPr="0047462D" w:rsidRDefault="00D87ECC" w:rsidP="00D87ECC">
      <w:pPr>
        <w:pStyle w:val="Body"/>
        <w:keepNext/>
        <w:tabs>
          <w:tab w:val="clear" w:pos="567"/>
        </w:tabs>
        <w:rPr>
          <w:u w:val="single"/>
        </w:rPr>
      </w:pPr>
      <w:r w:rsidRPr="0047462D">
        <w:rPr>
          <w:u w:val="single"/>
        </w:rPr>
        <w:t>Συμβάματα εξανθήματος</w:t>
      </w:r>
    </w:p>
    <w:p w14:paraId="1738FF00" w14:textId="77777777" w:rsidR="00D87ECC" w:rsidRPr="0047462D" w:rsidRDefault="00D87ECC" w:rsidP="00D87ECC">
      <w:pPr>
        <w:pStyle w:val="Body"/>
        <w:keepNext/>
        <w:tabs>
          <w:tab w:val="clear" w:pos="567"/>
        </w:tabs>
      </w:pPr>
    </w:p>
    <w:p w14:paraId="009B5F52" w14:textId="6FF34E66" w:rsidR="00D87ECC" w:rsidRPr="0047462D" w:rsidRDefault="00D87ECC" w:rsidP="00D87ECC">
      <w:pPr>
        <w:pStyle w:val="Body"/>
        <w:tabs>
          <w:tab w:val="clear" w:pos="567"/>
        </w:tabs>
      </w:pPr>
      <w:r w:rsidRPr="0047462D">
        <w:rPr>
          <w:rStyle w:val="hps"/>
        </w:rPr>
        <w:t xml:space="preserve">Η επίπτωση των συμβαμάτων εξανθήματος </w:t>
      </w:r>
      <w:r w:rsidR="006334C1" w:rsidRPr="0047462D">
        <w:t>με το ivacaftor σε συνδυαστικό σχήμα με ivacaftor/tezacaftor/elexacaftor</w:t>
      </w:r>
      <w:r w:rsidR="006334C1" w:rsidRPr="0047462D">
        <w:rPr>
          <w:rStyle w:val="hps"/>
        </w:rPr>
        <w:t xml:space="preserve"> </w:t>
      </w:r>
      <w:r w:rsidRPr="0047462D">
        <w:rPr>
          <w:rStyle w:val="hps"/>
        </w:rPr>
        <w:t>ήταν υψηλότερη στις γυναίκες απ’ ό,τι στους άνδρες, ιδιαίτερα σε γυναίκες που λάμβαναν ορμονικά αντισυλληπτικά. Δεν μπορεί να αποκλειστεί κάποιος ρόλος των ορμονικών αντισυλληπτικών στην εκδήλωση εξανθήματος. Για ασθενείς που λαμβάνουν ορμονικά αντισυλληπτικά και αναπτύσσουν εξάνθημα, θα πρέπει να εξετάζεται το ενδεχόμενο προσωρινής διακοπής της θεραπείας</w:t>
      </w:r>
      <w:r w:rsidR="006334C1" w:rsidRPr="0047462D">
        <w:rPr>
          <w:rStyle w:val="hps"/>
        </w:rPr>
        <w:t xml:space="preserve"> με</w:t>
      </w:r>
      <w:r w:rsidRPr="0047462D">
        <w:rPr>
          <w:rStyle w:val="hps"/>
        </w:rPr>
        <w:t xml:space="preserve"> </w:t>
      </w:r>
      <w:r w:rsidR="006334C1" w:rsidRPr="0047462D">
        <w:t xml:space="preserve">ivacaftor σε συνδυαστικό σχήμα με ivacaftor/tezacaftor/elexacaftor </w:t>
      </w:r>
      <w:r w:rsidRPr="0047462D">
        <w:rPr>
          <w:rStyle w:val="hps"/>
        </w:rPr>
        <w:t xml:space="preserve">και των ορμονικών αντισυλληπτικών. Μετά την υποχώρηση του εξανθήματος, θα πρέπει να εξετάζεται το εάν είναι σκόπιμη η συνέχιση του </w:t>
      </w:r>
      <w:r w:rsidR="006334C1" w:rsidRPr="0047462D">
        <w:t xml:space="preserve">ivacaftor σε συνδυαστικό σχήμα με ivacaftor/tezacaftor/elexacaftor </w:t>
      </w:r>
      <w:r w:rsidRPr="0047462D">
        <w:rPr>
          <w:rStyle w:val="hps"/>
        </w:rPr>
        <w:t>χωρίς τα ορμονικά αντισυλληπτικά. Εάν το εξάνθημα δεν επανεμφανιστεί, μπορεί να εξεταστεί το ενδεχόμενο συνέχισης των ορμονικών αντισυλληπτικών (βλ. παράγραφο 4.8).</w:t>
      </w:r>
    </w:p>
    <w:p w14:paraId="51B28DA8" w14:textId="77777777" w:rsidR="00D87ECC" w:rsidRPr="0047462D" w:rsidRDefault="00D87ECC">
      <w:pPr>
        <w:rPr>
          <w:rFonts w:eastAsia="Times New Roman"/>
          <w:szCs w:val="22"/>
          <w:u w:val="single"/>
        </w:rPr>
      </w:pPr>
    </w:p>
    <w:p w14:paraId="017B4F8B" w14:textId="77777777" w:rsidR="00A67D3A" w:rsidRPr="0047462D" w:rsidRDefault="00A67D3A">
      <w:pPr>
        <w:keepNext/>
        <w:rPr>
          <w:rFonts w:eastAsia="Times New Roman"/>
          <w:szCs w:val="22"/>
          <w:u w:val="single"/>
        </w:rPr>
      </w:pPr>
      <w:r w:rsidRPr="0047462D">
        <w:rPr>
          <w:rFonts w:eastAsia="Times New Roman"/>
          <w:szCs w:val="22"/>
          <w:u w:val="single"/>
        </w:rPr>
        <w:t>Αλληλεπιδράσεις με φαρμακευτικά προϊόντα</w:t>
      </w:r>
    </w:p>
    <w:p w14:paraId="72A7405D" w14:textId="77777777" w:rsidR="006A318D" w:rsidRPr="0047462D" w:rsidRDefault="006A318D">
      <w:pPr>
        <w:keepNext/>
        <w:rPr>
          <w:rFonts w:eastAsia="Times New Roman"/>
          <w:szCs w:val="22"/>
        </w:rPr>
      </w:pPr>
    </w:p>
    <w:p w14:paraId="155D2AD2" w14:textId="7446BF6D" w:rsidR="005D5499" w:rsidRPr="0047462D" w:rsidRDefault="0044758E" w:rsidP="009E50D2">
      <w:pPr>
        <w:pStyle w:val="labeltext"/>
        <w:keepNext/>
        <w:rPr>
          <w:bCs/>
          <w:i/>
          <w:sz w:val="22"/>
          <w:szCs w:val="22"/>
          <w:lang w:val="el-GR"/>
        </w:rPr>
      </w:pPr>
      <w:r w:rsidRPr="0047462D">
        <w:rPr>
          <w:bCs/>
          <w:i/>
          <w:sz w:val="22"/>
          <w:szCs w:val="22"/>
          <w:lang w:val="el-GR"/>
        </w:rPr>
        <w:t xml:space="preserve">Επαγωγείς του </w:t>
      </w:r>
      <w:r w:rsidRPr="0047462D">
        <w:rPr>
          <w:bCs/>
          <w:i/>
          <w:sz w:val="22"/>
          <w:szCs w:val="22"/>
        </w:rPr>
        <w:t>CYP</w:t>
      </w:r>
      <w:r w:rsidRPr="0047462D">
        <w:rPr>
          <w:bCs/>
          <w:i/>
          <w:sz w:val="22"/>
          <w:szCs w:val="22"/>
          <w:lang w:val="el-GR"/>
        </w:rPr>
        <w:t>3</w:t>
      </w:r>
      <w:r w:rsidRPr="0047462D">
        <w:rPr>
          <w:bCs/>
          <w:i/>
          <w:sz w:val="22"/>
          <w:szCs w:val="22"/>
        </w:rPr>
        <w:t>A</w:t>
      </w:r>
    </w:p>
    <w:p w14:paraId="592AAB29" w14:textId="77777777" w:rsidR="007972C4" w:rsidRPr="0047462D" w:rsidRDefault="007972C4" w:rsidP="009E50D2">
      <w:pPr>
        <w:pStyle w:val="labeltext"/>
        <w:keepNext/>
        <w:rPr>
          <w:bCs/>
          <w:i/>
          <w:sz w:val="22"/>
          <w:szCs w:val="22"/>
          <w:lang w:val="el-GR"/>
        </w:rPr>
      </w:pPr>
    </w:p>
    <w:p w14:paraId="3240830C" w14:textId="184916D1" w:rsidR="0044758E" w:rsidRPr="0047462D" w:rsidRDefault="008E7AAA">
      <w:pPr>
        <w:pStyle w:val="labeltext"/>
        <w:rPr>
          <w:rFonts w:eastAsia="Times New Roman"/>
          <w:sz w:val="22"/>
          <w:szCs w:val="22"/>
          <w:lang w:val="el-GR"/>
        </w:rPr>
      </w:pPr>
      <w:r w:rsidRPr="0047462D">
        <w:rPr>
          <w:bCs/>
          <w:sz w:val="22"/>
          <w:szCs w:val="22"/>
          <w:lang w:val="el-GR"/>
        </w:rPr>
        <w:t xml:space="preserve">Η έκθεση </w:t>
      </w:r>
      <w:r w:rsidR="00772E53" w:rsidRPr="0047462D">
        <w:rPr>
          <w:bCs/>
          <w:sz w:val="22"/>
          <w:szCs w:val="22"/>
          <w:lang w:val="el-GR"/>
        </w:rPr>
        <w:t xml:space="preserve">στο </w:t>
      </w:r>
      <w:r w:rsidRPr="0047462D">
        <w:rPr>
          <w:bCs/>
          <w:sz w:val="22"/>
          <w:szCs w:val="22"/>
        </w:rPr>
        <w:t>ivacaftor</w:t>
      </w:r>
      <w:r w:rsidRPr="0047462D">
        <w:rPr>
          <w:bCs/>
          <w:sz w:val="22"/>
          <w:szCs w:val="22"/>
          <w:lang w:val="el-GR"/>
        </w:rPr>
        <w:t xml:space="preserve"> </w:t>
      </w:r>
      <w:r w:rsidR="00A02831" w:rsidRPr="0047462D">
        <w:rPr>
          <w:bCs/>
          <w:sz w:val="22"/>
          <w:szCs w:val="22"/>
          <w:lang w:val="el-GR"/>
        </w:rPr>
        <w:t>μειώνεται σημαντικά</w:t>
      </w:r>
      <w:r w:rsidR="007C032A" w:rsidRPr="0047462D">
        <w:rPr>
          <w:bCs/>
          <w:sz w:val="22"/>
          <w:szCs w:val="22"/>
          <w:lang w:val="el-GR"/>
        </w:rPr>
        <w:t xml:space="preserve"> και η έκθεση στο elexacaftor και το tezacaftor αναμένεται να μειωθεί </w:t>
      </w:r>
      <w:r w:rsidRPr="0047462D">
        <w:rPr>
          <w:bCs/>
          <w:sz w:val="22"/>
          <w:szCs w:val="22"/>
          <w:lang w:val="el-GR"/>
        </w:rPr>
        <w:t xml:space="preserve">από την ταυτόχρονη χρήση επαγωγέων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με </w:t>
      </w:r>
      <w:r w:rsidR="00772E53" w:rsidRPr="0047462D">
        <w:rPr>
          <w:bCs/>
          <w:sz w:val="22"/>
          <w:szCs w:val="22"/>
          <w:lang w:val="el-GR"/>
        </w:rPr>
        <w:t xml:space="preserve">ενδεχόμενο </w:t>
      </w:r>
      <w:r w:rsidRPr="0047462D">
        <w:rPr>
          <w:bCs/>
          <w:sz w:val="22"/>
          <w:szCs w:val="22"/>
          <w:lang w:val="el-GR"/>
        </w:rPr>
        <w:t xml:space="preserve">αποτέλεσμα την απώλεια της αποτελεσματικότητας του </w:t>
      </w:r>
      <w:r w:rsidRPr="0047462D">
        <w:rPr>
          <w:sz w:val="22"/>
          <w:szCs w:val="22"/>
          <w:lang w:val="en-GB"/>
        </w:rPr>
        <w:t>ivacaftor</w:t>
      </w:r>
      <w:r w:rsidRPr="0047462D">
        <w:rPr>
          <w:sz w:val="22"/>
          <w:szCs w:val="22"/>
          <w:lang w:val="el-GR"/>
        </w:rPr>
        <w:t>. Συνεπώς, δεν συνιστάται η συγχορήγηση</w:t>
      </w:r>
      <w:r w:rsidRPr="0047462D">
        <w:rPr>
          <w:bCs/>
          <w:sz w:val="22"/>
          <w:szCs w:val="22"/>
          <w:lang w:val="el-GR"/>
        </w:rPr>
        <w:t xml:space="preserve"> </w:t>
      </w:r>
      <w:r w:rsidR="004F4553" w:rsidRPr="0047462D">
        <w:rPr>
          <w:bCs/>
          <w:sz w:val="22"/>
          <w:szCs w:val="22"/>
          <w:lang w:val="el-GR"/>
        </w:rPr>
        <w:t xml:space="preserve">του </w:t>
      </w:r>
      <w:r w:rsidR="007C032A" w:rsidRPr="0047462D">
        <w:rPr>
          <w:bCs/>
          <w:sz w:val="22"/>
          <w:szCs w:val="22"/>
        </w:rPr>
        <w:t>ivacaftor</w:t>
      </w:r>
      <w:r w:rsidR="007C032A" w:rsidRPr="00F93ECE">
        <w:rPr>
          <w:bCs/>
          <w:sz w:val="22"/>
          <w:szCs w:val="22"/>
          <w:lang w:val="el-GR"/>
        </w:rPr>
        <w:t xml:space="preserve"> </w:t>
      </w:r>
      <w:r w:rsidR="004F4553" w:rsidRPr="0047462D">
        <w:rPr>
          <w:bCs/>
          <w:sz w:val="22"/>
          <w:szCs w:val="22"/>
          <w:lang w:val="el-GR"/>
        </w:rPr>
        <w:t>(</w:t>
      </w:r>
      <w:r w:rsidR="007C032A" w:rsidRPr="0047462D">
        <w:rPr>
          <w:bCs/>
          <w:sz w:val="22"/>
          <w:szCs w:val="22"/>
          <w:lang w:val="el-GR"/>
        </w:rPr>
        <w:t xml:space="preserve">ως </w:t>
      </w:r>
      <w:r w:rsidR="004F4553" w:rsidRPr="0047462D">
        <w:rPr>
          <w:bCs/>
          <w:sz w:val="22"/>
          <w:szCs w:val="22"/>
          <w:lang w:val="el-GR"/>
        </w:rPr>
        <w:t>μονοθεραπεία ή σε συνδυ</w:t>
      </w:r>
      <w:r w:rsidR="007C032A" w:rsidRPr="0047462D">
        <w:rPr>
          <w:bCs/>
          <w:sz w:val="22"/>
          <w:szCs w:val="22"/>
          <w:lang w:val="el-GR"/>
        </w:rPr>
        <w:t>αστικό σχήμα</w:t>
      </w:r>
      <w:r w:rsidR="00677D05" w:rsidRPr="0047462D">
        <w:rPr>
          <w:bCs/>
          <w:sz w:val="22"/>
          <w:szCs w:val="22"/>
          <w:lang w:val="el-GR"/>
        </w:rPr>
        <w:t xml:space="preserve"> </w:t>
      </w:r>
      <w:r w:rsidR="004F4553" w:rsidRPr="0047462D">
        <w:rPr>
          <w:bCs/>
          <w:sz w:val="22"/>
          <w:szCs w:val="22"/>
          <w:lang w:val="el-GR"/>
        </w:rPr>
        <w:t xml:space="preserve">με </w:t>
      </w:r>
      <w:r w:rsidR="004F4553" w:rsidRPr="0047462D">
        <w:rPr>
          <w:bCs/>
          <w:sz w:val="22"/>
          <w:szCs w:val="22"/>
        </w:rPr>
        <w:t>tezacaftor</w:t>
      </w:r>
      <w:r w:rsidR="004F4553" w:rsidRPr="0047462D">
        <w:rPr>
          <w:bCs/>
          <w:sz w:val="22"/>
          <w:szCs w:val="22"/>
          <w:lang w:val="el-GR"/>
        </w:rPr>
        <w:t>/</w:t>
      </w:r>
      <w:r w:rsidR="004F4553" w:rsidRPr="0047462D">
        <w:rPr>
          <w:bCs/>
          <w:sz w:val="22"/>
          <w:szCs w:val="22"/>
        </w:rPr>
        <w:t>ivacaftor</w:t>
      </w:r>
      <w:r w:rsidR="007C032A" w:rsidRPr="0047462D">
        <w:rPr>
          <w:bCs/>
          <w:sz w:val="22"/>
          <w:szCs w:val="22"/>
          <w:lang w:val="el-GR"/>
        </w:rPr>
        <w:t xml:space="preserve"> ή ivacaftor/tezacaftor/elexacaftor</w:t>
      </w:r>
      <w:r w:rsidR="004F4553" w:rsidRPr="0047462D">
        <w:rPr>
          <w:bCs/>
          <w:sz w:val="22"/>
          <w:szCs w:val="22"/>
          <w:lang w:val="el-GR"/>
        </w:rPr>
        <w:t xml:space="preserve">) </w:t>
      </w:r>
      <w:r w:rsidRPr="0047462D">
        <w:rPr>
          <w:bCs/>
          <w:sz w:val="22"/>
          <w:szCs w:val="22"/>
          <w:lang w:val="el-GR"/>
        </w:rPr>
        <w:t xml:space="preserve">με ισχυρούς επαγωγείς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(βλ. </w:t>
      </w:r>
      <w:r w:rsidRPr="0047462D">
        <w:rPr>
          <w:rFonts w:eastAsia="Times New Roman"/>
          <w:sz w:val="22"/>
          <w:szCs w:val="22"/>
          <w:lang w:val="el-GR"/>
        </w:rPr>
        <w:t>παράγραφο</w:t>
      </w:r>
      <w:r w:rsidRPr="0047462D">
        <w:rPr>
          <w:bCs/>
          <w:sz w:val="22"/>
          <w:szCs w:val="22"/>
          <w:lang w:val="en-GB"/>
        </w:rPr>
        <w:t> </w:t>
      </w:r>
      <w:r w:rsidRPr="0047462D">
        <w:rPr>
          <w:bCs/>
          <w:sz w:val="22"/>
          <w:szCs w:val="22"/>
          <w:lang w:val="el-GR"/>
        </w:rPr>
        <w:t>4.5).</w:t>
      </w:r>
      <w:r w:rsidRPr="0047462D">
        <w:rPr>
          <w:rFonts w:eastAsia="Times New Roman"/>
          <w:sz w:val="22"/>
          <w:szCs w:val="22"/>
          <w:lang w:val="el-GR"/>
        </w:rPr>
        <w:t xml:space="preserve"> </w:t>
      </w:r>
    </w:p>
    <w:p w14:paraId="6FF02525" w14:textId="77777777" w:rsidR="0044758E" w:rsidRPr="0047462D" w:rsidRDefault="0044758E">
      <w:pPr>
        <w:pStyle w:val="labeltext"/>
        <w:rPr>
          <w:rFonts w:eastAsia="Times New Roman"/>
          <w:sz w:val="22"/>
          <w:szCs w:val="22"/>
          <w:lang w:val="el-GR"/>
        </w:rPr>
      </w:pPr>
    </w:p>
    <w:p w14:paraId="6ACDE8B6" w14:textId="54F539C1" w:rsidR="005D5499" w:rsidRPr="0047462D" w:rsidRDefault="0044758E" w:rsidP="009E50D2">
      <w:pPr>
        <w:pStyle w:val="labeltext"/>
        <w:keepNext/>
        <w:rPr>
          <w:bCs/>
          <w:i/>
          <w:sz w:val="22"/>
          <w:szCs w:val="22"/>
          <w:lang w:val="el-GR"/>
        </w:rPr>
      </w:pPr>
      <w:r w:rsidRPr="0047462D">
        <w:rPr>
          <w:bCs/>
          <w:i/>
          <w:sz w:val="22"/>
          <w:szCs w:val="22"/>
          <w:lang w:val="el-GR"/>
        </w:rPr>
        <w:t xml:space="preserve">Αναστολείς του </w:t>
      </w:r>
      <w:r w:rsidRPr="0047462D">
        <w:rPr>
          <w:bCs/>
          <w:i/>
          <w:sz w:val="22"/>
          <w:szCs w:val="22"/>
        </w:rPr>
        <w:t>CYP</w:t>
      </w:r>
      <w:r w:rsidRPr="0047462D">
        <w:rPr>
          <w:bCs/>
          <w:i/>
          <w:sz w:val="22"/>
          <w:szCs w:val="22"/>
          <w:lang w:val="el-GR"/>
        </w:rPr>
        <w:t>3</w:t>
      </w:r>
      <w:r w:rsidRPr="0047462D">
        <w:rPr>
          <w:bCs/>
          <w:i/>
          <w:sz w:val="22"/>
          <w:szCs w:val="22"/>
        </w:rPr>
        <w:t>A</w:t>
      </w:r>
    </w:p>
    <w:p w14:paraId="5EB59699" w14:textId="77777777" w:rsidR="007972C4" w:rsidRPr="0047462D" w:rsidRDefault="007972C4" w:rsidP="009E50D2">
      <w:pPr>
        <w:pStyle w:val="labeltext"/>
        <w:keepNext/>
        <w:rPr>
          <w:rFonts w:eastAsia="Times New Roman"/>
          <w:i/>
          <w:sz w:val="22"/>
          <w:szCs w:val="22"/>
          <w:lang w:val="el-GR"/>
        </w:rPr>
      </w:pPr>
    </w:p>
    <w:p w14:paraId="78657A16" w14:textId="305730D0" w:rsidR="00A327CD" w:rsidRPr="0047462D" w:rsidRDefault="00A82966">
      <w:pPr>
        <w:pStyle w:val="labeltext"/>
        <w:rPr>
          <w:bCs/>
          <w:sz w:val="22"/>
          <w:szCs w:val="22"/>
          <w:lang w:val="el-GR"/>
        </w:rPr>
      </w:pPr>
      <w:r w:rsidRPr="0047462D">
        <w:rPr>
          <w:bCs/>
          <w:sz w:val="22"/>
          <w:szCs w:val="22"/>
          <w:lang w:val="el-GR"/>
        </w:rPr>
        <w:t xml:space="preserve">Η έκθεση στο ivacaftor, το tezacaftor και το elexacaftor αυξάνεται όταν συγχορηγούνται με ισχυρούς ή </w:t>
      </w:r>
      <w:r w:rsidR="00244F62" w:rsidRPr="0047462D">
        <w:rPr>
          <w:bCs/>
          <w:sz w:val="22"/>
          <w:szCs w:val="22"/>
          <w:lang w:val="el-GR"/>
        </w:rPr>
        <w:t>μέτριους</w:t>
      </w:r>
      <w:r w:rsidRPr="0047462D">
        <w:rPr>
          <w:bCs/>
          <w:sz w:val="22"/>
          <w:szCs w:val="22"/>
          <w:lang w:val="el-GR"/>
        </w:rPr>
        <w:t xml:space="preserve"> αναστολείς του CYP3A. </w:t>
      </w:r>
      <w:r w:rsidR="00A67D3A" w:rsidRPr="0047462D">
        <w:rPr>
          <w:bCs/>
          <w:sz w:val="22"/>
          <w:szCs w:val="22"/>
          <w:lang w:val="el-GR"/>
        </w:rPr>
        <w:t xml:space="preserve">Η δόση του </w:t>
      </w:r>
      <w:r w:rsidRPr="0047462D">
        <w:rPr>
          <w:bCs/>
          <w:sz w:val="22"/>
          <w:szCs w:val="22"/>
        </w:rPr>
        <w:t>ivacaftor</w:t>
      </w:r>
      <w:r w:rsidRPr="00F93ECE">
        <w:rPr>
          <w:bCs/>
          <w:sz w:val="22"/>
          <w:szCs w:val="22"/>
          <w:lang w:val="el-GR"/>
        </w:rPr>
        <w:t xml:space="preserve"> </w:t>
      </w:r>
      <w:r w:rsidR="004F4553" w:rsidRPr="0047462D">
        <w:rPr>
          <w:bCs/>
          <w:sz w:val="22"/>
          <w:szCs w:val="22"/>
          <w:lang w:val="el-GR"/>
        </w:rPr>
        <w:t>(</w:t>
      </w:r>
      <w:r w:rsidRPr="0047462D">
        <w:rPr>
          <w:bCs/>
          <w:sz w:val="22"/>
          <w:szCs w:val="22"/>
          <w:lang w:val="el-GR"/>
        </w:rPr>
        <w:t xml:space="preserve">ως </w:t>
      </w:r>
      <w:r w:rsidR="004F4553" w:rsidRPr="0047462D">
        <w:rPr>
          <w:bCs/>
          <w:sz w:val="22"/>
          <w:szCs w:val="22"/>
          <w:lang w:val="el-GR"/>
        </w:rPr>
        <w:t>μονοθεραπεία ή σε συνδυα</w:t>
      </w:r>
      <w:r w:rsidRPr="0047462D">
        <w:rPr>
          <w:bCs/>
          <w:sz w:val="22"/>
          <w:szCs w:val="22"/>
          <w:lang w:val="el-GR"/>
        </w:rPr>
        <w:t xml:space="preserve">στικό σχήμα </w:t>
      </w:r>
      <w:r w:rsidR="004F4553" w:rsidRPr="0047462D">
        <w:rPr>
          <w:bCs/>
          <w:sz w:val="22"/>
          <w:szCs w:val="22"/>
          <w:lang w:val="el-GR"/>
        </w:rPr>
        <w:t xml:space="preserve">με </w:t>
      </w:r>
      <w:r w:rsidR="004F4553" w:rsidRPr="0047462D">
        <w:rPr>
          <w:bCs/>
          <w:sz w:val="22"/>
          <w:szCs w:val="22"/>
        </w:rPr>
        <w:t>tezacaftor</w:t>
      </w:r>
      <w:r w:rsidR="004F4553" w:rsidRPr="0047462D">
        <w:rPr>
          <w:bCs/>
          <w:sz w:val="22"/>
          <w:szCs w:val="22"/>
          <w:lang w:val="el-GR"/>
        </w:rPr>
        <w:t>/</w:t>
      </w:r>
      <w:r w:rsidR="004F4553" w:rsidRPr="0047462D">
        <w:rPr>
          <w:bCs/>
          <w:sz w:val="22"/>
          <w:szCs w:val="22"/>
        </w:rPr>
        <w:t>ivacaftor</w:t>
      </w:r>
      <w:r w:rsidRPr="0047462D">
        <w:rPr>
          <w:bCs/>
          <w:sz w:val="22"/>
          <w:szCs w:val="22"/>
          <w:lang w:val="el-GR"/>
        </w:rPr>
        <w:t xml:space="preserve"> ή ivacaftor/tezacaftor/elexacaftor</w:t>
      </w:r>
      <w:r w:rsidR="004F4553" w:rsidRPr="0047462D">
        <w:rPr>
          <w:bCs/>
          <w:sz w:val="22"/>
          <w:szCs w:val="22"/>
          <w:lang w:val="el-GR"/>
        </w:rPr>
        <w:t xml:space="preserve">) </w:t>
      </w:r>
      <w:r w:rsidR="00A67D3A" w:rsidRPr="0047462D">
        <w:rPr>
          <w:bCs/>
          <w:sz w:val="22"/>
          <w:szCs w:val="22"/>
          <w:lang w:val="el-GR"/>
        </w:rPr>
        <w:t xml:space="preserve">πρέπει να προσαρμόζεται όταν συγχορηγείται με ισχυρούς ή </w:t>
      </w:r>
      <w:r w:rsidR="00CE7951" w:rsidRPr="0047462D">
        <w:rPr>
          <w:bCs/>
          <w:sz w:val="22"/>
          <w:szCs w:val="22"/>
          <w:lang w:val="el-GR"/>
        </w:rPr>
        <w:t>μέτριους</w:t>
      </w:r>
      <w:r w:rsidR="00A67D3A" w:rsidRPr="0047462D">
        <w:rPr>
          <w:bCs/>
          <w:sz w:val="22"/>
          <w:szCs w:val="22"/>
          <w:lang w:val="el-GR"/>
        </w:rPr>
        <w:t xml:space="preserve"> αναστολείς του </w:t>
      </w:r>
      <w:r w:rsidR="00A67D3A" w:rsidRPr="0047462D">
        <w:rPr>
          <w:bCs/>
          <w:sz w:val="22"/>
          <w:szCs w:val="22"/>
        </w:rPr>
        <w:t>CYP</w:t>
      </w:r>
      <w:r w:rsidR="00A67D3A" w:rsidRPr="0047462D">
        <w:rPr>
          <w:bCs/>
          <w:sz w:val="22"/>
          <w:szCs w:val="22"/>
          <w:lang w:val="el-GR"/>
        </w:rPr>
        <w:t>3</w:t>
      </w:r>
      <w:r w:rsidR="00A67D3A" w:rsidRPr="0047462D">
        <w:rPr>
          <w:bCs/>
          <w:sz w:val="22"/>
          <w:szCs w:val="22"/>
        </w:rPr>
        <w:t>A</w:t>
      </w:r>
      <w:r w:rsidR="00A67D3A" w:rsidRPr="0047462D">
        <w:rPr>
          <w:bCs/>
          <w:sz w:val="22"/>
          <w:szCs w:val="22"/>
          <w:lang w:val="el-GR"/>
        </w:rPr>
        <w:t xml:space="preserve"> </w:t>
      </w:r>
      <w:r w:rsidR="00A67D3A" w:rsidRPr="0047462D">
        <w:rPr>
          <w:rFonts w:eastAsia="Times New Roman"/>
          <w:sz w:val="22"/>
          <w:szCs w:val="22"/>
          <w:lang w:val="el-GR"/>
        </w:rPr>
        <w:t xml:space="preserve">(βλ. </w:t>
      </w:r>
      <w:r w:rsidR="006D2376" w:rsidRPr="0047462D">
        <w:rPr>
          <w:rFonts w:eastAsia="Times New Roman"/>
          <w:sz w:val="22"/>
          <w:szCs w:val="22"/>
          <w:lang w:val="el-GR"/>
        </w:rPr>
        <w:t xml:space="preserve">Πίνακα 2 και </w:t>
      </w:r>
      <w:r w:rsidR="007E1D84" w:rsidRPr="0047462D">
        <w:rPr>
          <w:rFonts w:eastAsia="Times New Roman"/>
          <w:sz w:val="22"/>
          <w:szCs w:val="22"/>
          <w:lang w:val="el-GR"/>
        </w:rPr>
        <w:t>παραγράφους</w:t>
      </w:r>
      <w:r w:rsidR="007E1D84" w:rsidRPr="0047462D">
        <w:rPr>
          <w:rFonts w:eastAsia="Times New Roman"/>
          <w:sz w:val="22"/>
          <w:szCs w:val="22"/>
          <w:lang w:val="en-GB"/>
        </w:rPr>
        <w:t> </w:t>
      </w:r>
      <w:r w:rsidR="00A67D3A" w:rsidRPr="0047462D">
        <w:rPr>
          <w:rFonts w:eastAsia="Times New Roman"/>
          <w:sz w:val="22"/>
          <w:szCs w:val="22"/>
          <w:lang w:val="el-GR"/>
        </w:rPr>
        <w:t>4.2</w:t>
      </w:r>
      <w:r w:rsidR="007E1D84" w:rsidRPr="0047462D">
        <w:rPr>
          <w:rFonts w:eastAsia="Times New Roman"/>
          <w:sz w:val="22"/>
          <w:szCs w:val="22"/>
          <w:lang w:val="el-GR"/>
        </w:rPr>
        <w:t xml:space="preserve"> και 4.5</w:t>
      </w:r>
      <w:r w:rsidR="00A67D3A" w:rsidRPr="0047462D">
        <w:rPr>
          <w:rFonts w:eastAsia="Times New Roman"/>
          <w:sz w:val="22"/>
          <w:szCs w:val="22"/>
          <w:lang w:val="el-GR"/>
        </w:rPr>
        <w:t>)</w:t>
      </w:r>
      <w:r w:rsidR="00A67D3A" w:rsidRPr="0047462D">
        <w:rPr>
          <w:bCs/>
          <w:sz w:val="22"/>
          <w:szCs w:val="22"/>
          <w:lang w:val="el-GR"/>
        </w:rPr>
        <w:t xml:space="preserve">. </w:t>
      </w:r>
    </w:p>
    <w:p w14:paraId="68099474" w14:textId="6264050D" w:rsidR="00A67D3A" w:rsidRPr="0047462D" w:rsidRDefault="00A67D3A">
      <w:pPr>
        <w:pStyle w:val="labeltext"/>
        <w:rPr>
          <w:sz w:val="22"/>
          <w:szCs w:val="22"/>
          <w:lang w:val="el-GR"/>
        </w:rPr>
      </w:pPr>
    </w:p>
    <w:p w14:paraId="44B91681" w14:textId="405C7690" w:rsidR="00477D65" w:rsidRPr="0047462D" w:rsidRDefault="00477D65" w:rsidP="00477D65">
      <w:pPr>
        <w:keepNext/>
        <w:rPr>
          <w:bCs/>
          <w:u w:val="single"/>
        </w:rPr>
      </w:pPr>
      <w:r w:rsidRPr="0047462D">
        <w:rPr>
          <w:bCs/>
          <w:u w:val="single"/>
        </w:rPr>
        <w:t>Παιδιατρικός πληθυσμός</w:t>
      </w:r>
    </w:p>
    <w:p w14:paraId="3222B863" w14:textId="77777777" w:rsidR="00477D65" w:rsidRPr="0047462D" w:rsidRDefault="00477D65">
      <w:pPr>
        <w:pStyle w:val="labeltext"/>
        <w:rPr>
          <w:sz w:val="22"/>
          <w:szCs w:val="22"/>
          <w:lang w:val="el-GR"/>
        </w:rPr>
      </w:pPr>
    </w:p>
    <w:p w14:paraId="5EB0121B" w14:textId="08FD98D4" w:rsidR="00A67D3A" w:rsidRPr="0047462D" w:rsidRDefault="00A67D3A" w:rsidP="00141E57">
      <w:pPr>
        <w:rPr>
          <w:rFonts w:eastAsia="Times New Roman"/>
          <w:szCs w:val="22"/>
        </w:rPr>
      </w:pPr>
      <w:r w:rsidRPr="0047462D">
        <w:rPr>
          <w:rFonts w:eastAsia="Times New Roman"/>
          <w:szCs w:val="22"/>
        </w:rPr>
        <w:t>Έχουν αναφερθεί περιπτώσεις μη συγγενών θολεροτήτων</w:t>
      </w:r>
      <w:r w:rsidR="00477D65" w:rsidRPr="00F93ECE">
        <w:rPr>
          <w:rFonts w:eastAsia="Times New Roman"/>
          <w:szCs w:val="22"/>
        </w:rPr>
        <w:t>/</w:t>
      </w:r>
      <w:r w:rsidR="00477D65" w:rsidRPr="0047462D">
        <w:rPr>
          <w:rFonts w:eastAsia="Times New Roman"/>
          <w:szCs w:val="22"/>
        </w:rPr>
        <w:t>καταρράκτη</w:t>
      </w:r>
      <w:r w:rsidRPr="0047462D">
        <w:rPr>
          <w:rFonts w:eastAsia="Times New Roman"/>
          <w:szCs w:val="22"/>
        </w:rPr>
        <w:t xml:space="preserve"> του φακού χωρίς επίπτωση στην όραση σε παιδιατρικούς ασθενείς που έλαβαν θεραπεία με</w:t>
      </w:r>
      <w:r w:rsidR="00477D65" w:rsidRPr="0047462D">
        <w:t xml:space="preserve"> </w:t>
      </w:r>
      <w:r w:rsidR="00477D65" w:rsidRPr="0047462D">
        <w:rPr>
          <w:rFonts w:eastAsia="Times New Roman"/>
          <w:szCs w:val="22"/>
        </w:rPr>
        <w:t xml:space="preserve">ivacaftor και με σχήματα που </w:t>
      </w:r>
      <w:r w:rsidR="0089239B" w:rsidRPr="0047462D">
        <w:rPr>
          <w:rFonts w:eastAsia="Times New Roman"/>
          <w:szCs w:val="22"/>
        </w:rPr>
        <w:t>περιείχαν</w:t>
      </w:r>
      <w:r w:rsidRPr="0047462D">
        <w:rPr>
          <w:rFonts w:eastAsia="Times New Roman"/>
          <w:szCs w:val="22"/>
        </w:rPr>
        <w:t xml:space="preserve"> ivacaftor. Αν και ήταν παρόντες άλλοι παράγοντες κινδύνου</w:t>
      </w:r>
      <w:r w:rsidRPr="0047462D">
        <w:t xml:space="preserve"> σε μερικές περιπτώσεις (όπως χρήση κορτικοστεροειδών και έκθεση σε ακτινοβολία), δεν μπορεί να αποκλειστεί πιθανός κίνδυνος που να αποδίδεται στ</w:t>
      </w:r>
      <w:r w:rsidR="00DD0CDA" w:rsidRPr="0047462D">
        <w:t>η θεραπεία</w:t>
      </w:r>
      <w:r w:rsidR="00594C7A" w:rsidRPr="0047462D">
        <w:t xml:space="preserve"> με το </w:t>
      </w:r>
      <w:r w:rsidR="00594C7A" w:rsidRPr="0047462D">
        <w:rPr>
          <w:rFonts w:eastAsia="Times New Roman"/>
          <w:szCs w:val="22"/>
        </w:rPr>
        <w:t>ivacaftor</w:t>
      </w:r>
      <w:r w:rsidRPr="0047462D">
        <w:t>. Συνιστώνται αρχικές και επαναληπτικές οφθαλμολογικές εξετάσεις σε παιδιατρικούς ασθενείς που ξεκινούν θεραπεία με ivacaftor</w:t>
      </w:r>
      <w:r w:rsidR="00DD0CDA" w:rsidRPr="0047462D">
        <w:t xml:space="preserve">, είτε ως μονοθεραπεία είτε σε συνδυαστικό σχήμα με tezacaftor/ivacaftor </w:t>
      </w:r>
      <w:r w:rsidR="00594C7A" w:rsidRPr="0047462D">
        <w:t xml:space="preserve">ή ivacaftor/tezacaftor/elexacaftor </w:t>
      </w:r>
      <w:r w:rsidR="00DD0CDA" w:rsidRPr="0047462D">
        <w:t>(βλ. παράγραφο</w:t>
      </w:r>
      <w:r w:rsidR="004C1466" w:rsidRPr="0047462D">
        <w:t> </w:t>
      </w:r>
      <w:r w:rsidR="00DD0CDA" w:rsidRPr="0047462D">
        <w:t>5.3)</w:t>
      </w:r>
      <w:r w:rsidRPr="0047462D">
        <w:t>.</w:t>
      </w:r>
    </w:p>
    <w:p w14:paraId="23B385C1" w14:textId="77777777" w:rsidR="00A67D3A" w:rsidRPr="0047462D" w:rsidRDefault="00A67D3A" w:rsidP="00141E57">
      <w:pPr>
        <w:rPr>
          <w:rFonts w:eastAsia="Times New Roman"/>
          <w:szCs w:val="22"/>
          <w:u w:val="single"/>
        </w:rPr>
      </w:pPr>
    </w:p>
    <w:p w14:paraId="391EFED3" w14:textId="2A616C77" w:rsidR="00A67D3A" w:rsidRPr="0047462D" w:rsidRDefault="004C1466" w:rsidP="002331FF">
      <w:pPr>
        <w:keepNext/>
        <w:rPr>
          <w:rFonts w:eastAsia="Times New Roman"/>
          <w:szCs w:val="22"/>
          <w:u w:val="single"/>
        </w:rPr>
      </w:pPr>
      <w:r w:rsidRPr="0047462D">
        <w:rPr>
          <w:rFonts w:eastAsia="Times New Roman"/>
          <w:szCs w:val="22"/>
          <w:u w:val="single"/>
        </w:rPr>
        <w:t>Περιεκτικότητα σε λακτόζη</w:t>
      </w:r>
    </w:p>
    <w:p w14:paraId="7522C9F4" w14:textId="77777777" w:rsidR="004C1466" w:rsidRPr="0047462D" w:rsidRDefault="004C1466" w:rsidP="002331FF">
      <w:pPr>
        <w:keepNext/>
        <w:rPr>
          <w:rFonts w:eastAsia="Times New Roman"/>
          <w:szCs w:val="22"/>
        </w:rPr>
      </w:pPr>
    </w:p>
    <w:p w14:paraId="52AA85A8" w14:textId="45D01369" w:rsidR="00A67D3A" w:rsidRPr="0047462D" w:rsidRDefault="00A67D3A">
      <w:pPr>
        <w:rPr>
          <w:szCs w:val="22"/>
          <w:lang w:eastAsia="en-US"/>
        </w:rPr>
      </w:pPr>
      <w:r w:rsidRPr="0047462D">
        <w:rPr>
          <w:rFonts w:eastAsia="Times New Roman"/>
          <w:szCs w:val="22"/>
        </w:rPr>
        <w:t xml:space="preserve">Το </w:t>
      </w:r>
      <w:r w:rsidR="000C6819" w:rsidRPr="0047462D">
        <w:rPr>
          <w:rFonts w:eastAsia="Times New Roman"/>
          <w:szCs w:val="22"/>
          <w:lang w:val="en-US"/>
        </w:rPr>
        <w:t>Kalydeco</w:t>
      </w:r>
      <w:r w:rsidR="00594C7A" w:rsidRPr="0047462D" w:rsidDel="00594C7A">
        <w:rPr>
          <w:rFonts w:eastAsia="Times New Roman"/>
          <w:szCs w:val="22"/>
        </w:rPr>
        <w:t xml:space="preserve"> </w:t>
      </w:r>
      <w:r w:rsidRPr="0047462D">
        <w:rPr>
          <w:rFonts w:eastAsia="Times New Roman"/>
          <w:szCs w:val="22"/>
        </w:rPr>
        <w:t xml:space="preserve">περιέχει λακτόζη. </w:t>
      </w:r>
      <w:r w:rsidR="006E0075" w:rsidRPr="0047462D">
        <w:rPr>
          <w:rFonts w:eastAsia="Times New Roman"/>
          <w:szCs w:val="22"/>
        </w:rPr>
        <w:t>Οι α</w:t>
      </w:r>
      <w:r w:rsidRPr="0047462D">
        <w:rPr>
          <w:rFonts w:eastAsia="Times New Roman"/>
          <w:szCs w:val="22"/>
        </w:rPr>
        <w:t xml:space="preserve">σθενείς με σπάνια κληρονομικά προβλήματα δυσανεξίας στη γαλακτόζη, </w:t>
      </w:r>
      <w:r w:rsidR="006E0075" w:rsidRPr="0047462D">
        <w:rPr>
          <w:rFonts w:eastAsia="Times New Roman"/>
          <w:szCs w:val="22"/>
        </w:rPr>
        <w:t xml:space="preserve">πλήρη </w:t>
      </w:r>
      <w:r w:rsidRPr="0047462D">
        <w:rPr>
          <w:rFonts w:eastAsia="Times New Roman"/>
          <w:szCs w:val="22"/>
        </w:rPr>
        <w:t xml:space="preserve">ανεπάρκεια λακτάσης ή </w:t>
      </w:r>
      <w:r w:rsidR="006E0075" w:rsidRPr="0047462D">
        <w:rPr>
          <w:rFonts w:eastAsia="Times New Roman"/>
          <w:szCs w:val="22"/>
        </w:rPr>
        <w:t xml:space="preserve">κακή </w:t>
      </w:r>
      <w:r w:rsidRPr="0047462D">
        <w:rPr>
          <w:rFonts w:eastAsia="Times New Roman"/>
          <w:szCs w:val="22"/>
        </w:rPr>
        <w:t>απορρόφηση γλυκόζης-γαλακτόζης δεν πρέπει να π</w:t>
      </w:r>
      <w:r w:rsidR="006E0075" w:rsidRPr="0047462D">
        <w:rPr>
          <w:rFonts w:eastAsia="Times New Roman"/>
          <w:szCs w:val="22"/>
        </w:rPr>
        <w:t>ά</w:t>
      </w:r>
      <w:r w:rsidRPr="0047462D">
        <w:rPr>
          <w:rFonts w:eastAsia="Times New Roman"/>
          <w:szCs w:val="22"/>
        </w:rPr>
        <w:t xml:space="preserve">ρουν αυτό το </w:t>
      </w:r>
      <w:r w:rsidR="006C07F7" w:rsidRPr="0047462D">
        <w:rPr>
          <w:rFonts w:eastAsia="Times New Roman"/>
          <w:szCs w:val="22"/>
        </w:rPr>
        <w:t>φάρμακο</w:t>
      </w:r>
      <w:r w:rsidRPr="0047462D">
        <w:rPr>
          <w:rFonts w:eastAsia="Times New Roman"/>
          <w:szCs w:val="22"/>
        </w:rPr>
        <w:t>.</w:t>
      </w:r>
    </w:p>
    <w:p w14:paraId="72D66D26" w14:textId="77777777" w:rsidR="00A67D3A" w:rsidRPr="0047462D" w:rsidRDefault="00A67D3A" w:rsidP="00141E57">
      <w:pPr>
        <w:rPr>
          <w:szCs w:val="22"/>
          <w:lang w:eastAsia="en-US"/>
        </w:rPr>
      </w:pPr>
    </w:p>
    <w:p w14:paraId="272632F5" w14:textId="38948736" w:rsidR="004F4553" w:rsidRPr="0047462D" w:rsidRDefault="004C1466" w:rsidP="004F4553">
      <w:pPr>
        <w:keepNext/>
        <w:rPr>
          <w:u w:val="single"/>
        </w:rPr>
      </w:pPr>
      <w:r w:rsidRPr="0047462D">
        <w:rPr>
          <w:u w:val="single"/>
        </w:rPr>
        <w:t>Περιεκτικότητα σε ν</w:t>
      </w:r>
      <w:r w:rsidR="004F4553" w:rsidRPr="0047462D">
        <w:rPr>
          <w:u w:val="single"/>
        </w:rPr>
        <w:t>άτριο</w:t>
      </w:r>
    </w:p>
    <w:p w14:paraId="7F7DA70F" w14:textId="77777777" w:rsidR="004C1466" w:rsidRPr="0047462D" w:rsidRDefault="004C1466" w:rsidP="004F4553">
      <w:pPr>
        <w:keepNext/>
        <w:rPr>
          <w:u w:val="single"/>
        </w:rPr>
      </w:pPr>
    </w:p>
    <w:p w14:paraId="127EE449" w14:textId="77777777" w:rsidR="004F4553" w:rsidRPr="0047462D" w:rsidRDefault="004F4553" w:rsidP="004F4553">
      <w:r w:rsidRPr="0047462D">
        <w:t>Το φάρμακο αυτό περιέχει λιγότερο από 1 mmol νατρίου (23 mg) ανά δόση, είναι αυτό που ονομάζουμε «ελεύθερο νατρίου».</w:t>
      </w:r>
    </w:p>
    <w:p w14:paraId="2908857C" w14:textId="77777777" w:rsidR="004F4553" w:rsidRPr="0047462D" w:rsidRDefault="004F4553" w:rsidP="00141E57">
      <w:pPr>
        <w:rPr>
          <w:szCs w:val="22"/>
          <w:lang w:eastAsia="en-US"/>
        </w:rPr>
      </w:pPr>
    </w:p>
    <w:p w14:paraId="46F5AC08"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4.5</w:t>
      </w:r>
      <w:r w:rsidRPr="0047462D">
        <w:rPr>
          <w:rFonts w:eastAsia="Times New Roman"/>
          <w:b/>
          <w:bCs/>
          <w:szCs w:val="22"/>
          <w:lang w:eastAsia="en-US"/>
        </w:rPr>
        <w:tab/>
      </w:r>
      <w:r w:rsidRPr="0047462D">
        <w:rPr>
          <w:rFonts w:eastAsia="Times New Roman"/>
          <w:b/>
          <w:bCs/>
          <w:szCs w:val="22"/>
        </w:rPr>
        <w:t>Αλληλεπιδράσεις με άλλα φαρμακευτικά προϊόντα και άλλες μορφές αλληλεπίδρασης</w:t>
      </w:r>
    </w:p>
    <w:p w14:paraId="59D57B68" w14:textId="77777777" w:rsidR="00A67D3A" w:rsidRPr="0047462D" w:rsidRDefault="00A67D3A" w:rsidP="00141E57">
      <w:pPr>
        <w:keepNext/>
        <w:rPr>
          <w:szCs w:val="22"/>
          <w:lang w:eastAsia="en-US"/>
        </w:rPr>
      </w:pPr>
    </w:p>
    <w:p w14:paraId="6DEC3013" w14:textId="12134097" w:rsidR="00A67D3A" w:rsidRPr="0047462D" w:rsidRDefault="00A67D3A">
      <w:pPr>
        <w:pStyle w:val="12"/>
        <w:rPr>
          <w:rFonts w:eastAsia="MS Mincho"/>
          <w:color w:val="000000"/>
          <w:sz w:val="22"/>
          <w:szCs w:val="22"/>
          <w:lang w:eastAsia="ja-JP"/>
        </w:rPr>
      </w:pPr>
      <w:r w:rsidRPr="0047462D">
        <w:rPr>
          <w:rFonts w:eastAsia="Times New Roman"/>
          <w:sz w:val="22"/>
          <w:szCs w:val="22"/>
        </w:rPr>
        <w:t xml:space="preserve">Το ivacaftor είναι ένα υπόστρωμα των CYP3A4 και CYP3A5. Είναι ένας ασθενής αναστολέας του CYP3A και της P-gp και ένας δυνητικός αναστολέας του CYP2C9. </w:t>
      </w:r>
      <w:r w:rsidR="000F4309" w:rsidRPr="0047462D">
        <w:rPr>
          <w:rFonts w:eastAsia="Times New Roman"/>
          <w:sz w:val="22"/>
          <w:szCs w:val="22"/>
        </w:rPr>
        <w:t xml:space="preserve">Μελέτες </w:t>
      </w:r>
      <w:r w:rsidR="000F4309" w:rsidRPr="0047462D">
        <w:rPr>
          <w:rFonts w:eastAsia="Times New Roman"/>
          <w:i/>
          <w:sz w:val="22"/>
          <w:szCs w:val="22"/>
          <w:lang w:val="en-US"/>
        </w:rPr>
        <w:t>i</w:t>
      </w:r>
      <w:r w:rsidR="000F4309" w:rsidRPr="0047462D">
        <w:rPr>
          <w:rFonts w:eastAsia="Times New Roman"/>
          <w:i/>
          <w:sz w:val="22"/>
          <w:szCs w:val="22"/>
        </w:rPr>
        <w:t>n vitro</w:t>
      </w:r>
      <w:r w:rsidR="000F4309" w:rsidRPr="0047462D">
        <w:rPr>
          <w:rFonts w:eastAsia="Times New Roman"/>
          <w:sz w:val="22"/>
          <w:szCs w:val="22"/>
        </w:rPr>
        <w:t xml:space="preserve"> έδειξαν ότι το ivacaftor δεν είναι υπόστρωμα της P</w:t>
      </w:r>
      <w:r w:rsidR="00BE4692" w:rsidRPr="0047462D">
        <w:rPr>
          <w:sz w:val="22"/>
          <w:szCs w:val="22"/>
        </w:rPr>
        <w:noBreakHyphen/>
      </w:r>
      <w:r w:rsidR="000F4309" w:rsidRPr="0047462D">
        <w:rPr>
          <w:rFonts w:eastAsia="Times New Roman"/>
          <w:sz w:val="22"/>
          <w:szCs w:val="22"/>
        </w:rPr>
        <w:t>gp.</w:t>
      </w:r>
    </w:p>
    <w:p w14:paraId="18FD4D4E" w14:textId="77777777" w:rsidR="00A67D3A" w:rsidRPr="0047462D" w:rsidRDefault="00A67D3A">
      <w:pPr>
        <w:pStyle w:val="12"/>
        <w:rPr>
          <w:rFonts w:eastAsia="MS Mincho"/>
          <w:color w:val="000000"/>
          <w:sz w:val="22"/>
          <w:szCs w:val="22"/>
          <w:lang w:eastAsia="ja-JP"/>
        </w:rPr>
      </w:pPr>
    </w:p>
    <w:p w14:paraId="488B5B50" w14:textId="6EBF8099" w:rsidR="00A67D3A" w:rsidRPr="0047462D" w:rsidRDefault="00A67D3A" w:rsidP="009A2EEC">
      <w:pPr>
        <w:pStyle w:val="labeltext"/>
        <w:keepNext/>
        <w:rPr>
          <w:sz w:val="22"/>
          <w:szCs w:val="22"/>
          <w:u w:val="single"/>
          <w:lang w:val="el-GR"/>
        </w:rPr>
      </w:pPr>
      <w:r w:rsidRPr="0047462D">
        <w:rPr>
          <w:rFonts w:eastAsia="Times New Roman"/>
          <w:iCs/>
          <w:sz w:val="22"/>
          <w:szCs w:val="22"/>
          <w:u w:val="single"/>
          <w:lang w:val="el-GR"/>
        </w:rPr>
        <w:t>Φαρμακευτικά προϊόντα που επηρεάζουν τη φαρμακοκινητική του ivacaftor</w:t>
      </w:r>
    </w:p>
    <w:p w14:paraId="253AEBD3" w14:textId="77777777" w:rsidR="00A67D3A" w:rsidRPr="0047462D" w:rsidRDefault="00A67D3A" w:rsidP="009A2EEC">
      <w:pPr>
        <w:pStyle w:val="labeltext"/>
        <w:keepNext/>
        <w:rPr>
          <w:sz w:val="22"/>
          <w:szCs w:val="22"/>
          <w:u w:val="single"/>
          <w:lang w:val="el-GR"/>
        </w:rPr>
      </w:pPr>
    </w:p>
    <w:p w14:paraId="6075B65F" w14:textId="775F6497" w:rsidR="008E7AAA" w:rsidRPr="0047462D" w:rsidRDefault="008E7AAA" w:rsidP="008E7AAA">
      <w:pPr>
        <w:pStyle w:val="12"/>
        <w:keepNext/>
        <w:rPr>
          <w:rFonts w:eastAsia="Times New Roman"/>
          <w:i/>
          <w:iCs/>
          <w:sz w:val="22"/>
          <w:szCs w:val="22"/>
        </w:rPr>
      </w:pPr>
      <w:r w:rsidRPr="0047462D">
        <w:rPr>
          <w:rFonts w:eastAsia="Times New Roman"/>
          <w:i/>
          <w:iCs/>
          <w:sz w:val="22"/>
          <w:szCs w:val="22"/>
        </w:rPr>
        <w:t>Επαγωγείς του CYP3A</w:t>
      </w:r>
    </w:p>
    <w:p w14:paraId="21A2DC1C" w14:textId="77777777" w:rsidR="007972C4" w:rsidRPr="0047462D" w:rsidRDefault="007972C4" w:rsidP="008E7AAA">
      <w:pPr>
        <w:pStyle w:val="12"/>
        <w:keepNext/>
        <w:rPr>
          <w:rFonts w:eastAsia="Times New Roman"/>
          <w:i/>
          <w:iCs/>
          <w:sz w:val="22"/>
          <w:szCs w:val="22"/>
        </w:rPr>
      </w:pPr>
    </w:p>
    <w:p w14:paraId="1EE2479C" w14:textId="5A85703F" w:rsidR="008E7AAA" w:rsidRPr="0047462D" w:rsidRDefault="008E7AAA" w:rsidP="008E7AAA">
      <w:pPr>
        <w:pStyle w:val="big"/>
        <w:spacing w:before="0" w:beforeAutospacing="0" w:after="0" w:afterAutospacing="0"/>
        <w:rPr>
          <w:sz w:val="22"/>
          <w:szCs w:val="22"/>
        </w:rPr>
      </w:pPr>
      <w:r w:rsidRPr="0047462D">
        <w:rPr>
          <w:sz w:val="22"/>
          <w:szCs w:val="22"/>
        </w:rPr>
        <w:t xml:space="preserve">Η συγχορήγηση του ivacaftor με ριφαμπικίνη, έναν ισχυρό επαγωγέα του CYP3A, μείωσε την έκθεση σε ivacaftor (AUC) </w:t>
      </w:r>
      <w:r w:rsidRPr="0047462D">
        <w:rPr>
          <w:kern w:val="1"/>
          <w:sz w:val="22"/>
          <w:szCs w:val="22"/>
        </w:rPr>
        <w:t xml:space="preserve">κατά 89% και μείωσε </w:t>
      </w:r>
      <w:r w:rsidR="00317600" w:rsidRPr="0047462D">
        <w:rPr>
          <w:kern w:val="1"/>
          <w:sz w:val="22"/>
          <w:szCs w:val="22"/>
        </w:rPr>
        <w:t>την έκθεση σ</w:t>
      </w:r>
      <w:r w:rsidR="0075307D" w:rsidRPr="0047462D">
        <w:rPr>
          <w:kern w:val="1"/>
          <w:sz w:val="22"/>
          <w:szCs w:val="22"/>
        </w:rPr>
        <w:t>το</w:t>
      </w:r>
      <w:r w:rsidRPr="0047462D">
        <w:rPr>
          <w:kern w:val="1"/>
          <w:sz w:val="22"/>
          <w:szCs w:val="22"/>
        </w:rPr>
        <w:t xml:space="preserve"> </w:t>
      </w:r>
      <w:r w:rsidR="005A5B1F" w:rsidRPr="0047462D">
        <w:rPr>
          <w:sz w:val="22"/>
          <w:szCs w:val="22"/>
        </w:rPr>
        <w:t>υδροξυμεθυλο-ivacaftor (</w:t>
      </w:r>
      <w:r w:rsidRPr="0047462D">
        <w:rPr>
          <w:kern w:val="1"/>
          <w:sz w:val="22"/>
          <w:szCs w:val="22"/>
        </w:rPr>
        <w:t>M1</w:t>
      </w:r>
      <w:r w:rsidR="005A5B1F" w:rsidRPr="0047462D">
        <w:rPr>
          <w:kern w:val="1"/>
          <w:sz w:val="22"/>
          <w:szCs w:val="22"/>
        </w:rPr>
        <w:t>)</w:t>
      </w:r>
      <w:r w:rsidRPr="0047462D">
        <w:rPr>
          <w:kern w:val="1"/>
          <w:sz w:val="22"/>
          <w:szCs w:val="22"/>
        </w:rPr>
        <w:t xml:space="preserve"> </w:t>
      </w:r>
      <w:r w:rsidRPr="0047462D">
        <w:rPr>
          <w:sz w:val="22"/>
          <w:szCs w:val="22"/>
        </w:rPr>
        <w:t>σε μικρότερο βαθμό από ό,τι</w:t>
      </w:r>
      <w:r w:rsidR="00FC56B1" w:rsidRPr="0047462D">
        <w:rPr>
          <w:sz w:val="22"/>
          <w:szCs w:val="22"/>
        </w:rPr>
        <w:t xml:space="preserve"> </w:t>
      </w:r>
      <w:r w:rsidRPr="0047462D">
        <w:rPr>
          <w:sz w:val="22"/>
          <w:szCs w:val="22"/>
        </w:rPr>
        <w:t>τ</w:t>
      </w:r>
      <w:r w:rsidR="00BF2254" w:rsidRPr="0047462D">
        <w:rPr>
          <w:sz w:val="22"/>
          <w:szCs w:val="22"/>
        </w:rPr>
        <w:t>ην έκθεση στο</w:t>
      </w:r>
      <w:r w:rsidRPr="0047462D">
        <w:rPr>
          <w:sz w:val="22"/>
          <w:szCs w:val="22"/>
        </w:rPr>
        <w:t xml:space="preserve"> ivacaftor</w:t>
      </w:r>
      <w:r w:rsidRPr="0047462D">
        <w:rPr>
          <w:kern w:val="1"/>
          <w:sz w:val="22"/>
          <w:szCs w:val="22"/>
        </w:rPr>
        <w:t xml:space="preserve">. Η συγχορήγηση </w:t>
      </w:r>
      <w:r w:rsidR="005A6445" w:rsidRPr="0047462D">
        <w:rPr>
          <w:bCs/>
          <w:sz w:val="22"/>
          <w:szCs w:val="22"/>
        </w:rPr>
        <w:t xml:space="preserve">του </w:t>
      </w:r>
      <w:r w:rsidR="00A20AEC" w:rsidRPr="0047462D">
        <w:rPr>
          <w:kern w:val="28"/>
          <w:sz w:val="22"/>
          <w:szCs w:val="22"/>
        </w:rPr>
        <w:t xml:space="preserve">ivacaftor </w:t>
      </w:r>
      <w:r w:rsidR="005A6445" w:rsidRPr="0047462D">
        <w:rPr>
          <w:bCs/>
          <w:sz w:val="22"/>
          <w:szCs w:val="22"/>
        </w:rPr>
        <w:t>(</w:t>
      </w:r>
      <w:r w:rsidR="005A6445" w:rsidRPr="0047462D">
        <w:rPr>
          <w:rFonts w:eastAsia="SimSun"/>
          <w:bCs/>
          <w:sz w:val="22"/>
          <w:szCs w:val="22"/>
        </w:rPr>
        <w:t xml:space="preserve">ως μονοθεραπεία </w:t>
      </w:r>
      <w:r w:rsidR="005A6445" w:rsidRPr="0047462D">
        <w:rPr>
          <w:bCs/>
          <w:sz w:val="22"/>
          <w:szCs w:val="22"/>
        </w:rPr>
        <w:t>ή</w:t>
      </w:r>
      <w:r w:rsidR="005A6445" w:rsidRPr="0047462D">
        <w:rPr>
          <w:rFonts w:eastAsia="SimSun"/>
          <w:bCs/>
          <w:sz w:val="22"/>
          <w:szCs w:val="22"/>
        </w:rPr>
        <w:t xml:space="preserve"> σε συνδυαστικό σχήμα με </w:t>
      </w:r>
      <w:r w:rsidR="005A6445" w:rsidRPr="0047462D">
        <w:rPr>
          <w:rFonts w:eastAsia="SimSun"/>
          <w:bCs/>
          <w:sz w:val="22"/>
          <w:szCs w:val="22"/>
          <w:lang w:val="en-US"/>
        </w:rPr>
        <w:t>tezacaftor</w:t>
      </w:r>
      <w:r w:rsidR="005A6445" w:rsidRPr="0047462D">
        <w:rPr>
          <w:rFonts w:eastAsia="SimSun"/>
          <w:bCs/>
          <w:sz w:val="22"/>
          <w:szCs w:val="22"/>
        </w:rPr>
        <w:t>/</w:t>
      </w:r>
      <w:r w:rsidR="005A6445" w:rsidRPr="0047462D">
        <w:rPr>
          <w:rFonts w:eastAsia="SimSun"/>
          <w:bCs/>
          <w:sz w:val="22"/>
          <w:szCs w:val="22"/>
          <w:lang w:val="en-US"/>
        </w:rPr>
        <w:t>ivacaftor</w:t>
      </w:r>
      <w:r w:rsidR="00A20AEC" w:rsidRPr="0047462D">
        <w:rPr>
          <w:rFonts w:eastAsia="SimSun"/>
          <w:bCs/>
          <w:sz w:val="22"/>
          <w:szCs w:val="22"/>
        </w:rPr>
        <w:t xml:space="preserve"> ή </w:t>
      </w:r>
      <w:r w:rsidR="00A20AEC" w:rsidRPr="0047462D">
        <w:rPr>
          <w:sz w:val="22"/>
          <w:szCs w:val="22"/>
        </w:rPr>
        <w:t>ivacaftor/tezacaftor/elexacaftor</w:t>
      </w:r>
      <w:r w:rsidR="005A6445" w:rsidRPr="0047462D">
        <w:rPr>
          <w:bCs/>
          <w:sz w:val="22"/>
          <w:szCs w:val="22"/>
        </w:rPr>
        <w:t xml:space="preserve">) </w:t>
      </w:r>
      <w:r w:rsidRPr="0047462D">
        <w:rPr>
          <w:kern w:val="1"/>
          <w:sz w:val="22"/>
          <w:szCs w:val="22"/>
        </w:rPr>
        <w:t xml:space="preserve">με ισχυρούς επαγωγείς του </w:t>
      </w:r>
      <w:r w:rsidRPr="0047462D">
        <w:rPr>
          <w:sz w:val="22"/>
          <w:szCs w:val="22"/>
        </w:rPr>
        <w:t xml:space="preserve">CYP3A, όπως η ριφαμπικίνη, η ριφαμπουτίνη, η φαινοβαρβιτάλη, η καρβαμαζεπίνη, η φαινυτοΐνη και το St. John’s </w:t>
      </w:r>
      <w:r w:rsidRPr="0047462D">
        <w:rPr>
          <w:sz w:val="22"/>
          <w:szCs w:val="22"/>
          <w:lang w:val="en-US"/>
        </w:rPr>
        <w:t>w</w:t>
      </w:r>
      <w:r w:rsidRPr="0047462D">
        <w:rPr>
          <w:sz w:val="22"/>
          <w:szCs w:val="22"/>
        </w:rPr>
        <w:t>ort (</w:t>
      </w:r>
      <w:r w:rsidRPr="0047462D">
        <w:rPr>
          <w:rStyle w:val="Emphasis"/>
          <w:sz w:val="22"/>
          <w:szCs w:val="22"/>
        </w:rPr>
        <w:t xml:space="preserve">Υπερικόν το διάτρητον, </w:t>
      </w:r>
      <w:r w:rsidRPr="0047462D">
        <w:rPr>
          <w:i/>
          <w:sz w:val="22"/>
          <w:szCs w:val="22"/>
        </w:rPr>
        <w:t>Hypericum perforatum</w:t>
      </w:r>
      <w:r w:rsidRPr="0047462D">
        <w:rPr>
          <w:sz w:val="22"/>
          <w:szCs w:val="22"/>
        </w:rPr>
        <w:t>), δεν συνιστάται (βλ. παράγραφο</w:t>
      </w:r>
      <w:r w:rsidRPr="0047462D">
        <w:rPr>
          <w:sz w:val="22"/>
          <w:szCs w:val="22"/>
          <w:lang w:val="en-GB"/>
        </w:rPr>
        <w:t> </w:t>
      </w:r>
      <w:r w:rsidRPr="0047462D">
        <w:rPr>
          <w:sz w:val="22"/>
          <w:szCs w:val="22"/>
        </w:rPr>
        <w:t xml:space="preserve">4.4). </w:t>
      </w:r>
    </w:p>
    <w:p w14:paraId="69E1F121" w14:textId="77777777" w:rsidR="008E7AAA" w:rsidRPr="0047462D" w:rsidRDefault="008E7AAA" w:rsidP="008E7AAA">
      <w:pPr>
        <w:pStyle w:val="big"/>
        <w:spacing w:before="0" w:beforeAutospacing="0" w:after="0" w:afterAutospacing="0"/>
        <w:rPr>
          <w:bCs/>
          <w:sz w:val="22"/>
          <w:szCs w:val="22"/>
        </w:rPr>
      </w:pPr>
    </w:p>
    <w:p w14:paraId="1BEC6771" w14:textId="4C2FF734" w:rsidR="005A6445" w:rsidRPr="0047462D" w:rsidRDefault="005A6445" w:rsidP="0044758E">
      <w:pPr>
        <w:pStyle w:val="12"/>
        <w:rPr>
          <w:bCs/>
          <w:sz w:val="22"/>
          <w:szCs w:val="22"/>
        </w:rPr>
      </w:pPr>
      <w:r w:rsidRPr="0047462D">
        <w:rPr>
          <w:bCs/>
          <w:sz w:val="22"/>
          <w:szCs w:val="22"/>
        </w:rPr>
        <w:t xml:space="preserve">Δεν συνιστάται προσαρμογή της δόσης όταν το </w:t>
      </w:r>
      <w:r w:rsidR="00A20AEC" w:rsidRPr="0047462D">
        <w:rPr>
          <w:sz w:val="22"/>
          <w:szCs w:val="22"/>
        </w:rPr>
        <w:t>ivacaftor</w:t>
      </w:r>
      <w:r w:rsidR="00A20AEC" w:rsidRPr="0047462D" w:rsidDel="00A20AEC">
        <w:rPr>
          <w:bCs/>
          <w:sz w:val="22"/>
          <w:szCs w:val="22"/>
        </w:rPr>
        <w:t xml:space="preserve"> </w:t>
      </w:r>
      <w:r w:rsidRPr="0047462D">
        <w:rPr>
          <w:bCs/>
          <w:sz w:val="22"/>
          <w:szCs w:val="22"/>
        </w:rPr>
        <w:t>(ως μονοθεραπεία ή σε συνδυαστικό σχήμα με tezacaftor/ivacaftor</w:t>
      </w:r>
      <w:r w:rsidR="00A20AEC" w:rsidRPr="0047462D">
        <w:rPr>
          <w:bCs/>
          <w:sz w:val="22"/>
          <w:szCs w:val="22"/>
        </w:rPr>
        <w:t xml:space="preserve"> </w:t>
      </w:r>
      <w:r w:rsidR="00A20AEC" w:rsidRPr="0047462D">
        <w:rPr>
          <w:sz w:val="22"/>
          <w:szCs w:val="22"/>
        </w:rPr>
        <w:t>ή ivacaftor/tezacaftor/elexacaftor</w:t>
      </w:r>
      <w:r w:rsidRPr="0047462D">
        <w:rPr>
          <w:bCs/>
          <w:sz w:val="22"/>
          <w:szCs w:val="22"/>
        </w:rPr>
        <w:t>) χρησιμοποιείται με μέτριους ή ασθενείς επαγωγείς του CYP3A.</w:t>
      </w:r>
    </w:p>
    <w:p w14:paraId="57491578" w14:textId="77777777" w:rsidR="0044758E" w:rsidRPr="0047462D" w:rsidRDefault="0044758E" w:rsidP="0044758E">
      <w:pPr>
        <w:pStyle w:val="12"/>
        <w:rPr>
          <w:sz w:val="22"/>
          <w:szCs w:val="22"/>
        </w:rPr>
      </w:pPr>
    </w:p>
    <w:p w14:paraId="29C97802" w14:textId="7FE2DD55" w:rsidR="00A67D3A" w:rsidRPr="0047462D" w:rsidRDefault="00A67D3A">
      <w:pPr>
        <w:pStyle w:val="labeltext"/>
        <w:keepNext/>
        <w:rPr>
          <w:rFonts w:eastAsia="Times New Roman"/>
          <w:i/>
          <w:iCs/>
          <w:sz w:val="22"/>
          <w:szCs w:val="22"/>
          <w:lang w:val="el-GR"/>
        </w:rPr>
      </w:pPr>
      <w:r w:rsidRPr="0047462D">
        <w:rPr>
          <w:rFonts w:eastAsia="Times New Roman"/>
          <w:i/>
          <w:iCs/>
          <w:sz w:val="22"/>
          <w:szCs w:val="22"/>
          <w:lang w:val="el-GR"/>
        </w:rPr>
        <w:t>Αναστολείς του CYP3A</w:t>
      </w:r>
    </w:p>
    <w:p w14:paraId="3D520ACD" w14:textId="77777777" w:rsidR="007972C4" w:rsidRPr="0047462D" w:rsidRDefault="007972C4">
      <w:pPr>
        <w:pStyle w:val="labeltext"/>
        <w:keepNext/>
        <w:rPr>
          <w:rFonts w:eastAsia="Times New Roman"/>
          <w:i/>
          <w:iCs/>
          <w:sz w:val="22"/>
          <w:szCs w:val="22"/>
          <w:lang w:val="el-GR"/>
        </w:rPr>
      </w:pPr>
    </w:p>
    <w:p w14:paraId="310DAF48" w14:textId="2A3C8237" w:rsidR="00A67D3A" w:rsidRPr="0047462D" w:rsidRDefault="00A67D3A">
      <w:pPr>
        <w:pStyle w:val="labeltext"/>
        <w:rPr>
          <w:rFonts w:eastAsia="Times New Roman"/>
          <w:sz w:val="22"/>
          <w:szCs w:val="22"/>
          <w:lang w:val="el-GR"/>
        </w:rPr>
      </w:pPr>
      <w:r w:rsidRPr="0047462D">
        <w:rPr>
          <w:rFonts w:eastAsia="Times New Roman"/>
          <w:sz w:val="22"/>
          <w:szCs w:val="22"/>
          <w:lang w:val="el-GR"/>
        </w:rPr>
        <w:t xml:space="preserve">Το </w:t>
      </w:r>
      <w:r w:rsidRPr="0047462D">
        <w:rPr>
          <w:rFonts w:eastAsia="Times New Roman"/>
          <w:sz w:val="22"/>
          <w:szCs w:val="22"/>
        </w:rPr>
        <w:t>i</w:t>
      </w:r>
      <w:r w:rsidRPr="0047462D">
        <w:rPr>
          <w:rFonts w:eastAsia="Times New Roman"/>
          <w:sz w:val="22"/>
          <w:szCs w:val="22"/>
          <w:lang w:val="el-GR"/>
        </w:rPr>
        <w:t>vacaftor είναι ένα ευαίσθητο υπόστρωμα του CYP3A. Η συγχορήγηση με κετοκοναζόλη, έναν ισχυρό αναστολέα του CYP3A, αύξησε την έκθεση σε ivacaftor (που μετριέται ως περιοχή υπό την καμπύλη [AUC]) κατά 8,5</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3C3E30" w:rsidRPr="0047462D">
        <w:rPr>
          <w:rFonts w:eastAsia="Times New Roman"/>
          <w:sz w:val="22"/>
          <w:szCs w:val="22"/>
          <w:lang w:val="el-GR"/>
        </w:rPr>
        <w:t>την έκθεση σ</w:t>
      </w:r>
      <w:r w:rsidR="00611D36" w:rsidRPr="0047462D">
        <w:rPr>
          <w:rFonts w:eastAsia="Times New Roman"/>
          <w:sz w:val="22"/>
          <w:szCs w:val="22"/>
          <w:lang w:val="el-GR"/>
        </w:rPr>
        <w:t>το</w:t>
      </w:r>
      <w:r w:rsidRPr="0047462D">
        <w:rPr>
          <w:rFonts w:eastAsia="Times New Roman"/>
          <w:sz w:val="22"/>
          <w:szCs w:val="22"/>
          <w:lang w:val="el-GR"/>
        </w:rPr>
        <w:t xml:space="preserve"> M1 σε μικρότερο βαθμό από ό,τι </w:t>
      </w:r>
      <w:r w:rsidR="00BF2254" w:rsidRPr="0047462D">
        <w:rPr>
          <w:rFonts w:eastAsia="Times New Roman"/>
          <w:sz w:val="22"/>
          <w:szCs w:val="22"/>
          <w:lang w:val="el-GR"/>
        </w:rPr>
        <w:t xml:space="preserve">την έκθεση στο </w:t>
      </w:r>
      <w:r w:rsidRPr="0047462D">
        <w:rPr>
          <w:rFonts w:eastAsia="Times New Roman"/>
          <w:sz w:val="22"/>
          <w:szCs w:val="22"/>
          <w:lang w:val="el-GR"/>
        </w:rPr>
        <w:t xml:space="preserve">ivacaftor. Συνιστάται μείωση της δόσης του </w:t>
      </w:r>
      <w:r w:rsidR="007314D0" w:rsidRPr="0047462D">
        <w:rPr>
          <w:sz w:val="22"/>
          <w:szCs w:val="22"/>
        </w:rPr>
        <w:t>ivacaftor</w:t>
      </w:r>
      <w:r w:rsidR="007314D0" w:rsidRPr="0047462D" w:rsidDel="007314D0">
        <w:rPr>
          <w:rFonts w:eastAsia="Times New Roman"/>
          <w:sz w:val="22"/>
          <w:szCs w:val="22"/>
          <w:lang w:val="el-GR"/>
        </w:rPr>
        <w:t xml:space="preserve"> </w:t>
      </w:r>
      <w:r w:rsidR="005A6445" w:rsidRPr="0047462D">
        <w:rPr>
          <w:rFonts w:eastAsia="Times New Roman"/>
          <w:sz w:val="22"/>
          <w:szCs w:val="22"/>
          <w:lang w:val="el-GR"/>
        </w:rPr>
        <w:t>(ως μονοθεραπεία ή σε συνδυαστικό σχήμα με tezacaftor/ivacaftor</w:t>
      </w:r>
      <w:r w:rsidR="007314D0" w:rsidRPr="0047462D">
        <w:rPr>
          <w:rFonts w:eastAsia="Times New Roman"/>
          <w:sz w:val="22"/>
          <w:szCs w:val="22"/>
          <w:lang w:val="el-GR"/>
        </w:rPr>
        <w:t xml:space="preserve"> </w:t>
      </w:r>
      <w:r w:rsidR="007314D0" w:rsidRPr="0047462D">
        <w:rPr>
          <w:sz w:val="22"/>
          <w:szCs w:val="22"/>
          <w:lang w:val="el-GR"/>
        </w:rPr>
        <w:t>ή</w:t>
      </w:r>
      <w:r w:rsidR="007314D0" w:rsidRPr="00F93ECE">
        <w:rPr>
          <w:sz w:val="22"/>
          <w:szCs w:val="22"/>
          <w:lang w:val="el-GR"/>
        </w:rPr>
        <w:t xml:space="preserve"> </w:t>
      </w:r>
      <w:r w:rsidR="007314D0" w:rsidRPr="0047462D">
        <w:rPr>
          <w:sz w:val="22"/>
          <w:szCs w:val="22"/>
          <w:lang w:val="en-GB"/>
        </w:rPr>
        <w:t>ivacaftor</w:t>
      </w:r>
      <w:r w:rsidR="007314D0" w:rsidRPr="00F93ECE">
        <w:rPr>
          <w:sz w:val="22"/>
          <w:szCs w:val="22"/>
          <w:lang w:val="el-GR"/>
        </w:rPr>
        <w:t>/</w:t>
      </w:r>
      <w:r w:rsidR="007314D0" w:rsidRPr="0047462D">
        <w:rPr>
          <w:sz w:val="22"/>
          <w:szCs w:val="22"/>
          <w:lang w:val="en-GB"/>
        </w:rPr>
        <w:t>tezacaftor</w:t>
      </w:r>
      <w:r w:rsidR="007314D0" w:rsidRPr="00F93ECE">
        <w:rPr>
          <w:sz w:val="22"/>
          <w:szCs w:val="22"/>
          <w:lang w:val="el-GR"/>
        </w:rPr>
        <w:t>/</w:t>
      </w:r>
      <w:r w:rsidR="007314D0" w:rsidRPr="0047462D">
        <w:rPr>
          <w:sz w:val="22"/>
          <w:szCs w:val="22"/>
          <w:lang w:val="en-GB"/>
        </w:rPr>
        <w:t>elexacaftor</w:t>
      </w:r>
      <w:r w:rsidR="005A6445" w:rsidRPr="0047462D">
        <w:rPr>
          <w:rFonts w:eastAsia="Times New Roman"/>
          <w:sz w:val="22"/>
          <w:szCs w:val="22"/>
          <w:lang w:val="el-GR"/>
        </w:rPr>
        <w:t xml:space="preserve">) </w:t>
      </w:r>
      <w:r w:rsidRPr="0047462D">
        <w:rPr>
          <w:rFonts w:eastAsia="Times New Roman"/>
          <w:sz w:val="22"/>
          <w:szCs w:val="22"/>
          <w:lang w:val="el-GR"/>
        </w:rPr>
        <w:t>για συγχορήγηση με ισχυρούς αναστολείς του CYP3A, όπως η κετοκοναζόλη, η ιτρακοναζόλη, η ποσακοναζόλη, η βορικοναζόλη, η τελιθρομυκίνη και η κλαριθρομυκίνη</w:t>
      </w:r>
      <w:r w:rsidR="006D5FA1" w:rsidRPr="0047462D">
        <w:rPr>
          <w:rFonts w:eastAsia="Times New Roman"/>
          <w:sz w:val="22"/>
          <w:szCs w:val="22"/>
          <w:lang w:val="el-GR"/>
        </w:rPr>
        <w:t xml:space="preserve"> (βλ. </w:t>
      </w:r>
      <w:r w:rsidR="0076571E">
        <w:rPr>
          <w:rFonts w:eastAsia="Times New Roman"/>
          <w:sz w:val="22"/>
          <w:szCs w:val="22"/>
          <w:lang w:val="el-GR"/>
        </w:rPr>
        <w:t xml:space="preserve">Πίνακα 2 και </w:t>
      </w:r>
      <w:r w:rsidR="006D5FA1" w:rsidRPr="0047462D">
        <w:rPr>
          <w:rFonts w:eastAsia="Times New Roman"/>
          <w:sz w:val="22"/>
          <w:szCs w:val="22"/>
          <w:lang w:val="el-GR"/>
        </w:rPr>
        <w:t>παραγράφους</w:t>
      </w:r>
      <w:r w:rsidR="006D5FA1" w:rsidRPr="0047462D">
        <w:rPr>
          <w:rFonts w:eastAsia="Times New Roman"/>
          <w:sz w:val="22"/>
          <w:szCs w:val="22"/>
          <w:lang w:val="en-GB"/>
        </w:rPr>
        <w:t> </w:t>
      </w:r>
      <w:r w:rsidR="006D5FA1" w:rsidRPr="0047462D">
        <w:rPr>
          <w:rFonts w:eastAsia="Times New Roman"/>
          <w:sz w:val="22"/>
          <w:szCs w:val="22"/>
          <w:lang w:val="el-GR"/>
        </w:rPr>
        <w:t>4.2 και 4.4)</w:t>
      </w:r>
      <w:r w:rsidRPr="0047462D">
        <w:rPr>
          <w:rFonts w:eastAsia="Times New Roman"/>
          <w:sz w:val="22"/>
          <w:szCs w:val="22"/>
          <w:lang w:val="el-GR"/>
        </w:rPr>
        <w:t>.</w:t>
      </w:r>
    </w:p>
    <w:p w14:paraId="750A2CBA" w14:textId="77777777" w:rsidR="00A67D3A" w:rsidRPr="0047462D" w:rsidRDefault="00A67D3A">
      <w:pPr>
        <w:pStyle w:val="labeltext"/>
        <w:rPr>
          <w:rFonts w:eastAsia="Times New Roman"/>
          <w:sz w:val="22"/>
          <w:szCs w:val="22"/>
          <w:lang w:val="el-GR"/>
        </w:rPr>
      </w:pPr>
    </w:p>
    <w:p w14:paraId="2262D807" w14:textId="321967F2" w:rsidR="00A67D3A" w:rsidRDefault="00A67D3A">
      <w:pPr>
        <w:pStyle w:val="labeltext"/>
        <w:rPr>
          <w:rFonts w:eastAsia="Times New Roman"/>
          <w:sz w:val="22"/>
          <w:szCs w:val="22"/>
          <w:lang w:val="el-GR"/>
        </w:rPr>
      </w:pPr>
      <w:r w:rsidRPr="0047462D">
        <w:rPr>
          <w:rFonts w:eastAsia="Times New Roman"/>
          <w:sz w:val="22"/>
          <w:szCs w:val="22"/>
          <w:lang w:val="el-GR"/>
        </w:rPr>
        <w:t xml:space="preserve">Η συγχορήγηση με φλουκοναζόλη, έναν </w:t>
      </w:r>
      <w:r w:rsidR="00B02A9F" w:rsidRPr="0047462D">
        <w:rPr>
          <w:rFonts w:eastAsia="Times New Roman"/>
          <w:sz w:val="22"/>
          <w:szCs w:val="22"/>
          <w:lang w:val="el-GR"/>
        </w:rPr>
        <w:t>μέτριο</w:t>
      </w:r>
      <w:r w:rsidRPr="0047462D">
        <w:rPr>
          <w:rFonts w:eastAsia="Times New Roman"/>
          <w:sz w:val="22"/>
          <w:szCs w:val="22"/>
          <w:lang w:val="el-GR"/>
        </w:rPr>
        <w:t xml:space="preserve"> αναστολέα του CYP3A, αύξησε την έκθεση σε ivacaftor κατά 3</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611D36" w:rsidRPr="0047462D">
        <w:rPr>
          <w:rFonts w:eastAsia="Times New Roman"/>
          <w:sz w:val="22"/>
          <w:szCs w:val="22"/>
          <w:lang w:val="el-GR"/>
        </w:rPr>
        <w:t>τ</w:t>
      </w:r>
      <w:r w:rsidR="00BF2254" w:rsidRPr="0047462D">
        <w:rPr>
          <w:rFonts w:eastAsia="Times New Roman"/>
          <w:sz w:val="22"/>
          <w:szCs w:val="22"/>
          <w:lang w:val="el-GR"/>
        </w:rPr>
        <w:t>ην έκθεση στ</w:t>
      </w:r>
      <w:r w:rsidR="00611D36" w:rsidRPr="0047462D">
        <w:rPr>
          <w:rFonts w:eastAsia="Times New Roman"/>
          <w:sz w:val="22"/>
          <w:szCs w:val="22"/>
          <w:lang w:val="el-GR"/>
        </w:rPr>
        <w:t>ο</w:t>
      </w:r>
      <w:r w:rsidRPr="0047462D">
        <w:rPr>
          <w:rFonts w:eastAsia="Times New Roman"/>
          <w:sz w:val="22"/>
          <w:szCs w:val="22"/>
          <w:lang w:val="el-GR"/>
        </w:rPr>
        <w:t xml:space="preserve"> M1 σε μικρότερο βαθμό από ό,τι </w:t>
      </w:r>
      <w:r w:rsidR="00BF2254" w:rsidRPr="0047462D">
        <w:rPr>
          <w:rFonts w:eastAsia="Times New Roman"/>
          <w:sz w:val="22"/>
          <w:szCs w:val="22"/>
          <w:lang w:val="el-GR"/>
        </w:rPr>
        <w:t>την έκθεση σ</w:t>
      </w:r>
      <w:r w:rsidRPr="0047462D">
        <w:rPr>
          <w:rFonts w:eastAsia="Times New Roman"/>
          <w:sz w:val="22"/>
          <w:szCs w:val="22"/>
          <w:lang w:val="el-GR"/>
        </w:rPr>
        <w:t xml:space="preserve">το ivacaftor. Συνιστάται μείωση της δόσης του </w:t>
      </w:r>
      <w:r w:rsidR="007314D0" w:rsidRPr="0047462D">
        <w:rPr>
          <w:sz w:val="22"/>
          <w:szCs w:val="22"/>
          <w:lang w:val="en-GB"/>
        </w:rPr>
        <w:t>ivacaftor</w:t>
      </w:r>
      <w:r w:rsidR="007314D0" w:rsidRPr="0047462D" w:rsidDel="007314D0">
        <w:rPr>
          <w:rFonts w:eastAsia="Times New Roman"/>
          <w:sz w:val="22"/>
          <w:szCs w:val="22"/>
          <w:lang w:val="el-GR"/>
        </w:rPr>
        <w:t xml:space="preserve"> </w:t>
      </w:r>
      <w:r w:rsidR="005A6445" w:rsidRPr="0047462D">
        <w:rPr>
          <w:rFonts w:eastAsia="Times New Roman"/>
          <w:sz w:val="22"/>
          <w:szCs w:val="22"/>
          <w:lang w:val="el-GR"/>
        </w:rPr>
        <w:t>(ως μονοθεραπεία ή σε συνδυαστικό σχήμα με tezacaftor/ivacaftor</w:t>
      </w:r>
      <w:r w:rsidR="00B8042B" w:rsidRPr="0047462D">
        <w:rPr>
          <w:rFonts w:eastAsia="Times New Roman"/>
          <w:sz w:val="22"/>
          <w:szCs w:val="22"/>
          <w:lang w:val="el-GR"/>
        </w:rPr>
        <w:t xml:space="preserve"> </w:t>
      </w:r>
      <w:r w:rsidR="00B8042B" w:rsidRPr="0047462D">
        <w:rPr>
          <w:sz w:val="22"/>
          <w:szCs w:val="22"/>
          <w:lang w:val="el-GR"/>
        </w:rPr>
        <w:t>ή</w:t>
      </w:r>
      <w:r w:rsidR="00B8042B" w:rsidRPr="00F93ECE">
        <w:rPr>
          <w:sz w:val="22"/>
          <w:szCs w:val="22"/>
          <w:lang w:val="el-GR"/>
        </w:rPr>
        <w:t xml:space="preserve"> </w:t>
      </w:r>
      <w:r w:rsidR="00B8042B" w:rsidRPr="0047462D">
        <w:rPr>
          <w:sz w:val="22"/>
          <w:szCs w:val="22"/>
          <w:lang w:val="en-GB"/>
        </w:rPr>
        <w:t>ivacaftor</w:t>
      </w:r>
      <w:r w:rsidR="00B8042B" w:rsidRPr="00F93ECE">
        <w:rPr>
          <w:sz w:val="22"/>
          <w:szCs w:val="22"/>
          <w:lang w:val="el-GR"/>
        </w:rPr>
        <w:t>/</w:t>
      </w:r>
      <w:r w:rsidR="00B8042B" w:rsidRPr="0047462D">
        <w:rPr>
          <w:sz w:val="22"/>
          <w:szCs w:val="22"/>
          <w:lang w:val="en-GB"/>
        </w:rPr>
        <w:t>tezacaftor</w:t>
      </w:r>
      <w:r w:rsidR="00B8042B" w:rsidRPr="00F93ECE">
        <w:rPr>
          <w:sz w:val="22"/>
          <w:szCs w:val="22"/>
          <w:lang w:val="el-GR"/>
        </w:rPr>
        <w:t>/</w:t>
      </w:r>
      <w:r w:rsidR="00B8042B" w:rsidRPr="0047462D">
        <w:rPr>
          <w:sz w:val="22"/>
          <w:szCs w:val="22"/>
          <w:lang w:val="en-GB"/>
        </w:rPr>
        <w:t>elexacaftor</w:t>
      </w:r>
      <w:r w:rsidR="005A6445" w:rsidRPr="0047462D">
        <w:rPr>
          <w:rFonts w:eastAsia="Times New Roman"/>
          <w:sz w:val="22"/>
          <w:szCs w:val="22"/>
          <w:lang w:val="el-GR"/>
        </w:rPr>
        <w:t xml:space="preserve">) </w:t>
      </w:r>
      <w:r w:rsidRPr="0047462D">
        <w:rPr>
          <w:rFonts w:eastAsia="Times New Roman"/>
          <w:sz w:val="22"/>
          <w:szCs w:val="22"/>
          <w:lang w:val="el-GR"/>
        </w:rPr>
        <w:t xml:space="preserve">για ασθενείς που λαμβάνουν ταυτόχρονα </w:t>
      </w:r>
      <w:r w:rsidR="00B02A9F" w:rsidRPr="0047462D">
        <w:rPr>
          <w:rFonts w:eastAsia="Times New Roman"/>
          <w:sz w:val="22"/>
          <w:szCs w:val="22"/>
          <w:lang w:val="el-GR"/>
        </w:rPr>
        <w:t>μέτριους</w:t>
      </w:r>
      <w:r w:rsidRPr="0047462D">
        <w:rPr>
          <w:rFonts w:eastAsia="Times New Roman"/>
          <w:sz w:val="22"/>
          <w:szCs w:val="22"/>
          <w:lang w:val="el-GR"/>
        </w:rPr>
        <w:t xml:space="preserve"> αναστολείς του CYP3A, όπως η φλουκοναζόλη</w:t>
      </w:r>
      <w:r w:rsidR="001F5843" w:rsidRPr="00F93ECE">
        <w:rPr>
          <w:rFonts w:eastAsia="Times New Roman"/>
          <w:sz w:val="22"/>
          <w:szCs w:val="22"/>
          <w:lang w:val="el-GR"/>
        </w:rPr>
        <w:t>,</w:t>
      </w:r>
      <w:r w:rsidRPr="0047462D">
        <w:rPr>
          <w:rFonts w:eastAsia="Times New Roman"/>
          <w:sz w:val="22"/>
          <w:szCs w:val="22"/>
          <w:lang w:val="el-GR"/>
        </w:rPr>
        <w:t xml:space="preserve"> η ερυθρομυκίνη</w:t>
      </w:r>
      <w:r w:rsidR="00B8042B" w:rsidRPr="0047462D">
        <w:rPr>
          <w:rFonts w:eastAsia="Times New Roman"/>
          <w:sz w:val="22"/>
          <w:szCs w:val="22"/>
          <w:lang w:val="el-GR"/>
        </w:rPr>
        <w:t xml:space="preserve"> και η βεραπαμίλη</w:t>
      </w:r>
      <w:r w:rsidR="006D5FA1" w:rsidRPr="0047462D">
        <w:rPr>
          <w:rFonts w:eastAsia="Times New Roman"/>
          <w:sz w:val="22"/>
          <w:szCs w:val="22"/>
          <w:lang w:val="el-GR"/>
        </w:rPr>
        <w:t xml:space="preserve"> (βλ. </w:t>
      </w:r>
      <w:r w:rsidR="0076571E">
        <w:rPr>
          <w:rFonts w:eastAsia="Times New Roman"/>
          <w:sz w:val="22"/>
          <w:szCs w:val="22"/>
          <w:lang w:val="el-GR"/>
        </w:rPr>
        <w:t xml:space="preserve">Πίνακα 2 και </w:t>
      </w:r>
      <w:r w:rsidR="006D5FA1" w:rsidRPr="0047462D">
        <w:rPr>
          <w:rFonts w:eastAsia="Times New Roman"/>
          <w:sz w:val="22"/>
          <w:szCs w:val="22"/>
          <w:lang w:val="el-GR"/>
        </w:rPr>
        <w:t>παραγράφους</w:t>
      </w:r>
      <w:r w:rsidR="006D5FA1" w:rsidRPr="0047462D">
        <w:rPr>
          <w:rFonts w:eastAsia="Times New Roman"/>
          <w:sz w:val="22"/>
          <w:szCs w:val="22"/>
          <w:lang w:val="en-GB"/>
        </w:rPr>
        <w:t> </w:t>
      </w:r>
      <w:r w:rsidR="006D5FA1" w:rsidRPr="0047462D">
        <w:rPr>
          <w:rFonts w:eastAsia="Times New Roman"/>
          <w:sz w:val="22"/>
          <w:szCs w:val="22"/>
          <w:lang w:val="el-GR"/>
        </w:rPr>
        <w:t>4.2 και 4.4)</w:t>
      </w:r>
      <w:r w:rsidRPr="0047462D">
        <w:rPr>
          <w:rFonts w:eastAsia="Times New Roman"/>
          <w:sz w:val="22"/>
          <w:szCs w:val="22"/>
          <w:lang w:val="el-GR"/>
        </w:rPr>
        <w:t xml:space="preserve">. </w:t>
      </w:r>
    </w:p>
    <w:p w14:paraId="3D778B62" w14:textId="77777777" w:rsidR="00973BAC" w:rsidRPr="0047462D" w:rsidRDefault="00973BAC">
      <w:pPr>
        <w:pStyle w:val="labeltext"/>
        <w:rPr>
          <w:sz w:val="22"/>
          <w:szCs w:val="22"/>
          <w:u w:val="single"/>
          <w:lang w:val="el-GR"/>
        </w:rPr>
      </w:pPr>
    </w:p>
    <w:p w14:paraId="1EB07AAD" w14:textId="43B564F1" w:rsidR="00A67D3A" w:rsidRPr="0047462D" w:rsidRDefault="00A67D3A">
      <w:pPr>
        <w:pStyle w:val="labeltext"/>
        <w:rPr>
          <w:sz w:val="22"/>
          <w:szCs w:val="22"/>
          <w:u w:val="single"/>
          <w:lang w:val="el-GR"/>
        </w:rPr>
      </w:pPr>
      <w:r w:rsidRPr="0047462D">
        <w:rPr>
          <w:rFonts w:eastAsia="Times New Roman"/>
          <w:sz w:val="22"/>
          <w:szCs w:val="22"/>
          <w:lang w:val="el-GR"/>
        </w:rPr>
        <w:t xml:space="preserve">Η συγχορήγηση του </w:t>
      </w:r>
      <w:r w:rsidRPr="0047462D">
        <w:rPr>
          <w:sz w:val="22"/>
          <w:szCs w:val="22"/>
          <w:lang w:val="en-GB"/>
        </w:rPr>
        <w:t>ivacaftor</w:t>
      </w:r>
      <w:r w:rsidRPr="0047462D">
        <w:rPr>
          <w:rFonts w:eastAsia="Times New Roman"/>
          <w:sz w:val="22"/>
          <w:szCs w:val="22"/>
          <w:lang w:val="el-GR"/>
        </w:rPr>
        <w:t xml:space="preserve"> με χυμό γκρέιπφρουτ, ο οποίος περιέχει ένα ή περισσότερα συστατικά που αναστέλλουν μετρίως το CYP3A, μπορεί να αυξήσει την έκθεση στο ivacaftor. Θα πρέπει να αποφεύγονται τροφές </w:t>
      </w:r>
      <w:r w:rsidR="00844946" w:rsidRPr="0047462D">
        <w:rPr>
          <w:rFonts w:eastAsia="Times New Roman"/>
          <w:sz w:val="22"/>
          <w:szCs w:val="22"/>
          <w:lang w:val="el-GR"/>
        </w:rPr>
        <w:t xml:space="preserve">ή ποτά </w:t>
      </w:r>
      <w:r w:rsidRPr="0047462D">
        <w:rPr>
          <w:rFonts w:eastAsia="Times New Roman"/>
          <w:sz w:val="22"/>
          <w:szCs w:val="22"/>
          <w:lang w:val="el-GR"/>
        </w:rPr>
        <w:t xml:space="preserve">που περιέχουν γκρέιπφρουτ κατά τη θεραπεία με </w:t>
      </w:r>
      <w:r w:rsidR="003173F9" w:rsidRPr="0047462D">
        <w:rPr>
          <w:sz w:val="22"/>
          <w:szCs w:val="22"/>
          <w:lang w:val="en-GB"/>
        </w:rPr>
        <w:t>ivacaftor</w:t>
      </w:r>
      <w:r w:rsidR="003173F9" w:rsidRPr="00F93ECE">
        <w:rPr>
          <w:sz w:val="22"/>
          <w:szCs w:val="22"/>
          <w:lang w:val="el-GR"/>
        </w:rPr>
        <w:t xml:space="preserve"> </w:t>
      </w:r>
      <w:r w:rsidR="006D5FA1" w:rsidRPr="0047462D">
        <w:rPr>
          <w:rFonts w:eastAsia="Times New Roman"/>
          <w:sz w:val="22"/>
          <w:szCs w:val="22"/>
          <w:lang w:val="el-GR"/>
        </w:rPr>
        <w:t>(</w:t>
      </w:r>
      <w:r w:rsidR="005A6445" w:rsidRPr="0047462D">
        <w:rPr>
          <w:rFonts w:eastAsia="Times New Roman"/>
          <w:sz w:val="22"/>
          <w:szCs w:val="22"/>
          <w:lang w:val="el-GR"/>
        </w:rPr>
        <w:t>ως μονοθεραπεία ή σε συνδυαστικό σχήμα με tezacaftor/ivacaftor</w:t>
      </w:r>
      <w:r w:rsidR="003173F9" w:rsidRPr="00F93ECE">
        <w:rPr>
          <w:rFonts w:eastAsia="Times New Roman"/>
          <w:sz w:val="22"/>
          <w:szCs w:val="22"/>
          <w:lang w:val="el-GR"/>
        </w:rPr>
        <w:t xml:space="preserve"> </w:t>
      </w:r>
      <w:r w:rsidR="003173F9" w:rsidRPr="0047462D">
        <w:rPr>
          <w:sz w:val="22"/>
          <w:szCs w:val="22"/>
          <w:lang w:val="el-GR"/>
        </w:rPr>
        <w:t>ή</w:t>
      </w:r>
      <w:r w:rsidR="003173F9" w:rsidRPr="00F93ECE">
        <w:rPr>
          <w:sz w:val="22"/>
          <w:szCs w:val="22"/>
          <w:lang w:val="el-GR"/>
        </w:rPr>
        <w:t xml:space="preserve"> </w:t>
      </w:r>
      <w:r w:rsidR="003173F9" w:rsidRPr="0047462D">
        <w:rPr>
          <w:sz w:val="22"/>
          <w:szCs w:val="22"/>
          <w:lang w:val="en-GB"/>
        </w:rPr>
        <w:t>ivacaftor</w:t>
      </w:r>
      <w:r w:rsidR="003173F9" w:rsidRPr="00F93ECE">
        <w:rPr>
          <w:sz w:val="22"/>
          <w:szCs w:val="22"/>
          <w:lang w:val="el-GR"/>
        </w:rPr>
        <w:t>/</w:t>
      </w:r>
      <w:r w:rsidR="003173F9" w:rsidRPr="0047462D">
        <w:rPr>
          <w:sz w:val="22"/>
          <w:szCs w:val="22"/>
          <w:lang w:val="en-GB"/>
        </w:rPr>
        <w:t>tezacaftor</w:t>
      </w:r>
      <w:r w:rsidR="003173F9" w:rsidRPr="00F93ECE">
        <w:rPr>
          <w:sz w:val="22"/>
          <w:szCs w:val="22"/>
          <w:lang w:val="el-GR"/>
        </w:rPr>
        <w:t>/</w:t>
      </w:r>
      <w:r w:rsidR="003173F9" w:rsidRPr="0047462D">
        <w:rPr>
          <w:sz w:val="22"/>
          <w:szCs w:val="22"/>
          <w:lang w:val="en-GB"/>
        </w:rPr>
        <w:t>elexacaftor</w:t>
      </w:r>
      <w:r w:rsidR="005A6445" w:rsidRPr="0047462D">
        <w:rPr>
          <w:rFonts w:eastAsia="Times New Roman"/>
          <w:sz w:val="22"/>
          <w:szCs w:val="22"/>
          <w:lang w:val="el-GR"/>
        </w:rPr>
        <w:t xml:space="preserve">, </w:t>
      </w:r>
      <w:r w:rsidR="006D5FA1" w:rsidRPr="0047462D">
        <w:rPr>
          <w:rFonts w:eastAsia="Times New Roman"/>
          <w:sz w:val="22"/>
          <w:szCs w:val="22"/>
          <w:lang w:val="el-GR"/>
        </w:rPr>
        <w:t>βλ. παράγραφο</w:t>
      </w:r>
      <w:r w:rsidR="006D5FA1" w:rsidRPr="0047462D">
        <w:rPr>
          <w:rFonts w:eastAsia="Times New Roman"/>
          <w:sz w:val="22"/>
          <w:szCs w:val="22"/>
          <w:lang w:val="en-GB"/>
        </w:rPr>
        <w:t> </w:t>
      </w:r>
      <w:r w:rsidR="006D5FA1" w:rsidRPr="0047462D">
        <w:rPr>
          <w:rFonts w:eastAsia="Times New Roman"/>
          <w:sz w:val="22"/>
          <w:szCs w:val="22"/>
          <w:lang w:val="el-GR"/>
        </w:rPr>
        <w:t>4.2)</w:t>
      </w:r>
      <w:r w:rsidRPr="0047462D">
        <w:rPr>
          <w:rFonts w:eastAsia="Times New Roman"/>
          <w:sz w:val="22"/>
          <w:szCs w:val="22"/>
          <w:lang w:val="el-GR"/>
        </w:rPr>
        <w:t>.</w:t>
      </w:r>
    </w:p>
    <w:p w14:paraId="735EF638" w14:textId="659E0D0A" w:rsidR="00A67D3A" w:rsidRPr="0047462D" w:rsidRDefault="00A67D3A">
      <w:pPr>
        <w:pStyle w:val="labeltext"/>
        <w:rPr>
          <w:sz w:val="22"/>
          <w:szCs w:val="22"/>
          <w:u w:val="single"/>
          <w:lang w:val="el-GR"/>
        </w:rPr>
      </w:pPr>
    </w:p>
    <w:p w14:paraId="5D0A4EEC" w14:textId="77777777" w:rsidR="00EC4BA5" w:rsidRPr="0047462D" w:rsidRDefault="00EC4BA5" w:rsidP="00EC4BA5">
      <w:pPr>
        <w:keepNext/>
        <w:rPr>
          <w:rFonts w:eastAsia="MS Mincho"/>
          <w:bCs/>
          <w:i/>
          <w:iCs/>
          <w:szCs w:val="22"/>
          <w:lang w:eastAsia="ja-JP"/>
        </w:rPr>
      </w:pPr>
      <w:r w:rsidRPr="0047462D">
        <w:rPr>
          <w:rFonts w:eastAsia="MS Mincho"/>
          <w:bCs/>
          <w:i/>
          <w:iCs/>
          <w:szCs w:val="22"/>
          <w:lang w:eastAsia="ja-JP"/>
        </w:rPr>
        <w:t>Πιθανότητα αλληλεπίδρασης του ivacaftor με μεταφορείς</w:t>
      </w:r>
    </w:p>
    <w:p w14:paraId="6F82A972" w14:textId="77777777" w:rsidR="00EC4BA5" w:rsidRPr="0047462D" w:rsidRDefault="00EC4BA5" w:rsidP="00EC4BA5">
      <w:pPr>
        <w:keepNext/>
        <w:rPr>
          <w:rFonts w:eastAsia="MS Mincho"/>
          <w:bCs/>
          <w:szCs w:val="22"/>
          <w:lang w:eastAsia="ja-JP"/>
        </w:rPr>
      </w:pPr>
    </w:p>
    <w:p w14:paraId="02AB61F8" w14:textId="6C7F0ED5" w:rsidR="00EC4BA5" w:rsidRPr="0047462D" w:rsidRDefault="00EC4BA5" w:rsidP="00EC4BA5">
      <w:pPr>
        <w:rPr>
          <w:rFonts w:eastAsia="MS Mincho"/>
          <w:bCs/>
          <w:szCs w:val="22"/>
          <w:lang w:eastAsia="ja-JP"/>
        </w:rPr>
      </w:pPr>
      <w:r w:rsidRPr="0047462D">
        <w:rPr>
          <w:rFonts w:eastAsia="MS Mincho"/>
          <w:bCs/>
          <w:szCs w:val="22"/>
          <w:lang w:eastAsia="ja-JP"/>
        </w:rPr>
        <w:t xml:space="preserve">Μελέτες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έδειξαν </w:t>
      </w:r>
      <w:r w:rsidRPr="0047462D">
        <w:rPr>
          <w:rFonts w:eastAsia="Times New Roman"/>
          <w:szCs w:val="22"/>
        </w:rPr>
        <w:t>ότι το ivacaftor δεν είναι υπόστρωμα</w:t>
      </w:r>
      <w:r w:rsidRPr="0047462D">
        <w:rPr>
          <w:rFonts w:eastAsia="MS Mincho"/>
          <w:bCs/>
          <w:szCs w:val="22"/>
          <w:lang w:eastAsia="ja-JP"/>
        </w:rPr>
        <w:t xml:space="preserve"> του OATP1B1 ή του OATP1B3. Το </w:t>
      </w:r>
      <w:r w:rsidRPr="0047462D">
        <w:rPr>
          <w:rFonts w:eastAsia="MS Mincho"/>
          <w:bCs/>
          <w:szCs w:val="22"/>
          <w:lang w:val="en-US" w:eastAsia="ja-JP"/>
        </w:rPr>
        <w:t>i</w:t>
      </w:r>
      <w:r w:rsidRPr="0047462D">
        <w:rPr>
          <w:rFonts w:eastAsia="MS Mincho"/>
          <w:bCs/>
          <w:szCs w:val="22"/>
          <w:lang w:eastAsia="ja-JP"/>
        </w:rPr>
        <w:t xml:space="preserve">vacaftor και οι μεταβολίτες του είναι υποστρώματα της BCRP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w:t>
      </w:r>
      <w:r w:rsidRPr="0047462D">
        <w:t>Λόγω της υψηλής ενδογενούς διαπερατότητάς του και της μικρής πιθανότητας να απεκκρίνεται άθικτο, η συγχορήγηση αναστολέων της BCRP δεν αναμένεται να μεταβάλει την έκθεση στο ivacaftor και τον M1</w:t>
      </w:r>
      <w:r w:rsidR="00002155" w:rsidRPr="0047462D">
        <w:noBreakHyphen/>
      </w:r>
      <w:r w:rsidRPr="0047462D">
        <w:t>IVA, ενώ τυχόν δυνητικές μεταβολές στις εκθέσεις στον M6</w:t>
      </w:r>
      <w:r w:rsidR="00002155" w:rsidRPr="0047462D">
        <w:noBreakHyphen/>
      </w:r>
      <w:r w:rsidRPr="0047462D">
        <w:t>IVA δεν αναμένεται να είναι κλινικά σημαντικές</w:t>
      </w:r>
      <w:r w:rsidRPr="0047462D">
        <w:rPr>
          <w:rFonts w:eastAsia="MS Mincho"/>
          <w:bCs/>
          <w:szCs w:val="22"/>
          <w:lang w:eastAsia="ja-JP"/>
        </w:rPr>
        <w:t>.</w:t>
      </w:r>
    </w:p>
    <w:p w14:paraId="7B6719E3" w14:textId="77777777" w:rsidR="00EC4BA5" w:rsidRPr="0047462D" w:rsidRDefault="00EC4BA5">
      <w:pPr>
        <w:pStyle w:val="labeltext"/>
        <w:rPr>
          <w:sz w:val="22"/>
          <w:szCs w:val="22"/>
          <w:u w:val="single"/>
          <w:lang w:val="el-GR"/>
        </w:rPr>
      </w:pPr>
    </w:p>
    <w:p w14:paraId="1D18A51A" w14:textId="0F753D4E" w:rsidR="00A67D3A" w:rsidRPr="0047462D" w:rsidRDefault="00A67D3A">
      <w:pPr>
        <w:pStyle w:val="12"/>
        <w:keepNext/>
        <w:rPr>
          <w:rFonts w:eastAsia="Times New Roman"/>
          <w:i/>
          <w:iCs/>
          <w:sz w:val="22"/>
          <w:szCs w:val="22"/>
        </w:rPr>
      </w:pPr>
      <w:r w:rsidRPr="0047462D">
        <w:rPr>
          <w:rFonts w:eastAsia="Times New Roman"/>
          <w:i/>
          <w:iCs/>
          <w:sz w:val="22"/>
          <w:szCs w:val="22"/>
        </w:rPr>
        <w:t>Σιπροφλοξασίνη</w:t>
      </w:r>
    </w:p>
    <w:p w14:paraId="1FBDA338" w14:textId="77777777" w:rsidR="007972C4" w:rsidRPr="0047462D" w:rsidRDefault="007972C4">
      <w:pPr>
        <w:pStyle w:val="12"/>
        <w:keepNext/>
        <w:rPr>
          <w:rFonts w:eastAsia="Times New Roman"/>
          <w:i/>
          <w:iCs/>
          <w:sz w:val="22"/>
          <w:szCs w:val="22"/>
        </w:rPr>
      </w:pPr>
    </w:p>
    <w:p w14:paraId="55829981" w14:textId="61716C43" w:rsidR="00A67D3A" w:rsidRPr="0047462D" w:rsidRDefault="00A67D3A">
      <w:pPr>
        <w:pStyle w:val="big"/>
        <w:spacing w:before="0" w:beforeAutospacing="0" w:after="0" w:afterAutospacing="0"/>
        <w:rPr>
          <w:bCs/>
          <w:sz w:val="22"/>
          <w:szCs w:val="22"/>
        </w:rPr>
      </w:pPr>
      <w:r w:rsidRPr="0047462D">
        <w:rPr>
          <w:sz w:val="22"/>
          <w:szCs w:val="22"/>
        </w:rPr>
        <w:t>Η συγχορήγηση της σιπροφλοξασίνης με ivacaftor δεν επηρέασε την έκθεση σε ivacaftor</w:t>
      </w:r>
      <w:r w:rsidRPr="0047462D">
        <w:rPr>
          <w:kern w:val="2"/>
          <w:sz w:val="22"/>
          <w:szCs w:val="22"/>
        </w:rPr>
        <w:t xml:space="preserve">. </w:t>
      </w:r>
      <w:r w:rsidRPr="0047462D">
        <w:rPr>
          <w:sz w:val="22"/>
          <w:szCs w:val="22"/>
        </w:rPr>
        <w:t xml:space="preserve">Δεν απαιτείται ρύθμιση της δόσης όταν το </w:t>
      </w:r>
      <w:r w:rsidR="00EC4BA5" w:rsidRPr="0047462D">
        <w:rPr>
          <w:sz w:val="22"/>
          <w:szCs w:val="22"/>
        </w:rPr>
        <w:t>ivacaftor</w:t>
      </w:r>
      <w:r w:rsidR="00EC4BA5" w:rsidRPr="0047462D" w:rsidDel="00EC4BA5">
        <w:rPr>
          <w:sz w:val="22"/>
          <w:szCs w:val="22"/>
        </w:rPr>
        <w:t xml:space="preserve"> </w:t>
      </w:r>
      <w:r w:rsidR="005A6445" w:rsidRPr="0047462D">
        <w:rPr>
          <w:sz w:val="22"/>
          <w:szCs w:val="22"/>
        </w:rPr>
        <w:t>(ως μονοθεραπεία ή σε συνδυαστικό σχήμα με tezacaftor/ivacaftor</w:t>
      </w:r>
      <w:r w:rsidR="00EC4BA5" w:rsidRPr="00F93ECE">
        <w:rPr>
          <w:sz w:val="22"/>
          <w:szCs w:val="22"/>
        </w:rPr>
        <w:t xml:space="preserve"> </w:t>
      </w:r>
      <w:r w:rsidR="00EC4BA5" w:rsidRPr="0047462D">
        <w:rPr>
          <w:sz w:val="22"/>
          <w:szCs w:val="22"/>
        </w:rPr>
        <w:t>ή ivacaftor/tezacaftor/elexacaftor</w:t>
      </w:r>
      <w:r w:rsidR="005A6445" w:rsidRPr="0047462D">
        <w:rPr>
          <w:sz w:val="22"/>
          <w:szCs w:val="22"/>
        </w:rPr>
        <w:t xml:space="preserve">) </w:t>
      </w:r>
      <w:r w:rsidRPr="0047462D">
        <w:rPr>
          <w:sz w:val="22"/>
          <w:szCs w:val="22"/>
        </w:rPr>
        <w:t>συγχορηγείται με σιπροφλοξασίνη.</w:t>
      </w:r>
    </w:p>
    <w:p w14:paraId="0E47D983" w14:textId="77777777" w:rsidR="00A67D3A" w:rsidRPr="0047462D" w:rsidRDefault="00A67D3A">
      <w:pPr>
        <w:pStyle w:val="12"/>
        <w:rPr>
          <w:sz w:val="22"/>
          <w:szCs w:val="22"/>
        </w:rPr>
      </w:pPr>
    </w:p>
    <w:p w14:paraId="75701C6D" w14:textId="5F5A9153" w:rsidR="00A67D3A" w:rsidRPr="00F93ECE" w:rsidRDefault="00A67D3A">
      <w:pPr>
        <w:pStyle w:val="labeltext"/>
        <w:keepNext/>
        <w:rPr>
          <w:szCs w:val="22"/>
          <w:u w:val="single"/>
          <w:lang w:val="el-GR" w:eastAsia="en-US"/>
        </w:rPr>
      </w:pPr>
      <w:r w:rsidRPr="0047462D">
        <w:rPr>
          <w:rFonts w:eastAsia="Times New Roman"/>
          <w:iCs/>
          <w:sz w:val="22"/>
          <w:szCs w:val="22"/>
          <w:u w:val="single"/>
          <w:lang w:val="el-GR"/>
        </w:rPr>
        <w:t>Φαρμακευτικά προϊόντα που επηρεάζονται από το ivacaftor</w:t>
      </w:r>
    </w:p>
    <w:p w14:paraId="68FF7762" w14:textId="77777777" w:rsidR="00A67D3A" w:rsidRPr="0047462D" w:rsidRDefault="00A67D3A" w:rsidP="00141E57">
      <w:pPr>
        <w:keepNext/>
        <w:rPr>
          <w:szCs w:val="22"/>
          <w:lang w:eastAsia="en-US"/>
        </w:rPr>
      </w:pPr>
    </w:p>
    <w:p w14:paraId="2B93D91F" w14:textId="66FECDF0" w:rsidR="00677D05" w:rsidRPr="0047462D" w:rsidRDefault="00677D05" w:rsidP="00677D05">
      <w:pPr>
        <w:pStyle w:val="CommentText"/>
        <w:rPr>
          <w:sz w:val="22"/>
          <w:szCs w:val="22"/>
        </w:rPr>
      </w:pPr>
      <w:r w:rsidRPr="0047462D">
        <w:rPr>
          <w:sz w:val="22"/>
          <w:szCs w:val="22"/>
        </w:rPr>
        <w:t>Η χορήγηση του ivacaftor μπορεί να αυξήσει τη συστηματική έκθεση σε φαρμακευτικά προϊόντα που είναι ευαίσθητα υποστρώματα του</w:t>
      </w:r>
      <w:r w:rsidR="0039554E" w:rsidRPr="0047462D">
        <w:rPr>
          <w:sz w:val="22"/>
          <w:szCs w:val="22"/>
        </w:rPr>
        <w:t xml:space="preserve"> CYP2C9</w:t>
      </w:r>
      <w:r w:rsidRPr="0047462D">
        <w:rPr>
          <w:sz w:val="22"/>
          <w:szCs w:val="22"/>
        </w:rPr>
        <w:t xml:space="preserve"> ή/και της P</w:t>
      </w:r>
      <w:r w:rsidRPr="0047462D">
        <w:rPr>
          <w:sz w:val="22"/>
          <w:szCs w:val="22"/>
        </w:rPr>
        <w:noBreakHyphen/>
        <w:t xml:space="preserve">gp ή/και του </w:t>
      </w:r>
      <w:r w:rsidR="0039554E" w:rsidRPr="0047462D">
        <w:rPr>
          <w:sz w:val="22"/>
          <w:szCs w:val="22"/>
        </w:rPr>
        <w:t>CYP3A</w:t>
      </w:r>
      <w:r w:rsidRPr="0047462D">
        <w:rPr>
          <w:sz w:val="22"/>
          <w:szCs w:val="22"/>
        </w:rPr>
        <w:t>, πράγμα που μπορεί να αυξήσει ή να παρατείνει τη θεραπευτική τους επίδραση και τις ανεπιθύμητες ενέργειές τους.</w:t>
      </w:r>
    </w:p>
    <w:p w14:paraId="61FD5107" w14:textId="77777777" w:rsidR="00677D05" w:rsidRPr="0047462D" w:rsidRDefault="00677D05" w:rsidP="00141E57">
      <w:pPr>
        <w:keepNext/>
        <w:rPr>
          <w:szCs w:val="22"/>
          <w:lang w:eastAsia="en-US"/>
        </w:rPr>
      </w:pPr>
    </w:p>
    <w:p w14:paraId="4E1A606B" w14:textId="492B5291" w:rsidR="005A6445" w:rsidRPr="0047462D" w:rsidRDefault="005A6445" w:rsidP="005A6445">
      <w:pPr>
        <w:keepNext/>
        <w:rPr>
          <w:i/>
          <w:iCs/>
          <w:szCs w:val="22"/>
        </w:rPr>
      </w:pPr>
      <w:r w:rsidRPr="0047462D">
        <w:rPr>
          <w:i/>
          <w:iCs/>
          <w:szCs w:val="22"/>
        </w:rPr>
        <w:t>Υποστρώματα του CYP2C9</w:t>
      </w:r>
    </w:p>
    <w:p w14:paraId="1E0B597F" w14:textId="77777777" w:rsidR="007972C4" w:rsidRPr="0047462D" w:rsidRDefault="007972C4" w:rsidP="005A6445">
      <w:pPr>
        <w:keepNext/>
        <w:rPr>
          <w:i/>
          <w:iCs/>
          <w:szCs w:val="22"/>
        </w:rPr>
      </w:pPr>
    </w:p>
    <w:p w14:paraId="64F1D1C5" w14:textId="57532F03" w:rsidR="005A6445" w:rsidRPr="0047462D" w:rsidRDefault="005A6445" w:rsidP="005A6445">
      <w:pPr>
        <w:autoSpaceDE w:val="0"/>
        <w:autoSpaceDN w:val="0"/>
        <w:adjustRightInd w:val="0"/>
        <w:rPr>
          <w:rFonts w:eastAsia="TimesNewRoman"/>
        </w:rPr>
      </w:pPr>
      <w:r w:rsidRPr="0047462D">
        <w:rPr>
          <w:szCs w:val="22"/>
        </w:rPr>
        <w:t xml:space="preserve">Το </w:t>
      </w:r>
      <w:r w:rsidRPr="0047462D">
        <w:rPr>
          <w:szCs w:val="22"/>
          <w:lang w:val="en-US"/>
        </w:rPr>
        <w:t>i</w:t>
      </w:r>
      <w:r w:rsidRPr="0047462D">
        <w:rPr>
          <w:szCs w:val="22"/>
        </w:rPr>
        <w:t xml:space="preserve">vacaftor μπορεί να αναστείλει το CYP2C9. Ως εκ τούτου, συνιστάται η παρακολούθηση του διεθνούς κανονικοποιημένου πηλίκου (INR) κατά τη συγχορήγηση της βαρφαρίνης με το </w:t>
      </w:r>
      <w:r w:rsidR="004279C4" w:rsidRPr="0047462D">
        <w:rPr>
          <w:szCs w:val="22"/>
        </w:rPr>
        <w:t xml:space="preserve">ivacaftor </w:t>
      </w:r>
      <w:r w:rsidRPr="0047462D">
        <w:rPr>
          <w:szCs w:val="22"/>
        </w:rPr>
        <w:t>(ως μονοθεραπεία ή σε συνδυαστικό σχήμα με tezacaftor/ivacaftor</w:t>
      </w:r>
      <w:r w:rsidR="004279C4" w:rsidRPr="0047462D">
        <w:rPr>
          <w:szCs w:val="22"/>
        </w:rPr>
        <w:t xml:space="preserve"> ή ivacaftor/tezacaftor/elexacaftor</w:t>
      </w:r>
      <w:r w:rsidRPr="0047462D">
        <w:rPr>
          <w:szCs w:val="22"/>
        </w:rPr>
        <w:t xml:space="preserve">). </w:t>
      </w:r>
      <w:r w:rsidRPr="0047462D">
        <w:t>Άλλα φαρμακευτικά προϊόντα για τα οποία μπορεί να αυξηθεί η έκθεση είναι η γλιµεπιρίδη και η γλιπιζίδη. Αυτά τα φαρμακευτικά προϊόντα πρέπει να χρησιμοποιούνται με προσοχή</w:t>
      </w:r>
      <w:r w:rsidRPr="0047462D">
        <w:rPr>
          <w:szCs w:val="22"/>
        </w:rPr>
        <w:t>.</w:t>
      </w:r>
    </w:p>
    <w:p w14:paraId="2C0957CC" w14:textId="77777777" w:rsidR="005A6445" w:rsidRPr="0047462D" w:rsidRDefault="005A6445" w:rsidP="005A6445">
      <w:pPr>
        <w:rPr>
          <w:szCs w:val="22"/>
          <w:lang w:eastAsia="en-US"/>
        </w:rPr>
      </w:pPr>
    </w:p>
    <w:p w14:paraId="7D79EFCB" w14:textId="3475284A" w:rsidR="005A6445" w:rsidRPr="0047462D" w:rsidRDefault="005A6445" w:rsidP="005A6445">
      <w:pPr>
        <w:keepNext/>
        <w:rPr>
          <w:i/>
          <w:iCs/>
          <w:szCs w:val="22"/>
        </w:rPr>
      </w:pPr>
      <w:r w:rsidRPr="0047462D">
        <w:rPr>
          <w:rFonts w:eastAsia="Times New Roman"/>
          <w:i/>
          <w:iCs/>
          <w:szCs w:val="22"/>
        </w:rPr>
        <w:t>Διγοξίνη</w:t>
      </w:r>
      <w:r w:rsidRPr="0047462D">
        <w:rPr>
          <w:i/>
          <w:iCs/>
          <w:szCs w:val="22"/>
        </w:rPr>
        <w:t xml:space="preserve"> και άλλα υποστρώματα της P</w:t>
      </w:r>
      <w:r w:rsidR="00677D05" w:rsidRPr="0047462D">
        <w:rPr>
          <w:i/>
          <w:iCs/>
        </w:rPr>
        <w:noBreakHyphen/>
      </w:r>
      <w:r w:rsidRPr="0047462D">
        <w:rPr>
          <w:i/>
          <w:iCs/>
          <w:szCs w:val="22"/>
        </w:rPr>
        <w:t>gp</w:t>
      </w:r>
    </w:p>
    <w:p w14:paraId="0D977FD8" w14:textId="77777777" w:rsidR="007972C4" w:rsidRPr="0047462D" w:rsidRDefault="007972C4" w:rsidP="005A6445">
      <w:pPr>
        <w:keepNext/>
        <w:rPr>
          <w:i/>
          <w:iCs/>
          <w:szCs w:val="22"/>
        </w:rPr>
      </w:pPr>
    </w:p>
    <w:p w14:paraId="49F131E9" w14:textId="2D3F7CC7" w:rsidR="00844946" w:rsidRPr="0047462D" w:rsidRDefault="005A6445" w:rsidP="00EB5A36">
      <w:pPr>
        <w:rPr>
          <w:rFonts w:eastAsia="Times New Roman"/>
          <w:szCs w:val="22"/>
        </w:rPr>
      </w:pPr>
      <w:r w:rsidRPr="0047462D">
        <w:rPr>
          <w:rFonts w:eastAsia="Times New Roman"/>
          <w:szCs w:val="22"/>
        </w:rPr>
        <w:t>Η συγχορήγηση με διγοξίνη, ένα ευαίσθητο υπόστρωμα της P</w:t>
      </w:r>
      <w:r w:rsidRPr="0047462D">
        <w:rPr>
          <w:rFonts w:eastAsia="Times New Roman"/>
          <w:szCs w:val="22"/>
        </w:rPr>
        <w:noBreakHyphen/>
        <w:t>gp, αύξησε την έκθεση σε διγοξίνη κατά 1,3 φορές, σε συμφωνία με ασθενή αναστολή της P</w:t>
      </w:r>
      <w:r w:rsidRPr="0047462D">
        <w:rPr>
          <w:rFonts w:eastAsia="Times New Roman"/>
          <w:szCs w:val="22"/>
        </w:rPr>
        <w:noBreakHyphen/>
        <w:t>gp από το ivacaftor.</w:t>
      </w:r>
      <w:r w:rsidRPr="0047462D">
        <w:rPr>
          <w:rFonts w:eastAsia="Times New Roman"/>
          <w:szCs w:val="22"/>
          <w:lang w:eastAsia="en-US"/>
        </w:rPr>
        <w:t xml:space="preserve"> </w:t>
      </w:r>
      <w:r w:rsidR="008D52BA" w:rsidRPr="0047462D">
        <w:rPr>
          <w:rFonts w:eastAsia="Times New Roman"/>
          <w:szCs w:val="22"/>
        </w:rPr>
        <w:t xml:space="preserve">Η χορήγηση του </w:t>
      </w:r>
      <w:r w:rsidR="004279C4" w:rsidRPr="0047462D">
        <w:rPr>
          <w:rFonts w:eastAsia="Times New Roman"/>
          <w:szCs w:val="22"/>
        </w:rPr>
        <w:t>ivacaftor</w:t>
      </w:r>
      <w:r w:rsidR="004279C4" w:rsidRPr="0047462D" w:rsidDel="004279C4">
        <w:rPr>
          <w:szCs w:val="22"/>
        </w:rPr>
        <w:t xml:space="preserve"> </w:t>
      </w:r>
      <w:r w:rsidR="00991AD3" w:rsidRPr="0047462D">
        <w:rPr>
          <w:szCs w:val="22"/>
        </w:rPr>
        <w:t>(ως μονοθεραπεία ή σε συνδυαστικό σχήμα με tezacaftor/ivacaftor</w:t>
      </w:r>
      <w:r w:rsidR="004279C4" w:rsidRPr="0047462D">
        <w:rPr>
          <w:szCs w:val="22"/>
        </w:rPr>
        <w:t xml:space="preserve"> ή ivacaftor/tezacaftor/elexacaftor</w:t>
      </w:r>
      <w:r w:rsidR="00991AD3" w:rsidRPr="0047462D">
        <w:rPr>
          <w:szCs w:val="22"/>
        </w:rPr>
        <w:t xml:space="preserve">) </w:t>
      </w:r>
      <w:r w:rsidR="008D52BA" w:rsidRPr="0047462D">
        <w:rPr>
          <w:rFonts w:eastAsia="Times New Roman"/>
          <w:szCs w:val="22"/>
        </w:rPr>
        <w:t xml:space="preserve">μπορεί να αυξήσει τη συστηματική έκθεση σε φαρμακευτικά προϊόντα που είναι ευαίσθητα υποστρώματα της </w:t>
      </w:r>
      <w:r w:rsidR="00844946" w:rsidRPr="0047462D">
        <w:rPr>
          <w:rFonts w:eastAsia="Times New Roman"/>
          <w:szCs w:val="22"/>
        </w:rPr>
        <w:t>P</w:t>
      </w:r>
      <w:r w:rsidR="00BE4692" w:rsidRPr="0047462D">
        <w:rPr>
          <w:szCs w:val="22"/>
        </w:rPr>
        <w:noBreakHyphen/>
      </w:r>
      <w:r w:rsidR="00844946" w:rsidRPr="0047462D">
        <w:rPr>
          <w:rFonts w:eastAsia="Times New Roman"/>
          <w:szCs w:val="22"/>
        </w:rPr>
        <w:t xml:space="preserve">gp, </w:t>
      </w:r>
      <w:r w:rsidR="008D52BA" w:rsidRPr="0047462D">
        <w:rPr>
          <w:rFonts w:eastAsia="Times New Roman"/>
          <w:szCs w:val="22"/>
        </w:rPr>
        <w:t>πράγμα που μπορεί να αυξήσει ή να παρατείνει τη θεραπευτική τους επίδραση και τις ανεπιθύμητες ενέργειές τους</w:t>
      </w:r>
      <w:r w:rsidR="00844946" w:rsidRPr="0047462D">
        <w:rPr>
          <w:rFonts w:eastAsia="Times New Roman"/>
          <w:szCs w:val="22"/>
        </w:rPr>
        <w:t>.</w:t>
      </w:r>
      <w:r w:rsidR="00991AD3" w:rsidRPr="0047462D">
        <w:rPr>
          <w:rFonts w:eastAsia="Times New Roman"/>
          <w:szCs w:val="22"/>
        </w:rPr>
        <w:t xml:space="preserve"> Απαιτείται προσοχή και κατάλληλη παρακολούθηση κατά τη συγχορήγηση με διγοξίνη ή άλλα υποστρώματα της P</w:t>
      </w:r>
      <w:r w:rsidR="00991AD3" w:rsidRPr="0047462D">
        <w:rPr>
          <w:rFonts w:eastAsia="Times New Roman"/>
          <w:szCs w:val="22"/>
        </w:rPr>
        <w:noBreakHyphen/>
        <w:t>gp με στενό θεραπευτικό δείκτη, όπως κυκλοσπορίνη, εβερόλιμους, σιρόλιμους ή τακρόλιμους.</w:t>
      </w:r>
      <w:r w:rsidR="00A67D3A" w:rsidRPr="0047462D">
        <w:rPr>
          <w:rFonts w:eastAsia="Times New Roman"/>
          <w:szCs w:val="22"/>
        </w:rPr>
        <w:t xml:space="preserve"> </w:t>
      </w:r>
    </w:p>
    <w:p w14:paraId="45149887" w14:textId="77777777" w:rsidR="00844946" w:rsidRPr="0047462D" w:rsidRDefault="00844946" w:rsidP="00141E57">
      <w:pPr>
        <w:rPr>
          <w:rFonts w:eastAsia="Times New Roman"/>
          <w:szCs w:val="22"/>
        </w:rPr>
      </w:pPr>
    </w:p>
    <w:p w14:paraId="422C4790" w14:textId="3BD478AB" w:rsidR="00844946" w:rsidRPr="0047462D" w:rsidRDefault="008D52BA" w:rsidP="009A2EEC">
      <w:pPr>
        <w:pStyle w:val="CommentText"/>
        <w:keepNext/>
        <w:rPr>
          <w:i/>
          <w:iCs/>
          <w:sz w:val="22"/>
          <w:szCs w:val="22"/>
        </w:rPr>
      </w:pPr>
      <w:r w:rsidRPr="0047462D">
        <w:rPr>
          <w:i/>
          <w:iCs/>
          <w:sz w:val="22"/>
          <w:szCs w:val="22"/>
        </w:rPr>
        <w:t xml:space="preserve">Υποστρώματα του </w:t>
      </w:r>
      <w:r w:rsidR="00844946" w:rsidRPr="0047462D">
        <w:rPr>
          <w:i/>
          <w:iCs/>
          <w:sz w:val="22"/>
          <w:szCs w:val="22"/>
        </w:rPr>
        <w:t>CYP3A</w:t>
      </w:r>
    </w:p>
    <w:p w14:paraId="710B36BD" w14:textId="77777777" w:rsidR="007972C4" w:rsidRPr="0047462D" w:rsidRDefault="007972C4" w:rsidP="009A2EEC">
      <w:pPr>
        <w:pStyle w:val="CommentText"/>
        <w:keepNext/>
        <w:rPr>
          <w:i/>
          <w:iCs/>
          <w:szCs w:val="22"/>
        </w:rPr>
      </w:pPr>
    </w:p>
    <w:p w14:paraId="37C234F5" w14:textId="3D15B15A" w:rsidR="008D52BA" w:rsidRPr="0047462D" w:rsidRDefault="00A67D3A" w:rsidP="00141E57">
      <w:pPr>
        <w:rPr>
          <w:rFonts w:eastAsia="Times New Roman"/>
          <w:szCs w:val="22"/>
          <w:lang w:eastAsia="en-US"/>
        </w:rPr>
      </w:pPr>
      <w:r w:rsidRPr="0047462D">
        <w:rPr>
          <w:rFonts w:eastAsia="Times New Roman"/>
          <w:szCs w:val="22"/>
        </w:rPr>
        <w:t>Η συγχορήγηση με (από στόματος) μιδαζολάμη, ένα ευαίσθητο υπόστρωμα του CYP3A, αύξησε την έκθεση σε μιδαζολάμη κατά 1,5 φορές, σε συμφωνία με ασθενή αναστολή του CYP3A από το ivacaftor.</w:t>
      </w:r>
      <w:r w:rsidRPr="0047462D">
        <w:rPr>
          <w:rFonts w:eastAsia="Times New Roman"/>
          <w:szCs w:val="22"/>
          <w:lang w:eastAsia="en-US"/>
        </w:rPr>
        <w:t xml:space="preserve"> </w:t>
      </w:r>
      <w:r w:rsidR="006A318D" w:rsidRPr="0047462D">
        <w:rPr>
          <w:rFonts w:eastAsia="Times New Roman"/>
          <w:szCs w:val="22"/>
        </w:rPr>
        <w:t>Δεν απαιτείται ρύθμιση της δόσης των υποστρωμάτων</w:t>
      </w:r>
      <w:r w:rsidR="008D52BA" w:rsidRPr="0047462D">
        <w:rPr>
          <w:rFonts w:eastAsia="Times New Roman"/>
          <w:szCs w:val="22"/>
        </w:rPr>
        <w:t xml:space="preserve"> του </w:t>
      </w:r>
      <w:r w:rsidR="008D52BA" w:rsidRPr="0047462D">
        <w:rPr>
          <w:szCs w:val="22"/>
        </w:rPr>
        <w:t xml:space="preserve">CYP3A, όπως </w:t>
      </w:r>
      <w:r w:rsidR="008D52BA" w:rsidRPr="0047462D">
        <w:rPr>
          <w:rFonts w:eastAsia="Times New Roman"/>
          <w:szCs w:val="22"/>
        </w:rPr>
        <w:t xml:space="preserve">μιδαζολάμη, αλπραζολάμη, διαζεπάμη ή τριαζολάμη, </w:t>
      </w:r>
      <w:r w:rsidR="00EB74B1" w:rsidRPr="0047462D">
        <w:rPr>
          <w:rFonts w:eastAsia="Times New Roman"/>
          <w:szCs w:val="22"/>
        </w:rPr>
        <w:t xml:space="preserve">όταν αυτά συγχορηγούνται με </w:t>
      </w:r>
      <w:r w:rsidR="008D52BA" w:rsidRPr="0047462D">
        <w:rPr>
          <w:rFonts w:eastAsia="Times New Roman"/>
          <w:szCs w:val="22"/>
        </w:rPr>
        <w:t xml:space="preserve">το </w:t>
      </w:r>
      <w:r w:rsidR="008D52BA" w:rsidRPr="0047462D">
        <w:rPr>
          <w:szCs w:val="22"/>
        </w:rPr>
        <w:t xml:space="preserve">ivacaftor </w:t>
      </w:r>
      <w:r w:rsidR="00EB74B1" w:rsidRPr="0047462D">
        <w:rPr>
          <w:szCs w:val="22"/>
        </w:rPr>
        <w:t xml:space="preserve">(ως μονοθεραπεία ή σε συνδυαστικό σχήμα </w:t>
      </w:r>
      <w:r w:rsidR="008D52BA" w:rsidRPr="0047462D">
        <w:rPr>
          <w:rFonts w:eastAsia="Times New Roman"/>
          <w:szCs w:val="22"/>
        </w:rPr>
        <w:t xml:space="preserve">με </w:t>
      </w:r>
      <w:r w:rsidR="00EB74B1" w:rsidRPr="0047462D">
        <w:rPr>
          <w:szCs w:val="22"/>
        </w:rPr>
        <w:t>tezacaftor/ivacaftor</w:t>
      </w:r>
      <w:r w:rsidR="004279C4" w:rsidRPr="0047462D">
        <w:rPr>
          <w:szCs w:val="22"/>
        </w:rPr>
        <w:t xml:space="preserve"> ή ivacaftor/tezacaftor/elexacaftor</w:t>
      </w:r>
      <w:r w:rsidR="00EB74B1" w:rsidRPr="0047462D">
        <w:rPr>
          <w:szCs w:val="22"/>
        </w:rPr>
        <w:t>)</w:t>
      </w:r>
      <w:r w:rsidR="008D52BA" w:rsidRPr="0047462D">
        <w:rPr>
          <w:rFonts w:eastAsia="Times New Roman"/>
          <w:szCs w:val="22"/>
        </w:rPr>
        <w:t>.</w:t>
      </w:r>
    </w:p>
    <w:p w14:paraId="30766615" w14:textId="77777777" w:rsidR="008D52BA" w:rsidRPr="0047462D" w:rsidRDefault="008D52BA" w:rsidP="00141E57">
      <w:pPr>
        <w:rPr>
          <w:rFonts w:eastAsia="Times New Roman"/>
          <w:szCs w:val="22"/>
        </w:rPr>
      </w:pPr>
    </w:p>
    <w:p w14:paraId="49370D9E" w14:textId="77777777" w:rsidR="00775539" w:rsidRPr="0047462D" w:rsidRDefault="00775539" w:rsidP="00EB5A36">
      <w:pPr>
        <w:keepNext/>
        <w:autoSpaceDE w:val="0"/>
        <w:autoSpaceDN w:val="0"/>
        <w:adjustRightInd w:val="0"/>
        <w:rPr>
          <w:i/>
        </w:rPr>
      </w:pPr>
      <w:r w:rsidRPr="0047462D">
        <w:rPr>
          <w:i/>
        </w:rPr>
        <w:t>Ορμονικά αντισυλληπτικά</w:t>
      </w:r>
    </w:p>
    <w:p w14:paraId="60124601" w14:textId="77777777" w:rsidR="0039554E" w:rsidRPr="0047462D" w:rsidRDefault="0039554E" w:rsidP="00EB5A36">
      <w:pPr>
        <w:keepNext/>
        <w:autoSpaceDE w:val="0"/>
        <w:autoSpaceDN w:val="0"/>
        <w:adjustRightInd w:val="0"/>
        <w:rPr>
          <w:u w:val="single"/>
        </w:rPr>
      </w:pPr>
    </w:p>
    <w:p w14:paraId="38148BE0" w14:textId="61111034" w:rsidR="00A67D3A" w:rsidRPr="0047462D" w:rsidRDefault="00A67D3A" w:rsidP="00141E57">
      <w:pPr>
        <w:rPr>
          <w:rFonts w:eastAsia="MS Mincho"/>
          <w:bCs/>
          <w:szCs w:val="22"/>
          <w:lang w:eastAsia="ja-JP"/>
        </w:rPr>
      </w:pPr>
      <w:r w:rsidRPr="0047462D">
        <w:rPr>
          <w:rFonts w:eastAsia="Times New Roman"/>
          <w:szCs w:val="22"/>
        </w:rPr>
        <w:t xml:space="preserve">Το ivacaftor </w:t>
      </w:r>
      <w:r w:rsidR="00991AD3" w:rsidRPr="0047462D">
        <w:rPr>
          <w:rFonts w:eastAsia="Times New Roman"/>
          <w:szCs w:val="22"/>
        </w:rPr>
        <w:t>(</w:t>
      </w:r>
      <w:r w:rsidR="00991AD3" w:rsidRPr="0047462D">
        <w:rPr>
          <w:szCs w:val="22"/>
        </w:rPr>
        <w:t xml:space="preserve">ως μονοθεραπεία ή σε συνδυαστικό σχήμα </w:t>
      </w:r>
      <w:r w:rsidR="00991AD3" w:rsidRPr="0047462D">
        <w:rPr>
          <w:rFonts w:eastAsia="Times New Roman"/>
          <w:szCs w:val="22"/>
        </w:rPr>
        <w:t xml:space="preserve">με </w:t>
      </w:r>
      <w:r w:rsidR="00991AD3" w:rsidRPr="0047462D">
        <w:rPr>
          <w:szCs w:val="22"/>
        </w:rPr>
        <w:t>tezacaftor/ivacaftor</w:t>
      </w:r>
      <w:r w:rsidR="004279C4" w:rsidRPr="00F93ECE">
        <w:rPr>
          <w:szCs w:val="22"/>
        </w:rPr>
        <w:t xml:space="preserve"> </w:t>
      </w:r>
      <w:r w:rsidR="004279C4" w:rsidRPr="0047462D">
        <w:rPr>
          <w:szCs w:val="22"/>
        </w:rPr>
        <w:t>ή ivacaftor/tezacaftor/elexacaftor</w:t>
      </w:r>
      <w:r w:rsidR="00991AD3" w:rsidRPr="0047462D">
        <w:rPr>
          <w:rFonts w:eastAsia="Times New Roman"/>
          <w:szCs w:val="22"/>
        </w:rPr>
        <w:t xml:space="preserve">) </w:t>
      </w:r>
      <w:r w:rsidRPr="0047462D">
        <w:rPr>
          <w:rFonts w:eastAsia="Times New Roman"/>
          <w:szCs w:val="22"/>
        </w:rPr>
        <w:t>έχει μελετηθεί με από στόματος αντισυλληπτικό οιστρογόνου/προγεστερόνης και βρέθηκε ότι δεν έχει σημαντική επίδραση στις εκθέσεις στο από στόματος αντισυλληπτικό. Ως εκ τούτου, δεν απαιτείται ρύθμιση της δόσης των από στόματος αντισυλληπτικών.</w:t>
      </w:r>
    </w:p>
    <w:p w14:paraId="0746DF5A" w14:textId="77777777" w:rsidR="00A67D3A" w:rsidRPr="0047462D" w:rsidRDefault="00A67D3A" w:rsidP="00141E57">
      <w:pPr>
        <w:rPr>
          <w:rFonts w:eastAsia="MS Mincho"/>
          <w:bCs/>
          <w:szCs w:val="22"/>
          <w:lang w:eastAsia="ja-JP"/>
        </w:rPr>
      </w:pPr>
    </w:p>
    <w:p w14:paraId="5479487D" w14:textId="77777777" w:rsidR="005D5499" w:rsidRPr="0047462D" w:rsidRDefault="00E749EF" w:rsidP="009E50D2">
      <w:pPr>
        <w:pStyle w:val="labeltext"/>
        <w:keepNext/>
        <w:rPr>
          <w:sz w:val="22"/>
          <w:szCs w:val="22"/>
          <w:u w:val="single"/>
          <w:lang w:val="el-GR"/>
        </w:rPr>
      </w:pPr>
      <w:r w:rsidRPr="0047462D">
        <w:rPr>
          <w:sz w:val="22"/>
          <w:szCs w:val="22"/>
          <w:u w:val="single"/>
          <w:lang w:val="el-GR"/>
        </w:rPr>
        <w:t>Παιδιατρικός πληθυσμός</w:t>
      </w:r>
    </w:p>
    <w:p w14:paraId="4BDEC138" w14:textId="77777777" w:rsidR="00670544" w:rsidRPr="0047462D" w:rsidRDefault="00670544" w:rsidP="00EB5A36">
      <w:pPr>
        <w:pStyle w:val="12"/>
        <w:keepNext/>
        <w:rPr>
          <w:sz w:val="22"/>
        </w:rPr>
      </w:pPr>
    </w:p>
    <w:p w14:paraId="3BA76B11" w14:textId="77777777" w:rsidR="00E749EF" w:rsidRPr="0047462D" w:rsidRDefault="00E749EF" w:rsidP="00E749EF">
      <w:pPr>
        <w:pStyle w:val="12"/>
        <w:rPr>
          <w:noProof/>
          <w:szCs w:val="22"/>
        </w:rPr>
      </w:pPr>
      <w:r w:rsidRPr="0047462D">
        <w:rPr>
          <w:sz w:val="22"/>
        </w:rPr>
        <w:t>Μελέτες αλληλεπιδράσεων έχουν πραγματοποιηθεί μόνο σε ενήλικες.</w:t>
      </w:r>
      <w:r w:rsidRPr="0047462D">
        <w:rPr>
          <w:noProof/>
          <w:szCs w:val="22"/>
        </w:rPr>
        <w:t xml:space="preserve"> </w:t>
      </w:r>
    </w:p>
    <w:p w14:paraId="20C35055" w14:textId="77777777" w:rsidR="00E749EF" w:rsidRPr="0047462D" w:rsidRDefault="00E749EF" w:rsidP="002331FF">
      <w:pPr>
        <w:pStyle w:val="labeltext"/>
        <w:rPr>
          <w:sz w:val="22"/>
          <w:szCs w:val="22"/>
          <w:u w:val="single"/>
          <w:lang w:val="el-GR"/>
        </w:rPr>
      </w:pPr>
    </w:p>
    <w:p w14:paraId="7FED8898" w14:textId="77777777" w:rsidR="00A67D3A" w:rsidRPr="0047462D" w:rsidRDefault="00A67D3A" w:rsidP="00141E57">
      <w:pPr>
        <w:keepNext/>
        <w:ind w:left="567" w:hanging="567"/>
        <w:rPr>
          <w:i/>
          <w:iCs/>
          <w:szCs w:val="22"/>
          <w:lang w:eastAsia="en-US"/>
        </w:rPr>
      </w:pPr>
      <w:r w:rsidRPr="0047462D">
        <w:rPr>
          <w:rFonts w:eastAsia="Times New Roman"/>
          <w:b/>
          <w:bCs/>
          <w:szCs w:val="22"/>
          <w:lang w:eastAsia="en-US"/>
        </w:rPr>
        <w:t>4.6</w:t>
      </w:r>
      <w:r w:rsidRPr="0047462D">
        <w:rPr>
          <w:rFonts w:eastAsia="Times New Roman"/>
          <w:b/>
          <w:bCs/>
          <w:szCs w:val="22"/>
          <w:lang w:eastAsia="en-US"/>
        </w:rPr>
        <w:tab/>
      </w:r>
      <w:r w:rsidRPr="0047462D">
        <w:rPr>
          <w:rFonts w:eastAsia="Times New Roman"/>
          <w:b/>
          <w:bCs/>
          <w:szCs w:val="22"/>
        </w:rPr>
        <w:t>Γονιμότητα, κύηση και γαλουχία</w:t>
      </w:r>
    </w:p>
    <w:p w14:paraId="569E2681" w14:textId="77777777" w:rsidR="00A67D3A" w:rsidRPr="0047462D" w:rsidRDefault="00A67D3A" w:rsidP="00141E57">
      <w:pPr>
        <w:keepNext/>
        <w:rPr>
          <w:i/>
          <w:iCs/>
          <w:szCs w:val="22"/>
          <w:lang w:eastAsia="en-US"/>
        </w:rPr>
      </w:pPr>
    </w:p>
    <w:p w14:paraId="0C38034D" w14:textId="77777777" w:rsidR="00A67D3A" w:rsidRPr="0047462D" w:rsidRDefault="008953AC" w:rsidP="00141E57">
      <w:pPr>
        <w:pStyle w:val="labeltext"/>
        <w:keepNext/>
        <w:rPr>
          <w:rFonts w:eastAsia="Times New Roman"/>
          <w:sz w:val="22"/>
          <w:szCs w:val="22"/>
          <w:u w:val="single"/>
          <w:lang w:val="el-GR"/>
        </w:rPr>
      </w:pPr>
      <w:r w:rsidRPr="0047462D">
        <w:rPr>
          <w:rFonts w:eastAsia="Times New Roman"/>
          <w:sz w:val="22"/>
          <w:szCs w:val="22"/>
          <w:u w:val="single"/>
          <w:lang w:val="el-GR"/>
        </w:rPr>
        <w:t>Κύηση</w:t>
      </w:r>
    </w:p>
    <w:p w14:paraId="5BE34BAE" w14:textId="77777777" w:rsidR="00392A59" w:rsidRPr="0047462D" w:rsidRDefault="00392A59" w:rsidP="00141E57">
      <w:pPr>
        <w:pStyle w:val="labeltext"/>
        <w:keepNext/>
        <w:rPr>
          <w:rFonts w:eastAsia="Times New Roman"/>
          <w:sz w:val="22"/>
          <w:szCs w:val="22"/>
          <w:lang w:val="el-GR"/>
        </w:rPr>
      </w:pPr>
    </w:p>
    <w:p w14:paraId="39DB4095" w14:textId="4D5406CF" w:rsidR="00A67D3A" w:rsidRPr="0047462D" w:rsidRDefault="00A9171F" w:rsidP="002331FF">
      <w:pPr>
        <w:pStyle w:val="labeltext"/>
        <w:rPr>
          <w:szCs w:val="22"/>
          <w:lang w:val="el-GR" w:eastAsia="en-US"/>
        </w:rPr>
      </w:pPr>
      <w:r w:rsidRPr="0047462D">
        <w:rPr>
          <w:sz w:val="22"/>
          <w:lang w:val="el-GR"/>
        </w:rPr>
        <w:t xml:space="preserve">Δεν διατίθενται ή είναι περιορισμένα τα δεδομένα (περιπτώσεις έκβασης εγκυμοσύνης λιγότερες από 300) από την χρήση του </w:t>
      </w:r>
      <w:r w:rsidRPr="0047462D">
        <w:rPr>
          <w:rFonts w:eastAsia="Times New Roman"/>
          <w:sz w:val="22"/>
          <w:szCs w:val="22"/>
          <w:lang w:val="el-GR"/>
        </w:rPr>
        <w:t>ivacaftor</w:t>
      </w:r>
      <w:r w:rsidRPr="0047462D">
        <w:rPr>
          <w:sz w:val="22"/>
          <w:lang w:val="el-GR"/>
        </w:rPr>
        <w:t xml:space="preserve"> στις έγκυες γυναίκες.</w:t>
      </w:r>
      <w:r w:rsidRPr="0047462D">
        <w:rPr>
          <w:rFonts w:eastAsia="Times New Roman"/>
          <w:sz w:val="22"/>
          <w:szCs w:val="22"/>
          <w:lang w:val="el-GR"/>
        </w:rPr>
        <w:t xml:space="preserve"> </w:t>
      </w:r>
      <w:r w:rsidR="002508A3" w:rsidRPr="0047462D">
        <w:rPr>
          <w:sz w:val="22"/>
          <w:lang w:val="el-GR"/>
        </w:rPr>
        <w:t>Μελέτες σε ζώα δεν κατέδειξαν άμεση ή έμμεση τοξικότητα στην αναπαραγωγική ικανότητα (βλέπε</w:t>
      </w:r>
      <w:r w:rsidR="00C246B6" w:rsidRPr="0047462D">
        <w:rPr>
          <w:sz w:val="22"/>
          <w:lang w:val="el-GR"/>
        </w:rPr>
        <w:t xml:space="preserve"> παράγραφο</w:t>
      </w:r>
      <w:r w:rsidR="002508A3" w:rsidRPr="0047462D">
        <w:rPr>
          <w:sz w:val="22"/>
          <w:lang w:val="el-GR"/>
        </w:rPr>
        <w:t xml:space="preserve"> 5.3). </w:t>
      </w:r>
      <w:r w:rsidR="006E5CE1" w:rsidRPr="0047462D">
        <w:rPr>
          <w:sz w:val="22"/>
          <w:szCs w:val="22"/>
          <w:lang w:val="el-GR"/>
        </w:rPr>
        <w:t xml:space="preserve">Σαν προληπτικό μέτρο, </w:t>
      </w:r>
      <w:r w:rsidR="002508A3" w:rsidRPr="0047462D">
        <w:rPr>
          <w:sz w:val="22"/>
          <w:szCs w:val="22"/>
          <w:lang w:val="el-GR"/>
        </w:rPr>
        <w:t xml:space="preserve">είναι προτιμητέο </w:t>
      </w:r>
      <w:r w:rsidR="006E5CE1" w:rsidRPr="0047462D">
        <w:rPr>
          <w:sz w:val="22"/>
          <w:szCs w:val="22"/>
          <w:lang w:val="el-GR"/>
        </w:rPr>
        <w:t xml:space="preserve">να αποφεύγεται η χρήση του </w:t>
      </w:r>
      <w:r w:rsidR="004279C4" w:rsidRPr="0047462D">
        <w:rPr>
          <w:sz w:val="22"/>
          <w:szCs w:val="22"/>
          <w:lang w:val="en-GB"/>
        </w:rPr>
        <w:t>ivacaftor</w:t>
      </w:r>
      <w:r w:rsidR="004279C4" w:rsidRPr="00F93ECE">
        <w:rPr>
          <w:sz w:val="22"/>
          <w:szCs w:val="22"/>
          <w:lang w:val="el-GR"/>
        </w:rPr>
        <w:t xml:space="preserve"> </w:t>
      </w:r>
      <w:r w:rsidR="006E5CE1" w:rsidRPr="0047462D">
        <w:rPr>
          <w:sz w:val="22"/>
          <w:szCs w:val="22"/>
          <w:lang w:val="el-GR"/>
        </w:rPr>
        <w:t>κατά τη διάρκεια της εγκυμοσύνης.</w:t>
      </w:r>
    </w:p>
    <w:p w14:paraId="2B495CF6" w14:textId="77777777" w:rsidR="00A67D3A" w:rsidRPr="0047462D" w:rsidRDefault="00A67D3A" w:rsidP="00141E57">
      <w:pPr>
        <w:rPr>
          <w:szCs w:val="22"/>
          <w:lang w:eastAsia="en-US"/>
        </w:rPr>
      </w:pPr>
    </w:p>
    <w:p w14:paraId="38801220" w14:textId="77777777" w:rsidR="00A67D3A" w:rsidRPr="0047462D" w:rsidRDefault="00A67D3A" w:rsidP="00141E57">
      <w:pPr>
        <w:keepNext/>
        <w:rPr>
          <w:rFonts w:eastAsia="Times New Roman"/>
          <w:szCs w:val="22"/>
          <w:u w:val="single"/>
        </w:rPr>
      </w:pPr>
      <w:r w:rsidRPr="0047462D">
        <w:rPr>
          <w:rFonts w:eastAsia="Times New Roman"/>
          <w:szCs w:val="22"/>
          <w:u w:val="single"/>
        </w:rPr>
        <w:t>Θηλασμός</w:t>
      </w:r>
    </w:p>
    <w:p w14:paraId="2444176A" w14:textId="77777777" w:rsidR="00392A59" w:rsidRPr="0047462D" w:rsidRDefault="00392A59" w:rsidP="00141E57">
      <w:pPr>
        <w:keepNext/>
        <w:rPr>
          <w:rFonts w:eastAsia="Times New Roman"/>
          <w:szCs w:val="22"/>
        </w:rPr>
      </w:pPr>
    </w:p>
    <w:p w14:paraId="6343036A" w14:textId="2B95FF1A" w:rsidR="00A67D3A" w:rsidRPr="0047462D" w:rsidRDefault="00A67D3A" w:rsidP="002331FF">
      <w:pPr>
        <w:pStyle w:val="labeltext"/>
        <w:rPr>
          <w:szCs w:val="22"/>
          <w:lang w:val="el-GR"/>
        </w:rPr>
      </w:pPr>
      <w:r w:rsidRPr="0047462D">
        <w:rPr>
          <w:rFonts w:eastAsia="Times New Roman"/>
          <w:sz w:val="22"/>
          <w:szCs w:val="22"/>
          <w:lang w:val="el-GR"/>
        </w:rPr>
        <w:t>Δεν είναι γνωστό εάν το ivacaftor ή</w:t>
      </w:r>
      <w:r w:rsidR="00242CEB" w:rsidRPr="0047462D">
        <w:rPr>
          <w:rFonts w:eastAsia="Times New Roman"/>
          <w:sz w:val="22"/>
          <w:szCs w:val="22"/>
          <w:lang w:val="el-GR"/>
        </w:rPr>
        <w:t>/</w:t>
      </w:r>
      <w:r w:rsidRPr="0047462D">
        <w:rPr>
          <w:rFonts w:eastAsia="Times New Roman"/>
          <w:sz w:val="22"/>
          <w:szCs w:val="22"/>
          <w:lang w:val="el-GR"/>
        </w:rPr>
        <w:t xml:space="preserve">και οι μεταβολίτες του </w:t>
      </w:r>
      <w:r w:rsidRPr="0047462D">
        <w:rPr>
          <w:sz w:val="22"/>
          <w:szCs w:val="22"/>
          <w:lang w:val="el-GR"/>
        </w:rPr>
        <w:t>απ</w:t>
      </w:r>
      <w:r w:rsidRPr="0047462D">
        <w:rPr>
          <w:rFonts w:eastAsia="Times New Roman"/>
          <w:sz w:val="22"/>
          <w:szCs w:val="22"/>
          <w:lang w:val="el-GR"/>
        </w:rPr>
        <w:t xml:space="preserve">εκκρίνονται στο ανθρώπινο γάλα. </w:t>
      </w:r>
      <w:r w:rsidR="00EB1CF3" w:rsidRPr="0047462D">
        <w:rPr>
          <w:sz w:val="22"/>
          <w:lang w:val="el-GR"/>
        </w:rPr>
        <w:t xml:space="preserve">Τα διαθέσιμα φαρμακοκινητικά δεδομένα σε ζώα έδειξαν απέκκριση του </w:t>
      </w:r>
      <w:r w:rsidR="00EB1CF3" w:rsidRPr="0047462D">
        <w:rPr>
          <w:rFonts w:eastAsia="Times New Roman"/>
          <w:sz w:val="22"/>
          <w:szCs w:val="22"/>
          <w:lang w:val="el-GR"/>
        </w:rPr>
        <w:t>ivacaftor</w:t>
      </w:r>
      <w:r w:rsidR="00EB1CF3" w:rsidRPr="0047462D">
        <w:rPr>
          <w:sz w:val="22"/>
          <w:lang w:val="el-GR"/>
        </w:rPr>
        <w:t xml:space="preserve"> </w:t>
      </w:r>
      <w:r w:rsidRPr="0047462D">
        <w:rPr>
          <w:rFonts w:eastAsia="Times New Roman"/>
          <w:sz w:val="22"/>
          <w:szCs w:val="22"/>
          <w:lang w:val="el-GR"/>
        </w:rPr>
        <w:t xml:space="preserve">στο γάλα θηλαζουσών θηλυκών επίμυων. </w:t>
      </w:r>
      <w:r w:rsidR="00EB1CF3" w:rsidRPr="0047462D">
        <w:rPr>
          <w:rFonts w:eastAsia="Times New Roman"/>
          <w:sz w:val="22"/>
          <w:szCs w:val="22"/>
          <w:lang w:val="el-GR"/>
        </w:rPr>
        <w:t xml:space="preserve">Έτσι, </w:t>
      </w:r>
      <w:r w:rsidR="00EB1CF3" w:rsidRPr="0047462D">
        <w:rPr>
          <w:sz w:val="22"/>
          <w:lang w:val="el-GR"/>
        </w:rPr>
        <w:t xml:space="preserve">ο κίνδυνος στα νεογέννητα/βρέφη δεν μπορεί να αποκλειστεί. </w:t>
      </w:r>
      <w:r w:rsidR="00EB1CF3" w:rsidRPr="0047462D">
        <w:rPr>
          <w:noProof/>
          <w:sz w:val="22"/>
          <w:lang w:val="el-GR"/>
        </w:rPr>
        <w:t>Πρέπει να αποφασιστεί εάν θα διακοπεί ο θηλασμός ή θα διακοπεί/θα αποφευχθεί η θεραπεία</w:t>
      </w:r>
      <w:r w:rsidR="007A3A47" w:rsidRPr="0047462D">
        <w:rPr>
          <w:noProof/>
          <w:sz w:val="22"/>
          <w:lang w:val="el-GR"/>
        </w:rPr>
        <w:t xml:space="preserve"> με </w:t>
      </w:r>
      <w:r w:rsidR="004279C4" w:rsidRPr="0047462D">
        <w:rPr>
          <w:sz w:val="22"/>
          <w:szCs w:val="22"/>
          <w:lang w:val="en-GB"/>
        </w:rPr>
        <w:t>ivacaftor</w:t>
      </w:r>
      <w:r w:rsidR="00EB1CF3" w:rsidRPr="0047462D">
        <w:rPr>
          <w:noProof/>
          <w:sz w:val="22"/>
          <w:lang w:val="el-GR"/>
        </w:rPr>
        <w:t xml:space="preserve">, λαμβάνοντας υπόψη το όφελος του θηλασμού για το παιδί και το όφελος της θεραπείας για τη </w:t>
      </w:r>
      <w:r w:rsidR="007A3A47" w:rsidRPr="0047462D">
        <w:rPr>
          <w:noProof/>
          <w:sz w:val="22"/>
          <w:lang w:val="el-GR"/>
        </w:rPr>
        <w:t>γυναίκα</w:t>
      </w:r>
      <w:r w:rsidR="00EB1CF3" w:rsidRPr="0047462D">
        <w:rPr>
          <w:noProof/>
          <w:sz w:val="22"/>
          <w:lang w:val="el-GR"/>
        </w:rPr>
        <w:t>.</w:t>
      </w:r>
    </w:p>
    <w:p w14:paraId="1CE6E568" w14:textId="77777777" w:rsidR="00A67D3A" w:rsidRPr="0047462D" w:rsidRDefault="00A67D3A">
      <w:pPr>
        <w:pStyle w:val="1"/>
        <w:tabs>
          <w:tab w:val="left" w:pos="0"/>
        </w:tabs>
        <w:spacing w:after="0"/>
        <w:ind w:left="0"/>
        <w:rPr>
          <w:szCs w:val="22"/>
        </w:rPr>
      </w:pPr>
    </w:p>
    <w:p w14:paraId="60FB8FD6" w14:textId="77777777" w:rsidR="00A67D3A" w:rsidRPr="0047462D" w:rsidRDefault="00A67D3A" w:rsidP="00141E57">
      <w:pPr>
        <w:pStyle w:val="1"/>
        <w:keepNext/>
        <w:tabs>
          <w:tab w:val="left" w:pos="0"/>
        </w:tabs>
        <w:spacing w:after="0"/>
        <w:ind w:left="0"/>
        <w:rPr>
          <w:rFonts w:eastAsia="Times New Roman"/>
          <w:szCs w:val="22"/>
          <w:u w:val="single"/>
        </w:rPr>
      </w:pPr>
      <w:r w:rsidRPr="0047462D">
        <w:rPr>
          <w:rFonts w:eastAsia="Times New Roman"/>
          <w:szCs w:val="22"/>
          <w:u w:val="single"/>
        </w:rPr>
        <w:t>Γονιμότητα</w:t>
      </w:r>
    </w:p>
    <w:p w14:paraId="2DC9E267" w14:textId="77777777" w:rsidR="00392A59" w:rsidRPr="0047462D" w:rsidRDefault="00392A59" w:rsidP="00141E57">
      <w:pPr>
        <w:pStyle w:val="1"/>
        <w:keepNext/>
        <w:tabs>
          <w:tab w:val="left" w:pos="0"/>
        </w:tabs>
        <w:spacing w:after="0"/>
        <w:ind w:left="0"/>
        <w:rPr>
          <w:rFonts w:eastAsia="Times New Roman"/>
          <w:color w:val="000000"/>
          <w:szCs w:val="22"/>
        </w:rPr>
      </w:pPr>
    </w:p>
    <w:p w14:paraId="34FF6535" w14:textId="77777777" w:rsidR="00145F50" w:rsidRPr="0047462D" w:rsidRDefault="00145F50" w:rsidP="00145F50">
      <w:pPr>
        <w:rPr>
          <w:rFonts w:eastAsia="Calibri"/>
        </w:rPr>
      </w:pPr>
      <w:r w:rsidRPr="0047462D">
        <w:t xml:space="preserve">Δεν διατίθενται δεδομένα για την επίδραση του ivacaftor στη γονιμότητα στον άνθρωπο. Το ivacaftor είχε μια επίδραση στη γονιμότητα των </w:t>
      </w:r>
      <w:r w:rsidR="00BB6327" w:rsidRPr="0047462D">
        <w:t xml:space="preserve">επίμυων </w:t>
      </w:r>
      <w:r w:rsidRPr="0047462D">
        <w:t>(βλ. παράγραφο 5.3).</w:t>
      </w:r>
    </w:p>
    <w:p w14:paraId="44DA6949" w14:textId="77777777" w:rsidR="00A67D3A" w:rsidRPr="0047462D" w:rsidRDefault="00A67D3A" w:rsidP="00141E57">
      <w:pPr>
        <w:rPr>
          <w:bCs/>
          <w:szCs w:val="22"/>
          <w:lang w:eastAsia="en-US"/>
        </w:rPr>
      </w:pPr>
    </w:p>
    <w:p w14:paraId="0A05F6DB" w14:textId="77777777" w:rsidR="00A67D3A" w:rsidRPr="0047462D" w:rsidRDefault="00A67D3A" w:rsidP="00141E57">
      <w:pPr>
        <w:keepNext/>
        <w:rPr>
          <w:rFonts w:eastAsia="Times New Roman"/>
          <w:szCs w:val="22"/>
        </w:rPr>
      </w:pPr>
      <w:r w:rsidRPr="0047462D">
        <w:rPr>
          <w:rFonts w:eastAsia="Times New Roman"/>
          <w:b/>
          <w:bCs/>
          <w:szCs w:val="22"/>
          <w:lang w:eastAsia="en-US"/>
        </w:rPr>
        <w:t>4.7</w:t>
      </w:r>
      <w:r w:rsidRPr="0047462D">
        <w:rPr>
          <w:rFonts w:eastAsia="Times New Roman"/>
          <w:b/>
          <w:bCs/>
          <w:szCs w:val="22"/>
          <w:lang w:eastAsia="en-US"/>
        </w:rPr>
        <w:tab/>
      </w:r>
      <w:r w:rsidRPr="0047462D">
        <w:rPr>
          <w:rFonts w:eastAsia="Times New Roman"/>
          <w:b/>
          <w:bCs/>
          <w:szCs w:val="22"/>
        </w:rPr>
        <w:t>Επιδράσεις στην ικανότητα οδήγησης και χειρισμού μηχαν</w:t>
      </w:r>
      <w:r w:rsidR="00D60CBC" w:rsidRPr="0047462D">
        <w:rPr>
          <w:rFonts w:eastAsia="Times New Roman"/>
          <w:b/>
          <w:bCs/>
          <w:szCs w:val="22"/>
        </w:rPr>
        <w:t>ημάτων</w:t>
      </w:r>
    </w:p>
    <w:p w14:paraId="21DBE12A" w14:textId="77777777" w:rsidR="00A67D3A" w:rsidRPr="0047462D" w:rsidRDefault="00A67D3A" w:rsidP="00141E57">
      <w:pPr>
        <w:keepNext/>
        <w:rPr>
          <w:rFonts w:eastAsia="Times New Roman"/>
          <w:szCs w:val="22"/>
        </w:rPr>
      </w:pPr>
    </w:p>
    <w:p w14:paraId="0B59C52E" w14:textId="23923C10" w:rsidR="00A67D3A" w:rsidRPr="0047462D" w:rsidRDefault="00A67D3A" w:rsidP="002331FF">
      <w:pPr>
        <w:rPr>
          <w:rFonts w:eastAsia="Times New Roman"/>
          <w:szCs w:val="22"/>
        </w:rPr>
      </w:pPr>
      <w:r w:rsidRPr="0047462D">
        <w:rPr>
          <w:noProof/>
          <w:szCs w:val="22"/>
        </w:rPr>
        <w:t xml:space="preserve">Το </w:t>
      </w:r>
      <w:r w:rsidR="004279C4" w:rsidRPr="0047462D">
        <w:rPr>
          <w:szCs w:val="22"/>
        </w:rPr>
        <w:t xml:space="preserve">ivacaftor </w:t>
      </w:r>
      <w:r w:rsidRPr="0047462D">
        <w:rPr>
          <w:noProof/>
          <w:szCs w:val="22"/>
        </w:rPr>
        <w:t xml:space="preserve">έχει μικρή επίδραση στην ικανότητα οδήγησης και χειρισμού </w:t>
      </w:r>
      <w:r w:rsidR="00887783" w:rsidRPr="0047462D">
        <w:rPr>
          <w:noProof/>
          <w:szCs w:val="22"/>
        </w:rPr>
        <w:t>μηχαν</w:t>
      </w:r>
      <w:r w:rsidR="00D60CBC" w:rsidRPr="0047462D">
        <w:rPr>
          <w:noProof/>
          <w:szCs w:val="22"/>
        </w:rPr>
        <w:t>ημάτων</w:t>
      </w:r>
      <w:r w:rsidRPr="0047462D">
        <w:rPr>
          <w:noProof/>
          <w:szCs w:val="22"/>
        </w:rPr>
        <w:t xml:space="preserve">. Το </w:t>
      </w:r>
      <w:r w:rsidRPr="0047462D">
        <w:rPr>
          <w:szCs w:val="22"/>
        </w:rPr>
        <w:t>ivacaftor</w:t>
      </w:r>
      <w:r w:rsidRPr="0047462D">
        <w:rPr>
          <w:rFonts w:eastAsia="Times New Roman"/>
          <w:szCs w:val="22"/>
        </w:rPr>
        <w:t xml:space="preserve"> μπορεί να προκαλέσει ζάλη (βλ. παράγραφο 4.8) και, συνεπώς, θα πρέπει να δίνεται συμβουλή στους ασθενείς που εμφανίζουν ζάλη να μην οδηγούν </w:t>
      </w:r>
      <w:r w:rsidR="00926465" w:rsidRPr="0047462D">
        <w:rPr>
          <w:rFonts w:eastAsia="Times New Roman"/>
          <w:szCs w:val="22"/>
        </w:rPr>
        <w:t xml:space="preserve">και να μη </w:t>
      </w:r>
      <w:r w:rsidRPr="0047462D">
        <w:rPr>
          <w:rFonts w:eastAsia="Times New Roman"/>
          <w:szCs w:val="22"/>
        </w:rPr>
        <w:t>χειρίζονται μηχανήματα έως ότου υποχωρήσουν τα συμπτώματα.</w:t>
      </w:r>
    </w:p>
    <w:p w14:paraId="0DEE1CAD" w14:textId="77777777" w:rsidR="00A67D3A" w:rsidRPr="0047462D" w:rsidRDefault="00A67D3A">
      <w:pPr>
        <w:rPr>
          <w:szCs w:val="22"/>
          <w:lang w:eastAsia="en-US"/>
        </w:rPr>
      </w:pPr>
    </w:p>
    <w:p w14:paraId="02CEDDB6" w14:textId="77777777" w:rsidR="00A67D3A" w:rsidRPr="0047462D" w:rsidRDefault="00A67D3A" w:rsidP="00141E57">
      <w:pPr>
        <w:keepNext/>
        <w:rPr>
          <w:szCs w:val="22"/>
          <w:lang w:eastAsia="en-US"/>
        </w:rPr>
      </w:pPr>
      <w:r w:rsidRPr="0047462D">
        <w:rPr>
          <w:rFonts w:eastAsia="Times New Roman"/>
          <w:b/>
          <w:bCs/>
          <w:szCs w:val="22"/>
          <w:lang w:eastAsia="en-US"/>
        </w:rPr>
        <w:t>4.8</w:t>
      </w:r>
      <w:r w:rsidRPr="0047462D">
        <w:rPr>
          <w:rFonts w:eastAsia="Times New Roman"/>
          <w:b/>
          <w:bCs/>
          <w:szCs w:val="22"/>
          <w:lang w:eastAsia="en-US"/>
        </w:rPr>
        <w:tab/>
      </w:r>
      <w:r w:rsidRPr="0047462D">
        <w:rPr>
          <w:rFonts w:eastAsia="Times New Roman"/>
          <w:b/>
          <w:bCs/>
          <w:szCs w:val="22"/>
        </w:rPr>
        <w:t>Aνεπιθύμητες ενέργειες</w:t>
      </w:r>
    </w:p>
    <w:p w14:paraId="551C3FD2" w14:textId="77777777" w:rsidR="00A67D3A" w:rsidRPr="0047462D" w:rsidRDefault="00A67D3A" w:rsidP="00141E57">
      <w:pPr>
        <w:pStyle w:val="labeltext"/>
        <w:keepNext/>
        <w:suppressAutoHyphens w:val="0"/>
        <w:rPr>
          <w:szCs w:val="22"/>
          <w:lang w:val="el-GR" w:eastAsia="en-US"/>
        </w:rPr>
      </w:pPr>
    </w:p>
    <w:p w14:paraId="37C937AE" w14:textId="77777777" w:rsidR="00A67D3A" w:rsidRPr="0047462D" w:rsidRDefault="00A67D3A" w:rsidP="00141E57">
      <w:pPr>
        <w:pStyle w:val="labeltext"/>
        <w:keepNext/>
        <w:rPr>
          <w:rFonts w:eastAsia="Times New Roman"/>
          <w:sz w:val="22"/>
          <w:szCs w:val="22"/>
          <w:u w:val="single"/>
          <w:lang w:val="el-GR"/>
        </w:rPr>
      </w:pPr>
      <w:r w:rsidRPr="0047462D">
        <w:rPr>
          <w:rFonts w:eastAsia="Times New Roman"/>
          <w:sz w:val="22"/>
          <w:szCs w:val="22"/>
          <w:u w:val="single"/>
          <w:lang w:val="el-GR"/>
        </w:rPr>
        <w:t>Σύνοψη του προφίλ ασφάλειας</w:t>
      </w:r>
    </w:p>
    <w:p w14:paraId="3D69D744" w14:textId="77777777" w:rsidR="00392A59" w:rsidRPr="0047462D" w:rsidRDefault="00392A59" w:rsidP="00141E57">
      <w:pPr>
        <w:pStyle w:val="labeltext"/>
        <w:keepNext/>
        <w:rPr>
          <w:rFonts w:eastAsia="Times New Roman"/>
          <w:sz w:val="22"/>
          <w:szCs w:val="22"/>
          <w:lang w:val="el-GR"/>
        </w:rPr>
      </w:pPr>
    </w:p>
    <w:p w14:paraId="2074295E" w14:textId="7D15EE0E" w:rsidR="00A67D3A" w:rsidRPr="0047462D" w:rsidRDefault="00A67D3A" w:rsidP="006A0651">
      <w:pPr>
        <w:pStyle w:val="labeltext"/>
        <w:spacing w:line="260" w:lineRule="exact"/>
        <w:rPr>
          <w:bCs/>
          <w:sz w:val="22"/>
          <w:szCs w:val="22"/>
          <w:lang w:val="el-GR"/>
        </w:rPr>
      </w:pPr>
      <w:r w:rsidRPr="0047462D">
        <w:rPr>
          <w:bCs/>
          <w:sz w:val="22"/>
          <w:szCs w:val="22"/>
          <w:lang w:val="el-GR"/>
        </w:rPr>
        <w:t xml:space="preserve">Οι πιο συχνές ανεπιθύμητες ενέργειες που παρουσιάστηκαν σε ασθενείς ηλικίας 6 ετών και άνω που λάμβαναν </w:t>
      </w:r>
      <w:r w:rsidRPr="0047462D">
        <w:rPr>
          <w:bCs/>
          <w:sz w:val="22"/>
          <w:szCs w:val="22"/>
        </w:rPr>
        <w:t>ivacaftor</w:t>
      </w:r>
      <w:r w:rsidRPr="0047462D">
        <w:rPr>
          <w:bCs/>
          <w:sz w:val="22"/>
          <w:szCs w:val="22"/>
          <w:lang w:val="el-GR"/>
        </w:rPr>
        <w:t xml:space="preserve"> </w:t>
      </w:r>
      <w:r w:rsidR="006B2793" w:rsidRPr="0047462D">
        <w:rPr>
          <w:bCs/>
          <w:sz w:val="22"/>
          <w:szCs w:val="22"/>
          <w:lang w:val="el-GR"/>
        </w:rPr>
        <w:t>είναι</w:t>
      </w:r>
      <w:r w:rsidRPr="0047462D">
        <w:rPr>
          <w:bCs/>
          <w:sz w:val="22"/>
          <w:szCs w:val="22"/>
          <w:lang w:val="el-GR"/>
        </w:rPr>
        <w:t xml:space="preserve"> </w:t>
      </w:r>
      <w:r w:rsidRPr="0047462D">
        <w:rPr>
          <w:rFonts w:eastAsia="Times New Roman"/>
          <w:sz w:val="22"/>
          <w:szCs w:val="22"/>
          <w:lang w:val="el-GR"/>
        </w:rPr>
        <w:t xml:space="preserve">κεφαλαλγία (23,9%), </w:t>
      </w:r>
      <w:r w:rsidRPr="0047462D">
        <w:rPr>
          <w:bCs/>
          <w:sz w:val="22"/>
          <w:szCs w:val="22"/>
          <w:lang w:val="el-GR"/>
        </w:rPr>
        <w:t>στοματοφαρυγγικό άλγος</w:t>
      </w:r>
      <w:r w:rsidRPr="0047462D">
        <w:rPr>
          <w:rFonts w:eastAsia="Times New Roman"/>
          <w:sz w:val="22"/>
          <w:szCs w:val="22"/>
          <w:lang w:val="el-GR"/>
        </w:rPr>
        <w:t xml:space="preserve"> (22,0%), </w:t>
      </w:r>
      <w:r w:rsidRPr="0047462D">
        <w:rPr>
          <w:bCs/>
          <w:sz w:val="22"/>
          <w:szCs w:val="22"/>
          <w:lang w:val="el-GR"/>
        </w:rPr>
        <w:t>λοίμωξη του ανώτερου αναπνευστικού συστήματος</w:t>
      </w:r>
      <w:r w:rsidRPr="0047462D">
        <w:rPr>
          <w:rFonts w:eastAsia="Times New Roman"/>
          <w:sz w:val="22"/>
          <w:szCs w:val="22"/>
          <w:lang w:val="el-GR"/>
        </w:rPr>
        <w:t xml:space="preserve"> (22,0%), ρινική συμφόρηση (20,2%), </w:t>
      </w:r>
      <w:r w:rsidRPr="0047462D">
        <w:rPr>
          <w:bCs/>
          <w:sz w:val="22"/>
          <w:szCs w:val="22"/>
          <w:lang w:val="el-GR"/>
        </w:rPr>
        <w:t>κοιλιακό άλγος (15,6%), ρινοφαρυγγίτιδα</w:t>
      </w:r>
      <w:r w:rsidRPr="0047462D">
        <w:rPr>
          <w:rFonts w:eastAsia="Times New Roman"/>
          <w:sz w:val="22"/>
          <w:szCs w:val="22"/>
          <w:lang w:val="el-GR"/>
        </w:rPr>
        <w:t xml:space="preserve"> (14,7%), </w:t>
      </w:r>
      <w:r w:rsidRPr="0047462D">
        <w:rPr>
          <w:bCs/>
          <w:sz w:val="22"/>
          <w:szCs w:val="22"/>
          <w:lang w:val="el-GR"/>
        </w:rPr>
        <w:t xml:space="preserve">διάρροια (12,8%), </w:t>
      </w:r>
      <w:r w:rsidR="00327360" w:rsidRPr="0047462D">
        <w:rPr>
          <w:bCs/>
          <w:sz w:val="22"/>
          <w:szCs w:val="22"/>
          <w:lang w:val="el-GR"/>
        </w:rPr>
        <w:t xml:space="preserve">ζάλη (9,2%), </w:t>
      </w:r>
      <w:r w:rsidRPr="0047462D">
        <w:rPr>
          <w:bCs/>
          <w:sz w:val="22"/>
          <w:szCs w:val="22"/>
          <w:lang w:val="el-GR"/>
        </w:rPr>
        <w:t>εξάνθημα (12,8%) και βακτήρια στα πτύελα (12,8%).</w:t>
      </w:r>
      <w:r w:rsidR="00327360" w:rsidRPr="0047462D">
        <w:rPr>
          <w:bCs/>
          <w:sz w:val="22"/>
          <w:szCs w:val="22"/>
          <w:lang w:val="el-GR"/>
        </w:rPr>
        <w:t xml:space="preserve"> Οι αυξήσεις των τρανσαμινασών εμφανίστηκαν στο 12,8% των ασθενών που έλαβαν θεραπεία με </w:t>
      </w:r>
      <w:r w:rsidR="00327360" w:rsidRPr="0047462D">
        <w:rPr>
          <w:sz w:val="22"/>
          <w:szCs w:val="22"/>
          <w:lang w:val="en-GB"/>
        </w:rPr>
        <w:t>ivacaftor</w:t>
      </w:r>
      <w:r w:rsidR="00327360" w:rsidRPr="0047462D">
        <w:rPr>
          <w:sz w:val="22"/>
          <w:szCs w:val="22"/>
          <w:lang w:val="el-GR"/>
        </w:rPr>
        <w:t xml:space="preserve"> έναντι</w:t>
      </w:r>
      <w:r w:rsidR="00327360" w:rsidRPr="0047462D">
        <w:rPr>
          <w:sz w:val="22"/>
          <w:lang w:val="el-GR"/>
        </w:rPr>
        <w:t xml:space="preserve"> </w:t>
      </w:r>
      <w:r w:rsidR="00327360" w:rsidRPr="0047462D">
        <w:rPr>
          <w:sz w:val="22"/>
          <w:szCs w:val="22"/>
          <w:lang w:val="el-GR"/>
        </w:rPr>
        <w:t>11,5%</w:t>
      </w:r>
      <w:r w:rsidR="00327360" w:rsidRPr="0047462D">
        <w:rPr>
          <w:bCs/>
          <w:sz w:val="22"/>
          <w:szCs w:val="22"/>
          <w:lang w:val="el-GR"/>
        </w:rPr>
        <w:t xml:space="preserve"> των ασθενών που έλαβαν θεραπεία με εικονικό φάρμακο.</w:t>
      </w:r>
      <w:r w:rsidRPr="0047462D">
        <w:rPr>
          <w:bCs/>
          <w:sz w:val="22"/>
          <w:szCs w:val="22"/>
          <w:lang w:val="el-GR"/>
        </w:rPr>
        <w:t xml:space="preserve"> </w:t>
      </w:r>
    </w:p>
    <w:p w14:paraId="2363B093" w14:textId="77777777" w:rsidR="00201E3A" w:rsidRPr="0047462D" w:rsidRDefault="00201E3A" w:rsidP="007307BE">
      <w:pPr>
        <w:pStyle w:val="labeltext"/>
        <w:spacing w:line="260" w:lineRule="exact"/>
        <w:rPr>
          <w:bCs/>
          <w:sz w:val="22"/>
          <w:szCs w:val="22"/>
          <w:lang w:val="el-GR"/>
        </w:rPr>
      </w:pPr>
    </w:p>
    <w:p w14:paraId="4279BE6F" w14:textId="74C78C29" w:rsidR="00201E3A" w:rsidRPr="0047462D" w:rsidRDefault="00201E3A" w:rsidP="007307BE">
      <w:pPr>
        <w:pStyle w:val="labeltext"/>
        <w:spacing w:line="260" w:lineRule="exact"/>
        <w:rPr>
          <w:bCs/>
          <w:sz w:val="22"/>
          <w:szCs w:val="22"/>
          <w:lang w:val="el-GR"/>
        </w:rPr>
      </w:pPr>
      <w:r w:rsidRPr="0047462D">
        <w:rPr>
          <w:bCs/>
          <w:sz w:val="22"/>
          <w:szCs w:val="22"/>
          <w:lang w:val="el-GR"/>
        </w:rPr>
        <w:t>Σε ασθενείς ηλικίας 2</w:t>
      </w:r>
      <w:r w:rsidR="006A0651" w:rsidRPr="0047462D">
        <w:rPr>
          <w:bCs/>
          <w:sz w:val="22"/>
          <w:szCs w:val="22"/>
          <w:lang w:val="en-GB"/>
        </w:rPr>
        <w:t> </w:t>
      </w:r>
      <w:r w:rsidRPr="0047462D">
        <w:rPr>
          <w:bCs/>
          <w:sz w:val="22"/>
          <w:szCs w:val="22"/>
          <w:lang w:val="el-GR"/>
        </w:rPr>
        <w:t>έως κάτω των 6</w:t>
      </w:r>
      <w:r w:rsidR="006A0651" w:rsidRPr="0047462D">
        <w:rPr>
          <w:bCs/>
          <w:sz w:val="22"/>
          <w:szCs w:val="22"/>
          <w:lang w:val="en-GB"/>
        </w:rPr>
        <w:t> </w:t>
      </w:r>
      <w:r w:rsidRPr="0047462D">
        <w:rPr>
          <w:bCs/>
          <w:sz w:val="22"/>
          <w:szCs w:val="22"/>
          <w:lang w:val="el-GR"/>
        </w:rPr>
        <w:t xml:space="preserve">ετών οι πιο συχνές ανεπιθύμητες ενέργειες ήταν </w:t>
      </w:r>
      <w:r w:rsidRPr="0047462D">
        <w:rPr>
          <w:rFonts w:eastAsia="Times New Roman"/>
          <w:sz w:val="22"/>
          <w:szCs w:val="22"/>
          <w:lang w:val="el-GR"/>
        </w:rPr>
        <w:t xml:space="preserve">ρινική συμφόρηση (26,5%), </w:t>
      </w:r>
      <w:r w:rsidRPr="0047462D">
        <w:rPr>
          <w:bCs/>
          <w:sz w:val="22"/>
          <w:szCs w:val="22"/>
          <w:lang w:val="el-GR"/>
        </w:rPr>
        <w:t>λοίμωξη</w:t>
      </w:r>
      <w:r w:rsidRPr="0047462D">
        <w:rPr>
          <w:sz w:val="22"/>
          <w:lang w:val="el-GR"/>
        </w:rPr>
        <w:t xml:space="preserve"> του ανώτερου αναπνευστικού συστήματος</w:t>
      </w:r>
      <w:r w:rsidRPr="0047462D">
        <w:rPr>
          <w:rFonts w:eastAsia="Times New Roman"/>
          <w:sz w:val="22"/>
          <w:szCs w:val="22"/>
          <w:lang w:val="el-GR"/>
        </w:rPr>
        <w:t xml:space="preserve"> (23,5%), </w:t>
      </w:r>
      <w:r w:rsidRPr="0047462D">
        <w:rPr>
          <w:bCs/>
          <w:sz w:val="22"/>
          <w:szCs w:val="22"/>
          <w:lang w:val="el-GR"/>
        </w:rPr>
        <w:t>αυξήσεις των τρανσαμινασών</w:t>
      </w:r>
      <w:r w:rsidRPr="0047462D">
        <w:rPr>
          <w:rFonts w:eastAsia="Times New Roman"/>
          <w:sz w:val="22"/>
          <w:szCs w:val="22"/>
          <w:lang w:val="el-GR"/>
        </w:rPr>
        <w:t xml:space="preserve"> (14,7%), </w:t>
      </w:r>
      <w:r w:rsidRPr="0047462D">
        <w:rPr>
          <w:bCs/>
          <w:sz w:val="22"/>
          <w:szCs w:val="22"/>
          <w:lang w:val="el-GR"/>
        </w:rPr>
        <w:t>εξάνθημα (11,8%) και βακτήρια στα πτύελα (11,8%).</w:t>
      </w:r>
    </w:p>
    <w:p w14:paraId="538B89A8" w14:textId="77777777" w:rsidR="00A67D3A" w:rsidRPr="0047462D" w:rsidRDefault="00A67D3A" w:rsidP="007307BE">
      <w:pPr>
        <w:pStyle w:val="labeltext"/>
        <w:spacing w:line="260" w:lineRule="exact"/>
        <w:rPr>
          <w:bCs/>
          <w:sz w:val="22"/>
          <w:szCs w:val="22"/>
          <w:lang w:val="el-GR"/>
        </w:rPr>
      </w:pPr>
    </w:p>
    <w:p w14:paraId="2B2CCA00" w14:textId="77777777" w:rsidR="00A67D3A" w:rsidRPr="0047462D" w:rsidRDefault="00395414" w:rsidP="00141E57">
      <w:pPr>
        <w:pStyle w:val="labeltext"/>
        <w:spacing w:line="260" w:lineRule="exact"/>
        <w:rPr>
          <w:bCs/>
          <w:sz w:val="22"/>
          <w:szCs w:val="22"/>
          <w:lang w:val="el-GR"/>
        </w:rPr>
      </w:pPr>
      <w:r w:rsidRPr="0047462D">
        <w:rPr>
          <w:bCs/>
          <w:sz w:val="22"/>
          <w:szCs w:val="22"/>
          <w:lang w:val="el-GR"/>
        </w:rPr>
        <w:t xml:space="preserve">Στις σοβαρές ανεπιθύμητες ενέργειες σε ασθενείς που λάμβαναν </w:t>
      </w:r>
      <w:r w:rsidRPr="0047462D">
        <w:rPr>
          <w:bCs/>
          <w:sz w:val="22"/>
          <w:szCs w:val="22"/>
        </w:rPr>
        <w:t>ivacaftor</w:t>
      </w:r>
      <w:r w:rsidRPr="0047462D">
        <w:rPr>
          <w:bCs/>
          <w:sz w:val="22"/>
          <w:szCs w:val="22"/>
          <w:lang w:val="el-GR"/>
        </w:rPr>
        <w:t xml:space="preserve"> περιλαμβάνονταν</w:t>
      </w:r>
      <w:r w:rsidR="00A67D3A" w:rsidRPr="0047462D">
        <w:rPr>
          <w:bCs/>
          <w:sz w:val="22"/>
          <w:szCs w:val="22"/>
          <w:lang w:val="el-GR"/>
        </w:rPr>
        <w:t xml:space="preserve"> κοιλιακό άλγος και αυξήσεις των τρανσαμινασών (βλ. παράγραφο 4.4).</w:t>
      </w:r>
    </w:p>
    <w:p w14:paraId="704E1EEA" w14:textId="77777777" w:rsidR="00A67D3A" w:rsidRPr="0047462D" w:rsidRDefault="00A67D3A" w:rsidP="00141E57">
      <w:pPr>
        <w:pStyle w:val="labeltext"/>
        <w:spacing w:line="260" w:lineRule="exact"/>
        <w:rPr>
          <w:bCs/>
          <w:sz w:val="22"/>
          <w:szCs w:val="22"/>
          <w:lang w:val="el-GR"/>
        </w:rPr>
      </w:pPr>
    </w:p>
    <w:p w14:paraId="0004EAB4" w14:textId="77777777" w:rsidR="00A67D3A" w:rsidRPr="0047462D" w:rsidRDefault="00391430" w:rsidP="002331FF">
      <w:pPr>
        <w:pStyle w:val="labeltext"/>
        <w:keepNext/>
        <w:spacing w:line="260" w:lineRule="exact"/>
        <w:rPr>
          <w:rFonts w:eastAsia="Times New Roman"/>
          <w:sz w:val="22"/>
          <w:szCs w:val="22"/>
          <w:u w:val="single"/>
          <w:lang w:val="el-GR"/>
        </w:rPr>
      </w:pPr>
      <w:r w:rsidRPr="0047462D">
        <w:rPr>
          <w:rFonts w:eastAsia="Times New Roman"/>
          <w:sz w:val="22"/>
          <w:szCs w:val="22"/>
          <w:u w:val="single"/>
          <w:lang w:val="el-GR"/>
        </w:rPr>
        <w:t>Κατάλογος</w:t>
      </w:r>
      <w:r w:rsidR="00A67D3A" w:rsidRPr="0047462D">
        <w:rPr>
          <w:rFonts w:eastAsia="Times New Roman"/>
          <w:sz w:val="22"/>
          <w:szCs w:val="22"/>
          <w:u w:val="single"/>
          <w:lang w:val="el-GR"/>
        </w:rPr>
        <w:t xml:space="preserve"> ανεπιθύμητων ενεργειών</w:t>
      </w:r>
      <w:r w:rsidRPr="0047462D">
        <w:rPr>
          <w:rFonts w:eastAsia="Times New Roman"/>
          <w:sz w:val="22"/>
          <w:szCs w:val="22"/>
          <w:u w:val="single"/>
          <w:lang w:val="el-GR"/>
        </w:rPr>
        <w:t xml:space="preserve"> σε μορφή πίνακα</w:t>
      </w:r>
    </w:p>
    <w:p w14:paraId="57AC99E3" w14:textId="77777777" w:rsidR="00EA73A2" w:rsidRPr="0047462D" w:rsidRDefault="00EA73A2" w:rsidP="002331FF">
      <w:pPr>
        <w:pStyle w:val="labeltext"/>
        <w:keepNext/>
        <w:spacing w:line="260" w:lineRule="exact"/>
        <w:rPr>
          <w:rFonts w:eastAsia="Times New Roman"/>
          <w:sz w:val="22"/>
          <w:szCs w:val="22"/>
          <w:lang w:val="el-GR"/>
        </w:rPr>
      </w:pPr>
    </w:p>
    <w:p w14:paraId="13987089" w14:textId="0E02528B" w:rsidR="00A67D3A" w:rsidRPr="0047462D" w:rsidRDefault="00A67D3A">
      <w:pPr>
        <w:pStyle w:val="labeltext"/>
        <w:rPr>
          <w:rFonts w:eastAsia="Times New Roman"/>
          <w:sz w:val="22"/>
          <w:szCs w:val="22"/>
          <w:lang w:val="el-GR"/>
        </w:rPr>
      </w:pPr>
      <w:r w:rsidRPr="0047462D">
        <w:rPr>
          <w:rFonts w:eastAsia="Times New Roman"/>
          <w:sz w:val="22"/>
          <w:szCs w:val="22"/>
          <w:lang w:val="el-GR"/>
        </w:rPr>
        <w:t>Ο Πίνακας</w:t>
      </w:r>
      <w:r w:rsidR="004A0D66" w:rsidRPr="0047462D">
        <w:rPr>
          <w:rFonts w:eastAsia="Times New Roman"/>
          <w:sz w:val="22"/>
          <w:szCs w:val="22"/>
        </w:rPr>
        <w:t> </w:t>
      </w:r>
      <w:r w:rsidR="006B2793" w:rsidRPr="0047462D">
        <w:rPr>
          <w:rFonts w:eastAsia="Times New Roman"/>
          <w:sz w:val="22"/>
          <w:szCs w:val="22"/>
          <w:lang w:val="el-GR"/>
        </w:rPr>
        <w:t>4</w:t>
      </w:r>
      <w:r w:rsidRPr="0047462D">
        <w:rPr>
          <w:rFonts w:eastAsia="Times New Roman"/>
          <w:sz w:val="22"/>
          <w:szCs w:val="22"/>
          <w:lang w:val="el-GR"/>
        </w:rPr>
        <w:t xml:space="preserve"> απεικονίζει τις ανεπιθύμητες ενέργειες που παρατηρήθηκαν με </w:t>
      </w:r>
      <w:r w:rsidRPr="0047462D">
        <w:rPr>
          <w:sz w:val="22"/>
          <w:szCs w:val="22"/>
          <w:lang w:val="en-GB"/>
        </w:rPr>
        <w:t>ivacaftor</w:t>
      </w:r>
      <w:r w:rsidRPr="0047462D">
        <w:rPr>
          <w:rFonts w:eastAsia="Times New Roman"/>
          <w:sz w:val="22"/>
          <w:szCs w:val="22"/>
          <w:lang w:val="el-GR"/>
        </w:rPr>
        <w:t xml:space="preserve"> </w:t>
      </w:r>
      <w:r w:rsidR="001B19C3" w:rsidRPr="0047462D">
        <w:rPr>
          <w:rFonts w:eastAsia="Times New Roman"/>
          <w:sz w:val="22"/>
          <w:szCs w:val="22"/>
          <w:lang w:val="el-GR"/>
        </w:rPr>
        <w:t xml:space="preserve">ως μονοθεραπεία </w:t>
      </w:r>
      <w:r w:rsidRPr="0047462D">
        <w:rPr>
          <w:rFonts w:eastAsia="Times New Roman"/>
          <w:sz w:val="22"/>
          <w:szCs w:val="22"/>
          <w:lang w:val="el-GR"/>
        </w:rPr>
        <w:t xml:space="preserve">σε κλινικές μελέτες (ελεγχόμενες με εικονικό φάρμακο και μη ελεγχόμενες μελέτες), στις οποίες η διάρκεια της έκθεσης σε </w:t>
      </w:r>
      <w:r w:rsidRPr="0047462D">
        <w:rPr>
          <w:sz w:val="22"/>
          <w:szCs w:val="22"/>
          <w:lang w:val="en-GB"/>
        </w:rPr>
        <w:t>ivacaftor</w:t>
      </w:r>
      <w:r w:rsidRPr="0047462D">
        <w:rPr>
          <w:rFonts w:eastAsia="Times New Roman"/>
          <w:sz w:val="22"/>
          <w:szCs w:val="22"/>
          <w:lang w:val="el-GR"/>
        </w:rPr>
        <w:t xml:space="preserve"> κυμαινόταν από 16</w:t>
      </w:r>
      <w:r w:rsidR="006A0651" w:rsidRPr="0047462D">
        <w:rPr>
          <w:rFonts w:eastAsia="Times New Roman"/>
          <w:sz w:val="22"/>
          <w:szCs w:val="22"/>
          <w:lang w:val="en-GB"/>
        </w:rPr>
        <w:t> </w:t>
      </w:r>
      <w:r w:rsidRPr="0047462D">
        <w:rPr>
          <w:rFonts w:eastAsia="Times New Roman"/>
          <w:sz w:val="22"/>
          <w:szCs w:val="22"/>
          <w:lang w:val="el-GR"/>
        </w:rPr>
        <w:t>εβδομάδες μέχρι 144</w:t>
      </w:r>
      <w:r w:rsidRPr="0047462D">
        <w:rPr>
          <w:rFonts w:eastAsia="Times New Roman"/>
          <w:sz w:val="22"/>
          <w:szCs w:val="22"/>
          <w:lang w:val="en-GB"/>
        </w:rPr>
        <w:t> </w:t>
      </w:r>
      <w:r w:rsidRPr="0047462D">
        <w:rPr>
          <w:rFonts w:eastAsia="Times New Roman"/>
          <w:sz w:val="22"/>
          <w:szCs w:val="22"/>
          <w:lang w:val="el-GR"/>
        </w:rPr>
        <w:t xml:space="preserve">εβδομάδες. </w:t>
      </w:r>
      <w:r w:rsidR="005670EF" w:rsidRPr="0047462D">
        <w:rPr>
          <w:rFonts w:eastAsia="Times New Roman"/>
          <w:sz w:val="22"/>
          <w:szCs w:val="22"/>
          <w:lang w:val="el-GR"/>
        </w:rPr>
        <w:t xml:space="preserve">Στον Πίνακα 4 </w:t>
      </w:r>
      <w:r w:rsidR="00101ADD" w:rsidRPr="0047462D">
        <w:rPr>
          <w:rFonts w:eastAsia="Times New Roman"/>
          <w:sz w:val="22"/>
          <w:szCs w:val="22"/>
          <w:lang w:val="el-GR"/>
        </w:rPr>
        <w:t xml:space="preserve">περιλαμβάνονται επίσης επιπλέον ανεπιθύμητες ενέργειες που παρατηρήθηκαν με το </w:t>
      </w:r>
      <w:r w:rsidR="005670EF" w:rsidRPr="0047462D">
        <w:rPr>
          <w:rFonts w:eastAsia="Times New Roman"/>
          <w:sz w:val="22"/>
          <w:szCs w:val="22"/>
          <w:lang w:val="el-GR"/>
        </w:rPr>
        <w:t xml:space="preserve">ivacaftor </w:t>
      </w:r>
      <w:r w:rsidR="00101ADD" w:rsidRPr="0047462D">
        <w:rPr>
          <w:rFonts w:eastAsia="Times New Roman"/>
          <w:sz w:val="22"/>
          <w:szCs w:val="22"/>
          <w:lang w:val="el-GR"/>
        </w:rPr>
        <w:t xml:space="preserve">σε συνδυαστικό σχήμα με </w:t>
      </w:r>
      <w:r w:rsidR="005670EF" w:rsidRPr="0047462D">
        <w:rPr>
          <w:rFonts w:eastAsia="Times New Roman"/>
          <w:sz w:val="22"/>
          <w:szCs w:val="22"/>
          <w:lang w:val="el-GR"/>
        </w:rPr>
        <w:t xml:space="preserve">tezacaftor/ivacaftor </w:t>
      </w:r>
      <w:r w:rsidR="00101ADD" w:rsidRPr="0047462D">
        <w:rPr>
          <w:rFonts w:eastAsia="Times New Roman"/>
          <w:sz w:val="22"/>
          <w:szCs w:val="22"/>
          <w:lang w:val="el-GR"/>
        </w:rPr>
        <w:t xml:space="preserve">ή/και σε συνδυαστικό σχήμα με </w:t>
      </w:r>
      <w:r w:rsidR="005670EF" w:rsidRPr="0047462D">
        <w:rPr>
          <w:rFonts w:eastAsia="Times New Roman"/>
          <w:sz w:val="22"/>
          <w:szCs w:val="22"/>
          <w:lang w:val="el-GR"/>
        </w:rPr>
        <w:t xml:space="preserve">ivacaftor/tezacaftor/elexacaftor. </w:t>
      </w:r>
      <w:r w:rsidR="00101ADD" w:rsidRPr="0047462D">
        <w:rPr>
          <w:rFonts w:eastAsia="Times New Roman"/>
          <w:sz w:val="22"/>
          <w:szCs w:val="22"/>
          <w:lang w:val="el-GR"/>
        </w:rPr>
        <w:t>Η συχνότητα των ανεπιθύμητων ενεργειών ορίζεται ως εξής: πολύ συχνές</w:t>
      </w:r>
      <w:r w:rsidR="005670EF" w:rsidRPr="0047462D">
        <w:rPr>
          <w:rFonts w:eastAsia="Times New Roman" w:hint="eastAsia"/>
          <w:sz w:val="22"/>
          <w:szCs w:val="22"/>
          <w:lang w:val="el-GR"/>
        </w:rPr>
        <w:t xml:space="preserve"> (≥</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συχν</w:t>
      </w:r>
      <w:r w:rsidR="00101ADD" w:rsidRPr="0047462D">
        <w:rPr>
          <w:rFonts w:eastAsia="Times New Roman"/>
          <w:sz w:val="22"/>
          <w:szCs w:val="22"/>
          <w:lang w:val="el-GR"/>
        </w:rPr>
        <w:t>ές</w:t>
      </w:r>
      <w:r w:rsidR="005670EF" w:rsidRPr="0047462D">
        <w:rPr>
          <w:rFonts w:eastAsia="Times New Roman" w:hint="eastAsia"/>
          <w:sz w:val="22"/>
          <w:szCs w:val="22"/>
          <w:lang w:val="el-GR"/>
        </w:rPr>
        <w:t xml:space="preserve"> (≥</w:t>
      </w:r>
      <w:r w:rsidR="00101ADD" w:rsidRPr="0047462D">
        <w:rPr>
          <w:rFonts w:eastAsia="Times New Roman"/>
          <w:sz w:val="22"/>
          <w:szCs w:val="22"/>
          <w:lang w:val="el-GR"/>
        </w:rPr>
        <w:t> </w:t>
      </w:r>
      <w:r w:rsidR="005670EF" w:rsidRPr="0047462D">
        <w:rPr>
          <w:rFonts w:eastAsia="Times New Roman" w:hint="eastAsia"/>
          <w:sz w:val="22"/>
          <w:szCs w:val="22"/>
          <w:lang w:val="el-GR"/>
        </w:rPr>
        <w:t xml:space="preserve">1/100 </w:t>
      </w:r>
      <w:r w:rsidR="00101ADD" w:rsidRPr="0047462D">
        <w:rPr>
          <w:rFonts w:eastAsia="Times New Roman" w:hint="eastAsia"/>
          <w:sz w:val="22"/>
          <w:szCs w:val="22"/>
          <w:lang w:val="el-GR"/>
        </w:rPr>
        <w:t>έ</w:t>
      </w:r>
      <w:r w:rsidR="00101ADD" w:rsidRPr="0047462D">
        <w:rPr>
          <w:rFonts w:eastAsia="Times New Roman"/>
          <w:sz w:val="22"/>
          <w:szCs w:val="22"/>
          <w:lang w:val="el-GR"/>
        </w:rPr>
        <w:t>ως</w:t>
      </w:r>
      <w:r w:rsidR="005670EF" w:rsidRPr="0047462D">
        <w:rPr>
          <w:rFonts w:eastAsia="Times New Roman" w:hint="eastAsia"/>
          <w:sz w:val="22"/>
          <w:szCs w:val="22"/>
          <w:lang w:val="el-GR"/>
        </w:rPr>
        <w:t xml:space="preserve"> &lt;</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 xml:space="preserve">), όχι συχνές </w:t>
      </w:r>
      <w:r w:rsidR="005670EF" w:rsidRPr="0047462D">
        <w:rPr>
          <w:rFonts w:eastAsia="Times New Roman" w:hint="eastAsia"/>
          <w:sz w:val="22"/>
          <w:szCs w:val="22"/>
          <w:lang w:val="el-GR"/>
        </w:rPr>
        <w:t>(≥</w:t>
      </w:r>
      <w:r w:rsidR="00101ADD" w:rsidRPr="0047462D">
        <w:rPr>
          <w:rFonts w:eastAsia="Times New Roman"/>
          <w:sz w:val="22"/>
          <w:szCs w:val="22"/>
          <w:lang w:val="el-GR"/>
        </w:rPr>
        <w:t> </w:t>
      </w:r>
      <w:r w:rsidR="005670EF" w:rsidRPr="0047462D">
        <w:rPr>
          <w:rFonts w:eastAsia="Times New Roman" w:hint="eastAsia"/>
          <w:sz w:val="22"/>
          <w:szCs w:val="22"/>
          <w:lang w:val="el-GR"/>
        </w:rPr>
        <w:t>1/1</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000 </w:t>
      </w:r>
      <w:r w:rsidR="00101ADD" w:rsidRPr="0047462D">
        <w:rPr>
          <w:rFonts w:eastAsia="Times New Roman" w:hint="eastAsia"/>
          <w:sz w:val="22"/>
          <w:szCs w:val="22"/>
          <w:lang w:val="el-GR"/>
        </w:rPr>
        <w:t>έ</w:t>
      </w:r>
      <w:r w:rsidR="00101ADD" w:rsidRPr="0047462D">
        <w:rPr>
          <w:rFonts w:eastAsia="Times New Roman"/>
          <w:sz w:val="22"/>
          <w:szCs w:val="22"/>
          <w:lang w:val="el-GR"/>
        </w:rPr>
        <w:t>ως</w:t>
      </w:r>
      <w:r w:rsidR="005670EF" w:rsidRPr="0047462D">
        <w:rPr>
          <w:rFonts w:eastAsia="Times New Roman" w:hint="eastAsia"/>
          <w:sz w:val="22"/>
          <w:szCs w:val="22"/>
          <w:lang w:val="el-GR"/>
        </w:rPr>
        <w:t xml:space="preserve"> &lt;</w:t>
      </w:r>
      <w:r w:rsidR="00101ADD" w:rsidRPr="0047462D">
        <w:rPr>
          <w:rFonts w:eastAsia="Times New Roman"/>
          <w:sz w:val="22"/>
          <w:szCs w:val="22"/>
          <w:lang w:val="el-GR"/>
        </w:rPr>
        <w:t> </w:t>
      </w:r>
      <w:r w:rsidR="005670EF" w:rsidRPr="0047462D">
        <w:rPr>
          <w:rFonts w:eastAsia="Times New Roman" w:hint="eastAsia"/>
          <w:sz w:val="22"/>
          <w:szCs w:val="22"/>
          <w:lang w:val="el-GR"/>
        </w:rPr>
        <w:t>1/100)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σπ</w:t>
      </w:r>
      <w:r w:rsidR="00101ADD" w:rsidRPr="0047462D">
        <w:rPr>
          <w:rFonts w:eastAsia="Times New Roman"/>
          <w:sz w:val="22"/>
          <w:szCs w:val="22"/>
          <w:lang w:val="el-GR"/>
        </w:rPr>
        <w:t xml:space="preserve">άνιες </w:t>
      </w:r>
      <w:r w:rsidR="005670EF" w:rsidRPr="0047462D">
        <w:rPr>
          <w:rFonts w:eastAsia="Times New Roman" w:hint="eastAsia"/>
          <w:sz w:val="22"/>
          <w:szCs w:val="22"/>
          <w:lang w:val="el-GR"/>
        </w:rPr>
        <w:t>(≥</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000 </w:t>
      </w:r>
      <w:r w:rsidR="00101ADD" w:rsidRPr="0047462D">
        <w:rPr>
          <w:rFonts w:eastAsia="Times New Roman" w:hint="eastAsia"/>
          <w:sz w:val="22"/>
          <w:szCs w:val="22"/>
          <w:lang w:val="el-GR"/>
        </w:rPr>
        <w:t>έ</w:t>
      </w:r>
      <w:r w:rsidR="00101ADD" w:rsidRPr="0047462D">
        <w:rPr>
          <w:rFonts w:eastAsia="Times New Roman"/>
          <w:sz w:val="22"/>
          <w:szCs w:val="22"/>
          <w:lang w:val="el-GR"/>
        </w:rPr>
        <w:t>ως</w:t>
      </w:r>
      <w:r w:rsidR="005670EF" w:rsidRPr="0047462D">
        <w:rPr>
          <w:rFonts w:eastAsia="Times New Roman" w:hint="eastAsia"/>
          <w:sz w:val="22"/>
          <w:szCs w:val="22"/>
          <w:lang w:val="el-GR"/>
        </w:rPr>
        <w:t xml:space="preserve"> &lt;</w:t>
      </w:r>
      <w:r w:rsidR="00101ADD" w:rsidRPr="0047462D">
        <w:rPr>
          <w:rFonts w:eastAsia="Times New Roman"/>
          <w:sz w:val="22"/>
          <w:szCs w:val="22"/>
          <w:lang w:val="el-GR"/>
        </w:rPr>
        <w:t> </w:t>
      </w:r>
      <w:r w:rsidR="005670EF" w:rsidRPr="0047462D">
        <w:rPr>
          <w:rFonts w:eastAsia="Times New Roman" w:hint="eastAsia"/>
          <w:sz w:val="22"/>
          <w:szCs w:val="22"/>
          <w:lang w:val="el-GR"/>
        </w:rPr>
        <w:t>1/1</w:t>
      </w:r>
      <w:r w:rsidR="00101ADD" w:rsidRPr="0047462D">
        <w:rPr>
          <w:rFonts w:eastAsia="Times New Roman"/>
          <w:sz w:val="22"/>
          <w:szCs w:val="22"/>
          <w:lang w:val="el-GR"/>
        </w:rPr>
        <w:t>.</w:t>
      </w:r>
      <w:r w:rsidR="005670EF" w:rsidRPr="0047462D">
        <w:rPr>
          <w:rFonts w:eastAsia="Times New Roman" w:hint="eastAsia"/>
          <w:sz w:val="22"/>
          <w:szCs w:val="22"/>
          <w:lang w:val="el-GR"/>
        </w:rPr>
        <w:t>000)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πολ</w:t>
      </w:r>
      <w:r w:rsidR="00101ADD" w:rsidRPr="0047462D">
        <w:rPr>
          <w:rFonts w:eastAsia="Times New Roman"/>
          <w:sz w:val="22"/>
          <w:szCs w:val="22"/>
          <w:lang w:val="el-GR"/>
        </w:rPr>
        <w:t xml:space="preserve">ύ σπάνιες </w:t>
      </w:r>
      <w:r w:rsidR="005670EF" w:rsidRPr="0047462D">
        <w:rPr>
          <w:rFonts w:eastAsia="Times New Roman" w:hint="eastAsia"/>
          <w:sz w:val="22"/>
          <w:szCs w:val="22"/>
          <w:lang w:val="el-GR"/>
        </w:rPr>
        <w:t>(&lt;</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w:t>
      </w:r>
      <w:r w:rsidR="005670EF" w:rsidRPr="0047462D">
        <w:rPr>
          <w:rFonts w:eastAsia="Times New Roman" w:hint="eastAsia"/>
          <w:sz w:val="22"/>
          <w:szCs w:val="22"/>
          <w:lang w:val="el-GR"/>
        </w:rPr>
        <w:t>000)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μη</w:t>
      </w:r>
      <w:r w:rsidR="00101ADD" w:rsidRPr="0047462D">
        <w:rPr>
          <w:rFonts w:eastAsia="Times New Roman"/>
          <w:sz w:val="22"/>
          <w:szCs w:val="22"/>
          <w:lang w:val="el-GR"/>
        </w:rPr>
        <w:t xml:space="preserve"> γνωστές </w:t>
      </w:r>
      <w:r w:rsidR="005670EF" w:rsidRPr="0047462D">
        <w:rPr>
          <w:rFonts w:eastAsia="Times New Roman" w:hint="eastAsia"/>
          <w:sz w:val="22"/>
          <w:szCs w:val="22"/>
          <w:lang w:val="el-GR"/>
        </w:rPr>
        <w:t>(</w:t>
      </w:r>
      <w:r w:rsidR="00101ADD" w:rsidRPr="0047462D">
        <w:rPr>
          <w:rFonts w:eastAsia="Times New Roman" w:hint="eastAsia"/>
          <w:sz w:val="22"/>
          <w:szCs w:val="22"/>
          <w:lang w:val="el-GR"/>
        </w:rPr>
        <w:t>δεν</w:t>
      </w:r>
      <w:r w:rsidR="00101ADD" w:rsidRPr="0047462D">
        <w:rPr>
          <w:rFonts w:eastAsia="Times New Roman"/>
          <w:sz w:val="22"/>
          <w:szCs w:val="22"/>
          <w:lang w:val="el-GR"/>
        </w:rPr>
        <w:t xml:space="preserve"> μπορούν</w:t>
      </w:r>
      <w:r w:rsidR="00101ADD" w:rsidRPr="0047462D">
        <w:rPr>
          <w:sz w:val="22"/>
          <w:szCs w:val="22"/>
          <w:lang w:val="el-GR"/>
        </w:rPr>
        <w:t xml:space="preserve"> να εκτιμηθούν με βάση τα διαθέσιμα δεδομένα</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Εντ</w:t>
      </w:r>
      <w:r w:rsidR="00101ADD" w:rsidRPr="0047462D">
        <w:rPr>
          <w:rFonts w:eastAsia="Times New Roman"/>
          <w:sz w:val="22"/>
          <w:szCs w:val="22"/>
          <w:lang w:val="el-GR"/>
        </w:rPr>
        <w:t>ός κάθε κατηγορίας συχνότητας εμφάνισης, οι ανεπιθύμητες ενέργειες παρατίθενται κατά φθίνουσα σειρά σοβαρότητας</w:t>
      </w:r>
      <w:r w:rsidR="00327360" w:rsidRPr="0047462D">
        <w:rPr>
          <w:sz w:val="22"/>
          <w:szCs w:val="22"/>
          <w:lang w:val="el-GR"/>
        </w:rPr>
        <w:t>.</w:t>
      </w:r>
      <w:r w:rsidR="00327360" w:rsidRPr="0047462D">
        <w:rPr>
          <w:rFonts w:eastAsia="Times New Roman"/>
          <w:sz w:val="22"/>
          <w:szCs w:val="22"/>
          <w:lang w:val="el-GR"/>
        </w:rPr>
        <w:t xml:space="preserve"> </w:t>
      </w:r>
    </w:p>
    <w:p w14:paraId="5A21FBA7" w14:textId="77777777" w:rsidR="00A67D3A" w:rsidRPr="0047462D" w:rsidRDefault="00A67D3A" w:rsidP="00141E57">
      <w:pPr>
        <w:rPr>
          <w:b/>
        </w:rPr>
      </w:pPr>
    </w:p>
    <w:p w14:paraId="64C0253C" w14:textId="795782FF" w:rsidR="00EA73A2" w:rsidRPr="0047462D" w:rsidRDefault="00EA73A2" w:rsidP="00EB5A36">
      <w:pPr>
        <w:pStyle w:val="labeltext"/>
        <w:keepNext/>
        <w:spacing w:after="120"/>
        <w:ind w:left="1080" w:hanging="1080"/>
        <w:rPr>
          <w:b/>
          <w:color w:val="000000" w:themeColor="text1"/>
          <w:szCs w:val="22"/>
          <w:lang w:val="el-GR"/>
        </w:rPr>
      </w:pPr>
      <w:r w:rsidRPr="0047462D">
        <w:rPr>
          <w:b/>
          <w:color w:val="000000" w:themeColor="text1"/>
          <w:sz w:val="22"/>
          <w:szCs w:val="22"/>
          <w:lang w:val="el-GR"/>
        </w:rPr>
        <w:t>Πίνακας</w:t>
      </w:r>
      <w:r w:rsidRPr="0047462D">
        <w:rPr>
          <w:b/>
          <w:color w:val="000000" w:themeColor="text1"/>
          <w:sz w:val="22"/>
          <w:szCs w:val="22"/>
        </w:rPr>
        <w:t> </w:t>
      </w:r>
      <w:r w:rsidR="005670EF" w:rsidRPr="0047462D">
        <w:rPr>
          <w:b/>
          <w:color w:val="000000" w:themeColor="text1"/>
          <w:sz w:val="22"/>
          <w:szCs w:val="22"/>
          <w:lang w:val="el-GR"/>
        </w:rPr>
        <w:t>4</w:t>
      </w:r>
      <w:r w:rsidRPr="0047462D">
        <w:rPr>
          <w:b/>
          <w:color w:val="000000" w:themeColor="text1"/>
          <w:sz w:val="22"/>
          <w:szCs w:val="22"/>
          <w:lang w:val="el-GR"/>
        </w:rPr>
        <w:t>: Ανεπιθύμητες ενέργειες</w:t>
      </w:r>
    </w:p>
    <w:tbl>
      <w:tblPr>
        <w:tblW w:w="9297" w:type="dxa"/>
        <w:tblInd w:w="-5" w:type="dxa"/>
        <w:tblLayout w:type="fixed"/>
        <w:tblLook w:val="0000" w:firstRow="0" w:lastRow="0" w:firstColumn="0" w:lastColumn="0" w:noHBand="0" w:noVBand="0"/>
      </w:tblPr>
      <w:tblGrid>
        <w:gridCol w:w="3126"/>
        <w:gridCol w:w="2916"/>
        <w:gridCol w:w="3255"/>
      </w:tblGrid>
      <w:tr w:rsidR="00A67D3A" w:rsidRPr="0047462D" w14:paraId="6B82DEA8" w14:textId="77777777">
        <w:trPr>
          <w:cantSplit/>
          <w:trHeight w:val="818"/>
          <w:tblHeader/>
        </w:trPr>
        <w:tc>
          <w:tcPr>
            <w:tcW w:w="3126" w:type="dxa"/>
            <w:tcBorders>
              <w:top w:val="single" w:sz="4" w:space="0" w:color="000000"/>
              <w:left w:val="single" w:sz="4" w:space="0" w:color="000000"/>
              <w:bottom w:val="single" w:sz="4" w:space="0" w:color="000000"/>
            </w:tcBorders>
            <w:shd w:val="clear" w:color="auto" w:fill="auto"/>
          </w:tcPr>
          <w:p w14:paraId="76A3F3F0" w14:textId="77777777" w:rsidR="00A67D3A" w:rsidRPr="0047462D" w:rsidRDefault="00A67D3A" w:rsidP="00A920CD">
            <w:pPr>
              <w:keepNext/>
              <w:rPr>
                <w:rFonts w:eastAsia="Times New Roman"/>
                <w:szCs w:val="22"/>
              </w:rPr>
            </w:pPr>
            <w:r w:rsidRPr="0047462D">
              <w:rPr>
                <w:rFonts w:eastAsia="Times New Roman"/>
                <w:b/>
                <w:bCs/>
                <w:szCs w:val="22"/>
              </w:rPr>
              <w:t>Kατηγορία/οργανικό σύστημα</w:t>
            </w:r>
          </w:p>
          <w:p w14:paraId="0AD23ED8" w14:textId="77777777" w:rsidR="00A67D3A" w:rsidRPr="0047462D" w:rsidRDefault="00A67D3A" w:rsidP="00A240EC">
            <w:pPr>
              <w:keepNext/>
              <w:rPr>
                <w:rFonts w:eastAsia="Times New Roman"/>
                <w:b/>
                <w:bCs/>
                <w:szCs w:val="22"/>
              </w:rPr>
            </w:pPr>
          </w:p>
        </w:tc>
        <w:tc>
          <w:tcPr>
            <w:tcW w:w="2916" w:type="dxa"/>
            <w:tcBorders>
              <w:top w:val="single" w:sz="4" w:space="0" w:color="000000"/>
              <w:left w:val="single" w:sz="4" w:space="0" w:color="000000"/>
              <w:bottom w:val="single" w:sz="4" w:space="0" w:color="000000"/>
            </w:tcBorders>
            <w:shd w:val="clear" w:color="auto" w:fill="auto"/>
          </w:tcPr>
          <w:p w14:paraId="3EC1934D" w14:textId="77777777" w:rsidR="00A67D3A" w:rsidRPr="0047462D" w:rsidRDefault="00A67D3A" w:rsidP="00A240EC">
            <w:pPr>
              <w:keepNext/>
              <w:jc w:val="center"/>
              <w:rPr>
                <w:b/>
                <w:bCs/>
                <w:szCs w:val="22"/>
              </w:rPr>
            </w:pPr>
            <w:r w:rsidRPr="0047462D">
              <w:rPr>
                <w:rFonts w:eastAsia="Times New Roman"/>
                <w:b/>
                <w:bCs/>
                <w:szCs w:val="22"/>
              </w:rPr>
              <w:t>Ανεπιθύμητες ενέργειες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33CB89B" w14:textId="77777777" w:rsidR="00A67D3A" w:rsidRPr="0047462D" w:rsidRDefault="00A67D3A" w:rsidP="00A240EC">
            <w:pPr>
              <w:keepNext/>
              <w:jc w:val="center"/>
              <w:rPr>
                <w:rFonts w:eastAsia="Times New Roman"/>
                <w:szCs w:val="22"/>
              </w:rPr>
            </w:pPr>
            <w:r w:rsidRPr="0047462D">
              <w:rPr>
                <w:rFonts w:eastAsia="Times New Roman"/>
                <w:b/>
                <w:bCs/>
                <w:szCs w:val="22"/>
              </w:rPr>
              <w:t>Συχνότητα</w:t>
            </w:r>
          </w:p>
        </w:tc>
      </w:tr>
      <w:tr w:rsidR="007F7380" w:rsidRPr="0047462D" w14:paraId="6E6FC915" w14:textId="77777777">
        <w:trPr>
          <w:cantSplit/>
          <w:trHeight w:val="128"/>
        </w:trPr>
        <w:tc>
          <w:tcPr>
            <w:tcW w:w="3126" w:type="dxa"/>
            <w:vMerge w:val="restart"/>
            <w:tcBorders>
              <w:top w:val="single" w:sz="4" w:space="0" w:color="000000"/>
              <w:left w:val="single" w:sz="4" w:space="0" w:color="000000"/>
            </w:tcBorders>
            <w:shd w:val="clear" w:color="auto" w:fill="auto"/>
          </w:tcPr>
          <w:p w14:paraId="16A4D6C2" w14:textId="77777777" w:rsidR="007F7380" w:rsidRPr="0047462D" w:rsidRDefault="007F7380" w:rsidP="00A920CD">
            <w:pPr>
              <w:keepNext/>
              <w:rPr>
                <w:rFonts w:eastAsia="Times New Roman"/>
                <w:szCs w:val="22"/>
              </w:rPr>
            </w:pPr>
            <w:r w:rsidRPr="0047462D">
              <w:rPr>
                <w:rFonts w:eastAsia="Times New Roman"/>
                <w:szCs w:val="22"/>
              </w:rPr>
              <w:t>Λοιμώξεις και παρασιτώσεις</w:t>
            </w:r>
          </w:p>
        </w:tc>
        <w:tc>
          <w:tcPr>
            <w:tcW w:w="2916" w:type="dxa"/>
            <w:tcBorders>
              <w:top w:val="single" w:sz="4" w:space="0" w:color="000000"/>
              <w:left w:val="single" w:sz="4" w:space="0" w:color="000000"/>
              <w:bottom w:val="single" w:sz="4" w:space="0" w:color="000000"/>
            </w:tcBorders>
            <w:shd w:val="clear" w:color="auto" w:fill="auto"/>
          </w:tcPr>
          <w:p w14:paraId="4CCF908A" w14:textId="77777777" w:rsidR="007F7380" w:rsidRPr="0047462D" w:rsidRDefault="007F7380" w:rsidP="00A240EC">
            <w:pPr>
              <w:keepNext/>
              <w:rPr>
                <w:rFonts w:eastAsia="Times New Roman"/>
                <w:szCs w:val="22"/>
              </w:rPr>
            </w:pPr>
            <w:r w:rsidRPr="0047462D">
              <w:rPr>
                <w:rFonts w:eastAsia="Times New Roman"/>
                <w:szCs w:val="22"/>
              </w:rPr>
              <w:t>Λοίμωξη του ανώτερου αναπνευστικού συστήματος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1E8E396" w14:textId="77777777" w:rsidR="007F7380" w:rsidRPr="0047462D" w:rsidRDefault="007F7380" w:rsidP="00A240EC">
            <w:pPr>
              <w:keepNext/>
              <w:rPr>
                <w:szCs w:val="22"/>
              </w:rPr>
            </w:pPr>
            <w:r w:rsidRPr="0047462D">
              <w:rPr>
                <w:rFonts w:eastAsia="Times New Roman"/>
                <w:szCs w:val="22"/>
              </w:rPr>
              <w:t>πολύ συχνές</w:t>
            </w:r>
          </w:p>
        </w:tc>
      </w:tr>
      <w:tr w:rsidR="007F7380" w:rsidRPr="0047462D" w14:paraId="0AAF4507" w14:textId="77777777">
        <w:trPr>
          <w:cantSplit/>
          <w:trHeight w:val="128"/>
        </w:trPr>
        <w:tc>
          <w:tcPr>
            <w:tcW w:w="3126" w:type="dxa"/>
            <w:vMerge/>
            <w:tcBorders>
              <w:left w:val="single" w:sz="4" w:space="0" w:color="000000"/>
            </w:tcBorders>
            <w:shd w:val="clear" w:color="auto" w:fill="auto"/>
          </w:tcPr>
          <w:p w14:paraId="5182116E" w14:textId="77777777" w:rsidR="007F7380" w:rsidRPr="0047462D" w:rsidRDefault="007F7380"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5E38AE5" w14:textId="77777777" w:rsidR="007F7380" w:rsidRPr="0047462D" w:rsidRDefault="007F7380" w:rsidP="00A240EC">
            <w:pPr>
              <w:keepNext/>
              <w:rPr>
                <w:rFonts w:eastAsia="Times New Roman"/>
                <w:szCs w:val="22"/>
              </w:rPr>
            </w:pPr>
            <w:r w:rsidRPr="0047462D">
              <w:rPr>
                <w:rFonts w:eastAsia="Times New Roman"/>
                <w:szCs w:val="22"/>
              </w:rPr>
              <w:t>Ρινοφαρυγγίτιδα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554362E" w14:textId="77777777" w:rsidR="007F7380" w:rsidRPr="0047462D" w:rsidRDefault="007F7380" w:rsidP="00A240EC">
            <w:pPr>
              <w:keepNext/>
              <w:rPr>
                <w:szCs w:val="22"/>
              </w:rPr>
            </w:pPr>
            <w:r w:rsidRPr="0047462D">
              <w:rPr>
                <w:rFonts w:eastAsia="Times New Roman"/>
                <w:szCs w:val="22"/>
              </w:rPr>
              <w:t>πολύ συχνές</w:t>
            </w:r>
          </w:p>
        </w:tc>
      </w:tr>
      <w:tr w:rsidR="00B7203B" w:rsidRPr="0047462D" w14:paraId="51AEBC9C" w14:textId="77777777">
        <w:trPr>
          <w:cantSplit/>
          <w:trHeight w:val="128"/>
        </w:trPr>
        <w:tc>
          <w:tcPr>
            <w:tcW w:w="3126" w:type="dxa"/>
            <w:vMerge/>
            <w:tcBorders>
              <w:left w:val="single" w:sz="4" w:space="0" w:color="000000"/>
            </w:tcBorders>
            <w:shd w:val="clear" w:color="auto" w:fill="auto"/>
          </w:tcPr>
          <w:p w14:paraId="105916AD" w14:textId="77777777" w:rsidR="00B7203B" w:rsidRPr="0047462D" w:rsidRDefault="00B7203B" w:rsidP="00B7203B">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44C7A837" w14:textId="446A1E43" w:rsidR="00B7203B" w:rsidRPr="0047462D" w:rsidRDefault="00B7203B" w:rsidP="00B7203B">
            <w:pPr>
              <w:keepNext/>
              <w:rPr>
                <w:rFonts w:eastAsia="Times New Roman"/>
                <w:szCs w:val="22"/>
              </w:rPr>
            </w:pPr>
            <w:r w:rsidRPr="0047462D">
              <w:t xml:space="preserve">Γρίπη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3A8D16C1" w14:textId="12F20AFD" w:rsidR="00B7203B" w:rsidRPr="0047462D" w:rsidRDefault="00B7203B" w:rsidP="00B7203B">
            <w:pPr>
              <w:keepNext/>
              <w:rPr>
                <w:rFonts w:eastAsia="Times New Roman"/>
                <w:szCs w:val="22"/>
              </w:rPr>
            </w:pPr>
            <w:r w:rsidRPr="0047462D">
              <w:t>συχνές</w:t>
            </w:r>
          </w:p>
        </w:tc>
      </w:tr>
      <w:tr w:rsidR="007F7380" w:rsidRPr="0047462D" w14:paraId="56937A69" w14:textId="77777777">
        <w:trPr>
          <w:cantSplit/>
          <w:trHeight w:val="127"/>
        </w:trPr>
        <w:tc>
          <w:tcPr>
            <w:tcW w:w="3126" w:type="dxa"/>
            <w:vMerge/>
            <w:tcBorders>
              <w:left w:val="single" w:sz="4" w:space="0" w:color="000000"/>
              <w:bottom w:val="single" w:sz="4" w:space="0" w:color="000000"/>
            </w:tcBorders>
            <w:shd w:val="clear" w:color="auto" w:fill="auto"/>
          </w:tcPr>
          <w:p w14:paraId="00F7C782" w14:textId="77777777" w:rsidR="007F7380" w:rsidRPr="0047462D" w:rsidRDefault="007F7380"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CAD6EEA" w14:textId="77777777" w:rsidR="007F7380" w:rsidRPr="0047462D" w:rsidRDefault="007F7380" w:rsidP="00A240EC">
            <w:pPr>
              <w:keepNext/>
              <w:rPr>
                <w:rFonts w:eastAsia="Times New Roman"/>
                <w:szCs w:val="22"/>
              </w:rPr>
            </w:pPr>
            <w:r w:rsidRPr="0047462D">
              <w:rPr>
                <w:rFonts w:eastAsia="Times New Roman"/>
                <w:szCs w:val="22"/>
              </w:rPr>
              <w:t>Ρινίτιδα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484D2AF" w14:textId="77777777" w:rsidR="007F7380" w:rsidRPr="0047462D" w:rsidRDefault="007F7380" w:rsidP="00A240EC">
            <w:pPr>
              <w:keepNext/>
              <w:rPr>
                <w:rFonts w:eastAsia="Times New Roman"/>
                <w:szCs w:val="22"/>
              </w:rPr>
            </w:pPr>
            <w:r w:rsidRPr="0047462D">
              <w:rPr>
                <w:rFonts w:eastAsia="Times New Roman"/>
                <w:szCs w:val="22"/>
              </w:rPr>
              <w:t>συχνές</w:t>
            </w:r>
            <w:r w:rsidRPr="0047462D">
              <w:rPr>
                <w:rFonts w:eastAsia="Times New Roman"/>
                <w:szCs w:val="22"/>
                <w:lang w:eastAsia="en-US"/>
              </w:rPr>
              <w:t xml:space="preserve"> </w:t>
            </w:r>
          </w:p>
        </w:tc>
      </w:tr>
      <w:tr w:rsidR="00B7203B" w:rsidRPr="0047462D" w14:paraId="7798163A" w14:textId="77777777">
        <w:trPr>
          <w:cantSplit/>
        </w:trPr>
        <w:tc>
          <w:tcPr>
            <w:tcW w:w="3126" w:type="dxa"/>
            <w:tcBorders>
              <w:top w:val="single" w:sz="4" w:space="0" w:color="000000"/>
              <w:left w:val="single" w:sz="4" w:space="0" w:color="000000"/>
            </w:tcBorders>
            <w:shd w:val="clear" w:color="auto" w:fill="auto"/>
          </w:tcPr>
          <w:p w14:paraId="7E616BE9" w14:textId="310A2AA6" w:rsidR="00B7203B" w:rsidRPr="0047462D" w:rsidRDefault="00B7203B" w:rsidP="00B7203B">
            <w:pPr>
              <w:keepNext/>
              <w:rPr>
                <w:rFonts w:eastAsia="Times New Roman"/>
                <w:szCs w:val="22"/>
              </w:rPr>
            </w:pPr>
            <w:r w:rsidRPr="0047462D">
              <w:t>Διαταραχές του μεταβολισμού και της θρέψης</w:t>
            </w:r>
          </w:p>
        </w:tc>
        <w:tc>
          <w:tcPr>
            <w:tcW w:w="2916" w:type="dxa"/>
            <w:tcBorders>
              <w:top w:val="single" w:sz="4" w:space="0" w:color="000000"/>
              <w:left w:val="single" w:sz="4" w:space="0" w:color="000000"/>
              <w:bottom w:val="single" w:sz="4" w:space="0" w:color="000000"/>
            </w:tcBorders>
            <w:shd w:val="clear" w:color="auto" w:fill="auto"/>
          </w:tcPr>
          <w:p w14:paraId="7A75C666" w14:textId="00B0C5CE" w:rsidR="00B7203B" w:rsidRPr="0047462D" w:rsidRDefault="00B7203B" w:rsidP="00B7203B">
            <w:pPr>
              <w:keepNext/>
              <w:rPr>
                <w:rFonts w:eastAsia="Times New Roman"/>
                <w:szCs w:val="22"/>
              </w:rPr>
            </w:pPr>
            <w:r w:rsidRPr="0047462D">
              <w:t xml:space="preserve">Υπογλυκαιμία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3492188" w14:textId="4EF0D714" w:rsidR="00B7203B" w:rsidRPr="0047462D" w:rsidRDefault="00B7203B" w:rsidP="00B7203B">
            <w:pPr>
              <w:keepNext/>
              <w:rPr>
                <w:rFonts w:eastAsia="Times New Roman"/>
                <w:szCs w:val="22"/>
              </w:rPr>
            </w:pPr>
            <w:r w:rsidRPr="0047462D">
              <w:t>συχνές</w:t>
            </w:r>
          </w:p>
        </w:tc>
      </w:tr>
      <w:tr w:rsidR="00A67D3A" w:rsidRPr="0047462D" w14:paraId="709ECC09" w14:textId="77777777">
        <w:trPr>
          <w:cantSplit/>
        </w:trPr>
        <w:tc>
          <w:tcPr>
            <w:tcW w:w="3126" w:type="dxa"/>
            <w:vMerge w:val="restart"/>
            <w:tcBorders>
              <w:top w:val="single" w:sz="4" w:space="0" w:color="000000"/>
              <w:left w:val="single" w:sz="4" w:space="0" w:color="000000"/>
            </w:tcBorders>
            <w:shd w:val="clear" w:color="auto" w:fill="auto"/>
          </w:tcPr>
          <w:p w14:paraId="72CBEB21" w14:textId="77777777" w:rsidR="00A67D3A" w:rsidRPr="0047462D" w:rsidRDefault="00A67D3A" w:rsidP="00A920CD">
            <w:pPr>
              <w:keepNext/>
              <w:rPr>
                <w:rFonts w:eastAsia="Times New Roman"/>
                <w:szCs w:val="22"/>
              </w:rPr>
            </w:pPr>
            <w:r w:rsidRPr="0047462D">
              <w:rPr>
                <w:rFonts w:eastAsia="Times New Roman"/>
                <w:szCs w:val="22"/>
              </w:rPr>
              <w:t xml:space="preserve">Διαταραχές του νευρικού συστήματος </w:t>
            </w:r>
          </w:p>
        </w:tc>
        <w:tc>
          <w:tcPr>
            <w:tcW w:w="2916" w:type="dxa"/>
            <w:tcBorders>
              <w:top w:val="single" w:sz="4" w:space="0" w:color="000000"/>
              <w:left w:val="single" w:sz="4" w:space="0" w:color="000000"/>
              <w:bottom w:val="single" w:sz="4" w:space="0" w:color="000000"/>
            </w:tcBorders>
            <w:shd w:val="clear" w:color="auto" w:fill="auto"/>
          </w:tcPr>
          <w:p w14:paraId="14083ACA" w14:textId="77777777" w:rsidR="00A67D3A" w:rsidRPr="0047462D" w:rsidRDefault="00A67D3A" w:rsidP="00A240EC">
            <w:pPr>
              <w:keepNext/>
              <w:rPr>
                <w:rFonts w:eastAsia="Times New Roman"/>
                <w:szCs w:val="22"/>
              </w:rPr>
            </w:pPr>
            <w:r w:rsidRPr="0047462D">
              <w:rPr>
                <w:rFonts w:eastAsia="Times New Roman"/>
                <w:szCs w:val="22"/>
              </w:rPr>
              <w:t>Κεφαλαλγία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AC41D25" w14:textId="77777777" w:rsidR="00A67D3A" w:rsidRPr="0047462D" w:rsidRDefault="00A67D3A" w:rsidP="00A240EC">
            <w:pPr>
              <w:keepNext/>
              <w:rPr>
                <w:szCs w:val="22"/>
              </w:rPr>
            </w:pPr>
            <w:r w:rsidRPr="0047462D">
              <w:rPr>
                <w:rFonts w:eastAsia="Times New Roman"/>
                <w:szCs w:val="22"/>
              </w:rPr>
              <w:t>πολύ συχνές</w:t>
            </w:r>
          </w:p>
        </w:tc>
      </w:tr>
      <w:tr w:rsidR="00A67D3A" w:rsidRPr="0047462D" w14:paraId="4A19C1BD" w14:textId="77777777">
        <w:trPr>
          <w:cantSplit/>
        </w:trPr>
        <w:tc>
          <w:tcPr>
            <w:tcW w:w="3126" w:type="dxa"/>
            <w:vMerge/>
            <w:tcBorders>
              <w:left w:val="single" w:sz="4" w:space="0" w:color="000000"/>
              <w:bottom w:val="single" w:sz="4" w:space="0" w:color="000000"/>
            </w:tcBorders>
            <w:shd w:val="clear" w:color="auto" w:fill="auto"/>
          </w:tcPr>
          <w:p w14:paraId="17066CEF" w14:textId="77777777" w:rsidR="00A67D3A" w:rsidRPr="0047462D" w:rsidRDefault="00A67D3A"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6C8DC372" w14:textId="77777777" w:rsidR="00A67D3A" w:rsidRPr="0047462D" w:rsidRDefault="00A67D3A" w:rsidP="00A240EC">
            <w:pPr>
              <w:keepNext/>
              <w:rPr>
                <w:rFonts w:eastAsia="Times New Roman"/>
                <w:szCs w:val="22"/>
              </w:rPr>
            </w:pPr>
            <w:r w:rsidRPr="0047462D">
              <w:rPr>
                <w:rFonts w:eastAsia="Times New Roman"/>
                <w:szCs w:val="22"/>
              </w:rPr>
              <w:t>Ζάλη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58FD637" w14:textId="77777777" w:rsidR="00A67D3A" w:rsidRPr="0047462D" w:rsidRDefault="00A67D3A" w:rsidP="00A240EC">
            <w:pPr>
              <w:keepNext/>
              <w:rPr>
                <w:rFonts w:eastAsia="Times New Roman"/>
                <w:szCs w:val="22"/>
              </w:rPr>
            </w:pPr>
            <w:r w:rsidRPr="0047462D">
              <w:rPr>
                <w:rFonts w:eastAsia="Times New Roman"/>
                <w:szCs w:val="22"/>
              </w:rPr>
              <w:t>πολύ συχνές</w:t>
            </w:r>
          </w:p>
        </w:tc>
      </w:tr>
      <w:tr w:rsidR="00A67D3A" w:rsidRPr="0047462D" w14:paraId="6751E640" w14:textId="77777777">
        <w:trPr>
          <w:cantSplit/>
          <w:trHeight w:val="263"/>
        </w:trPr>
        <w:tc>
          <w:tcPr>
            <w:tcW w:w="3126" w:type="dxa"/>
            <w:vMerge w:val="restart"/>
            <w:tcBorders>
              <w:top w:val="single" w:sz="4" w:space="0" w:color="000000"/>
              <w:left w:val="single" w:sz="4" w:space="0" w:color="000000"/>
            </w:tcBorders>
            <w:shd w:val="clear" w:color="auto" w:fill="auto"/>
          </w:tcPr>
          <w:p w14:paraId="592A4D9E" w14:textId="77777777" w:rsidR="00A67D3A" w:rsidRPr="0047462D" w:rsidRDefault="00A67D3A" w:rsidP="00A920CD">
            <w:pPr>
              <w:keepNext/>
              <w:rPr>
                <w:rFonts w:eastAsia="Times New Roman"/>
                <w:szCs w:val="22"/>
              </w:rPr>
            </w:pPr>
            <w:r w:rsidRPr="0047462D">
              <w:rPr>
                <w:noProof/>
              </w:rPr>
              <w:t>Διαταραχές του ωτός και του λαβυρίνθου</w:t>
            </w:r>
          </w:p>
        </w:tc>
        <w:tc>
          <w:tcPr>
            <w:tcW w:w="2916" w:type="dxa"/>
            <w:tcBorders>
              <w:top w:val="single" w:sz="4" w:space="0" w:color="000000"/>
              <w:left w:val="single" w:sz="4" w:space="0" w:color="000000"/>
              <w:bottom w:val="single" w:sz="4" w:space="0" w:color="000000"/>
            </w:tcBorders>
            <w:shd w:val="clear" w:color="auto" w:fill="auto"/>
          </w:tcPr>
          <w:p w14:paraId="46F09E0F" w14:textId="77777777" w:rsidR="00A67D3A" w:rsidRPr="0047462D" w:rsidRDefault="00227ADF" w:rsidP="00A240EC">
            <w:pPr>
              <w:keepNext/>
              <w:rPr>
                <w:rFonts w:eastAsia="Times New Roman"/>
                <w:szCs w:val="22"/>
              </w:rPr>
            </w:pPr>
            <w:r w:rsidRPr="0047462D">
              <w:rPr>
                <w:rFonts w:eastAsia="Times New Roman"/>
                <w:szCs w:val="22"/>
              </w:rPr>
              <w:t>Ωταλγία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7EC825D"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1774DBAE" w14:textId="77777777">
        <w:trPr>
          <w:cantSplit/>
          <w:trHeight w:val="263"/>
        </w:trPr>
        <w:tc>
          <w:tcPr>
            <w:tcW w:w="3126" w:type="dxa"/>
            <w:vMerge/>
            <w:tcBorders>
              <w:left w:val="single" w:sz="4" w:space="0" w:color="000000"/>
            </w:tcBorders>
            <w:shd w:val="clear" w:color="auto" w:fill="auto"/>
          </w:tcPr>
          <w:p w14:paraId="4BFB157E"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7A74605B" w14:textId="77777777" w:rsidR="00A67D3A" w:rsidRPr="0047462D" w:rsidRDefault="00A67D3A" w:rsidP="00A240EC">
            <w:pPr>
              <w:keepNext/>
              <w:rPr>
                <w:rFonts w:eastAsia="Times New Roman"/>
                <w:szCs w:val="22"/>
              </w:rPr>
            </w:pPr>
            <w:r w:rsidRPr="0047462D">
              <w:rPr>
                <w:rFonts w:eastAsia="Times New Roman"/>
                <w:szCs w:val="22"/>
              </w:rPr>
              <w:t>Δυσφορία του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DA17E3D"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70110B2B" w14:textId="77777777">
        <w:trPr>
          <w:cantSplit/>
          <w:trHeight w:val="263"/>
        </w:trPr>
        <w:tc>
          <w:tcPr>
            <w:tcW w:w="3126" w:type="dxa"/>
            <w:vMerge/>
            <w:tcBorders>
              <w:left w:val="single" w:sz="4" w:space="0" w:color="000000"/>
            </w:tcBorders>
            <w:shd w:val="clear" w:color="auto" w:fill="auto"/>
          </w:tcPr>
          <w:p w14:paraId="791C5CCD"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50212653" w14:textId="77777777" w:rsidR="00A67D3A" w:rsidRPr="0047462D" w:rsidRDefault="00A67D3A" w:rsidP="00A240EC">
            <w:pPr>
              <w:keepNext/>
              <w:rPr>
                <w:rFonts w:eastAsia="Times New Roman"/>
                <w:szCs w:val="22"/>
              </w:rPr>
            </w:pPr>
            <w:r w:rsidRPr="0047462D">
              <w:rPr>
                <w:rFonts w:eastAsia="Times New Roman"/>
                <w:szCs w:val="22"/>
              </w:rPr>
              <w:t>Εμβοές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2C80FC0"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21325D56" w14:textId="77777777">
        <w:trPr>
          <w:cantSplit/>
          <w:trHeight w:val="263"/>
        </w:trPr>
        <w:tc>
          <w:tcPr>
            <w:tcW w:w="3126" w:type="dxa"/>
            <w:vMerge/>
            <w:tcBorders>
              <w:left w:val="single" w:sz="4" w:space="0" w:color="000000"/>
            </w:tcBorders>
            <w:shd w:val="clear" w:color="auto" w:fill="auto"/>
          </w:tcPr>
          <w:p w14:paraId="58E66954"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1A63AD56" w14:textId="77777777" w:rsidR="00A67D3A" w:rsidRPr="0047462D" w:rsidRDefault="00A67D3A" w:rsidP="00A240EC">
            <w:pPr>
              <w:keepNext/>
              <w:rPr>
                <w:rFonts w:eastAsia="Times New Roman"/>
                <w:szCs w:val="22"/>
              </w:rPr>
            </w:pPr>
            <w:r w:rsidRPr="0047462D">
              <w:rPr>
                <w:rFonts w:eastAsia="Times New Roman"/>
                <w:szCs w:val="22"/>
              </w:rPr>
              <w:t xml:space="preserve">Υπεραιμία </w:t>
            </w:r>
            <w:r w:rsidR="00997069" w:rsidRPr="0047462D">
              <w:rPr>
                <w:rFonts w:eastAsia="Times New Roman"/>
                <w:szCs w:val="22"/>
              </w:rPr>
              <w:t>του τυμπανικού υμένα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CFD6C58"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226A0FC3" w14:textId="77777777">
        <w:trPr>
          <w:cantSplit/>
          <w:trHeight w:val="263"/>
        </w:trPr>
        <w:tc>
          <w:tcPr>
            <w:tcW w:w="3126" w:type="dxa"/>
            <w:vMerge/>
            <w:tcBorders>
              <w:left w:val="single" w:sz="4" w:space="0" w:color="000000"/>
            </w:tcBorders>
            <w:shd w:val="clear" w:color="auto" w:fill="auto"/>
          </w:tcPr>
          <w:p w14:paraId="24337F57"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66A8F0F0" w14:textId="77777777" w:rsidR="00A67D3A" w:rsidRPr="0047462D" w:rsidRDefault="00227ADF" w:rsidP="00A240EC">
            <w:pPr>
              <w:keepNext/>
              <w:rPr>
                <w:rFonts w:eastAsia="Times New Roman"/>
                <w:szCs w:val="22"/>
              </w:rPr>
            </w:pPr>
            <w:r w:rsidRPr="0047462D">
              <w:rPr>
                <w:rFonts w:eastAsia="Times New Roman"/>
                <w:szCs w:val="22"/>
              </w:rPr>
              <w:t>Αιθουσαία διαταραχή</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A301A33"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43207D74" w14:textId="77777777">
        <w:trPr>
          <w:cantSplit/>
          <w:trHeight w:val="263"/>
        </w:trPr>
        <w:tc>
          <w:tcPr>
            <w:tcW w:w="3126" w:type="dxa"/>
            <w:vMerge/>
            <w:tcBorders>
              <w:left w:val="single" w:sz="4" w:space="0" w:color="000000"/>
            </w:tcBorders>
            <w:shd w:val="clear" w:color="auto" w:fill="auto"/>
          </w:tcPr>
          <w:p w14:paraId="59EB81C8"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ADEBC9C" w14:textId="77777777" w:rsidR="00A67D3A" w:rsidRPr="0047462D" w:rsidRDefault="00A67D3A" w:rsidP="00A240EC">
            <w:pPr>
              <w:keepNext/>
              <w:rPr>
                <w:rFonts w:eastAsia="Times New Roman"/>
                <w:szCs w:val="22"/>
              </w:rPr>
            </w:pPr>
            <w:r w:rsidRPr="0047462D">
              <w:rPr>
                <w:rFonts w:eastAsia="Times New Roman"/>
                <w:szCs w:val="22"/>
              </w:rPr>
              <w:t>Συμφόρηση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DF6762E" w14:textId="77777777" w:rsidR="00A67D3A" w:rsidRPr="0047462D" w:rsidRDefault="00A67D3A" w:rsidP="00A240EC">
            <w:pPr>
              <w:keepNext/>
              <w:rPr>
                <w:rFonts w:eastAsia="Times New Roman"/>
                <w:szCs w:val="22"/>
              </w:rPr>
            </w:pPr>
            <w:r w:rsidRPr="0047462D">
              <w:rPr>
                <w:rFonts w:eastAsia="Times New Roman"/>
                <w:szCs w:val="22"/>
              </w:rPr>
              <w:t>όχι συχνές</w:t>
            </w:r>
          </w:p>
        </w:tc>
      </w:tr>
      <w:tr w:rsidR="000D0799" w:rsidRPr="0047462D" w14:paraId="5E53B6AD" w14:textId="77777777">
        <w:trPr>
          <w:cantSplit/>
          <w:trHeight w:val="263"/>
        </w:trPr>
        <w:tc>
          <w:tcPr>
            <w:tcW w:w="3126" w:type="dxa"/>
            <w:vMerge w:val="restart"/>
            <w:tcBorders>
              <w:top w:val="single" w:sz="4" w:space="0" w:color="000000"/>
              <w:left w:val="single" w:sz="4" w:space="0" w:color="000000"/>
            </w:tcBorders>
            <w:shd w:val="clear" w:color="auto" w:fill="auto"/>
          </w:tcPr>
          <w:p w14:paraId="5079B490" w14:textId="77777777" w:rsidR="000D0799" w:rsidRPr="0047462D" w:rsidRDefault="000D0799" w:rsidP="00A920CD">
            <w:pPr>
              <w:keepNext/>
              <w:rPr>
                <w:rFonts w:eastAsia="Times New Roman"/>
                <w:szCs w:val="22"/>
              </w:rPr>
            </w:pPr>
            <w:r w:rsidRPr="0047462D">
              <w:rPr>
                <w:rFonts w:eastAsia="Times New Roman"/>
                <w:szCs w:val="22"/>
              </w:rPr>
              <w:t>Διαταραχές του αναπνευστικού συστήματος</w:t>
            </w:r>
            <w:r w:rsidRPr="0047462D">
              <w:rPr>
                <w:rFonts w:eastAsia="Arial0"/>
                <w:szCs w:val="22"/>
              </w:rPr>
              <w:t xml:space="preserve">, </w:t>
            </w:r>
            <w:r w:rsidRPr="0047462D">
              <w:rPr>
                <w:rFonts w:eastAsia="Times New Roman"/>
                <w:szCs w:val="22"/>
              </w:rPr>
              <w:t>του θώρακα και του μεσοθωράκιου</w:t>
            </w:r>
          </w:p>
        </w:tc>
        <w:tc>
          <w:tcPr>
            <w:tcW w:w="2916" w:type="dxa"/>
            <w:tcBorders>
              <w:top w:val="single" w:sz="4" w:space="0" w:color="000000"/>
              <w:left w:val="single" w:sz="4" w:space="0" w:color="000000"/>
              <w:bottom w:val="single" w:sz="4" w:space="0" w:color="000000"/>
            </w:tcBorders>
            <w:shd w:val="clear" w:color="auto" w:fill="auto"/>
          </w:tcPr>
          <w:p w14:paraId="6810E7F4" w14:textId="77777777" w:rsidR="000D0799" w:rsidRPr="0047462D" w:rsidRDefault="000D0799" w:rsidP="00A240EC">
            <w:pPr>
              <w:keepNext/>
              <w:rPr>
                <w:rFonts w:eastAsia="Times New Roman"/>
                <w:szCs w:val="22"/>
              </w:rPr>
            </w:pPr>
            <w:r w:rsidRPr="0047462D">
              <w:rPr>
                <w:rFonts w:eastAsia="Times New Roman"/>
                <w:szCs w:val="22"/>
              </w:rPr>
              <w:t>Στοματοφαρυγγικό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B9F6E34" w14:textId="77777777" w:rsidR="000D0799" w:rsidRPr="0047462D" w:rsidRDefault="000D0799" w:rsidP="00A240EC">
            <w:pPr>
              <w:keepNext/>
              <w:rPr>
                <w:szCs w:val="22"/>
              </w:rPr>
            </w:pPr>
            <w:r w:rsidRPr="0047462D">
              <w:rPr>
                <w:rFonts w:eastAsia="Times New Roman"/>
                <w:szCs w:val="22"/>
              </w:rPr>
              <w:t>πολύ συχνές</w:t>
            </w:r>
          </w:p>
        </w:tc>
      </w:tr>
      <w:tr w:rsidR="000D0799" w:rsidRPr="0047462D" w14:paraId="2B10AB01" w14:textId="77777777">
        <w:trPr>
          <w:cantSplit/>
          <w:trHeight w:val="128"/>
        </w:trPr>
        <w:tc>
          <w:tcPr>
            <w:tcW w:w="3126" w:type="dxa"/>
            <w:vMerge/>
            <w:tcBorders>
              <w:left w:val="single" w:sz="4" w:space="0" w:color="000000"/>
            </w:tcBorders>
            <w:shd w:val="clear" w:color="auto" w:fill="auto"/>
          </w:tcPr>
          <w:p w14:paraId="4C93F95E" w14:textId="77777777" w:rsidR="000D0799" w:rsidRPr="0047462D" w:rsidRDefault="000D0799"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63D261EA" w14:textId="77777777" w:rsidR="000D0799" w:rsidRPr="0047462D" w:rsidRDefault="000D0799" w:rsidP="00A240EC">
            <w:pPr>
              <w:keepNext/>
              <w:rPr>
                <w:rFonts w:eastAsia="Times New Roman"/>
                <w:szCs w:val="22"/>
              </w:rPr>
            </w:pPr>
            <w:r w:rsidRPr="0047462D">
              <w:rPr>
                <w:rFonts w:eastAsia="Times New Roman"/>
                <w:szCs w:val="22"/>
              </w:rPr>
              <w:t>Ρινική συμφόρηση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90334E3" w14:textId="77777777" w:rsidR="000D0799" w:rsidRPr="0047462D" w:rsidRDefault="000D0799" w:rsidP="00A240EC">
            <w:pPr>
              <w:keepNext/>
              <w:rPr>
                <w:szCs w:val="22"/>
              </w:rPr>
            </w:pPr>
            <w:r w:rsidRPr="0047462D">
              <w:rPr>
                <w:rFonts w:eastAsia="Times New Roman"/>
                <w:szCs w:val="22"/>
              </w:rPr>
              <w:t>πολύ συχνές</w:t>
            </w:r>
          </w:p>
        </w:tc>
      </w:tr>
      <w:tr w:rsidR="000D0799" w:rsidRPr="0047462D" w14:paraId="21FF74F7" w14:textId="77777777">
        <w:trPr>
          <w:cantSplit/>
          <w:trHeight w:val="128"/>
        </w:trPr>
        <w:tc>
          <w:tcPr>
            <w:tcW w:w="3126" w:type="dxa"/>
            <w:vMerge/>
            <w:tcBorders>
              <w:left w:val="single" w:sz="4" w:space="0" w:color="000000"/>
            </w:tcBorders>
            <w:shd w:val="clear" w:color="auto" w:fill="auto"/>
          </w:tcPr>
          <w:p w14:paraId="47403F60" w14:textId="77777777" w:rsidR="000D0799" w:rsidRPr="0047462D" w:rsidRDefault="000D0799" w:rsidP="00E602A2">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6CC1E12" w14:textId="13A9AD13" w:rsidR="000D0799" w:rsidRPr="0047462D" w:rsidRDefault="000D0799" w:rsidP="00E602A2">
            <w:pPr>
              <w:keepNext/>
              <w:rPr>
                <w:rFonts w:eastAsia="Times New Roman"/>
                <w:szCs w:val="22"/>
              </w:rPr>
            </w:pPr>
            <w:r w:rsidRPr="0047462D">
              <w:t xml:space="preserve">Μη φυσιολογική αναπνοή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FAA43FF" w14:textId="1D30BD9A" w:rsidR="000D0799" w:rsidRPr="0047462D" w:rsidRDefault="000D0799" w:rsidP="00E602A2">
            <w:pPr>
              <w:keepNext/>
              <w:rPr>
                <w:rFonts w:eastAsia="Times New Roman"/>
                <w:szCs w:val="22"/>
              </w:rPr>
            </w:pPr>
            <w:r w:rsidRPr="0047462D">
              <w:t>συχνές</w:t>
            </w:r>
          </w:p>
        </w:tc>
      </w:tr>
      <w:tr w:rsidR="000D0799" w:rsidRPr="0047462D" w14:paraId="1D6BC0EE" w14:textId="77777777">
        <w:trPr>
          <w:cantSplit/>
          <w:trHeight w:val="128"/>
        </w:trPr>
        <w:tc>
          <w:tcPr>
            <w:tcW w:w="3126" w:type="dxa"/>
            <w:vMerge/>
            <w:tcBorders>
              <w:left w:val="single" w:sz="4" w:space="0" w:color="000000"/>
            </w:tcBorders>
            <w:shd w:val="clear" w:color="auto" w:fill="auto"/>
          </w:tcPr>
          <w:p w14:paraId="2FC184AC" w14:textId="77777777" w:rsidR="000D0799" w:rsidRPr="0047462D" w:rsidRDefault="000D0799" w:rsidP="00E602A2">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2E0B8ACF" w14:textId="4BD9AD0A" w:rsidR="000D0799" w:rsidRPr="0047462D" w:rsidRDefault="000D0799" w:rsidP="00E602A2">
            <w:pPr>
              <w:keepNext/>
              <w:rPr>
                <w:rFonts w:eastAsia="Times New Roman"/>
                <w:szCs w:val="22"/>
              </w:rPr>
            </w:pPr>
            <w:r w:rsidRPr="0047462D">
              <w:t xml:space="preserve">Ρινόρροια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BD8F641" w14:textId="61EC6958" w:rsidR="000D0799" w:rsidRPr="0047462D" w:rsidRDefault="000D0799" w:rsidP="00E602A2">
            <w:pPr>
              <w:keepNext/>
              <w:rPr>
                <w:rFonts w:eastAsia="Times New Roman"/>
                <w:szCs w:val="22"/>
              </w:rPr>
            </w:pPr>
            <w:r w:rsidRPr="0047462D">
              <w:t>συχνές</w:t>
            </w:r>
          </w:p>
        </w:tc>
      </w:tr>
      <w:tr w:rsidR="000D0799" w:rsidRPr="0047462D" w14:paraId="3A8AAE9F" w14:textId="77777777">
        <w:trPr>
          <w:cantSplit/>
          <w:trHeight w:val="128"/>
        </w:trPr>
        <w:tc>
          <w:tcPr>
            <w:tcW w:w="3126" w:type="dxa"/>
            <w:vMerge/>
            <w:tcBorders>
              <w:left w:val="single" w:sz="4" w:space="0" w:color="000000"/>
            </w:tcBorders>
            <w:shd w:val="clear" w:color="auto" w:fill="auto"/>
          </w:tcPr>
          <w:p w14:paraId="397D043B" w14:textId="77777777" w:rsidR="000D0799" w:rsidRPr="0047462D" w:rsidRDefault="000D0799"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C180E20" w14:textId="77777777" w:rsidR="000D0799" w:rsidRPr="0047462D" w:rsidRDefault="000D0799" w:rsidP="00A240EC">
            <w:pPr>
              <w:keepNext/>
              <w:rPr>
                <w:rFonts w:eastAsia="Times New Roman"/>
                <w:szCs w:val="22"/>
              </w:rPr>
            </w:pPr>
            <w:r w:rsidRPr="0047462D">
              <w:rPr>
                <w:rFonts w:eastAsia="Times New Roman"/>
                <w:szCs w:val="22"/>
              </w:rPr>
              <w:t>Συμφόρηση κόλπων του προσώπου</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1E28811" w14:textId="77777777" w:rsidR="000D0799" w:rsidRPr="0047462D" w:rsidRDefault="000D0799" w:rsidP="00A240EC">
            <w:pPr>
              <w:keepNext/>
              <w:rPr>
                <w:szCs w:val="22"/>
              </w:rPr>
            </w:pPr>
            <w:r w:rsidRPr="0047462D">
              <w:rPr>
                <w:rFonts w:eastAsia="Times New Roman"/>
                <w:szCs w:val="22"/>
              </w:rPr>
              <w:t>συχνές</w:t>
            </w:r>
          </w:p>
        </w:tc>
      </w:tr>
      <w:tr w:rsidR="000D0799" w:rsidRPr="0047462D" w14:paraId="0DCF5C19" w14:textId="77777777" w:rsidTr="00F02E12">
        <w:trPr>
          <w:cantSplit/>
          <w:trHeight w:val="127"/>
        </w:trPr>
        <w:tc>
          <w:tcPr>
            <w:tcW w:w="3126" w:type="dxa"/>
            <w:vMerge/>
            <w:tcBorders>
              <w:left w:val="single" w:sz="4" w:space="0" w:color="000000"/>
            </w:tcBorders>
            <w:shd w:val="clear" w:color="auto" w:fill="auto"/>
          </w:tcPr>
          <w:p w14:paraId="7559D74F" w14:textId="77777777" w:rsidR="000D0799" w:rsidRPr="0047462D" w:rsidRDefault="000D0799"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12A5F1D4" w14:textId="77777777" w:rsidR="000D0799" w:rsidRPr="0047462D" w:rsidRDefault="000D0799" w:rsidP="00A240EC">
            <w:pPr>
              <w:keepNext/>
              <w:rPr>
                <w:rFonts w:eastAsia="Times New Roman"/>
                <w:szCs w:val="22"/>
              </w:rPr>
            </w:pPr>
            <w:r w:rsidRPr="0047462D">
              <w:rPr>
                <w:rFonts w:eastAsia="Times New Roman"/>
                <w:szCs w:val="22"/>
              </w:rPr>
              <w:t>Φαρυγγικό ερύθημα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33B1CDF" w14:textId="77777777" w:rsidR="000D0799" w:rsidRPr="0047462D" w:rsidRDefault="000D0799" w:rsidP="00A240EC">
            <w:pPr>
              <w:keepNext/>
              <w:rPr>
                <w:rFonts w:eastAsia="Times New Roman"/>
                <w:szCs w:val="22"/>
              </w:rPr>
            </w:pPr>
            <w:r w:rsidRPr="0047462D">
              <w:rPr>
                <w:rFonts w:eastAsia="Times New Roman"/>
                <w:szCs w:val="22"/>
              </w:rPr>
              <w:t>συχνές</w:t>
            </w:r>
          </w:p>
        </w:tc>
      </w:tr>
      <w:tr w:rsidR="000D0799" w:rsidRPr="0047462D" w14:paraId="1C031C95" w14:textId="77777777">
        <w:trPr>
          <w:cantSplit/>
          <w:trHeight w:val="127"/>
        </w:trPr>
        <w:tc>
          <w:tcPr>
            <w:tcW w:w="3126" w:type="dxa"/>
            <w:vMerge/>
            <w:tcBorders>
              <w:left w:val="single" w:sz="4" w:space="0" w:color="000000"/>
              <w:bottom w:val="single" w:sz="4" w:space="0" w:color="000000"/>
            </w:tcBorders>
            <w:shd w:val="clear" w:color="auto" w:fill="auto"/>
          </w:tcPr>
          <w:p w14:paraId="07720DDA"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D8A1C04" w14:textId="624BD3AA" w:rsidR="000D0799" w:rsidRPr="0047462D" w:rsidRDefault="000D0799" w:rsidP="000D0799">
            <w:pPr>
              <w:keepNext/>
              <w:rPr>
                <w:rFonts w:eastAsia="Times New Roman"/>
                <w:szCs w:val="22"/>
              </w:rPr>
            </w:pPr>
            <w:r w:rsidRPr="0047462D">
              <w:t xml:space="preserve">Συριγμός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661ABA7" w14:textId="2BCBCD6B" w:rsidR="000D0799" w:rsidRPr="0047462D" w:rsidRDefault="000D0799" w:rsidP="000D0799">
            <w:pPr>
              <w:keepNext/>
              <w:rPr>
                <w:rFonts w:eastAsia="Times New Roman"/>
                <w:szCs w:val="22"/>
              </w:rPr>
            </w:pPr>
            <w:r w:rsidRPr="0047462D">
              <w:t>όχι συχνές</w:t>
            </w:r>
          </w:p>
        </w:tc>
      </w:tr>
      <w:tr w:rsidR="001B19C3" w:rsidRPr="0047462D" w14:paraId="67BF1A0B" w14:textId="77777777">
        <w:trPr>
          <w:cantSplit/>
          <w:trHeight w:val="375"/>
        </w:trPr>
        <w:tc>
          <w:tcPr>
            <w:tcW w:w="3126" w:type="dxa"/>
            <w:vMerge w:val="restart"/>
            <w:tcBorders>
              <w:top w:val="single" w:sz="4" w:space="0" w:color="000000"/>
              <w:left w:val="single" w:sz="4" w:space="0" w:color="000000"/>
            </w:tcBorders>
            <w:shd w:val="clear" w:color="auto" w:fill="auto"/>
          </w:tcPr>
          <w:p w14:paraId="670CF0B1" w14:textId="77777777" w:rsidR="001B19C3" w:rsidRPr="0047462D" w:rsidRDefault="001B19C3" w:rsidP="00A920CD">
            <w:pPr>
              <w:keepNext/>
              <w:rPr>
                <w:rFonts w:eastAsia="Times New Roman"/>
                <w:szCs w:val="22"/>
              </w:rPr>
            </w:pPr>
            <w:r w:rsidRPr="0047462D">
              <w:rPr>
                <w:rFonts w:eastAsia="Times New Roman"/>
                <w:szCs w:val="22"/>
              </w:rPr>
              <w:t>Διαταραχές του γαστρεντερικού</w:t>
            </w:r>
          </w:p>
        </w:tc>
        <w:tc>
          <w:tcPr>
            <w:tcW w:w="2916" w:type="dxa"/>
            <w:tcBorders>
              <w:top w:val="single" w:sz="4" w:space="0" w:color="000000"/>
              <w:left w:val="single" w:sz="4" w:space="0" w:color="000000"/>
              <w:bottom w:val="single" w:sz="4" w:space="0" w:color="000000"/>
            </w:tcBorders>
            <w:shd w:val="clear" w:color="auto" w:fill="auto"/>
          </w:tcPr>
          <w:p w14:paraId="767A9D53" w14:textId="77777777" w:rsidR="001B19C3" w:rsidRPr="0047462D" w:rsidRDefault="001B19C3" w:rsidP="00A240EC">
            <w:pPr>
              <w:keepNext/>
              <w:rPr>
                <w:rFonts w:eastAsia="Times New Roman"/>
                <w:szCs w:val="22"/>
              </w:rPr>
            </w:pPr>
            <w:r w:rsidRPr="0047462D">
              <w:rPr>
                <w:rFonts w:eastAsia="Times New Roman"/>
                <w:szCs w:val="22"/>
              </w:rPr>
              <w:t>Κοιλιακό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8F26FFD" w14:textId="77777777" w:rsidR="001B19C3" w:rsidRPr="0047462D" w:rsidRDefault="001B19C3" w:rsidP="00A240EC">
            <w:pPr>
              <w:keepNext/>
              <w:rPr>
                <w:szCs w:val="22"/>
              </w:rPr>
            </w:pPr>
            <w:r w:rsidRPr="0047462D">
              <w:rPr>
                <w:rFonts w:eastAsia="Times New Roman"/>
                <w:szCs w:val="22"/>
              </w:rPr>
              <w:t>πολύ συχνές</w:t>
            </w:r>
          </w:p>
        </w:tc>
      </w:tr>
      <w:tr w:rsidR="001B19C3" w:rsidRPr="0047462D" w14:paraId="112225B0" w14:textId="77777777" w:rsidTr="006D5718">
        <w:trPr>
          <w:cantSplit/>
          <w:trHeight w:val="375"/>
        </w:trPr>
        <w:tc>
          <w:tcPr>
            <w:tcW w:w="3126" w:type="dxa"/>
            <w:vMerge/>
            <w:tcBorders>
              <w:left w:val="single" w:sz="4" w:space="0" w:color="000000"/>
            </w:tcBorders>
            <w:shd w:val="clear" w:color="auto" w:fill="auto"/>
          </w:tcPr>
          <w:p w14:paraId="29570FBC" w14:textId="77777777" w:rsidR="001B19C3" w:rsidRPr="0047462D" w:rsidRDefault="001B19C3"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C035CD1" w14:textId="77777777" w:rsidR="001B19C3" w:rsidRPr="0047462D" w:rsidRDefault="001B19C3" w:rsidP="00A240EC">
            <w:pPr>
              <w:keepNext/>
              <w:rPr>
                <w:rFonts w:eastAsia="Times New Roman"/>
                <w:szCs w:val="22"/>
              </w:rPr>
            </w:pPr>
            <w:r w:rsidRPr="0047462D">
              <w:rPr>
                <w:rFonts w:eastAsia="Times New Roman"/>
                <w:szCs w:val="22"/>
              </w:rPr>
              <w:t>Διάρροια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80C7645" w14:textId="77777777" w:rsidR="001B19C3" w:rsidRPr="0047462D" w:rsidRDefault="001B19C3" w:rsidP="00A240EC">
            <w:pPr>
              <w:keepNext/>
              <w:rPr>
                <w:rFonts w:eastAsia="Times New Roman"/>
                <w:szCs w:val="22"/>
              </w:rPr>
            </w:pPr>
            <w:r w:rsidRPr="0047462D">
              <w:rPr>
                <w:rFonts w:eastAsia="Times New Roman"/>
                <w:szCs w:val="22"/>
              </w:rPr>
              <w:t>πολύ συχνές</w:t>
            </w:r>
          </w:p>
        </w:tc>
      </w:tr>
      <w:tr w:rsidR="000D0799" w:rsidRPr="0047462D" w14:paraId="3F3118EA" w14:textId="77777777" w:rsidTr="006D5718">
        <w:trPr>
          <w:cantSplit/>
          <w:trHeight w:val="375"/>
        </w:trPr>
        <w:tc>
          <w:tcPr>
            <w:tcW w:w="3126" w:type="dxa"/>
            <w:vMerge/>
            <w:tcBorders>
              <w:left w:val="single" w:sz="4" w:space="0" w:color="000000"/>
            </w:tcBorders>
            <w:shd w:val="clear" w:color="auto" w:fill="auto"/>
          </w:tcPr>
          <w:p w14:paraId="731650B4"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A22F7FC" w14:textId="15C6C04F" w:rsidR="000D0799" w:rsidRPr="0047462D" w:rsidRDefault="000D0799" w:rsidP="000D0799">
            <w:pPr>
              <w:keepNext/>
              <w:rPr>
                <w:rFonts w:eastAsia="Times New Roman"/>
                <w:szCs w:val="22"/>
              </w:rPr>
            </w:pPr>
            <w:r w:rsidRPr="0047462D">
              <w:t xml:space="preserve">Άλγος άνω κοιλιακής χώρας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A905C48" w14:textId="5CB3280B" w:rsidR="000D0799" w:rsidRPr="0047462D" w:rsidRDefault="000D0799" w:rsidP="000D0799">
            <w:pPr>
              <w:keepNext/>
              <w:rPr>
                <w:rFonts w:eastAsia="Times New Roman"/>
                <w:szCs w:val="22"/>
              </w:rPr>
            </w:pPr>
            <w:r w:rsidRPr="0047462D">
              <w:t>συχνές</w:t>
            </w:r>
          </w:p>
        </w:tc>
      </w:tr>
      <w:tr w:rsidR="000D0799" w:rsidRPr="0047462D" w14:paraId="77A320EB" w14:textId="77777777" w:rsidTr="006D5718">
        <w:trPr>
          <w:cantSplit/>
          <w:trHeight w:val="375"/>
        </w:trPr>
        <w:tc>
          <w:tcPr>
            <w:tcW w:w="3126" w:type="dxa"/>
            <w:vMerge/>
            <w:tcBorders>
              <w:left w:val="single" w:sz="4" w:space="0" w:color="000000"/>
            </w:tcBorders>
            <w:shd w:val="clear" w:color="auto" w:fill="auto"/>
          </w:tcPr>
          <w:p w14:paraId="24274037"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10D74743" w14:textId="461CAA36" w:rsidR="000D0799" w:rsidRPr="0047462D" w:rsidRDefault="000D0799" w:rsidP="000D0799">
            <w:pPr>
              <w:keepNext/>
              <w:rPr>
                <w:rFonts w:eastAsia="Times New Roman"/>
                <w:szCs w:val="22"/>
              </w:rPr>
            </w:pPr>
            <w:r w:rsidRPr="0047462D">
              <w:t xml:space="preserve">Μετεωρισμός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DD5A18B" w14:textId="3EE34C44" w:rsidR="000D0799" w:rsidRPr="0047462D" w:rsidRDefault="000D0799" w:rsidP="000D0799">
            <w:pPr>
              <w:keepNext/>
              <w:rPr>
                <w:rFonts w:eastAsia="Times New Roman"/>
                <w:szCs w:val="22"/>
              </w:rPr>
            </w:pPr>
            <w:r w:rsidRPr="0047462D">
              <w:t>συχνές</w:t>
            </w:r>
          </w:p>
        </w:tc>
      </w:tr>
      <w:tr w:rsidR="000D0799" w:rsidRPr="0047462D" w14:paraId="446DE27B" w14:textId="77777777">
        <w:trPr>
          <w:cantSplit/>
          <w:trHeight w:val="375"/>
        </w:trPr>
        <w:tc>
          <w:tcPr>
            <w:tcW w:w="3126" w:type="dxa"/>
            <w:vMerge/>
            <w:tcBorders>
              <w:left w:val="single" w:sz="4" w:space="0" w:color="000000"/>
              <w:bottom w:val="single" w:sz="4" w:space="0" w:color="000000"/>
            </w:tcBorders>
            <w:shd w:val="clear" w:color="auto" w:fill="auto"/>
          </w:tcPr>
          <w:p w14:paraId="660C84B6"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94C27AA" w14:textId="29A03844" w:rsidR="000D0799" w:rsidRPr="0047462D" w:rsidRDefault="000D0799" w:rsidP="000D0799">
            <w:pPr>
              <w:keepNext/>
              <w:rPr>
                <w:rFonts w:eastAsia="Times New Roman"/>
                <w:szCs w:val="22"/>
              </w:rPr>
            </w:pPr>
            <w:r w:rsidRPr="0047462D">
              <w:t xml:space="preserve">Ναυτία </w:t>
            </w:r>
            <w:r w:rsidRPr="0047462D">
              <w:rPr>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99A6DAA" w14:textId="029B62FF" w:rsidR="000D0799" w:rsidRPr="0047462D" w:rsidRDefault="000D0799" w:rsidP="000D0799">
            <w:pPr>
              <w:keepNext/>
              <w:rPr>
                <w:rFonts w:eastAsia="Times New Roman"/>
                <w:szCs w:val="22"/>
              </w:rPr>
            </w:pPr>
            <w:r w:rsidRPr="0047462D">
              <w:t>συχνές</w:t>
            </w:r>
          </w:p>
        </w:tc>
      </w:tr>
      <w:tr w:rsidR="006F737E" w:rsidRPr="0047462D" w14:paraId="711273CA" w14:textId="77777777" w:rsidTr="00F02E12">
        <w:trPr>
          <w:cantSplit/>
        </w:trPr>
        <w:tc>
          <w:tcPr>
            <w:tcW w:w="3126" w:type="dxa"/>
            <w:vMerge w:val="restart"/>
            <w:tcBorders>
              <w:top w:val="single" w:sz="4" w:space="0" w:color="000000"/>
              <w:left w:val="single" w:sz="4" w:space="0" w:color="000000"/>
            </w:tcBorders>
            <w:shd w:val="clear" w:color="auto" w:fill="auto"/>
          </w:tcPr>
          <w:p w14:paraId="46966CB6" w14:textId="77777777" w:rsidR="006F737E" w:rsidRPr="0047462D" w:rsidRDefault="006F737E" w:rsidP="00D3539C">
            <w:pPr>
              <w:rPr>
                <w:rFonts w:eastAsia="Times New Roman"/>
                <w:szCs w:val="22"/>
              </w:rPr>
            </w:pPr>
            <w:r w:rsidRPr="0047462D">
              <w:rPr>
                <w:noProof/>
              </w:rPr>
              <w:t>Διαταραχές του ήπατος και των χοληφόρων</w:t>
            </w:r>
          </w:p>
        </w:tc>
        <w:tc>
          <w:tcPr>
            <w:tcW w:w="2916" w:type="dxa"/>
            <w:tcBorders>
              <w:top w:val="single" w:sz="4" w:space="0" w:color="000000"/>
              <w:left w:val="single" w:sz="4" w:space="0" w:color="000000"/>
              <w:bottom w:val="single" w:sz="4" w:space="0" w:color="000000"/>
            </w:tcBorders>
            <w:shd w:val="clear" w:color="auto" w:fill="auto"/>
          </w:tcPr>
          <w:p w14:paraId="13D56EC4" w14:textId="77777777" w:rsidR="006F737E" w:rsidRPr="0047462D" w:rsidRDefault="006F737E" w:rsidP="00D3539C">
            <w:pPr>
              <w:rPr>
                <w:rFonts w:eastAsia="Times New Roman"/>
                <w:szCs w:val="22"/>
              </w:rPr>
            </w:pPr>
            <w:r w:rsidRPr="0047462D">
              <w:rPr>
                <w:rFonts w:eastAsia="Times New Roman"/>
                <w:szCs w:val="22"/>
              </w:rPr>
              <w:t xml:space="preserve">Αυξήσεις των </w:t>
            </w:r>
            <w:r w:rsidRPr="0047462D">
              <w:rPr>
                <w:bCs/>
                <w:szCs w:val="22"/>
              </w:rPr>
              <w:t>τρανσαμινασών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E071736" w14:textId="77777777" w:rsidR="006F737E" w:rsidRPr="0047462D" w:rsidRDefault="006F737E" w:rsidP="00D3539C">
            <w:pPr>
              <w:rPr>
                <w:rFonts w:eastAsia="Times New Roman"/>
                <w:szCs w:val="22"/>
              </w:rPr>
            </w:pPr>
            <w:r w:rsidRPr="0047462D">
              <w:rPr>
                <w:rFonts w:eastAsia="Times New Roman"/>
                <w:szCs w:val="22"/>
              </w:rPr>
              <w:t>πολύ συχνές</w:t>
            </w:r>
          </w:p>
        </w:tc>
      </w:tr>
      <w:tr w:rsidR="006F737E" w:rsidRPr="0047462D" w14:paraId="2CA6776B" w14:textId="77777777" w:rsidTr="00F02E12">
        <w:trPr>
          <w:cantSplit/>
        </w:trPr>
        <w:tc>
          <w:tcPr>
            <w:tcW w:w="3126" w:type="dxa"/>
            <w:vMerge/>
            <w:tcBorders>
              <w:top w:val="single" w:sz="4" w:space="0" w:color="000000"/>
              <w:left w:val="single" w:sz="4" w:space="0" w:color="000000"/>
            </w:tcBorders>
            <w:shd w:val="clear" w:color="auto" w:fill="auto"/>
          </w:tcPr>
          <w:p w14:paraId="2029E992" w14:textId="77777777" w:rsidR="006F737E" w:rsidRPr="0047462D" w:rsidRDefault="006F737E" w:rsidP="006F737E">
            <w:pPr>
              <w:rPr>
                <w:noProof/>
              </w:rPr>
            </w:pPr>
          </w:p>
        </w:tc>
        <w:tc>
          <w:tcPr>
            <w:tcW w:w="2916" w:type="dxa"/>
            <w:tcBorders>
              <w:top w:val="single" w:sz="4" w:space="0" w:color="000000"/>
              <w:left w:val="single" w:sz="4" w:space="0" w:color="000000"/>
              <w:bottom w:val="single" w:sz="4" w:space="0" w:color="000000"/>
            </w:tcBorders>
            <w:shd w:val="clear" w:color="auto" w:fill="auto"/>
          </w:tcPr>
          <w:p w14:paraId="02F24CC7" w14:textId="0040BF46" w:rsidR="006F737E" w:rsidRPr="0047462D" w:rsidRDefault="006F737E" w:rsidP="006F737E">
            <w:pPr>
              <w:rPr>
                <w:rFonts w:eastAsia="Times New Roman"/>
                <w:szCs w:val="22"/>
              </w:rPr>
            </w:pPr>
            <w:r w:rsidRPr="0047462D">
              <w:t xml:space="preserve">Αμινοτρανσφεράση της αλανίνης μειωμένη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4780D64" w14:textId="2895843B" w:rsidR="006F737E" w:rsidRPr="0047462D" w:rsidRDefault="006F737E" w:rsidP="006F737E">
            <w:pPr>
              <w:rPr>
                <w:rFonts w:eastAsia="Times New Roman"/>
                <w:szCs w:val="22"/>
              </w:rPr>
            </w:pPr>
            <w:r w:rsidRPr="0047462D">
              <w:t>συχνές</w:t>
            </w:r>
          </w:p>
        </w:tc>
      </w:tr>
      <w:tr w:rsidR="006F737E" w:rsidRPr="0047462D" w14:paraId="42BB3F5D" w14:textId="77777777" w:rsidTr="00F02E12">
        <w:trPr>
          <w:cantSplit/>
        </w:trPr>
        <w:tc>
          <w:tcPr>
            <w:tcW w:w="3126" w:type="dxa"/>
            <w:vMerge/>
            <w:tcBorders>
              <w:left w:val="single" w:sz="4" w:space="0" w:color="000000"/>
              <w:bottom w:val="single" w:sz="4" w:space="0" w:color="000000"/>
            </w:tcBorders>
            <w:shd w:val="clear" w:color="auto" w:fill="auto"/>
          </w:tcPr>
          <w:p w14:paraId="5B4477E7" w14:textId="77777777" w:rsidR="006F737E" w:rsidRPr="0047462D" w:rsidRDefault="006F737E" w:rsidP="006F737E">
            <w:pPr>
              <w:rPr>
                <w:noProof/>
              </w:rPr>
            </w:pPr>
          </w:p>
        </w:tc>
        <w:tc>
          <w:tcPr>
            <w:tcW w:w="2916" w:type="dxa"/>
            <w:tcBorders>
              <w:top w:val="single" w:sz="4" w:space="0" w:color="000000"/>
              <w:left w:val="single" w:sz="4" w:space="0" w:color="000000"/>
              <w:bottom w:val="single" w:sz="4" w:space="0" w:color="000000"/>
            </w:tcBorders>
            <w:shd w:val="clear" w:color="auto" w:fill="auto"/>
          </w:tcPr>
          <w:p w14:paraId="6CB8CCAE" w14:textId="1E317F65" w:rsidR="006F737E" w:rsidRPr="0047462D" w:rsidRDefault="0065180A" w:rsidP="006F737E">
            <w:pPr>
              <w:rPr>
                <w:rFonts w:eastAsia="Times New Roman"/>
                <w:szCs w:val="22"/>
              </w:rPr>
            </w:pPr>
            <w:r w:rsidRPr="0047462D">
              <w:t>Ασπαρτική αμινοτρανσφεράση αυξημένη</w:t>
            </w:r>
            <w:r w:rsidR="00E446B3" w:rsidRPr="0047462D">
              <w:rPr>
                <w:lang w:val="en-GB"/>
              </w:rPr>
              <w:t> </w:t>
            </w:r>
            <w:r w:rsidR="006F737E"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8912168" w14:textId="2939AC88" w:rsidR="006F737E" w:rsidRPr="0047462D" w:rsidRDefault="006F737E" w:rsidP="006F737E">
            <w:pPr>
              <w:rPr>
                <w:rFonts w:eastAsia="Times New Roman"/>
                <w:szCs w:val="22"/>
              </w:rPr>
            </w:pPr>
            <w:r w:rsidRPr="0047462D">
              <w:t>συχνές</w:t>
            </w:r>
          </w:p>
        </w:tc>
      </w:tr>
      <w:tr w:rsidR="00853F7B" w:rsidRPr="0047462D" w14:paraId="144AC3B4" w14:textId="77777777" w:rsidTr="00F02E12">
        <w:trPr>
          <w:cantSplit/>
        </w:trPr>
        <w:tc>
          <w:tcPr>
            <w:tcW w:w="3126" w:type="dxa"/>
            <w:vMerge w:val="restart"/>
            <w:tcBorders>
              <w:top w:val="single" w:sz="4" w:space="0" w:color="000000"/>
              <w:left w:val="single" w:sz="4" w:space="0" w:color="000000"/>
            </w:tcBorders>
            <w:shd w:val="clear" w:color="auto" w:fill="auto"/>
          </w:tcPr>
          <w:p w14:paraId="6BF11247" w14:textId="77777777" w:rsidR="00853F7B" w:rsidRPr="0047462D" w:rsidRDefault="00853F7B" w:rsidP="00D3539C">
            <w:pPr>
              <w:rPr>
                <w:rFonts w:eastAsia="Times New Roman"/>
                <w:szCs w:val="22"/>
              </w:rPr>
            </w:pPr>
            <w:r w:rsidRPr="0047462D">
              <w:rPr>
                <w:rFonts w:eastAsia="Times New Roman"/>
                <w:szCs w:val="22"/>
              </w:rPr>
              <w:t>Διαταραχές του δέρματος και του υποδόριου ιστού</w:t>
            </w:r>
          </w:p>
        </w:tc>
        <w:tc>
          <w:tcPr>
            <w:tcW w:w="2916" w:type="dxa"/>
            <w:tcBorders>
              <w:top w:val="single" w:sz="4" w:space="0" w:color="000000"/>
              <w:left w:val="single" w:sz="4" w:space="0" w:color="000000"/>
              <w:bottom w:val="single" w:sz="4" w:space="0" w:color="000000"/>
            </w:tcBorders>
            <w:shd w:val="clear" w:color="auto" w:fill="auto"/>
          </w:tcPr>
          <w:p w14:paraId="1A571E6A" w14:textId="77777777" w:rsidR="00853F7B" w:rsidRPr="0047462D" w:rsidRDefault="00853F7B" w:rsidP="00D3539C">
            <w:pPr>
              <w:rPr>
                <w:rFonts w:eastAsia="Times New Roman"/>
                <w:szCs w:val="22"/>
              </w:rPr>
            </w:pPr>
            <w:r w:rsidRPr="0047462D">
              <w:rPr>
                <w:rFonts w:eastAsia="Times New Roman"/>
                <w:szCs w:val="22"/>
              </w:rPr>
              <w:t>Εξάνθημα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B367C49" w14:textId="77777777" w:rsidR="00853F7B" w:rsidRPr="0047462D" w:rsidRDefault="00853F7B" w:rsidP="00D3539C">
            <w:pPr>
              <w:rPr>
                <w:rFonts w:eastAsia="Times New Roman"/>
                <w:szCs w:val="22"/>
              </w:rPr>
            </w:pPr>
            <w:r w:rsidRPr="0047462D">
              <w:rPr>
                <w:rFonts w:eastAsia="Times New Roman"/>
                <w:szCs w:val="22"/>
              </w:rPr>
              <w:t>πολύ συχνές</w:t>
            </w:r>
          </w:p>
        </w:tc>
      </w:tr>
      <w:tr w:rsidR="00853F7B" w:rsidRPr="0047462D" w14:paraId="22743EF5" w14:textId="77777777" w:rsidTr="00F02E12">
        <w:trPr>
          <w:cantSplit/>
        </w:trPr>
        <w:tc>
          <w:tcPr>
            <w:tcW w:w="3126" w:type="dxa"/>
            <w:vMerge/>
            <w:tcBorders>
              <w:top w:val="single" w:sz="4" w:space="0" w:color="000000"/>
              <w:left w:val="single" w:sz="4" w:space="0" w:color="000000"/>
            </w:tcBorders>
            <w:shd w:val="clear" w:color="auto" w:fill="auto"/>
          </w:tcPr>
          <w:p w14:paraId="15CF61C2" w14:textId="77777777" w:rsidR="00853F7B" w:rsidRPr="0047462D" w:rsidRDefault="00853F7B" w:rsidP="00853F7B">
            <w:pPr>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FE60559" w14:textId="3AE168A7" w:rsidR="00853F7B" w:rsidRPr="0047462D" w:rsidRDefault="00853F7B" w:rsidP="00853F7B">
            <w:pPr>
              <w:rPr>
                <w:rFonts w:eastAsia="Times New Roman"/>
                <w:szCs w:val="22"/>
              </w:rPr>
            </w:pPr>
            <w:r w:rsidRPr="0047462D">
              <w:t xml:space="preserve">Ακμή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668182D" w14:textId="62B127B5" w:rsidR="00853F7B" w:rsidRPr="0047462D" w:rsidRDefault="00853F7B" w:rsidP="00853F7B">
            <w:pPr>
              <w:rPr>
                <w:rFonts w:eastAsia="Times New Roman"/>
                <w:szCs w:val="22"/>
              </w:rPr>
            </w:pPr>
            <w:r w:rsidRPr="0047462D">
              <w:t>συχνές</w:t>
            </w:r>
          </w:p>
        </w:tc>
      </w:tr>
      <w:tr w:rsidR="00853F7B" w:rsidRPr="0047462D" w14:paraId="27BB1B29" w14:textId="77777777" w:rsidTr="00F02E12">
        <w:trPr>
          <w:cantSplit/>
        </w:trPr>
        <w:tc>
          <w:tcPr>
            <w:tcW w:w="3126" w:type="dxa"/>
            <w:vMerge/>
            <w:tcBorders>
              <w:left w:val="single" w:sz="4" w:space="0" w:color="000000"/>
              <w:bottom w:val="single" w:sz="4" w:space="0" w:color="000000"/>
            </w:tcBorders>
            <w:shd w:val="clear" w:color="auto" w:fill="auto"/>
          </w:tcPr>
          <w:p w14:paraId="6CCAB6D6" w14:textId="77777777" w:rsidR="00853F7B" w:rsidRPr="0047462D" w:rsidRDefault="00853F7B" w:rsidP="00853F7B">
            <w:pPr>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7D53318" w14:textId="4A3D19A8" w:rsidR="00853F7B" w:rsidRPr="0047462D" w:rsidRDefault="00853F7B" w:rsidP="00853F7B">
            <w:pPr>
              <w:rPr>
                <w:rFonts w:eastAsia="Times New Roman"/>
                <w:szCs w:val="22"/>
              </w:rPr>
            </w:pPr>
            <w:r w:rsidRPr="0047462D">
              <w:t xml:space="preserve">Κνησμός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915E33C" w14:textId="16543CDF" w:rsidR="00853F7B" w:rsidRPr="0047462D" w:rsidRDefault="00853F7B" w:rsidP="00853F7B">
            <w:pPr>
              <w:rPr>
                <w:rFonts w:eastAsia="Times New Roman"/>
                <w:szCs w:val="22"/>
              </w:rPr>
            </w:pPr>
            <w:r w:rsidRPr="0047462D">
              <w:t>συχνές</w:t>
            </w:r>
          </w:p>
        </w:tc>
      </w:tr>
      <w:tr w:rsidR="001B19C3" w:rsidRPr="0047462D" w14:paraId="74BAD900" w14:textId="77777777">
        <w:trPr>
          <w:cantSplit/>
        </w:trPr>
        <w:tc>
          <w:tcPr>
            <w:tcW w:w="3126" w:type="dxa"/>
            <w:vMerge w:val="restart"/>
            <w:tcBorders>
              <w:top w:val="single" w:sz="4" w:space="0" w:color="000000"/>
              <w:left w:val="single" w:sz="4" w:space="0" w:color="000000"/>
            </w:tcBorders>
            <w:shd w:val="clear" w:color="auto" w:fill="auto"/>
          </w:tcPr>
          <w:p w14:paraId="1342994D" w14:textId="77777777" w:rsidR="001B19C3" w:rsidRPr="0047462D" w:rsidRDefault="001B19C3" w:rsidP="001B19C3">
            <w:pPr>
              <w:keepNext/>
              <w:rPr>
                <w:rFonts w:eastAsia="Times New Roman"/>
                <w:szCs w:val="22"/>
              </w:rPr>
            </w:pPr>
            <w:r w:rsidRPr="0047462D">
              <w:rPr>
                <w:noProof/>
              </w:rPr>
              <w:t>Διαταραχές του αναπαραγωγικού συστήματος και του μαστού</w:t>
            </w:r>
          </w:p>
        </w:tc>
        <w:tc>
          <w:tcPr>
            <w:tcW w:w="2916" w:type="dxa"/>
            <w:tcBorders>
              <w:top w:val="single" w:sz="4" w:space="0" w:color="000000"/>
              <w:left w:val="single" w:sz="4" w:space="0" w:color="000000"/>
              <w:bottom w:val="single" w:sz="4" w:space="0" w:color="000000"/>
            </w:tcBorders>
            <w:shd w:val="clear" w:color="auto" w:fill="auto"/>
          </w:tcPr>
          <w:p w14:paraId="7CFFC854" w14:textId="77777777" w:rsidR="001B19C3" w:rsidRPr="0047462D" w:rsidRDefault="001B19C3" w:rsidP="001B19C3">
            <w:pPr>
              <w:keepNext/>
              <w:rPr>
                <w:rFonts w:eastAsia="Times New Roman"/>
                <w:szCs w:val="22"/>
              </w:rPr>
            </w:pPr>
            <w:r w:rsidRPr="0047462D">
              <w:rPr>
                <w:rFonts w:eastAsia="Times New Roman"/>
                <w:szCs w:val="22"/>
              </w:rPr>
              <w:t>Όγκος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BB548E8" w14:textId="77777777" w:rsidR="001B19C3" w:rsidRPr="0047462D" w:rsidRDefault="001B19C3" w:rsidP="001B19C3">
            <w:pPr>
              <w:keepNext/>
              <w:rPr>
                <w:rFonts w:eastAsia="Times New Roman"/>
                <w:szCs w:val="22"/>
              </w:rPr>
            </w:pPr>
            <w:r w:rsidRPr="0047462D">
              <w:rPr>
                <w:rFonts w:eastAsia="Times New Roman"/>
                <w:szCs w:val="22"/>
              </w:rPr>
              <w:t>συχνές</w:t>
            </w:r>
          </w:p>
        </w:tc>
      </w:tr>
      <w:tr w:rsidR="001B19C3" w:rsidRPr="0047462D" w14:paraId="45CD4216" w14:textId="77777777">
        <w:trPr>
          <w:cantSplit/>
        </w:trPr>
        <w:tc>
          <w:tcPr>
            <w:tcW w:w="3126" w:type="dxa"/>
            <w:vMerge/>
            <w:tcBorders>
              <w:left w:val="single" w:sz="4" w:space="0" w:color="000000"/>
            </w:tcBorders>
            <w:shd w:val="clear" w:color="auto" w:fill="auto"/>
          </w:tcPr>
          <w:p w14:paraId="3F23C46B"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5A331A9B" w14:textId="77777777" w:rsidR="001B19C3" w:rsidRPr="0047462D" w:rsidRDefault="001B19C3" w:rsidP="001B19C3">
            <w:pPr>
              <w:keepNext/>
              <w:rPr>
                <w:rFonts w:eastAsia="Times New Roman"/>
                <w:szCs w:val="22"/>
              </w:rPr>
            </w:pPr>
            <w:r w:rsidRPr="0047462D">
              <w:rPr>
                <w:rFonts w:eastAsia="Times New Roman"/>
                <w:szCs w:val="22"/>
              </w:rPr>
              <w:t>Φλεγμονή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5908F10"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1B19C3" w:rsidRPr="0047462D" w14:paraId="55557854" w14:textId="77777777">
        <w:trPr>
          <w:cantSplit/>
        </w:trPr>
        <w:tc>
          <w:tcPr>
            <w:tcW w:w="3126" w:type="dxa"/>
            <w:vMerge/>
            <w:tcBorders>
              <w:left w:val="single" w:sz="4" w:space="0" w:color="000000"/>
            </w:tcBorders>
            <w:shd w:val="clear" w:color="auto" w:fill="auto"/>
          </w:tcPr>
          <w:p w14:paraId="6E6D27C5"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6C9BB257" w14:textId="77777777" w:rsidR="001B19C3" w:rsidRPr="0047462D" w:rsidRDefault="001B19C3" w:rsidP="001B19C3">
            <w:pPr>
              <w:keepNext/>
              <w:rPr>
                <w:rFonts w:eastAsia="Times New Roman"/>
                <w:szCs w:val="22"/>
              </w:rPr>
            </w:pPr>
            <w:r w:rsidRPr="0047462D">
              <w:rPr>
                <w:rFonts w:eastAsia="Times New Roman"/>
                <w:szCs w:val="22"/>
              </w:rPr>
              <w:t>Γυναικομαστία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C15A486"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1B19C3" w:rsidRPr="0047462D" w14:paraId="3854F619" w14:textId="77777777">
        <w:trPr>
          <w:cantSplit/>
        </w:trPr>
        <w:tc>
          <w:tcPr>
            <w:tcW w:w="3126" w:type="dxa"/>
            <w:vMerge/>
            <w:tcBorders>
              <w:left w:val="single" w:sz="4" w:space="0" w:color="000000"/>
            </w:tcBorders>
            <w:shd w:val="clear" w:color="auto" w:fill="auto"/>
          </w:tcPr>
          <w:p w14:paraId="4AF60B94"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5C26F72B" w14:textId="77777777" w:rsidR="001B19C3" w:rsidRPr="0047462D" w:rsidRDefault="001B19C3" w:rsidP="001B19C3">
            <w:pPr>
              <w:keepNext/>
              <w:rPr>
                <w:rFonts w:eastAsia="Times New Roman"/>
                <w:szCs w:val="22"/>
              </w:rPr>
            </w:pPr>
            <w:r w:rsidRPr="0047462D">
              <w:rPr>
                <w:rFonts w:eastAsia="Times New Roman"/>
                <w:szCs w:val="22"/>
              </w:rPr>
              <w:t>Διαταραχή θηλών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DE5149F"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1B19C3" w:rsidRPr="0047462D" w14:paraId="48D4FD90" w14:textId="77777777">
        <w:trPr>
          <w:cantSplit/>
        </w:trPr>
        <w:tc>
          <w:tcPr>
            <w:tcW w:w="3126" w:type="dxa"/>
            <w:vMerge/>
            <w:tcBorders>
              <w:left w:val="single" w:sz="4" w:space="0" w:color="000000"/>
              <w:bottom w:val="single" w:sz="4" w:space="0" w:color="000000"/>
            </w:tcBorders>
            <w:shd w:val="clear" w:color="auto" w:fill="auto"/>
          </w:tcPr>
          <w:p w14:paraId="2E71EADC"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634BC23A" w14:textId="77777777" w:rsidR="001B19C3" w:rsidRPr="0047462D" w:rsidRDefault="001B19C3" w:rsidP="001B19C3">
            <w:pPr>
              <w:keepNext/>
              <w:rPr>
                <w:rFonts w:eastAsia="Times New Roman"/>
                <w:szCs w:val="22"/>
              </w:rPr>
            </w:pPr>
            <w:r w:rsidRPr="0047462D">
              <w:rPr>
                <w:rFonts w:eastAsia="Times New Roman"/>
                <w:szCs w:val="22"/>
              </w:rPr>
              <w:t>Άλγος θηλής μαστού</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C670FC6"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9B6A05" w:rsidRPr="0047462D" w14:paraId="6C4E80C3" w14:textId="77777777" w:rsidTr="00F02E12">
        <w:trPr>
          <w:cantSplit/>
        </w:trPr>
        <w:tc>
          <w:tcPr>
            <w:tcW w:w="3126" w:type="dxa"/>
            <w:vMerge w:val="restart"/>
            <w:tcBorders>
              <w:top w:val="single" w:sz="4" w:space="0" w:color="auto"/>
              <w:left w:val="single" w:sz="4" w:space="0" w:color="000000"/>
            </w:tcBorders>
            <w:shd w:val="clear" w:color="auto" w:fill="auto"/>
          </w:tcPr>
          <w:p w14:paraId="2E10670A" w14:textId="77777777" w:rsidR="009B6A05" w:rsidRPr="0047462D" w:rsidRDefault="009B6A05" w:rsidP="001B19C3">
            <w:pPr>
              <w:keepNext/>
              <w:rPr>
                <w:rFonts w:eastAsia="Times New Roman"/>
                <w:szCs w:val="22"/>
              </w:rPr>
            </w:pPr>
            <w:r w:rsidRPr="0047462D">
              <w:rPr>
                <w:rFonts w:eastAsia="Times New Roman"/>
                <w:szCs w:val="22"/>
              </w:rPr>
              <w:t>Παρακλινικές εξετάσεις</w:t>
            </w:r>
          </w:p>
          <w:p w14:paraId="464DA96C" w14:textId="77777777" w:rsidR="009B6A05" w:rsidRPr="0047462D" w:rsidRDefault="009B6A05"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2C697651" w14:textId="77777777" w:rsidR="009B6A05" w:rsidRPr="0047462D" w:rsidRDefault="009B6A05" w:rsidP="001B19C3">
            <w:pPr>
              <w:keepNext/>
              <w:rPr>
                <w:rFonts w:eastAsia="Times New Roman"/>
                <w:szCs w:val="22"/>
              </w:rPr>
            </w:pPr>
            <w:r w:rsidRPr="0047462D">
              <w:rPr>
                <w:rFonts w:eastAsia="Times New Roman"/>
                <w:szCs w:val="22"/>
              </w:rPr>
              <w:t>Βακτήρια στα πτύελα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4ECD259" w14:textId="77777777" w:rsidR="009B6A05" w:rsidRPr="0047462D" w:rsidRDefault="009B6A05" w:rsidP="001B19C3">
            <w:pPr>
              <w:keepNext/>
              <w:rPr>
                <w:color w:val="000000"/>
                <w:szCs w:val="22"/>
                <w:lang w:eastAsia="en-US"/>
              </w:rPr>
            </w:pPr>
            <w:r w:rsidRPr="0047462D">
              <w:rPr>
                <w:rFonts w:eastAsia="Times New Roman"/>
                <w:szCs w:val="22"/>
              </w:rPr>
              <w:t>πολύ συχνές</w:t>
            </w:r>
          </w:p>
        </w:tc>
      </w:tr>
      <w:tr w:rsidR="009B6A05" w:rsidRPr="0047462D" w14:paraId="2B857316" w14:textId="77777777" w:rsidTr="00F02E12">
        <w:trPr>
          <w:cantSplit/>
        </w:trPr>
        <w:tc>
          <w:tcPr>
            <w:tcW w:w="3126" w:type="dxa"/>
            <w:vMerge/>
            <w:tcBorders>
              <w:top w:val="single" w:sz="4" w:space="0" w:color="auto"/>
              <w:left w:val="single" w:sz="4" w:space="0" w:color="000000"/>
            </w:tcBorders>
            <w:shd w:val="clear" w:color="auto" w:fill="auto"/>
          </w:tcPr>
          <w:p w14:paraId="428FC589" w14:textId="77777777" w:rsidR="009B6A05" w:rsidRPr="0047462D" w:rsidRDefault="009B6A05" w:rsidP="009B6A05">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2099E25A" w14:textId="6B92B139" w:rsidR="009B6A05" w:rsidRPr="0047462D" w:rsidRDefault="009B6A05" w:rsidP="009B6A05">
            <w:pPr>
              <w:keepNext/>
              <w:rPr>
                <w:rFonts w:eastAsia="Times New Roman"/>
                <w:szCs w:val="22"/>
              </w:rPr>
            </w:pPr>
            <w:r w:rsidRPr="0047462D">
              <w:t xml:space="preserve">Κρεατινοφωσφοκινάση αίματος αυξημένη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A8D5868" w14:textId="5CF4CA6C" w:rsidR="009B6A05" w:rsidRPr="0047462D" w:rsidRDefault="009B6A05" w:rsidP="009B6A05">
            <w:pPr>
              <w:keepNext/>
              <w:rPr>
                <w:rFonts w:eastAsia="Times New Roman"/>
                <w:szCs w:val="22"/>
              </w:rPr>
            </w:pPr>
            <w:r w:rsidRPr="0047462D">
              <w:t>συχνές</w:t>
            </w:r>
          </w:p>
        </w:tc>
      </w:tr>
      <w:tr w:rsidR="009B6A05" w:rsidRPr="0047462D" w14:paraId="4741B12A" w14:textId="77777777" w:rsidTr="00F02E12">
        <w:trPr>
          <w:cantSplit/>
        </w:trPr>
        <w:tc>
          <w:tcPr>
            <w:tcW w:w="3126" w:type="dxa"/>
            <w:vMerge/>
            <w:tcBorders>
              <w:left w:val="single" w:sz="4" w:space="0" w:color="000000"/>
              <w:bottom w:val="single" w:sz="4" w:space="0" w:color="auto"/>
            </w:tcBorders>
            <w:shd w:val="clear" w:color="auto" w:fill="auto"/>
          </w:tcPr>
          <w:p w14:paraId="10224D65" w14:textId="77777777" w:rsidR="009B6A05" w:rsidRPr="0047462D" w:rsidRDefault="009B6A05" w:rsidP="009B6A05">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0EFFC953" w14:textId="7CFAE616" w:rsidR="009B6A05" w:rsidRPr="0047462D" w:rsidRDefault="009B6A05" w:rsidP="009B6A05">
            <w:pPr>
              <w:keepNext/>
              <w:rPr>
                <w:rFonts w:eastAsia="Times New Roman"/>
                <w:szCs w:val="22"/>
              </w:rPr>
            </w:pPr>
            <w:r w:rsidRPr="0047462D">
              <w:t xml:space="preserve">Αρτηριακή πίεση αυξημένη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5DB4062" w14:textId="7867F6C1" w:rsidR="009B6A05" w:rsidRPr="0047462D" w:rsidRDefault="009B6A05" w:rsidP="009B6A05">
            <w:pPr>
              <w:keepNext/>
              <w:rPr>
                <w:rFonts w:eastAsia="Times New Roman"/>
                <w:szCs w:val="22"/>
              </w:rPr>
            </w:pPr>
            <w:r w:rsidRPr="0047462D">
              <w:t>όχι συχνές</w:t>
            </w:r>
          </w:p>
        </w:tc>
      </w:tr>
    </w:tbl>
    <w:p w14:paraId="7805AD46" w14:textId="6E7447C6" w:rsidR="009B6A05" w:rsidRPr="00F93ECE" w:rsidRDefault="009B6A05" w:rsidP="009B6A05">
      <w:pPr>
        <w:keepNext/>
        <w:ind w:left="288" w:hanging="288"/>
        <w:rPr>
          <w:sz w:val="18"/>
          <w:szCs w:val="18"/>
        </w:rPr>
      </w:pPr>
      <w:r w:rsidRPr="0047462D">
        <w:rPr>
          <w:sz w:val="18"/>
          <w:szCs w:val="18"/>
        </w:rPr>
        <w:t xml:space="preserve">* </w:t>
      </w:r>
      <w:r w:rsidR="000F07E4" w:rsidRPr="0047462D">
        <w:rPr>
          <w:sz w:val="18"/>
          <w:szCs w:val="18"/>
        </w:rPr>
        <w:t xml:space="preserve">Η ανεπιθύμητη ενέργεια και η συχνότητα αναφέρθηκαν από κλινικές μελέτες με το </w:t>
      </w:r>
      <w:r w:rsidRPr="0047462D">
        <w:rPr>
          <w:sz w:val="18"/>
          <w:szCs w:val="18"/>
        </w:rPr>
        <w:t xml:space="preserve">ivacaftor </w:t>
      </w:r>
      <w:r w:rsidR="000F07E4" w:rsidRPr="0047462D">
        <w:rPr>
          <w:sz w:val="18"/>
          <w:szCs w:val="18"/>
        </w:rPr>
        <w:t xml:space="preserve">σε συνδυασμό με </w:t>
      </w:r>
      <w:r w:rsidRPr="0047462D">
        <w:rPr>
          <w:sz w:val="18"/>
          <w:szCs w:val="18"/>
        </w:rPr>
        <w:t>tezacaftor/ivacaftor</w:t>
      </w:r>
      <w:r w:rsidR="00DD57AA" w:rsidRPr="00F93ECE">
        <w:rPr>
          <w:sz w:val="18"/>
          <w:szCs w:val="18"/>
        </w:rPr>
        <w:t>.</w:t>
      </w:r>
    </w:p>
    <w:p w14:paraId="0CD53E82" w14:textId="20A9A10C" w:rsidR="009B6A05" w:rsidRPr="00F93ECE" w:rsidRDefault="009B6A05" w:rsidP="009B6A05">
      <w:pPr>
        <w:ind w:left="289" w:hanging="289"/>
        <w:rPr>
          <w:sz w:val="18"/>
          <w:szCs w:val="18"/>
        </w:rPr>
      </w:pPr>
      <w:r w:rsidRPr="0047462D">
        <w:rPr>
          <w:rFonts w:ascii="Arial" w:hAnsi="Arial" w:cs="Arial"/>
          <w:sz w:val="18"/>
          <w:szCs w:val="18"/>
          <w:vertAlign w:val="superscript"/>
        </w:rPr>
        <w:t>†</w:t>
      </w:r>
      <w:r w:rsidRPr="0047462D">
        <w:rPr>
          <w:sz w:val="18"/>
          <w:szCs w:val="18"/>
        </w:rPr>
        <w:t xml:space="preserve"> </w:t>
      </w:r>
      <w:r w:rsidR="000F07E4" w:rsidRPr="0047462D">
        <w:rPr>
          <w:sz w:val="18"/>
          <w:szCs w:val="18"/>
        </w:rPr>
        <w:t xml:space="preserve">Η ανεπιθύμητη ενέργεια και η συχνότητα αναφέρθηκαν από κλινικές μελέτες με το ivacaftor σε συνδυασμό με </w:t>
      </w:r>
      <w:r w:rsidRPr="0047462D">
        <w:rPr>
          <w:sz w:val="18"/>
          <w:szCs w:val="18"/>
        </w:rPr>
        <w:t>ivacaftor/tezacaftor/elexacaftor</w:t>
      </w:r>
      <w:r w:rsidR="00DD57AA" w:rsidRPr="00F93ECE">
        <w:rPr>
          <w:sz w:val="18"/>
          <w:szCs w:val="18"/>
        </w:rPr>
        <w:t>.</w:t>
      </w:r>
    </w:p>
    <w:p w14:paraId="3EE49CDF" w14:textId="77777777" w:rsidR="00A67D3A" w:rsidRPr="0047462D" w:rsidRDefault="00A67D3A">
      <w:pPr>
        <w:pStyle w:val="labeltextheading"/>
        <w:keepNext w:val="0"/>
        <w:rPr>
          <w:i w:val="0"/>
          <w:iCs w:val="0"/>
          <w:color w:val="000000"/>
          <w:sz w:val="22"/>
          <w:szCs w:val="22"/>
          <w:lang w:val="el-GR"/>
        </w:rPr>
      </w:pPr>
    </w:p>
    <w:p w14:paraId="6362FFE9" w14:textId="77777777" w:rsidR="00A67D3A" w:rsidRPr="0047462D" w:rsidRDefault="00A67D3A">
      <w:pPr>
        <w:keepNext/>
        <w:rPr>
          <w:rFonts w:eastAsia="Times New Roman"/>
          <w:szCs w:val="22"/>
          <w:u w:val="single"/>
        </w:rPr>
      </w:pPr>
      <w:r w:rsidRPr="0047462D">
        <w:rPr>
          <w:rFonts w:eastAsia="Times New Roman"/>
          <w:szCs w:val="22"/>
          <w:u w:val="single"/>
        </w:rPr>
        <w:t>Περιγραφή επιλεγμένων ανεπιθύμητων ενεργειών</w:t>
      </w:r>
    </w:p>
    <w:p w14:paraId="680072DF" w14:textId="77777777" w:rsidR="00123F93" w:rsidRPr="0047462D" w:rsidRDefault="00123F93">
      <w:pPr>
        <w:keepNext/>
        <w:rPr>
          <w:szCs w:val="22"/>
        </w:rPr>
      </w:pPr>
    </w:p>
    <w:p w14:paraId="3F8BBFEB" w14:textId="563FE27A" w:rsidR="00A67D3A" w:rsidRPr="0047462D" w:rsidRDefault="00A67D3A">
      <w:pPr>
        <w:keepNext/>
        <w:rPr>
          <w:rFonts w:eastAsia="Times New Roman"/>
          <w:i/>
          <w:iCs/>
          <w:szCs w:val="22"/>
        </w:rPr>
      </w:pPr>
      <w:r w:rsidRPr="0047462D">
        <w:rPr>
          <w:rFonts w:eastAsia="Times New Roman"/>
          <w:i/>
          <w:iCs/>
          <w:szCs w:val="22"/>
        </w:rPr>
        <w:t>Αυξήσεις τρανσαμινασών</w:t>
      </w:r>
    </w:p>
    <w:p w14:paraId="6BE038DC" w14:textId="77777777" w:rsidR="007972C4" w:rsidRPr="0047462D" w:rsidRDefault="007972C4">
      <w:pPr>
        <w:keepNext/>
      </w:pPr>
    </w:p>
    <w:p w14:paraId="6F4E6EE3" w14:textId="5999E157" w:rsidR="00A67D3A" w:rsidRPr="0047462D" w:rsidRDefault="00A67D3A" w:rsidP="002C32E8">
      <w:pPr>
        <w:rPr>
          <w:rFonts w:eastAsia="Times New Roman"/>
          <w:szCs w:val="22"/>
        </w:rPr>
      </w:pPr>
      <w:r w:rsidRPr="0047462D">
        <w:rPr>
          <w:rFonts w:eastAsia="Times New Roman"/>
          <w:szCs w:val="22"/>
        </w:rPr>
        <w:t xml:space="preserve">Κατά τη διάρκεια των ελεγχόμενων με εικονικό φάρμακο μελετών 1 και 2 48 εβδομάδων </w:t>
      </w:r>
      <w:r w:rsidR="00A34FB5" w:rsidRPr="0047462D">
        <w:t xml:space="preserve">για το ivacaftor ως μονοθεραπεία </w:t>
      </w:r>
      <w:r w:rsidRPr="0047462D">
        <w:rPr>
          <w:rFonts w:eastAsia="Times New Roman"/>
          <w:szCs w:val="22"/>
        </w:rPr>
        <w:t xml:space="preserve">σε ασθενείς ηλικίας 6 ετών και άνω, η </w:t>
      </w:r>
      <w:r w:rsidR="0010082B" w:rsidRPr="0047462D">
        <w:rPr>
          <w:rFonts w:eastAsia="Times New Roman"/>
          <w:szCs w:val="22"/>
        </w:rPr>
        <w:t xml:space="preserve">επίπτωση των </w:t>
      </w:r>
      <w:r w:rsidRPr="0047462D">
        <w:rPr>
          <w:rFonts w:eastAsia="Times New Roman"/>
          <w:szCs w:val="22"/>
        </w:rPr>
        <w:t>μέγιστ</w:t>
      </w:r>
      <w:r w:rsidR="00E3211B" w:rsidRPr="0047462D">
        <w:rPr>
          <w:rFonts w:eastAsia="Times New Roman"/>
          <w:szCs w:val="22"/>
        </w:rPr>
        <w:t>ων αυξήσεων</w:t>
      </w:r>
      <w:r w:rsidRPr="0047462D">
        <w:rPr>
          <w:rFonts w:eastAsia="Times New Roman"/>
          <w:szCs w:val="22"/>
        </w:rPr>
        <w:t xml:space="preserve"> τρανσαμιν</w:t>
      </w:r>
      <w:r w:rsidR="00E3211B" w:rsidRPr="0047462D">
        <w:rPr>
          <w:rFonts w:eastAsia="Times New Roman"/>
          <w:szCs w:val="22"/>
        </w:rPr>
        <w:t>ασών</w:t>
      </w:r>
      <w:r w:rsidRPr="0047462D">
        <w:rPr>
          <w:rFonts w:eastAsia="Times New Roman"/>
          <w:szCs w:val="22"/>
        </w:rPr>
        <w:t xml:space="preserve"> (ALT ή AST) &gt;</w:t>
      </w:r>
      <w:r w:rsidR="004819F3" w:rsidRPr="0047462D">
        <w:rPr>
          <w:rFonts w:eastAsia="Times New Roman"/>
          <w:szCs w:val="22"/>
        </w:rPr>
        <w:t> </w:t>
      </w:r>
      <w:r w:rsidRPr="0047462D">
        <w:rPr>
          <w:rFonts w:eastAsia="Times New Roman"/>
          <w:szCs w:val="22"/>
        </w:rPr>
        <w:t>8, &gt;</w:t>
      </w:r>
      <w:r w:rsidR="004819F3" w:rsidRPr="0047462D">
        <w:rPr>
          <w:rFonts w:eastAsia="Times New Roman"/>
          <w:szCs w:val="22"/>
        </w:rPr>
        <w:t> </w:t>
      </w:r>
      <w:r w:rsidRPr="0047462D">
        <w:rPr>
          <w:rFonts w:eastAsia="Times New Roman"/>
          <w:szCs w:val="22"/>
        </w:rPr>
        <w:t xml:space="preserve">5 ή &gt;3 x ULN ήταν 3,7%, 3,7% και 8,3% σε ασθενείς υπό αγωγή με </w:t>
      </w:r>
      <w:r w:rsidRPr="0047462D">
        <w:t>ivacaftor</w:t>
      </w:r>
      <w:r w:rsidRPr="0047462D">
        <w:rPr>
          <w:rFonts w:eastAsia="Times New Roman"/>
          <w:szCs w:val="22"/>
        </w:rPr>
        <w:t xml:space="preserve"> και 1,0%, 1,9% και 8,7% σε ασθενείς υπό αγωγή με εικονικό φάρμακο, αντίστοιχα. Δύο ασθενείς, ένας σε αγωγή με εικονικό φάρμακο και ένας σε αγωγή με </w:t>
      </w:r>
      <w:r w:rsidRPr="0047462D">
        <w:t>ivacaftor</w:t>
      </w:r>
      <w:r w:rsidRPr="0047462D">
        <w:rPr>
          <w:rFonts w:eastAsia="Times New Roman"/>
          <w:szCs w:val="22"/>
        </w:rPr>
        <w:t xml:space="preserve"> διέκοψαν μόνιμα τη θεραπεία λόγω αυξημένων τρανσαμινασών, καθένας &gt;</w:t>
      </w:r>
      <w:r w:rsidR="004819F3" w:rsidRPr="0047462D">
        <w:rPr>
          <w:rFonts w:eastAsia="Times New Roman"/>
          <w:szCs w:val="22"/>
        </w:rPr>
        <w:t> </w:t>
      </w:r>
      <w:r w:rsidRPr="0047462D">
        <w:rPr>
          <w:rFonts w:eastAsia="Times New Roman"/>
          <w:szCs w:val="22"/>
        </w:rPr>
        <w:t>8</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Κανένας ασθενής υπό αγωγή με </w:t>
      </w:r>
      <w:r w:rsidRPr="0047462D">
        <w:t>ivacaftor</w:t>
      </w:r>
      <w:r w:rsidRPr="0047462D">
        <w:rPr>
          <w:rFonts w:eastAsia="Times New Roman"/>
          <w:szCs w:val="22"/>
        </w:rPr>
        <w:t xml:space="preserve"> δεν εμφάνισε αύξηση τρανσαμινασών &gt;</w:t>
      </w:r>
      <w:r w:rsidR="004819F3" w:rsidRPr="0047462D">
        <w:rPr>
          <w:rFonts w:eastAsia="Times New Roman"/>
          <w:szCs w:val="22"/>
        </w:rPr>
        <w:t> </w:t>
      </w:r>
      <w:r w:rsidRPr="0047462D">
        <w:rPr>
          <w:rFonts w:eastAsia="Times New Roman"/>
          <w:szCs w:val="22"/>
        </w:rPr>
        <w:t>3</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ULN σχετιζόμενη με αυξημένη ολική χολερυθρίνη &gt;</w:t>
      </w:r>
      <w:r w:rsidR="004819F3" w:rsidRPr="0047462D">
        <w:rPr>
          <w:rFonts w:eastAsia="Times New Roman"/>
          <w:szCs w:val="22"/>
        </w:rPr>
        <w:t> </w:t>
      </w:r>
      <w:r w:rsidRPr="0047462D">
        <w:rPr>
          <w:rFonts w:eastAsia="Times New Roman"/>
          <w:szCs w:val="22"/>
        </w:rPr>
        <w:t xml:space="preserve">1,5 x ULN. Σε ασθενείς υπό αγωγή με </w:t>
      </w:r>
      <w:r w:rsidRPr="0047462D">
        <w:t>ivacaftor</w:t>
      </w:r>
      <w:r w:rsidRPr="0047462D">
        <w:rPr>
          <w:rFonts w:eastAsia="Times New Roman"/>
          <w:szCs w:val="22"/>
        </w:rPr>
        <w:t>, οι περισσότερες αυξήσεις τρανσαμινασών έως και 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αποκαταστάθηκαν χωρίς διακοπή της θεραπείας. Η χορήγηση δόσης του </w:t>
      </w:r>
      <w:r w:rsidRPr="0047462D">
        <w:t>ivacaftor</w:t>
      </w:r>
      <w:r w:rsidRPr="0047462D">
        <w:rPr>
          <w:rFonts w:eastAsia="Times New Roman"/>
          <w:szCs w:val="22"/>
        </w:rPr>
        <w:t xml:space="preserve"> διεκόπη </w:t>
      </w:r>
      <w:r w:rsidR="004819F3" w:rsidRPr="0047462D">
        <w:rPr>
          <w:rFonts w:eastAsia="Times New Roman"/>
          <w:szCs w:val="22"/>
        </w:rPr>
        <w:t xml:space="preserve">προσωρινά </w:t>
      </w:r>
      <w:r w:rsidRPr="0047462D">
        <w:rPr>
          <w:rFonts w:eastAsia="Times New Roman"/>
          <w:szCs w:val="22"/>
        </w:rPr>
        <w:t>στους περισσότερους ασθενείς με αυξήσεις τρανσαμινασών &gt;</w:t>
      </w:r>
      <w:r w:rsidR="004819F3" w:rsidRPr="0047462D">
        <w:rPr>
          <w:rFonts w:eastAsia="Times New Roman"/>
          <w:szCs w:val="22"/>
        </w:rPr>
        <w:t> </w:t>
      </w:r>
      <w:r w:rsidRPr="0047462D">
        <w:rPr>
          <w:rFonts w:eastAsia="Times New Roman"/>
          <w:szCs w:val="22"/>
        </w:rPr>
        <w:t>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Σε όλες τις περιπτώσεις όπου διεκόπη </w:t>
      </w:r>
      <w:r w:rsidR="004819F3" w:rsidRPr="0047462D">
        <w:rPr>
          <w:rFonts w:eastAsia="Times New Roman"/>
          <w:szCs w:val="22"/>
        </w:rPr>
        <w:t xml:space="preserve">προσωρινά </w:t>
      </w:r>
      <w:r w:rsidRPr="0047462D">
        <w:rPr>
          <w:rFonts w:eastAsia="Times New Roman"/>
          <w:szCs w:val="22"/>
        </w:rPr>
        <w:t xml:space="preserve">η χορήγηση δόσης λόγω αυξημένων τρανσαμινασών και κατόπιν ξανάρχισε, κατέστη δυνατόν να ξαναρχίσει η χορήγηση δόσης του </w:t>
      </w:r>
      <w:r w:rsidRPr="0047462D">
        <w:t>ivacaftor</w:t>
      </w:r>
      <w:r w:rsidRPr="0047462D">
        <w:rPr>
          <w:rFonts w:eastAsia="Times New Roman"/>
          <w:szCs w:val="22"/>
        </w:rPr>
        <w:t xml:space="preserve"> επιτυχώς (βλ. παράγραφο 4.4).</w:t>
      </w:r>
    </w:p>
    <w:p w14:paraId="2F00F679" w14:textId="7283A285" w:rsidR="00A67D3A" w:rsidRPr="0047462D" w:rsidRDefault="00A67D3A" w:rsidP="002331FF">
      <w:pPr>
        <w:rPr>
          <w:rFonts w:eastAsia="Times New Roman"/>
          <w:szCs w:val="22"/>
        </w:rPr>
      </w:pPr>
    </w:p>
    <w:p w14:paraId="018BE20F" w14:textId="1CC3ECA5" w:rsidR="006D2376" w:rsidRPr="0047462D" w:rsidRDefault="00F926CC" w:rsidP="006D2376">
      <w:r w:rsidRPr="0047462D">
        <w:t>Κατά τη διάρκεια των ελεγχόμενων με εικονικό φάρμακο μελετών φάσης 3 (έως και 24 εβδομάδων) για το tezacaftor/ivacaftor, η επίπτωση μέγιστης τρανσαμινάσης (ALT ή AST)</w:t>
      </w:r>
      <w:r w:rsidR="0010082B" w:rsidRPr="0047462D">
        <w:rPr>
          <w:lang w:val="en-US"/>
        </w:rPr>
        <w:t> </w:t>
      </w:r>
      <w:r w:rsidRPr="0047462D">
        <w:t>&gt;</w:t>
      </w:r>
      <w:r w:rsidR="0010082B" w:rsidRPr="0047462D">
        <w:rPr>
          <w:lang w:val="en-US"/>
        </w:rPr>
        <w:t> </w:t>
      </w:r>
      <w:r w:rsidRPr="0047462D">
        <w:t>8, &gt;</w:t>
      </w:r>
      <w:r w:rsidR="0010082B" w:rsidRPr="0047462D">
        <w:rPr>
          <w:lang w:val="en-US"/>
        </w:rPr>
        <w:t> </w:t>
      </w:r>
      <w:r w:rsidRPr="0047462D">
        <w:t>5 ή &gt;</w:t>
      </w:r>
      <w:r w:rsidR="0010082B" w:rsidRPr="0047462D">
        <w:rPr>
          <w:lang w:val="en-US"/>
        </w:rPr>
        <w:t> </w:t>
      </w:r>
      <w:r w:rsidRPr="0047462D">
        <w:t>3</w:t>
      </w:r>
      <w:r w:rsidR="0010082B" w:rsidRPr="0047462D">
        <w:rPr>
          <w:lang w:val="en-US"/>
        </w:rPr>
        <w:t> </w:t>
      </w:r>
      <w:r w:rsidRPr="0047462D">
        <w:t>x</w:t>
      </w:r>
      <w:r w:rsidR="0010082B" w:rsidRPr="0047462D">
        <w:rPr>
          <w:lang w:val="en-US"/>
        </w:rPr>
        <w:t> </w:t>
      </w:r>
      <w:r w:rsidRPr="0047462D">
        <w:t>ULN ήταν 0,2%, 1,0% και 3,4% στους ασθενείς υπό αγωγή με tezacaftor/ivacaftor και 0,4%, 1,0% και 3,4% στους ασθενείς υπό αγωγή με εικονικό φάρμακο. Ένας ασθενής (0,2%) υπό αγωγή με τη θεραπεία και 2</w:t>
      </w:r>
      <w:r w:rsidR="0010082B" w:rsidRPr="0047462D">
        <w:rPr>
          <w:lang w:val="en-US"/>
        </w:rPr>
        <w:t> </w:t>
      </w:r>
      <w:r w:rsidRPr="0047462D">
        <w:t xml:space="preserve">ασθενείς (0,4%) υπό αγωγή με το εικονικό φάρμακο διέκοψαν μόνιμα τη θεραπεία λόγω αυξημένων τρανσαμινασών. Κανένας από τους ασθενείς υπό αγωγή με tezacaftor/ivacaftor δεν παρουσίασε αύξηση </w:t>
      </w:r>
      <w:r w:rsidR="0010082B" w:rsidRPr="0047462D">
        <w:t>τρανσαμινάσης</w:t>
      </w:r>
      <w:r w:rsidRPr="0047462D">
        <w:t xml:space="preserve"> &gt;</w:t>
      </w:r>
      <w:r w:rsidR="0010082B" w:rsidRPr="0047462D">
        <w:t> </w:t>
      </w:r>
      <w:r w:rsidRPr="0047462D">
        <w:t>3</w:t>
      </w:r>
      <w:r w:rsidR="0010082B" w:rsidRPr="0047462D">
        <w:t> </w:t>
      </w:r>
      <w:r w:rsidRPr="0047462D">
        <w:t>x</w:t>
      </w:r>
      <w:r w:rsidR="0010082B" w:rsidRPr="0047462D">
        <w:t> </w:t>
      </w:r>
      <w:r w:rsidRPr="0047462D">
        <w:t>ULN που να συσχετίζεται με αυξημένη ολική χολερυθρίνη &gt;</w:t>
      </w:r>
      <w:r w:rsidR="0010082B" w:rsidRPr="0047462D">
        <w:t> </w:t>
      </w:r>
      <w:r w:rsidRPr="0047462D">
        <w:t>2</w:t>
      </w:r>
      <w:r w:rsidR="0010082B" w:rsidRPr="0047462D">
        <w:t> </w:t>
      </w:r>
      <w:r w:rsidRPr="0047462D">
        <w:t>x</w:t>
      </w:r>
      <w:r w:rsidR="0010082B" w:rsidRPr="0047462D">
        <w:t> </w:t>
      </w:r>
      <w:r w:rsidRPr="0047462D">
        <w:t>ULN.</w:t>
      </w:r>
    </w:p>
    <w:p w14:paraId="0B53A603" w14:textId="23147F22" w:rsidR="00F926CC" w:rsidRPr="0047462D" w:rsidRDefault="00F926CC" w:rsidP="006D2376"/>
    <w:p w14:paraId="645DFE1C" w14:textId="7F66B426" w:rsidR="00F926CC" w:rsidRPr="0047462D" w:rsidRDefault="004368C8" w:rsidP="006D2376">
      <w:r w:rsidRPr="0047462D">
        <w:t>Κατά τη διάρκεια της ελεγχόμενης με εικονικό φάρμακο μελέτης φάσης 3, 24 εβδομάδων, για το ivacaftor/tezacaftor/elexacaftor, αυτοί οι αριθμοί ήταν 1,5%, 2,5% και 7,9% στους ασθενείς υπό αγωγή με ivacaftor/tezacaftor/elexacaftor και 1,0%, 1,5% και 5,5% στους ασθενείς υπό αγωγή με εικονικό φάρμακο. Η επίπτωση των ανεπιθύμητων ενεργειών που αφορούσαν αυξήσεις των τρανσαμινασών ήταν 10,9% στους ασθενείς υπό αγωγή με ivacaftor σε συνδυαστικό σχήμα με ivacaftor/tezacaftor/elexacaftor και 4,0% στους ασθενείς υπό αγωγή με εικονικό φάρμακο.</w:t>
      </w:r>
    </w:p>
    <w:p w14:paraId="2048D4E4" w14:textId="77777777" w:rsidR="004368C8" w:rsidRPr="0047462D" w:rsidRDefault="004368C8" w:rsidP="006D2376"/>
    <w:p w14:paraId="0A5BCDCE" w14:textId="77777777" w:rsidR="006D2376" w:rsidRPr="0047462D" w:rsidRDefault="006D2376" w:rsidP="006D2376">
      <w:pPr>
        <w:keepNext/>
        <w:rPr>
          <w:bCs/>
          <w:i/>
        </w:rPr>
      </w:pPr>
      <w:r w:rsidRPr="0047462D">
        <w:rPr>
          <w:bCs/>
          <w:i/>
        </w:rPr>
        <w:t>Συμβάματα εξανθήματος</w:t>
      </w:r>
    </w:p>
    <w:p w14:paraId="3C6375FD" w14:textId="535FF18E" w:rsidR="000041A9" w:rsidRPr="0047462D" w:rsidRDefault="000041A9" w:rsidP="000041A9">
      <w:pPr>
        <w:keepNext/>
        <w:keepLines/>
        <w:ind w:left="806" w:hanging="806"/>
      </w:pPr>
    </w:p>
    <w:p w14:paraId="35B5CC7A" w14:textId="3016CF21" w:rsidR="006D2376" w:rsidRPr="0047462D" w:rsidRDefault="006D2376" w:rsidP="006D2376">
      <w:pPr>
        <w:rPr>
          <w:bCs/>
        </w:rPr>
      </w:pPr>
      <w:r w:rsidRPr="0047462D">
        <w:t xml:space="preserve">Με τη χρήση του </w:t>
      </w:r>
      <w:r w:rsidR="000041A9" w:rsidRPr="0047462D">
        <w:rPr>
          <w:bCs/>
          <w:lang w:val="en-US"/>
        </w:rPr>
        <w:t>ivacaftor</w:t>
      </w:r>
      <w:r w:rsidR="000041A9" w:rsidRPr="00F93ECE">
        <w:rPr>
          <w:bCs/>
        </w:rPr>
        <w:t xml:space="preserve"> </w:t>
      </w:r>
      <w:r w:rsidR="003B27E7" w:rsidRPr="0047462D">
        <w:rPr>
          <w:bCs/>
        </w:rPr>
        <w:t>σε συνδυαστικό σχήμα με</w:t>
      </w:r>
      <w:r w:rsidR="000041A9" w:rsidRPr="00F93ECE">
        <w:rPr>
          <w:bCs/>
        </w:rPr>
        <w:t xml:space="preserve"> </w:t>
      </w:r>
      <w:r w:rsidR="000041A9" w:rsidRPr="0047462D">
        <w:rPr>
          <w:bCs/>
          <w:lang w:val="en-US"/>
        </w:rPr>
        <w:t>ivacaftor</w:t>
      </w:r>
      <w:r w:rsidR="000041A9" w:rsidRPr="00F93ECE">
        <w:rPr>
          <w:bCs/>
        </w:rPr>
        <w:t>/</w:t>
      </w:r>
      <w:r w:rsidR="000041A9" w:rsidRPr="0047462D">
        <w:rPr>
          <w:bCs/>
          <w:lang w:val="en-US"/>
        </w:rPr>
        <w:t>tezacaftor</w:t>
      </w:r>
      <w:r w:rsidR="000041A9" w:rsidRPr="00F93ECE">
        <w:rPr>
          <w:bCs/>
        </w:rPr>
        <w:t>/</w:t>
      </w:r>
      <w:r w:rsidR="000041A9" w:rsidRPr="0047462D">
        <w:rPr>
          <w:bCs/>
          <w:lang w:val="en-US"/>
        </w:rPr>
        <w:t>elexacaftor</w:t>
      </w:r>
      <w:r w:rsidR="003B27E7" w:rsidRPr="0047462D">
        <w:rPr>
          <w:bCs/>
        </w:rPr>
        <w:t xml:space="preserve"> </w:t>
      </w:r>
      <w:r w:rsidR="000271D3" w:rsidRPr="0047462D">
        <w:rPr>
          <w:bCs/>
        </w:rPr>
        <w:t xml:space="preserve">έχουν παρατηρηθεί συμβάματα εξανθήματος, γενικά </w:t>
      </w:r>
      <w:r w:rsidR="000271D3" w:rsidRPr="0047462D">
        <w:rPr>
          <w:rStyle w:val="hps"/>
        </w:rPr>
        <w:t>ήπια έως μέτρια ως προς τη βαρύτητα,</w:t>
      </w:r>
      <w:r w:rsidR="000271D3" w:rsidRPr="0047462D">
        <w:rPr>
          <w:bCs/>
        </w:rPr>
        <w:t xml:space="preserve"> και παρουσιάστηκαν πιο συχνά σε γυναίκες ασθενείς υπό αγωγή </w:t>
      </w:r>
      <w:r w:rsidRPr="0047462D">
        <w:rPr>
          <w:bCs/>
        </w:rPr>
        <w:t>(16</w:t>
      </w:r>
      <w:r w:rsidR="000271D3" w:rsidRPr="0047462D">
        <w:rPr>
          <w:bCs/>
        </w:rPr>
        <w:t>,</w:t>
      </w:r>
      <w:r w:rsidRPr="0047462D">
        <w:rPr>
          <w:bCs/>
        </w:rPr>
        <w:t xml:space="preserve">3%) </w:t>
      </w:r>
      <w:r w:rsidR="000271D3" w:rsidRPr="0047462D">
        <w:rPr>
          <w:bCs/>
        </w:rPr>
        <w:t xml:space="preserve">και σε εκείνες που λάμβαναν ορμονικά αντισυλληπτικά </w:t>
      </w:r>
      <w:r w:rsidRPr="0047462D">
        <w:rPr>
          <w:bCs/>
        </w:rPr>
        <w:t>(20</w:t>
      </w:r>
      <w:r w:rsidR="000271D3" w:rsidRPr="0047462D">
        <w:rPr>
          <w:bCs/>
        </w:rPr>
        <w:t>,</w:t>
      </w:r>
      <w:r w:rsidRPr="0047462D">
        <w:rPr>
          <w:bCs/>
        </w:rPr>
        <w:t xml:space="preserve">5%). </w:t>
      </w:r>
      <w:r w:rsidR="000271D3" w:rsidRPr="0047462D">
        <w:rPr>
          <w:bCs/>
        </w:rPr>
        <w:t>Βλ. παράγραφο </w:t>
      </w:r>
      <w:r w:rsidRPr="0047462D">
        <w:rPr>
          <w:bCs/>
        </w:rPr>
        <w:t>4.4.</w:t>
      </w:r>
    </w:p>
    <w:p w14:paraId="0BC294D8" w14:textId="1E03D15E" w:rsidR="006D2376" w:rsidRPr="0047462D" w:rsidRDefault="006D2376" w:rsidP="000041A9">
      <w:pPr>
        <w:rPr>
          <w:bCs/>
        </w:rPr>
      </w:pPr>
    </w:p>
    <w:p w14:paraId="724B1077" w14:textId="77777777" w:rsidR="000271D3" w:rsidRPr="0047462D" w:rsidRDefault="000271D3" w:rsidP="000271D3">
      <w:pPr>
        <w:keepNext/>
        <w:rPr>
          <w:i/>
        </w:rPr>
      </w:pPr>
      <w:r w:rsidRPr="0047462D">
        <w:rPr>
          <w:i/>
        </w:rPr>
        <w:t>Αυξημένη κρεατινοφωσφοκινάση</w:t>
      </w:r>
    </w:p>
    <w:p w14:paraId="44C3AD00" w14:textId="77777777" w:rsidR="000271D3" w:rsidRPr="0047462D" w:rsidRDefault="000271D3" w:rsidP="000271D3">
      <w:pPr>
        <w:keepNext/>
        <w:rPr>
          <w:i/>
        </w:rPr>
      </w:pPr>
    </w:p>
    <w:p w14:paraId="21D0B7F0" w14:textId="1DE76CC5" w:rsidR="000271D3" w:rsidRPr="00F93ECE" w:rsidRDefault="000271D3" w:rsidP="000271D3">
      <w:r w:rsidRPr="0047462D">
        <w:t>Σε</w:t>
      </w:r>
      <w:r w:rsidRPr="0047462D">
        <w:rPr>
          <w:bCs/>
        </w:rPr>
        <w:t xml:space="preserve"> ασθενείς υπό αγωγή με</w:t>
      </w:r>
      <w:r w:rsidRPr="00F93ECE">
        <w:t xml:space="preserve"> </w:t>
      </w:r>
      <w:r w:rsidRPr="0047462D">
        <w:rPr>
          <w:lang w:val="en-CA"/>
        </w:rPr>
        <w:t>ivacaftor</w:t>
      </w:r>
      <w:r w:rsidRPr="00F93ECE">
        <w:t xml:space="preserve"> </w:t>
      </w:r>
      <w:r w:rsidRPr="0047462D">
        <w:t>σε συνδυαστικό σχήμα με</w:t>
      </w:r>
      <w:r w:rsidRPr="00F93ECE">
        <w:t xml:space="preserve"> </w:t>
      </w:r>
      <w:r w:rsidRPr="0047462D">
        <w:rPr>
          <w:lang w:val="en-CA"/>
        </w:rPr>
        <w:t>ivacaftor</w:t>
      </w:r>
      <w:r w:rsidRPr="00F93ECE">
        <w:t>/</w:t>
      </w:r>
      <w:r w:rsidRPr="0047462D">
        <w:rPr>
          <w:lang w:val="en-CA"/>
        </w:rPr>
        <w:t>tezacaftor</w:t>
      </w:r>
      <w:r w:rsidRPr="00F93ECE">
        <w:t>/</w:t>
      </w:r>
      <w:r w:rsidRPr="0047462D">
        <w:rPr>
          <w:lang w:val="en-CA"/>
        </w:rPr>
        <w:t>elexacaftor</w:t>
      </w:r>
      <w:r w:rsidRPr="0047462D">
        <w:t xml:space="preserve"> παρατηρήθηκαν γε</w:t>
      </w:r>
      <w:r w:rsidR="00F74C9D" w:rsidRPr="0047462D">
        <w:t xml:space="preserve">νικά παροδικές και </w:t>
      </w:r>
      <w:r w:rsidRPr="0047462D">
        <w:rPr>
          <w:rStyle w:val="hps"/>
        </w:rPr>
        <w:t xml:space="preserve">ασυμπτωματικές </w:t>
      </w:r>
      <w:r w:rsidR="00F74C9D" w:rsidRPr="0047462D">
        <w:rPr>
          <w:rStyle w:val="hps"/>
        </w:rPr>
        <w:t>αυξήσεις της κρεατινοφωσφοκινάσης</w:t>
      </w:r>
      <w:r w:rsidR="00B67C5E" w:rsidRPr="0047462D">
        <w:rPr>
          <w:rStyle w:val="hps"/>
        </w:rPr>
        <w:t>, οι οποίες δεν οδήγησαν</w:t>
      </w:r>
      <w:r w:rsidR="00F74C9D" w:rsidRPr="0047462D">
        <w:rPr>
          <w:rStyle w:val="hps"/>
        </w:rPr>
        <w:t xml:space="preserve"> σε οριστική διακοπή της θεραπείας</w:t>
      </w:r>
      <w:r w:rsidRPr="00F93ECE">
        <w:t>.</w:t>
      </w:r>
    </w:p>
    <w:p w14:paraId="1383B4C1" w14:textId="77777777" w:rsidR="000271D3" w:rsidRPr="0047462D" w:rsidRDefault="000271D3" w:rsidP="000041A9">
      <w:pPr>
        <w:rPr>
          <w:bCs/>
        </w:rPr>
      </w:pPr>
    </w:p>
    <w:p w14:paraId="46602E79" w14:textId="71A32777" w:rsidR="000041A9" w:rsidRPr="0047462D" w:rsidRDefault="00E4767F" w:rsidP="000041A9">
      <w:pPr>
        <w:keepNext/>
        <w:rPr>
          <w:i/>
        </w:rPr>
      </w:pPr>
      <w:r w:rsidRPr="0047462D">
        <w:rPr>
          <w:i/>
        </w:rPr>
        <w:t>Αυξημένη αρτηριακή πίεση</w:t>
      </w:r>
    </w:p>
    <w:p w14:paraId="72E3C20D" w14:textId="77777777" w:rsidR="000041A9" w:rsidRPr="0047462D" w:rsidRDefault="000041A9" w:rsidP="000041A9">
      <w:pPr>
        <w:keepNext/>
        <w:rPr>
          <w:i/>
        </w:rPr>
      </w:pPr>
    </w:p>
    <w:p w14:paraId="5E5DF074" w14:textId="739F0CD0" w:rsidR="000041A9" w:rsidRPr="00F93ECE" w:rsidRDefault="000271D3" w:rsidP="000271D3">
      <w:pPr>
        <w:rPr>
          <w:bCs/>
        </w:rPr>
      </w:pPr>
      <w:r w:rsidRPr="0047462D">
        <w:t>Σε ασθενείς υπό αγωγή με</w:t>
      </w:r>
      <w:r w:rsidRPr="00F93ECE">
        <w:rPr>
          <w:bCs/>
        </w:rPr>
        <w:t xml:space="preserve"> </w:t>
      </w:r>
      <w:r w:rsidRPr="0047462D">
        <w:rPr>
          <w:bCs/>
          <w:lang w:val="en-US"/>
        </w:rPr>
        <w:t>ivacaftor</w:t>
      </w:r>
      <w:r w:rsidRPr="00F93ECE">
        <w:rPr>
          <w:bCs/>
        </w:rPr>
        <w:t xml:space="preserve"> </w:t>
      </w:r>
      <w:r w:rsidRPr="0047462D">
        <w:rPr>
          <w:bCs/>
        </w:rPr>
        <w:t>σε συνδυαστικό σχήμα με</w:t>
      </w:r>
      <w:r w:rsidRPr="00F93ECE">
        <w:rPr>
          <w:bCs/>
        </w:rPr>
        <w:t xml:space="preserve"> </w:t>
      </w:r>
      <w:r w:rsidRPr="0047462D">
        <w:rPr>
          <w:bCs/>
          <w:lang w:val="en-US"/>
        </w:rPr>
        <w:t>ivacaftor</w:t>
      </w:r>
      <w:r w:rsidRPr="00F93ECE">
        <w:rPr>
          <w:bCs/>
        </w:rPr>
        <w:t>/</w:t>
      </w:r>
      <w:r w:rsidRPr="0047462D">
        <w:rPr>
          <w:bCs/>
          <w:lang w:val="en-US"/>
        </w:rPr>
        <w:t>tezacaftor</w:t>
      </w:r>
      <w:r w:rsidRPr="00F93ECE">
        <w:rPr>
          <w:bCs/>
        </w:rPr>
        <w:t>/</w:t>
      </w:r>
      <w:r w:rsidRPr="0047462D">
        <w:rPr>
          <w:bCs/>
          <w:lang w:val="en-US"/>
        </w:rPr>
        <w:t>elexacaftor</w:t>
      </w:r>
      <w:r w:rsidRPr="0047462D">
        <w:t xml:space="preserve"> παρατηρήθηκε μια αύξηση</w:t>
      </w:r>
      <w:r w:rsidR="00E4767F" w:rsidRPr="0047462D">
        <w:rPr>
          <w:rStyle w:val="hps"/>
        </w:rPr>
        <w:t xml:space="preserve"> από την έναρξη στη μέση συστολική και διαστολική αρτηριακή πίεση </w:t>
      </w:r>
      <w:r w:rsidRPr="0047462D">
        <w:rPr>
          <w:rStyle w:val="hps"/>
        </w:rPr>
        <w:t>της τάξης των</w:t>
      </w:r>
      <w:r w:rsidR="00E4767F" w:rsidRPr="0047462D">
        <w:rPr>
          <w:bCs/>
        </w:rPr>
        <w:t xml:space="preserve"> </w:t>
      </w:r>
      <w:r w:rsidR="000041A9" w:rsidRPr="0047462D">
        <w:rPr>
          <w:bCs/>
        </w:rPr>
        <w:t>3</w:t>
      </w:r>
      <w:r w:rsidR="00E4767F" w:rsidRPr="0047462D">
        <w:rPr>
          <w:bCs/>
        </w:rPr>
        <w:t>,</w:t>
      </w:r>
      <w:r w:rsidR="000041A9" w:rsidRPr="0047462D">
        <w:rPr>
          <w:bCs/>
        </w:rPr>
        <w:t xml:space="preserve">5 mmHg </w:t>
      </w:r>
      <w:r w:rsidR="00E4767F" w:rsidRPr="0047462D">
        <w:rPr>
          <w:bCs/>
        </w:rPr>
        <w:t>και</w:t>
      </w:r>
      <w:r w:rsidR="00F74C9D" w:rsidRPr="0047462D">
        <w:rPr>
          <w:bCs/>
        </w:rPr>
        <w:t> </w:t>
      </w:r>
      <w:r w:rsidR="000041A9" w:rsidRPr="0047462D">
        <w:rPr>
          <w:bCs/>
        </w:rPr>
        <w:t>1</w:t>
      </w:r>
      <w:r w:rsidR="00E4767F" w:rsidRPr="0047462D">
        <w:rPr>
          <w:bCs/>
        </w:rPr>
        <w:t>,</w:t>
      </w:r>
      <w:r w:rsidR="000041A9" w:rsidRPr="0047462D">
        <w:rPr>
          <w:bCs/>
        </w:rPr>
        <w:t xml:space="preserve">9 mmHg, </w:t>
      </w:r>
      <w:r w:rsidR="00E4767F" w:rsidRPr="0047462D">
        <w:rPr>
          <w:bCs/>
        </w:rPr>
        <w:t>αντίστοιχα</w:t>
      </w:r>
      <w:r w:rsidRPr="0047462D">
        <w:rPr>
          <w:bCs/>
        </w:rPr>
        <w:t>.</w:t>
      </w:r>
    </w:p>
    <w:p w14:paraId="33DA5221" w14:textId="77777777" w:rsidR="00A34FB5" w:rsidRPr="0047462D" w:rsidRDefault="00A34FB5" w:rsidP="002331FF">
      <w:pPr>
        <w:rPr>
          <w:rFonts w:eastAsia="Times New Roman"/>
          <w:szCs w:val="22"/>
        </w:rPr>
      </w:pPr>
    </w:p>
    <w:p w14:paraId="598D9779" w14:textId="77777777" w:rsidR="00A67D3A" w:rsidRPr="0047462D" w:rsidRDefault="00A67D3A" w:rsidP="00141E57">
      <w:pPr>
        <w:keepNext/>
        <w:rPr>
          <w:rFonts w:eastAsia="Times New Roman"/>
          <w:szCs w:val="22"/>
          <w:u w:val="single"/>
        </w:rPr>
      </w:pPr>
      <w:r w:rsidRPr="0047462D">
        <w:rPr>
          <w:rFonts w:eastAsia="Times New Roman"/>
          <w:szCs w:val="22"/>
          <w:u w:val="single"/>
        </w:rPr>
        <w:t>Παιδιατρικός πληθυσμός</w:t>
      </w:r>
    </w:p>
    <w:p w14:paraId="27F8F4D8" w14:textId="77777777" w:rsidR="00123F93" w:rsidRPr="0047462D" w:rsidRDefault="00123F93" w:rsidP="00141E57">
      <w:pPr>
        <w:keepNext/>
        <w:rPr>
          <w:b/>
          <w:bCs/>
          <w:szCs w:val="22"/>
          <w:u w:val="single"/>
          <w:lang w:eastAsia="en-US"/>
        </w:rPr>
      </w:pPr>
    </w:p>
    <w:p w14:paraId="14D5CDED" w14:textId="4536B436" w:rsidR="00D73021" w:rsidRPr="0047462D" w:rsidRDefault="00A67D3A" w:rsidP="00D73021">
      <w:pPr>
        <w:rPr>
          <w:iCs/>
          <w:lang w:eastAsia="ja-JP"/>
        </w:rPr>
      </w:pPr>
      <w:r w:rsidRPr="0047462D">
        <w:rPr>
          <w:bCs/>
          <w:szCs w:val="22"/>
        </w:rPr>
        <w:t xml:space="preserve">Τα δεδομένα ασφάλειας </w:t>
      </w:r>
      <w:r w:rsidR="00417BAC" w:rsidRPr="0047462D">
        <w:rPr>
          <w:iCs/>
          <w:lang w:eastAsia="ja-JP"/>
        </w:rPr>
        <w:t>του</w:t>
      </w:r>
      <w:r w:rsidR="00D73021" w:rsidRPr="0047462D">
        <w:rPr>
          <w:iCs/>
          <w:lang w:eastAsia="ja-JP"/>
        </w:rPr>
        <w:t xml:space="preserve"> ivacaftor </w:t>
      </w:r>
      <w:r w:rsidR="00417BAC" w:rsidRPr="0047462D">
        <w:rPr>
          <w:iCs/>
          <w:lang w:eastAsia="ja-JP"/>
        </w:rPr>
        <w:t xml:space="preserve">ως μονοθεραπείας </w:t>
      </w:r>
      <w:r w:rsidR="0047236B" w:rsidRPr="0047462D">
        <w:rPr>
          <w:bCs/>
          <w:szCs w:val="22"/>
        </w:rPr>
        <w:t xml:space="preserve">αξιολογήθηκαν </w:t>
      </w:r>
      <w:r w:rsidRPr="0047462D">
        <w:rPr>
          <w:bCs/>
          <w:szCs w:val="22"/>
        </w:rPr>
        <w:t xml:space="preserve">σε </w:t>
      </w:r>
      <w:r w:rsidR="00973BAC">
        <w:rPr>
          <w:iCs/>
          <w:lang w:eastAsia="ja-JP"/>
        </w:rPr>
        <w:t>6 </w:t>
      </w:r>
      <w:r w:rsidR="00973BAC" w:rsidRPr="0047462D">
        <w:rPr>
          <w:bCs/>
          <w:szCs w:val="22"/>
        </w:rPr>
        <w:t>ασθενείς ηλικίας μεταξύ</w:t>
      </w:r>
      <w:r w:rsidR="00973BAC">
        <w:rPr>
          <w:iCs/>
          <w:lang w:eastAsia="ja-JP"/>
        </w:rPr>
        <w:t xml:space="preserve"> 4 μηνών έως κάτω των 6 μηνών</w:t>
      </w:r>
      <w:r w:rsidR="00973BAC">
        <w:rPr>
          <w:bCs/>
          <w:szCs w:val="22"/>
        </w:rPr>
        <w:t xml:space="preserve">, </w:t>
      </w:r>
      <w:r w:rsidR="00123F93" w:rsidRPr="0047462D">
        <w:rPr>
          <w:bCs/>
          <w:szCs w:val="22"/>
        </w:rPr>
        <w:t xml:space="preserve">11 ασθενείς ηλικίας μεταξύ 6 μηνών έως κάτω των 12 μηνών, </w:t>
      </w:r>
      <w:r w:rsidR="00377BE3" w:rsidRPr="0047462D">
        <w:rPr>
          <w:bCs/>
          <w:szCs w:val="22"/>
        </w:rPr>
        <w:t xml:space="preserve">19 ασθενείς ηλικίας μεταξύ 12 μηνών έως κάτω των 24 μηνών, </w:t>
      </w:r>
      <w:r w:rsidRPr="0047462D">
        <w:rPr>
          <w:bCs/>
          <w:szCs w:val="22"/>
        </w:rPr>
        <w:t xml:space="preserve">34 ασθενείς ηλικίας μεταξύ 2 έως κάτω των 6 ετών, 61 ασθενείς </w:t>
      </w:r>
      <w:r w:rsidR="00A50DFF" w:rsidRPr="0047462D">
        <w:rPr>
          <w:bCs/>
          <w:szCs w:val="22"/>
        </w:rPr>
        <w:t xml:space="preserve">ηλικίας </w:t>
      </w:r>
      <w:r w:rsidRPr="0047462D">
        <w:rPr>
          <w:bCs/>
          <w:szCs w:val="22"/>
        </w:rPr>
        <w:t xml:space="preserve">μεταξύ 6 έως </w:t>
      </w:r>
      <w:r w:rsidR="0058763F" w:rsidRPr="0047462D">
        <w:rPr>
          <w:bCs/>
          <w:szCs w:val="22"/>
        </w:rPr>
        <w:t xml:space="preserve">κάτω των </w:t>
      </w:r>
      <w:r w:rsidRPr="0047462D">
        <w:rPr>
          <w:bCs/>
          <w:szCs w:val="22"/>
        </w:rPr>
        <w:t>1</w:t>
      </w:r>
      <w:r w:rsidR="0058763F" w:rsidRPr="0047462D">
        <w:rPr>
          <w:bCs/>
          <w:szCs w:val="22"/>
        </w:rPr>
        <w:t>2</w:t>
      </w:r>
      <w:r w:rsidRPr="0047462D">
        <w:rPr>
          <w:bCs/>
          <w:szCs w:val="22"/>
        </w:rPr>
        <w:t xml:space="preserve"> ετών και </w:t>
      </w:r>
      <w:r w:rsidR="0058763F" w:rsidRPr="0047462D">
        <w:rPr>
          <w:bCs/>
          <w:szCs w:val="22"/>
        </w:rPr>
        <w:t>94</w:t>
      </w:r>
      <w:r w:rsidRPr="0047462D">
        <w:rPr>
          <w:bCs/>
          <w:szCs w:val="22"/>
        </w:rPr>
        <w:t xml:space="preserve"> ασθενείς ηλικίας μεταξύ 12 έως </w:t>
      </w:r>
      <w:r w:rsidR="0058763F" w:rsidRPr="0047462D">
        <w:rPr>
          <w:bCs/>
          <w:szCs w:val="22"/>
        </w:rPr>
        <w:t xml:space="preserve">κάτω των </w:t>
      </w:r>
      <w:r w:rsidRPr="0047462D">
        <w:rPr>
          <w:bCs/>
          <w:szCs w:val="22"/>
        </w:rPr>
        <w:t>1</w:t>
      </w:r>
      <w:r w:rsidR="0058763F" w:rsidRPr="0047462D">
        <w:rPr>
          <w:bCs/>
          <w:szCs w:val="22"/>
        </w:rPr>
        <w:t>8</w:t>
      </w:r>
      <w:r w:rsidRPr="0047462D">
        <w:rPr>
          <w:bCs/>
          <w:szCs w:val="22"/>
        </w:rPr>
        <w:t> ετών.</w:t>
      </w:r>
      <w:r w:rsidR="00D73021" w:rsidRPr="0047462D">
        <w:rPr>
          <w:bCs/>
          <w:szCs w:val="22"/>
        </w:rPr>
        <w:t xml:space="preserve"> </w:t>
      </w:r>
    </w:p>
    <w:p w14:paraId="60BF2220" w14:textId="77777777" w:rsidR="00417BAC" w:rsidRPr="0047462D" w:rsidRDefault="00417BAC" w:rsidP="007307BE">
      <w:pPr>
        <w:rPr>
          <w:bCs/>
          <w:szCs w:val="22"/>
        </w:rPr>
      </w:pPr>
    </w:p>
    <w:p w14:paraId="4A866EE5" w14:textId="383AA348" w:rsidR="00A67D3A" w:rsidRPr="0047462D" w:rsidRDefault="00A67D3A" w:rsidP="00A41DF6">
      <w:pPr>
        <w:pStyle w:val="labeltextheading"/>
        <w:keepNext w:val="0"/>
        <w:tabs>
          <w:tab w:val="left" w:pos="3402"/>
        </w:tabs>
        <w:rPr>
          <w:bCs/>
          <w:i w:val="0"/>
          <w:iCs w:val="0"/>
          <w:sz w:val="22"/>
          <w:szCs w:val="22"/>
          <w:lang w:val="el-GR" w:eastAsia="zh-CN"/>
        </w:rPr>
      </w:pPr>
      <w:r w:rsidRPr="0047462D">
        <w:rPr>
          <w:bCs/>
          <w:i w:val="0"/>
          <w:iCs w:val="0"/>
          <w:sz w:val="22"/>
          <w:szCs w:val="22"/>
          <w:lang w:val="el-GR" w:eastAsia="zh-CN"/>
        </w:rPr>
        <w:t xml:space="preserve">Το προφίλ ασφάλειας </w:t>
      </w:r>
      <w:r w:rsidR="00417BAC" w:rsidRPr="0047462D">
        <w:rPr>
          <w:bCs/>
          <w:i w:val="0"/>
          <w:iCs w:val="0"/>
          <w:sz w:val="22"/>
          <w:szCs w:val="22"/>
          <w:lang w:val="el-GR" w:eastAsia="zh-CN"/>
        </w:rPr>
        <w:t xml:space="preserve">του ivacaftor (ως μονοθεραπεία ή σε συνδυαστικό σχήμα) </w:t>
      </w:r>
      <w:r w:rsidRPr="0047462D">
        <w:rPr>
          <w:bCs/>
          <w:i w:val="0"/>
          <w:iCs w:val="0"/>
          <w:sz w:val="22"/>
          <w:szCs w:val="22"/>
          <w:lang w:val="el-GR" w:eastAsia="zh-CN"/>
        </w:rPr>
        <w:t xml:space="preserve">είναι γενικά συνεπές μεταξύ </w:t>
      </w:r>
      <w:r w:rsidR="00417BAC" w:rsidRPr="0047462D">
        <w:rPr>
          <w:bCs/>
          <w:i w:val="0"/>
          <w:iCs w:val="0"/>
          <w:sz w:val="22"/>
          <w:szCs w:val="22"/>
          <w:lang w:val="el-GR" w:eastAsia="zh-CN"/>
        </w:rPr>
        <w:t xml:space="preserve">των </w:t>
      </w:r>
      <w:r w:rsidR="004F11F1" w:rsidRPr="0047462D">
        <w:rPr>
          <w:bCs/>
          <w:i w:val="0"/>
          <w:iCs w:val="0"/>
          <w:sz w:val="22"/>
          <w:szCs w:val="22"/>
          <w:lang w:val="el-GR" w:eastAsia="zh-CN"/>
        </w:rPr>
        <w:t>παιδιατρικών ασθενών</w:t>
      </w:r>
      <w:r w:rsidR="00417BAC" w:rsidRPr="0047462D">
        <w:rPr>
          <w:bCs/>
          <w:i w:val="0"/>
          <w:iCs w:val="0"/>
          <w:sz w:val="22"/>
          <w:szCs w:val="22"/>
          <w:lang w:val="el-GR" w:eastAsia="zh-CN"/>
        </w:rPr>
        <w:t xml:space="preserve"> και είναι επίσης συνεπές με των </w:t>
      </w:r>
      <w:r w:rsidRPr="0047462D">
        <w:rPr>
          <w:bCs/>
          <w:i w:val="0"/>
          <w:iCs w:val="0"/>
          <w:sz w:val="22"/>
          <w:szCs w:val="22"/>
          <w:lang w:val="el-GR" w:eastAsia="zh-CN"/>
        </w:rPr>
        <w:t>εν</w:t>
      </w:r>
      <w:r w:rsidR="004F11F1" w:rsidRPr="0047462D">
        <w:rPr>
          <w:bCs/>
          <w:i w:val="0"/>
          <w:iCs w:val="0"/>
          <w:sz w:val="22"/>
          <w:szCs w:val="22"/>
          <w:lang w:val="el-GR" w:eastAsia="zh-CN"/>
        </w:rPr>
        <w:t>η</w:t>
      </w:r>
      <w:r w:rsidRPr="0047462D">
        <w:rPr>
          <w:bCs/>
          <w:i w:val="0"/>
          <w:iCs w:val="0"/>
          <w:sz w:val="22"/>
          <w:szCs w:val="22"/>
          <w:lang w:val="el-GR" w:eastAsia="zh-CN"/>
        </w:rPr>
        <w:t>λ</w:t>
      </w:r>
      <w:r w:rsidR="004F11F1" w:rsidRPr="0047462D">
        <w:rPr>
          <w:bCs/>
          <w:i w:val="0"/>
          <w:iCs w:val="0"/>
          <w:sz w:val="22"/>
          <w:szCs w:val="22"/>
          <w:lang w:val="el-GR" w:eastAsia="zh-CN"/>
        </w:rPr>
        <w:t xml:space="preserve">ίκων </w:t>
      </w:r>
      <w:r w:rsidRPr="0047462D">
        <w:rPr>
          <w:bCs/>
          <w:i w:val="0"/>
          <w:iCs w:val="0"/>
          <w:sz w:val="22"/>
          <w:szCs w:val="22"/>
          <w:lang w:val="el-GR" w:eastAsia="zh-CN"/>
        </w:rPr>
        <w:t>ασθεν</w:t>
      </w:r>
      <w:r w:rsidR="004F11F1" w:rsidRPr="0047462D">
        <w:rPr>
          <w:bCs/>
          <w:i w:val="0"/>
          <w:iCs w:val="0"/>
          <w:sz w:val="22"/>
          <w:szCs w:val="22"/>
          <w:lang w:val="el-GR" w:eastAsia="zh-CN"/>
        </w:rPr>
        <w:t>ών</w:t>
      </w:r>
      <w:r w:rsidRPr="0047462D">
        <w:rPr>
          <w:bCs/>
          <w:i w:val="0"/>
          <w:iCs w:val="0"/>
          <w:sz w:val="22"/>
          <w:szCs w:val="22"/>
          <w:lang w:val="el-GR" w:eastAsia="zh-CN"/>
        </w:rPr>
        <w:t>.</w:t>
      </w:r>
    </w:p>
    <w:p w14:paraId="22591A37" w14:textId="77777777" w:rsidR="00A67D3A" w:rsidRPr="0047462D" w:rsidRDefault="00A67D3A" w:rsidP="00141E57">
      <w:pPr>
        <w:pStyle w:val="labeltextheading"/>
        <w:keepNext w:val="0"/>
        <w:rPr>
          <w:i w:val="0"/>
          <w:sz w:val="22"/>
          <w:lang w:val="el-GR"/>
        </w:rPr>
      </w:pPr>
    </w:p>
    <w:p w14:paraId="11309E4F" w14:textId="67B1A601" w:rsidR="00BB0373" w:rsidRPr="0047462D" w:rsidRDefault="000271D3" w:rsidP="00761557">
      <w:pPr>
        <w:rPr>
          <w:rFonts w:eastAsia="Times New Roman"/>
          <w:szCs w:val="22"/>
        </w:rPr>
      </w:pPr>
      <w:r w:rsidRPr="0047462D">
        <w:t xml:space="preserve">Η επίπτωση </w:t>
      </w:r>
      <w:r w:rsidR="00201E3A" w:rsidRPr="0047462D">
        <w:rPr>
          <w:rFonts w:eastAsia="Times New Roman"/>
          <w:szCs w:val="22"/>
        </w:rPr>
        <w:t>των αυξήσε</w:t>
      </w:r>
      <w:r w:rsidRPr="0047462D">
        <w:rPr>
          <w:rFonts w:eastAsia="Times New Roman"/>
          <w:szCs w:val="22"/>
        </w:rPr>
        <w:t>ων των</w:t>
      </w:r>
      <w:r w:rsidR="00201E3A" w:rsidRPr="0047462D">
        <w:rPr>
          <w:rFonts w:eastAsia="Times New Roman"/>
          <w:szCs w:val="22"/>
        </w:rPr>
        <w:t xml:space="preserve"> τρανσαμινασών (ALT ή AST) </w:t>
      </w:r>
      <w:r w:rsidR="00F74C9D" w:rsidRPr="0047462D">
        <w:rPr>
          <w:rFonts w:eastAsia="Times New Roman"/>
          <w:szCs w:val="22"/>
        </w:rPr>
        <w:t xml:space="preserve">που παρατηρήθηκαν </w:t>
      </w:r>
      <w:r w:rsidR="00B67C5E" w:rsidRPr="0047462D">
        <w:rPr>
          <w:rFonts w:eastAsia="Times New Roman"/>
          <w:szCs w:val="22"/>
        </w:rPr>
        <w:t xml:space="preserve">στις </w:t>
      </w:r>
      <w:r w:rsidR="00F74C9D" w:rsidRPr="0047462D">
        <w:rPr>
          <w:rFonts w:eastAsia="Times New Roman"/>
          <w:szCs w:val="22"/>
        </w:rPr>
        <w:t>μελέτες</w:t>
      </w:r>
      <w:r w:rsidR="00B67C5E" w:rsidRPr="0047462D">
        <w:rPr>
          <w:rFonts w:eastAsia="Times New Roman"/>
          <w:szCs w:val="22"/>
        </w:rPr>
        <w:t xml:space="preserve"> 2, 5 και 6 </w:t>
      </w:r>
      <w:r w:rsidR="00F74C9D" w:rsidRPr="0047462D">
        <w:rPr>
          <w:rFonts w:eastAsia="Times New Roman"/>
          <w:szCs w:val="22"/>
        </w:rPr>
        <w:t>(ασθενείς ηλικίας 6 έως κάτω των 12 ετών), στη μελέτη 7 (ασθενείς ηλικίας 2 έως κάτω των 6 ετών) και τη μελέτη 8 (ασθενείς</w:t>
      </w:r>
      <w:r w:rsidR="00F74C9D" w:rsidRPr="0047462D">
        <w:rPr>
          <w:bCs/>
        </w:rPr>
        <w:t xml:space="preserve"> </w:t>
      </w:r>
      <w:r w:rsidR="00A67D3A" w:rsidRPr="0047462D">
        <w:rPr>
          <w:rFonts w:eastAsia="Times New Roman"/>
          <w:szCs w:val="22"/>
        </w:rPr>
        <w:t xml:space="preserve">ηλικίας 6 έως κάτω των </w:t>
      </w:r>
      <w:r w:rsidR="00F74C9D" w:rsidRPr="0047462D">
        <w:rPr>
          <w:rFonts w:eastAsia="Times New Roman"/>
          <w:szCs w:val="22"/>
        </w:rPr>
        <w:t>24 μηνών) περιγράφεται στον Πίνακα 5. Σ</w:t>
      </w:r>
      <w:r w:rsidR="005E7331" w:rsidRPr="0047462D">
        <w:rPr>
          <w:rFonts w:eastAsia="Times New Roman"/>
          <w:szCs w:val="22"/>
        </w:rPr>
        <w:t>τις</w:t>
      </w:r>
      <w:r w:rsidR="00F74C9D" w:rsidRPr="0047462D">
        <w:rPr>
          <w:rFonts w:eastAsia="Times New Roman"/>
          <w:szCs w:val="22"/>
        </w:rPr>
        <w:t xml:space="preserve"> ελεγχόμενες με εικονικό φάρμακο μελέτες, </w:t>
      </w:r>
      <w:r w:rsidR="00A67D3A" w:rsidRPr="0047462D">
        <w:rPr>
          <w:rFonts w:eastAsia="Times New Roman"/>
          <w:szCs w:val="22"/>
        </w:rPr>
        <w:t xml:space="preserve">η </w:t>
      </w:r>
      <w:r w:rsidR="00F74C9D" w:rsidRPr="0047462D">
        <w:rPr>
          <w:rFonts w:eastAsia="Times New Roman"/>
          <w:szCs w:val="22"/>
        </w:rPr>
        <w:t xml:space="preserve">επίπτωση </w:t>
      </w:r>
      <w:r w:rsidR="00A67D3A" w:rsidRPr="0047462D">
        <w:rPr>
          <w:rFonts w:eastAsia="Times New Roman"/>
          <w:szCs w:val="22"/>
        </w:rPr>
        <w:t>των αυξήσε</w:t>
      </w:r>
      <w:r w:rsidR="00F74C9D" w:rsidRPr="0047462D">
        <w:rPr>
          <w:rFonts w:eastAsia="Times New Roman"/>
          <w:szCs w:val="22"/>
        </w:rPr>
        <w:t>ων</w:t>
      </w:r>
      <w:r w:rsidR="00A67D3A" w:rsidRPr="0047462D">
        <w:rPr>
          <w:rFonts w:eastAsia="Times New Roman"/>
          <w:szCs w:val="22"/>
        </w:rPr>
        <w:t xml:space="preserve"> </w:t>
      </w:r>
      <w:r w:rsidR="00F74C9D" w:rsidRPr="0047462D">
        <w:rPr>
          <w:rFonts w:eastAsia="Times New Roman"/>
          <w:szCs w:val="22"/>
        </w:rPr>
        <w:t xml:space="preserve">των </w:t>
      </w:r>
      <w:r w:rsidR="00A67D3A" w:rsidRPr="0047462D">
        <w:rPr>
          <w:rFonts w:eastAsia="Times New Roman"/>
          <w:szCs w:val="22"/>
        </w:rPr>
        <w:t xml:space="preserve">τρανσαμινασών </w:t>
      </w:r>
      <w:r w:rsidR="00AF7411" w:rsidRPr="0047462D">
        <w:rPr>
          <w:rFonts w:eastAsia="Times New Roman"/>
          <w:szCs w:val="22"/>
        </w:rPr>
        <w:t xml:space="preserve">ήταν παρόμοια μεταξύ της θεραπείας με </w:t>
      </w:r>
      <w:r w:rsidR="00AF7411" w:rsidRPr="0047462D">
        <w:rPr>
          <w:rFonts w:eastAsia="Times New Roman"/>
          <w:szCs w:val="22"/>
          <w:lang w:val="en-US"/>
        </w:rPr>
        <w:t>ivacaftor</w:t>
      </w:r>
      <w:r w:rsidR="00AF7411" w:rsidRPr="00F93ECE">
        <w:rPr>
          <w:rFonts w:eastAsia="Times New Roman"/>
          <w:szCs w:val="22"/>
        </w:rPr>
        <w:t xml:space="preserve"> (15,0%) </w:t>
      </w:r>
      <w:r w:rsidR="00AF7411" w:rsidRPr="0047462D">
        <w:rPr>
          <w:rFonts w:eastAsia="Times New Roman"/>
          <w:szCs w:val="22"/>
        </w:rPr>
        <w:t xml:space="preserve">και του εικονικού φαρμάκου (14,6%). </w:t>
      </w:r>
      <w:r w:rsidR="00295E75">
        <w:rPr>
          <w:rFonts w:eastAsia="Times New Roman"/>
          <w:szCs w:val="22"/>
        </w:rPr>
        <w:t>Ο</w:t>
      </w:r>
      <w:r w:rsidR="00295E75" w:rsidRPr="0047462D">
        <w:rPr>
          <w:rFonts w:eastAsia="Times New Roman"/>
          <w:szCs w:val="22"/>
        </w:rPr>
        <w:t xml:space="preserve">ι μέγιστες αυξήσεις των δοκιμασιών ηπατικής λειτουργίας </w:t>
      </w:r>
      <w:r w:rsidR="00295E75">
        <w:rPr>
          <w:rFonts w:eastAsia="Times New Roman"/>
          <w:szCs w:val="22"/>
        </w:rPr>
        <w:t xml:space="preserve">ήταν γενικά υψηλότερες στους παιδιατρικούς ασθενείς σε σχέση με τους ασθενείς μεγαλύτερης ηλικίας. </w:t>
      </w:r>
      <w:r w:rsidR="00AF7411" w:rsidRPr="0047462D">
        <w:rPr>
          <w:rFonts w:eastAsia="Times New Roman"/>
          <w:szCs w:val="22"/>
        </w:rPr>
        <w:t xml:space="preserve">Μεταξύ όλων των πληθυσμών, οι </w:t>
      </w:r>
      <w:r w:rsidR="00A67D3A" w:rsidRPr="0047462D">
        <w:rPr>
          <w:rFonts w:eastAsia="Times New Roman"/>
          <w:szCs w:val="22"/>
        </w:rPr>
        <w:t xml:space="preserve">μέγιστες αυξήσεις των δοκιμασιών ηπατικής λειτουργίας </w:t>
      </w:r>
      <w:r w:rsidR="00AF7411" w:rsidRPr="0047462D">
        <w:rPr>
          <w:rFonts w:eastAsia="Times New Roman"/>
          <w:szCs w:val="22"/>
        </w:rPr>
        <w:t>επέστ</w:t>
      </w:r>
      <w:r w:rsidR="00990CF6" w:rsidRPr="0047462D">
        <w:rPr>
          <w:rFonts w:eastAsia="Times New Roman"/>
          <w:szCs w:val="22"/>
        </w:rPr>
        <w:t>ρ</w:t>
      </w:r>
      <w:r w:rsidR="00AF7411" w:rsidRPr="0047462D">
        <w:rPr>
          <w:rFonts w:eastAsia="Times New Roman"/>
          <w:szCs w:val="22"/>
        </w:rPr>
        <w:t>εψαν στα αρχικά επίπεδα μετά την προσωρινή διακοπή, και σ</w:t>
      </w:r>
      <w:r w:rsidR="00A67D3A" w:rsidRPr="0047462D">
        <w:rPr>
          <w:rFonts w:eastAsia="Times New Roman"/>
          <w:szCs w:val="22"/>
        </w:rPr>
        <w:t xml:space="preserve">ε όλες σχεδόν τις περιπτώσεις όπου διεκόπη </w:t>
      </w:r>
      <w:r w:rsidR="002A0431" w:rsidRPr="0047462D">
        <w:rPr>
          <w:rFonts w:eastAsia="Times New Roman"/>
          <w:szCs w:val="22"/>
        </w:rPr>
        <w:t xml:space="preserve">προσωρινά </w:t>
      </w:r>
      <w:r w:rsidR="00A67D3A" w:rsidRPr="0047462D">
        <w:rPr>
          <w:rFonts w:eastAsia="Times New Roman"/>
          <w:szCs w:val="22"/>
        </w:rPr>
        <w:t xml:space="preserve">η χορήγηση δόσης λόγω αυξημένων τρανσαμινασών και </w:t>
      </w:r>
      <w:r w:rsidR="00121FAE" w:rsidRPr="0047462D">
        <w:rPr>
          <w:rFonts w:eastAsia="Times New Roman"/>
          <w:szCs w:val="22"/>
        </w:rPr>
        <w:t>στη συνέχεια ξεκίνησε εκ νέου</w:t>
      </w:r>
      <w:r w:rsidR="00A67D3A" w:rsidRPr="0047462D">
        <w:rPr>
          <w:rFonts w:eastAsia="Times New Roman"/>
          <w:szCs w:val="22"/>
        </w:rPr>
        <w:t xml:space="preserve">, κατέστη δυνατόν να ξαναρχίσει η χορήγηση δόσης του </w:t>
      </w:r>
      <w:r w:rsidR="00A67D3A" w:rsidRPr="0047462D">
        <w:t>ivacaftor</w:t>
      </w:r>
      <w:r w:rsidR="00A67D3A" w:rsidRPr="0047462D">
        <w:rPr>
          <w:rFonts w:eastAsia="Times New Roman"/>
          <w:szCs w:val="22"/>
        </w:rPr>
        <w:t xml:space="preserve"> επιτυχώς (βλ. παράγραφο 4.4).</w:t>
      </w:r>
      <w:r w:rsidR="000D31A2" w:rsidRPr="0047462D">
        <w:rPr>
          <w:rFonts w:eastAsia="Times New Roman"/>
          <w:szCs w:val="22"/>
        </w:rPr>
        <w:t xml:space="preserve"> Παρατηρήθηκαν περιπτώσεις που υποδηλώνουν </w:t>
      </w:r>
      <w:r w:rsidR="00FA77DE" w:rsidRPr="0047462D">
        <w:rPr>
          <w:rFonts w:eastAsia="Times New Roman"/>
          <w:szCs w:val="22"/>
        </w:rPr>
        <w:t xml:space="preserve">επανεμφάνιση </w:t>
      </w:r>
      <w:r w:rsidR="000F034D" w:rsidRPr="0047462D">
        <w:rPr>
          <w:rFonts w:eastAsia="Times New Roman"/>
          <w:szCs w:val="22"/>
        </w:rPr>
        <w:t xml:space="preserve">των </w:t>
      </w:r>
      <w:r w:rsidR="00FA77DE" w:rsidRPr="0047462D">
        <w:rPr>
          <w:rFonts w:eastAsia="Times New Roman"/>
          <w:szCs w:val="22"/>
        </w:rPr>
        <w:t>αυξήσεων μετά από επαναχορήγησ</w:t>
      </w:r>
      <w:r w:rsidR="001524A6" w:rsidRPr="0047462D">
        <w:rPr>
          <w:rFonts w:eastAsia="Times New Roman"/>
          <w:szCs w:val="22"/>
        </w:rPr>
        <w:t>η δόσης</w:t>
      </w:r>
      <w:r w:rsidR="000D31A2" w:rsidRPr="0047462D">
        <w:rPr>
          <w:rFonts w:eastAsia="Times New Roman"/>
          <w:szCs w:val="22"/>
        </w:rPr>
        <w:t>.</w:t>
      </w:r>
      <w:r w:rsidR="00AF7411" w:rsidRPr="0047462D">
        <w:rPr>
          <w:rFonts w:eastAsia="Times New Roman"/>
          <w:szCs w:val="22"/>
        </w:rPr>
        <w:t xml:space="preserve"> </w:t>
      </w:r>
      <w:r w:rsidR="00AF7411" w:rsidRPr="0047462D">
        <w:rPr>
          <w:bCs/>
        </w:rPr>
        <w:t xml:space="preserve">Στη μελέτη 7, το </w:t>
      </w:r>
      <w:r w:rsidR="00AF7411" w:rsidRPr="0047462D">
        <w:rPr>
          <w:bCs/>
          <w:iCs/>
          <w:lang w:eastAsia="ja-JP"/>
        </w:rPr>
        <w:t>ivacaftor διακόπηκε οριστικά σε έναν ασθενή. Στη μελέτη</w:t>
      </w:r>
      <w:r w:rsidR="00AF7411" w:rsidRPr="0047462D">
        <w:rPr>
          <w:bCs/>
        </w:rPr>
        <w:t xml:space="preserve"> 8, κανένας </w:t>
      </w:r>
      <w:r w:rsidR="00BB0373" w:rsidRPr="0047462D">
        <w:rPr>
          <w:rFonts w:eastAsia="Times New Roman"/>
          <w:szCs w:val="22"/>
        </w:rPr>
        <w:t xml:space="preserve">ασθενής δεν </w:t>
      </w:r>
      <w:r w:rsidR="0006395A" w:rsidRPr="0047462D">
        <w:rPr>
          <w:rFonts w:eastAsia="Times New Roman"/>
          <w:szCs w:val="22"/>
        </w:rPr>
        <w:t>εμφάνισε</w:t>
      </w:r>
      <w:r w:rsidR="00BB0373" w:rsidRPr="0047462D">
        <w:rPr>
          <w:rFonts w:eastAsia="Times New Roman"/>
          <w:szCs w:val="22"/>
        </w:rPr>
        <w:t xml:space="preserve"> αύξηση </w:t>
      </w:r>
      <w:r w:rsidR="0006395A" w:rsidRPr="0047462D">
        <w:rPr>
          <w:rFonts w:eastAsia="Times New Roman"/>
          <w:szCs w:val="22"/>
        </w:rPr>
        <w:t>της</w:t>
      </w:r>
      <w:r w:rsidR="00BB0373" w:rsidRPr="0047462D">
        <w:rPr>
          <w:rFonts w:eastAsia="Times New Roman"/>
          <w:szCs w:val="22"/>
        </w:rPr>
        <w:t xml:space="preserve"> ολική</w:t>
      </w:r>
      <w:r w:rsidR="0006395A" w:rsidRPr="0047462D">
        <w:rPr>
          <w:rFonts w:eastAsia="Times New Roman"/>
          <w:szCs w:val="22"/>
        </w:rPr>
        <w:t>ς</w:t>
      </w:r>
      <w:r w:rsidR="00BB0373" w:rsidRPr="0047462D">
        <w:rPr>
          <w:rFonts w:eastAsia="Times New Roman"/>
          <w:szCs w:val="22"/>
        </w:rPr>
        <w:t xml:space="preserve"> χολερυθρίνη</w:t>
      </w:r>
      <w:r w:rsidR="0006395A" w:rsidRPr="0047462D">
        <w:rPr>
          <w:rFonts w:eastAsia="Times New Roman"/>
          <w:szCs w:val="22"/>
        </w:rPr>
        <w:t>ς</w:t>
      </w:r>
      <w:r w:rsidR="00945A25" w:rsidRPr="0047462D">
        <w:rPr>
          <w:rFonts w:eastAsia="Times New Roman"/>
          <w:szCs w:val="22"/>
        </w:rPr>
        <w:t xml:space="preserve"> ούτε </w:t>
      </w:r>
      <w:r w:rsidR="00BB0373" w:rsidRPr="0047462D">
        <w:rPr>
          <w:rFonts w:eastAsia="Times New Roman"/>
          <w:szCs w:val="22"/>
        </w:rPr>
        <w:t>διέκοψε οριστικά τη θεραπεία με ivacaftor λόγω αυξήσεων των τρανσαμινασών</w:t>
      </w:r>
      <w:r w:rsidR="00945A25" w:rsidRPr="0047462D">
        <w:rPr>
          <w:rFonts w:eastAsia="Times New Roman"/>
          <w:szCs w:val="22"/>
        </w:rPr>
        <w:t xml:space="preserve"> σε καμία από τις δύο </w:t>
      </w:r>
      <w:r w:rsidR="00295E75">
        <w:rPr>
          <w:rFonts w:eastAsia="Times New Roman"/>
          <w:szCs w:val="22"/>
        </w:rPr>
        <w:t xml:space="preserve">ηλικιακές </w:t>
      </w:r>
      <w:r w:rsidR="00945A25" w:rsidRPr="0047462D">
        <w:rPr>
          <w:rFonts w:eastAsia="Times New Roman"/>
          <w:szCs w:val="22"/>
        </w:rPr>
        <w:t>κοόρτεις</w:t>
      </w:r>
      <w:r w:rsidR="00AF7411" w:rsidRPr="0047462D">
        <w:rPr>
          <w:rFonts w:eastAsia="Times New Roman"/>
          <w:szCs w:val="22"/>
        </w:rPr>
        <w:t xml:space="preserve"> </w:t>
      </w:r>
      <w:r w:rsidR="00BB0373" w:rsidRPr="0047462D">
        <w:rPr>
          <w:rFonts w:eastAsia="Times New Roman"/>
          <w:szCs w:val="22"/>
        </w:rPr>
        <w:t>(βλ. παράγραφο</w:t>
      </w:r>
      <w:r w:rsidR="00FE4E65" w:rsidRPr="0047462D">
        <w:rPr>
          <w:rFonts w:eastAsia="Times New Roman"/>
          <w:szCs w:val="22"/>
          <w:lang w:val="en-US"/>
        </w:rPr>
        <w:t> </w:t>
      </w:r>
      <w:r w:rsidR="00BB0373" w:rsidRPr="0047462D">
        <w:rPr>
          <w:rFonts w:eastAsia="Times New Roman"/>
          <w:szCs w:val="22"/>
        </w:rPr>
        <w:t>4.4 για τη διαχείριση των αυξημένων</w:t>
      </w:r>
      <w:r w:rsidR="0006395A" w:rsidRPr="0047462D">
        <w:rPr>
          <w:rFonts w:eastAsia="Times New Roman"/>
          <w:szCs w:val="22"/>
        </w:rPr>
        <w:t xml:space="preserve"> τιμών</w:t>
      </w:r>
      <w:r w:rsidR="00BB0373" w:rsidRPr="0047462D">
        <w:rPr>
          <w:rFonts w:eastAsia="Times New Roman"/>
          <w:szCs w:val="22"/>
        </w:rPr>
        <w:t xml:space="preserve"> τρανσαμινασών).</w:t>
      </w:r>
    </w:p>
    <w:p w14:paraId="1135EFA7" w14:textId="6953B873" w:rsidR="00BB0373" w:rsidRPr="0047462D" w:rsidRDefault="00BB0373" w:rsidP="00141E57">
      <w:pPr>
        <w:ind w:left="567" w:hanging="567"/>
      </w:pPr>
    </w:p>
    <w:p w14:paraId="5E964ADF" w14:textId="2D497988" w:rsidR="005E7331" w:rsidRPr="0047462D" w:rsidRDefault="005E7331" w:rsidP="005E7331">
      <w:pPr>
        <w:keepNext/>
        <w:spacing w:after="240"/>
        <w:rPr>
          <w:b/>
          <w:bCs/>
        </w:rPr>
      </w:pPr>
      <w:r w:rsidRPr="0047462D">
        <w:rPr>
          <w:b/>
          <w:bCs/>
        </w:rPr>
        <w:t xml:space="preserve">Πίνακας 5: Αυξήσεις των τρανσαμινασών σε ασθενείς ηλικίας </w:t>
      </w:r>
      <w:r w:rsidR="0000288B">
        <w:rPr>
          <w:b/>
          <w:bCs/>
        </w:rPr>
        <w:t>4</w:t>
      </w:r>
      <w:r w:rsidRPr="0047462D">
        <w:rPr>
          <w:b/>
          <w:bCs/>
        </w:rPr>
        <w:t> μηνών έως &lt; 12 ετών που έλαβαν ivacaftor ως μονοθεραπεία</w:t>
      </w:r>
    </w:p>
    <w:tbl>
      <w:tblPr>
        <w:tblStyle w:val="TableGrid"/>
        <w:tblW w:w="0" w:type="auto"/>
        <w:tblInd w:w="137" w:type="dxa"/>
        <w:tblLayout w:type="fixed"/>
        <w:tblLook w:val="04A0" w:firstRow="1" w:lastRow="0" w:firstColumn="1" w:lastColumn="0" w:noHBand="0" w:noVBand="1"/>
      </w:tblPr>
      <w:tblGrid>
        <w:gridCol w:w="2422"/>
        <w:gridCol w:w="993"/>
        <w:gridCol w:w="1619"/>
        <w:gridCol w:w="1620"/>
        <w:gridCol w:w="1620"/>
      </w:tblGrid>
      <w:tr w:rsidR="005E7331" w:rsidRPr="0047462D" w14:paraId="67DE8D40" w14:textId="77777777" w:rsidTr="005919C3">
        <w:trPr>
          <w:trHeight w:val="579"/>
        </w:trPr>
        <w:tc>
          <w:tcPr>
            <w:tcW w:w="2422" w:type="dxa"/>
          </w:tcPr>
          <w:p w14:paraId="46C32F51" w14:textId="77777777" w:rsidR="005E7331" w:rsidRPr="0047462D" w:rsidRDefault="005E7331" w:rsidP="005919C3">
            <w:pPr>
              <w:keepNext/>
              <w:rPr>
                <w:b/>
                <w:bCs/>
              </w:rPr>
            </w:pPr>
          </w:p>
        </w:tc>
        <w:tc>
          <w:tcPr>
            <w:tcW w:w="993" w:type="dxa"/>
          </w:tcPr>
          <w:p w14:paraId="48FB1C41" w14:textId="77777777" w:rsidR="005E7331" w:rsidRPr="0047462D" w:rsidRDefault="005E7331" w:rsidP="005919C3">
            <w:pPr>
              <w:keepNext/>
              <w:jc w:val="center"/>
              <w:rPr>
                <w:b/>
                <w:bCs/>
              </w:rPr>
            </w:pPr>
            <w:r w:rsidRPr="0047462D">
              <w:rPr>
                <w:b/>
                <w:bCs/>
              </w:rPr>
              <w:t>n</w:t>
            </w:r>
          </w:p>
        </w:tc>
        <w:tc>
          <w:tcPr>
            <w:tcW w:w="1619" w:type="dxa"/>
          </w:tcPr>
          <w:p w14:paraId="6477BDAE" w14:textId="493968B4" w:rsidR="005E7331" w:rsidRPr="0047462D" w:rsidRDefault="005E7331" w:rsidP="005919C3">
            <w:pPr>
              <w:keepNext/>
              <w:jc w:val="center"/>
              <w:rPr>
                <w:b/>
                <w:bCs/>
              </w:rPr>
            </w:pPr>
            <w:r w:rsidRPr="0047462D">
              <w:rPr>
                <w:b/>
                <w:bCs/>
              </w:rPr>
              <w:t xml:space="preserve">% ασθενών &gt; 3 x ULN </w:t>
            </w:r>
          </w:p>
        </w:tc>
        <w:tc>
          <w:tcPr>
            <w:tcW w:w="1620" w:type="dxa"/>
          </w:tcPr>
          <w:p w14:paraId="60B4B4C5" w14:textId="5D0E9C4E" w:rsidR="005E7331" w:rsidRPr="0047462D" w:rsidRDefault="005E7331" w:rsidP="005919C3">
            <w:pPr>
              <w:keepNext/>
              <w:jc w:val="center"/>
              <w:rPr>
                <w:b/>
                <w:bCs/>
              </w:rPr>
            </w:pPr>
            <w:r w:rsidRPr="0047462D">
              <w:rPr>
                <w:b/>
                <w:bCs/>
              </w:rPr>
              <w:t>% ασθενών &gt; 5 x ULN</w:t>
            </w:r>
          </w:p>
        </w:tc>
        <w:tc>
          <w:tcPr>
            <w:tcW w:w="1620" w:type="dxa"/>
          </w:tcPr>
          <w:p w14:paraId="0F87CD60" w14:textId="228C2CEE" w:rsidR="005E7331" w:rsidRPr="0047462D" w:rsidRDefault="005E7331" w:rsidP="005919C3">
            <w:pPr>
              <w:keepNext/>
              <w:jc w:val="center"/>
              <w:rPr>
                <w:b/>
                <w:bCs/>
              </w:rPr>
            </w:pPr>
            <w:r w:rsidRPr="0047462D">
              <w:rPr>
                <w:b/>
                <w:bCs/>
              </w:rPr>
              <w:t>% ασθενών &gt; 8 x ULN</w:t>
            </w:r>
          </w:p>
        </w:tc>
      </w:tr>
      <w:tr w:rsidR="005E7331" w:rsidRPr="0047462D" w14:paraId="608523B5" w14:textId="77777777" w:rsidTr="005919C3">
        <w:trPr>
          <w:trHeight w:val="287"/>
        </w:trPr>
        <w:tc>
          <w:tcPr>
            <w:tcW w:w="2422" w:type="dxa"/>
          </w:tcPr>
          <w:p w14:paraId="5FDDC4FD" w14:textId="027694D3" w:rsidR="005E7331" w:rsidRPr="0047462D" w:rsidRDefault="005E7331" w:rsidP="005919C3">
            <w:pPr>
              <w:keepNext/>
            </w:pPr>
            <w:r w:rsidRPr="0047462D">
              <w:t>6 έως &lt; 12 ετών</w:t>
            </w:r>
          </w:p>
        </w:tc>
        <w:tc>
          <w:tcPr>
            <w:tcW w:w="993" w:type="dxa"/>
          </w:tcPr>
          <w:p w14:paraId="59DAF799" w14:textId="77777777" w:rsidR="005E7331" w:rsidRPr="0047462D" w:rsidRDefault="005E7331" w:rsidP="005919C3">
            <w:pPr>
              <w:keepNext/>
              <w:jc w:val="center"/>
            </w:pPr>
            <w:r w:rsidRPr="0047462D">
              <w:t>40</w:t>
            </w:r>
          </w:p>
        </w:tc>
        <w:tc>
          <w:tcPr>
            <w:tcW w:w="1619" w:type="dxa"/>
          </w:tcPr>
          <w:p w14:paraId="405992AE" w14:textId="574A342B" w:rsidR="005E7331" w:rsidRPr="0047462D" w:rsidRDefault="005E7331" w:rsidP="005919C3">
            <w:pPr>
              <w:keepNext/>
              <w:jc w:val="center"/>
            </w:pPr>
            <w:r w:rsidRPr="0047462D">
              <w:t>15,0% (6)</w:t>
            </w:r>
          </w:p>
        </w:tc>
        <w:tc>
          <w:tcPr>
            <w:tcW w:w="1620" w:type="dxa"/>
          </w:tcPr>
          <w:p w14:paraId="475CFED8" w14:textId="589C25CC" w:rsidR="005E7331" w:rsidRPr="0047462D" w:rsidRDefault="005E7331" w:rsidP="005919C3">
            <w:pPr>
              <w:keepNext/>
              <w:jc w:val="center"/>
            </w:pPr>
            <w:r w:rsidRPr="0047462D">
              <w:t>2,5% (1)</w:t>
            </w:r>
          </w:p>
        </w:tc>
        <w:tc>
          <w:tcPr>
            <w:tcW w:w="1620" w:type="dxa"/>
          </w:tcPr>
          <w:p w14:paraId="55A971F2" w14:textId="1A37DC92" w:rsidR="005E7331" w:rsidRPr="0047462D" w:rsidRDefault="005E7331" w:rsidP="005919C3">
            <w:pPr>
              <w:keepNext/>
              <w:jc w:val="center"/>
            </w:pPr>
            <w:r w:rsidRPr="0047462D">
              <w:t>2,5% (1)</w:t>
            </w:r>
          </w:p>
        </w:tc>
      </w:tr>
      <w:tr w:rsidR="005E7331" w:rsidRPr="0047462D" w14:paraId="1F83C6C8" w14:textId="77777777" w:rsidTr="005919C3">
        <w:trPr>
          <w:trHeight w:val="287"/>
        </w:trPr>
        <w:tc>
          <w:tcPr>
            <w:tcW w:w="2422" w:type="dxa"/>
          </w:tcPr>
          <w:p w14:paraId="6EB7CBF0" w14:textId="74B5B8EC" w:rsidR="005E7331" w:rsidRPr="0047462D" w:rsidRDefault="005E7331" w:rsidP="005919C3">
            <w:pPr>
              <w:keepNext/>
            </w:pPr>
            <w:r w:rsidRPr="0047462D">
              <w:t>2 έως &lt; 6 ετών</w:t>
            </w:r>
          </w:p>
        </w:tc>
        <w:tc>
          <w:tcPr>
            <w:tcW w:w="993" w:type="dxa"/>
          </w:tcPr>
          <w:p w14:paraId="1C17B9B0" w14:textId="77777777" w:rsidR="005E7331" w:rsidRPr="0047462D" w:rsidRDefault="005E7331" w:rsidP="005919C3">
            <w:pPr>
              <w:keepNext/>
              <w:jc w:val="center"/>
            </w:pPr>
            <w:r w:rsidRPr="0047462D">
              <w:t>34</w:t>
            </w:r>
          </w:p>
        </w:tc>
        <w:tc>
          <w:tcPr>
            <w:tcW w:w="1619" w:type="dxa"/>
          </w:tcPr>
          <w:p w14:paraId="553B6662" w14:textId="6DA15FC0" w:rsidR="005E7331" w:rsidRPr="0047462D" w:rsidRDefault="005E7331" w:rsidP="005919C3">
            <w:pPr>
              <w:keepNext/>
              <w:jc w:val="center"/>
            </w:pPr>
            <w:r w:rsidRPr="0047462D">
              <w:t>14,7% (5)</w:t>
            </w:r>
          </w:p>
        </w:tc>
        <w:tc>
          <w:tcPr>
            <w:tcW w:w="1620" w:type="dxa"/>
          </w:tcPr>
          <w:p w14:paraId="62D3A873" w14:textId="7487B19E" w:rsidR="005E7331" w:rsidRPr="0047462D" w:rsidRDefault="005E7331" w:rsidP="005919C3">
            <w:pPr>
              <w:keepNext/>
              <w:jc w:val="center"/>
            </w:pPr>
            <w:r w:rsidRPr="0047462D">
              <w:t>14,7</w:t>
            </w:r>
            <w:r w:rsidR="000C6819" w:rsidRPr="0047462D">
              <w:t>%</w:t>
            </w:r>
            <w:r w:rsidRPr="0047462D">
              <w:t xml:space="preserve"> (5)</w:t>
            </w:r>
          </w:p>
        </w:tc>
        <w:tc>
          <w:tcPr>
            <w:tcW w:w="1620" w:type="dxa"/>
          </w:tcPr>
          <w:p w14:paraId="6CF21E5D" w14:textId="0F719F52" w:rsidR="005E7331" w:rsidRPr="0047462D" w:rsidRDefault="005E7331" w:rsidP="005919C3">
            <w:pPr>
              <w:keepNext/>
              <w:jc w:val="center"/>
            </w:pPr>
            <w:r w:rsidRPr="0047462D">
              <w:t>14,7% (5)</w:t>
            </w:r>
          </w:p>
        </w:tc>
      </w:tr>
      <w:tr w:rsidR="005E7331" w:rsidRPr="0047462D" w14:paraId="0C8D1E9A" w14:textId="77777777" w:rsidTr="005919C3">
        <w:trPr>
          <w:trHeight w:val="287"/>
        </w:trPr>
        <w:tc>
          <w:tcPr>
            <w:tcW w:w="2422" w:type="dxa"/>
          </w:tcPr>
          <w:p w14:paraId="1D6D96D6" w14:textId="5AA7D721" w:rsidR="005E7331" w:rsidRPr="0047462D" w:rsidRDefault="005E7331" w:rsidP="005919C3">
            <w:pPr>
              <w:keepNext/>
            </w:pPr>
            <w:r w:rsidRPr="0047462D">
              <w:t>12 έως &lt; 24 μηνών</w:t>
            </w:r>
          </w:p>
        </w:tc>
        <w:tc>
          <w:tcPr>
            <w:tcW w:w="993" w:type="dxa"/>
          </w:tcPr>
          <w:p w14:paraId="104061B8" w14:textId="77777777" w:rsidR="005E7331" w:rsidRPr="0047462D" w:rsidRDefault="005E7331" w:rsidP="005919C3">
            <w:pPr>
              <w:keepNext/>
              <w:jc w:val="center"/>
            </w:pPr>
            <w:r w:rsidRPr="0047462D">
              <w:t>18</w:t>
            </w:r>
          </w:p>
        </w:tc>
        <w:tc>
          <w:tcPr>
            <w:tcW w:w="1619" w:type="dxa"/>
          </w:tcPr>
          <w:p w14:paraId="10F17862" w14:textId="41E04814" w:rsidR="005E7331" w:rsidRPr="0047462D" w:rsidRDefault="005E7331" w:rsidP="005919C3">
            <w:pPr>
              <w:keepNext/>
              <w:jc w:val="center"/>
            </w:pPr>
            <w:r w:rsidRPr="0047462D">
              <w:t>27,8% (5)</w:t>
            </w:r>
          </w:p>
        </w:tc>
        <w:tc>
          <w:tcPr>
            <w:tcW w:w="1620" w:type="dxa"/>
          </w:tcPr>
          <w:p w14:paraId="1AA40558" w14:textId="458E5070" w:rsidR="005E7331" w:rsidRPr="0047462D" w:rsidRDefault="005E7331" w:rsidP="005919C3">
            <w:pPr>
              <w:keepNext/>
              <w:jc w:val="center"/>
            </w:pPr>
            <w:r w:rsidRPr="0047462D">
              <w:t>11,1% (2)</w:t>
            </w:r>
          </w:p>
        </w:tc>
        <w:tc>
          <w:tcPr>
            <w:tcW w:w="1620" w:type="dxa"/>
          </w:tcPr>
          <w:p w14:paraId="216DCE39" w14:textId="4AB3D4FF" w:rsidR="005E7331" w:rsidRPr="0047462D" w:rsidRDefault="005E7331" w:rsidP="005919C3">
            <w:pPr>
              <w:keepNext/>
              <w:jc w:val="center"/>
            </w:pPr>
            <w:r w:rsidRPr="0047462D">
              <w:t>11,1% (2)</w:t>
            </w:r>
          </w:p>
        </w:tc>
      </w:tr>
      <w:tr w:rsidR="005E7331" w:rsidRPr="0047462D" w14:paraId="4AB5460C" w14:textId="77777777" w:rsidTr="005919C3">
        <w:trPr>
          <w:trHeight w:val="274"/>
        </w:trPr>
        <w:tc>
          <w:tcPr>
            <w:tcW w:w="2422" w:type="dxa"/>
          </w:tcPr>
          <w:p w14:paraId="1CDBAEC6" w14:textId="53DD786F" w:rsidR="005E7331" w:rsidRPr="0047462D" w:rsidRDefault="005E7331" w:rsidP="005919C3">
            <w:r w:rsidRPr="0047462D">
              <w:t>6 έως &lt; 12 μηνών</w:t>
            </w:r>
          </w:p>
        </w:tc>
        <w:tc>
          <w:tcPr>
            <w:tcW w:w="993" w:type="dxa"/>
          </w:tcPr>
          <w:p w14:paraId="32CC9794" w14:textId="77777777" w:rsidR="005E7331" w:rsidRPr="0047462D" w:rsidRDefault="005E7331" w:rsidP="005919C3">
            <w:pPr>
              <w:jc w:val="center"/>
            </w:pPr>
            <w:r w:rsidRPr="0047462D">
              <w:t>11</w:t>
            </w:r>
          </w:p>
        </w:tc>
        <w:tc>
          <w:tcPr>
            <w:tcW w:w="1619" w:type="dxa"/>
          </w:tcPr>
          <w:p w14:paraId="6DDFE4B3" w14:textId="50015DB7" w:rsidR="005E7331" w:rsidRPr="0047462D" w:rsidRDefault="005E7331" w:rsidP="005919C3">
            <w:pPr>
              <w:jc w:val="center"/>
            </w:pPr>
            <w:r w:rsidRPr="0047462D">
              <w:t>9,1% (1)</w:t>
            </w:r>
          </w:p>
        </w:tc>
        <w:tc>
          <w:tcPr>
            <w:tcW w:w="1620" w:type="dxa"/>
          </w:tcPr>
          <w:p w14:paraId="4155A25C" w14:textId="3A3EE563" w:rsidR="005E7331" w:rsidRPr="0047462D" w:rsidRDefault="005E7331" w:rsidP="005919C3">
            <w:pPr>
              <w:jc w:val="center"/>
            </w:pPr>
            <w:r w:rsidRPr="0047462D">
              <w:t>0,0% (0)</w:t>
            </w:r>
          </w:p>
        </w:tc>
        <w:tc>
          <w:tcPr>
            <w:tcW w:w="1620" w:type="dxa"/>
          </w:tcPr>
          <w:p w14:paraId="0D427CAA" w14:textId="2A61FFBB" w:rsidR="005E7331" w:rsidRPr="0047462D" w:rsidRDefault="005E7331" w:rsidP="005919C3">
            <w:pPr>
              <w:jc w:val="center"/>
            </w:pPr>
            <w:r w:rsidRPr="0047462D">
              <w:t>0,0% (0)</w:t>
            </w:r>
          </w:p>
        </w:tc>
      </w:tr>
      <w:tr w:rsidR="00973BAC" w:rsidRPr="0047462D" w14:paraId="0A1B02CE" w14:textId="77777777" w:rsidTr="005919C3">
        <w:trPr>
          <w:trHeight w:val="274"/>
        </w:trPr>
        <w:tc>
          <w:tcPr>
            <w:tcW w:w="2422" w:type="dxa"/>
          </w:tcPr>
          <w:p w14:paraId="3A95F2B2" w14:textId="14E63409" w:rsidR="00973BAC" w:rsidRPr="0047462D" w:rsidRDefault="00973BAC" w:rsidP="00973BAC">
            <w:r>
              <w:t>4 έως &lt; 6 μηνών</w:t>
            </w:r>
          </w:p>
        </w:tc>
        <w:tc>
          <w:tcPr>
            <w:tcW w:w="993" w:type="dxa"/>
          </w:tcPr>
          <w:p w14:paraId="258C700E" w14:textId="7B107BB2" w:rsidR="00973BAC" w:rsidRPr="0047462D" w:rsidRDefault="00973BAC" w:rsidP="00973BAC">
            <w:pPr>
              <w:jc w:val="center"/>
            </w:pPr>
            <w:r>
              <w:t>6</w:t>
            </w:r>
          </w:p>
        </w:tc>
        <w:tc>
          <w:tcPr>
            <w:tcW w:w="1619" w:type="dxa"/>
          </w:tcPr>
          <w:p w14:paraId="17B39750" w14:textId="2FD80DEB" w:rsidR="00973BAC" w:rsidRPr="0047462D" w:rsidRDefault="00973BAC" w:rsidP="00973BAC">
            <w:pPr>
              <w:jc w:val="center"/>
            </w:pPr>
            <w:r>
              <w:t>0,0% (0)</w:t>
            </w:r>
          </w:p>
        </w:tc>
        <w:tc>
          <w:tcPr>
            <w:tcW w:w="1620" w:type="dxa"/>
          </w:tcPr>
          <w:p w14:paraId="5FC0A3D0" w14:textId="63D08557" w:rsidR="00973BAC" w:rsidRPr="0047462D" w:rsidRDefault="00973BAC" w:rsidP="00973BAC">
            <w:pPr>
              <w:jc w:val="center"/>
            </w:pPr>
            <w:r>
              <w:t>0,0% (0)</w:t>
            </w:r>
          </w:p>
        </w:tc>
        <w:tc>
          <w:tcPr>
            <w:tcW w:w="1620" w:type="dxa"/>
          </w:tcPr>
          <w:p w14:paraId="7C5954E6" w14:textId="5765C7FB" w:rsidR="00973BAC" w:rsidRPr="0047462D" w:rsidRDefault="00973BAC" w:rsidP="00973BAC">
            <w:pPr>
              <w:jc w:val="center"/>
            </w:pPr>
            <w:r>
              <w:t>0,0% (0)</w:t>
            </w:r>
          </w:p>
        </w:tc>
      </w:tr>
    </w:tbl>
    <w:p w14:paraId="4BD7F94E" w14:textId="77777777" w:rsidR="005E7331" w:rsidRPr="0047462D" w:rsidRDefault="005E7331" w:rsidP="00141E57">
      <w:pPr>
        <w:ind w:left="567" w:hanging="567"/>
      </w:pPr>
    </w:p>
    <w:p w14:paraId="5D37A0EC" w14:textId="77777777" w:rsidR="00A67D3A" w:rsidRPr="0047462D" w:rsidRDefault="00A67D3A" w:rsidP="00A240EC">
      <w:pPr>
        <w:keepNext/>
        <w:autoSpaceDE w:val="0"/>
        <w:autoSpaceDN w:val="0"/>
        <w:adjustRightInd w:val="0"/>
        <w:rPr>
          <w:noProof/>
          <w:szCs w:val="22"/>
          <w:u w:val="single"/>
        </w:rPr>
      </w:pPr>
      <w:r w:rsidRPr="0047462D">
        <w:rPr>
          <w:noProof/>
          <w:szCs w:val="22"/>
          <w:u w:val="single"/>
        </w:rPr>
        <w:t>Αναφορά πιθανολογούμενων ανεπιθύμητων ενεργειών</w:t>
      </w:r>
    </w:p>
    <w:p w14:paraId="3A2573F9" w14:textId="77777777" w:rsidR="00945A25" w:rsidRPr="0047462D" w:rsidRDefault="00945A25" w:rsidP="00A240EC">
      <w:pPr>
        <w:keepNext/>
        <w:autoSpaceDE w:val="0"/>
        <w:autoSpaceDN w:val="0"/>
        <w:adjustRightInd w:val="0"/>
        <w:rPr>
          <w:szCs w:val="22"/>
          <w:u w:val="single"/>
        </w:rPr>
      </w:pPr>
    </w:p>
    <w:p w14:paraId="49DEE30F" w14:textId="77777777" w:rsidR="00A67D3A" w:rsidRPr="0047462D" w:rsidRDefault="00A67D3A" w:rsidP="00A240EC">
      <w:pPr>
        <w:autoSpaceDE w:val="0"/>
        <w:autoSpaceDN w:val="0"/>
        <w:adjustRightInd w:val="0"/>
        <w:rPr>
          <w:noProof/>
          <w:szCs w:val="22"/>
        </w:rPr>
      </w:pPr>
      <w:r w:rsidRPr="0047462D">
        <w:rPr>
          <w:szCs w:val="22"/>
        </w:rPr>
        <w:t>Η αναφορά πιθανολογούμενων ανεπιθύμητων ενεργειών μετά από τη χορήγηση άδειας κυκλοφορίας του φαρμακευτικού προϊόντος είναι σημαντική</w:t>
      </w:r>
      <w:r w:rsidRPr="0047462D">
        <w:rPr>
          <w:noProof/>
          <w:szCs w:val="22"/>
        </w:rPr>
        <w:t>.</w:t>
      </w:r>
      <w:r w:rsidRPr="0047462D">
        <w:rPr>
          <w:szCs w:val="22"/>
        </w:rPr>
        <w:t xml:space="preserve"> Επιτρέπει τη συνεχή παρακολούθηση της σχέσης οφέλους-κινδύνου του φαρμακευτικού προϊόντος</w:t>
      </w:r>
      <w:r w:rsidRPr="0047462D">
        <w:rPr>
          <w:noProof/>
          <w:szCs w:val="22"/>
        </w:rPr>
        <w:t>.</w:t>
      </w:r>
      <w:r w:rsidRPr="0047462D">
        <w:rPr>
          <w:szCs w:val="22"/>
        </w:rPr>
        <w:t xml:space="preserve"> Ζητείται από τους επαγγελματίες </w:t>
      </w:r>
      <w:r w:rsidR="00E54C91" w:rsidRPr="0047462D">
        <w:rPr>
          <w:szCs w:val="22"/>
        </w:rPr>
        <w:t>υγείας</w:t>
      </w:r>
      <w:r w:rsidRPr="0047462D">
        <w:rPr>
          <w:szCs w:val="22"/>
        </w:rPr>
        <w:t xml:space="preserve"> να αναφέρουν οποιεσδήποτε πιθανολογούμενες ανεπιθύμητες ενέργειες </w:t>
      </w:r>
      <w:r w:rsidRPr="0047462D">
        <w:t xml:space="preserve">μέσω του εθνικού συστήματος αναφοράς που αναγράφεται στο </w:t>
      </w:r>
      <w:hyperlink r:id="rId11" w:history="1">
        <w:r w:rsidRPr="0047462D">
          <w:rPr>
            <w:rStyle w:val="Hyperlink"/>
          </w:rPr>
          <w:t>Παράρτημα V</w:t>
        </w:r>
      </w:hyperlink>
      <w:r w:rsidRPr="0047462D">
        <w:rPr>
          <w:szCs w:val="22"/>
        </w:rPr>
        <w:t xml:space="preserve">. </w:t>
      </w:r>
    </w:p>
    <w:p w14:paraId="06B99ADB" w14:textId="77777777" w:rsidR="00A67D3A" w:rsidRPr="0047462D" w:rsidRDefault="00A67D3A" w:rsidP="00141E57">
      <w:pPr>
        <w:ind w:left="567" w:hanging="567"/>
        <w:rPr>
          <w:bCs/>
          <w:szCs w:val="22"/>
          <w:lang w:eastAsia="en-US"/>
        </w:rPr>
      </w:pPr>
    </w:p>
    <w:p w14:paraId="19768653" w14:textId="77777777" w:rsidR="00A67D3A" w:rsidRPr="0047462D" w:rsidRDefault="00A67D3A" w:rsidP="00141E57">
      <w:pPr>
        <w:keepNext/>
        <w:tabs>
          <w:tab w:val="left" w:pos="567"/>
        </w:tabs>
        <w:suppressAutoHyphens w:val="0"/>
        <w:spacing w:line="260" w:lineRule="exact"/>
        <w:outlineLvl w:val="0"/>
        <w:rPr>
          <w:b/>
          <w:bCs/>
          <w:noProof/>
          <w:szCs w:val="22"/>
          <w:lang w:eastAsia="en-US"/>
        </w:rPr>
      </w:pPr>
      <w:r w:rsidRPr="0047462D">
        <w:rPr>
          <w:b/>
          <w:bCs/>
          <w:noProof/>
          <w:szCs w:val="22"/>
          <w:lang w:eastAsia="en-US"/>
        </w:rPr>
        <w:t>4.9</w:t>
      </w:r>
      <w:r w:rsidRPr="0047462D">
        <w:rPr>
          <w:b/>
          <w:bCs/>
          <w:noProof/>
          <w:szCs w:val="22"/>
          <w:lang w:eastAsia="en-US"/>
        </w:rPr>
        <w:tab/>
        <w:t>Υπερδοσολογία</w:t>
      </w:r>
    </w:p>
    <w:p w14:paraId="730BCB8E" w14:textId="77777777" w:rsidR="00A67D3A" w:rsidRPr="0047462D" w:rsidRDefault="00A67D3A" w:rsidP="00141E57">
      <w:pPr>
        <w:keepNext/>
        <w:tabs>
          <w:tab w:val="left" w:pos="567"/>
        </w:tabs>
        <w:suppressAutoHyphens w:val="0"/>
      </w:pPr>
    </w:p>
    <w:p w14:paraId="268D09A3" w14:textId="77777777" w:rsidR="00A67D3A" w:rsidRPr="0047462D" w:rsidRDefault="00A67D3A" w:rsidP="002331FF">
      <w:pPr>
        <w:pStyle w:val="labeltext"/>
        <w:rPr>
          <w:szCs w:val="22"/>
          <w:lang w:val="el-GR" w:eastAsia="en-US"/>
        </w:rPr>
      </w:pPr>
      <w:r w:rsidRPr="0047462D">
        <w:rPr>
          <w:rFonts w:eastAsia="Times New Roman"/>
          <w:sz w:val="22"/>
          <w:szCs w:val="22"/>
          <w:lang w:val="el-GR"/>
        </w:rPr>
        <w:t xml:space="preserve">Δεν είναι διαθέσιμο κανένα ειδικό αντίδοτο για υπερδοσολογία με </w:t>
      </w:r>
      <w:r w:rsidR="007A3A47" w:rsidRPr="0047462D">
        <w:rPr>
          <w:sz w:val="22"/>
          <w:szCs w:val="22"/>
          <w:lang w:val="en-GB"/>
        </w:rPr>
        <w:t>ivacaftor</w:t>
      </w:r>
      <w:r w:rsidRPr="0047462D">
        <w:rPr>
          <w:rFonts w:eastAsia="Times New Roman"/>
          <w:sz w:val="22"/>
          <w:szCs w:val="22"/>
          <w:lang w:val="el-GR"/>
        </w:rPr>
        <w:t>. Η αντιμετώπιση της υπερδοσολογίας συνίσταται σε γενικά υποστηρικτικά μέτρα συμπεριλαμβανομένης της παρακολούθησης των ζωτικών σημείων, των εξετάσεων ηπατικής λειτουργίας και της παρακολούθησης της κλινικής κατάστασης του ασθενούς.</w:t>
      </w:r>
    </w:p>
    <w:p w14:paraId="0BB78038" w14:textId="77777777" w:rsidR="00A67D3A" w:rsidRPr="0047462D" w:rsidRDefault="00A67D3A" w:rsidP="00141E57">
      <w:pPr>
        <w:rPr>
          <w:szCs w:val="22"/>
          <w:lang w:eastAsia="en-US"/>
        </w:rPr>
      </w:pPr>
    </w:p>
    <w:p w14:paraId="19BE9B32" w14:textId="77777777" w:rsidR="00A67D3A" w:rsidRPr="0047462D" w:rsidRDefault="00A67D3A" w:rsidP="00141E57">
      <w:pPr>
        <w:rPr>
          <w:szCs w:val="22"/>
          <w:lang w:eastAsia="en-US"/>
        </w:rPr>
      </w:pPr>
    </w:p>
    <w:p w14:paraId="40547F24"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ΦΑΡΜΑΚΟΛΟΓΙΚΕΣ ΙΔΙΟΤΗΤΕΣ</w:t>
      </w:r>
    </w:p>
    <w:p w14:paraId="049E67D7" w14:textId="77777777" w:rsidR="00A67D3A" w:rsidRPr="0047462D" w:rsidRDefault="00A67D3A" w:rsidP="00141E57">
      <w:pPr>
        <w:keepNext/>
        <w:rPr>
          <w:szCs w:val="22"/>
          <w:lang w:eastAsia="en-US"/>
        </w:rPr>
      </w:pPr>
    </w:p>
    <w:p w14:paraId="4C025BD3" w14:textId="77777777" w:rsidR="00A67D3A" w:rsidRPr="0047462D" w:rsidRDefault="00A67D3A" w:rsidP="00141E57">
      <w:pPr>
        <w:keepNext/>
        <w:tabs>
          <w:tab w:val="num" w:pos="570"/>
        </w:tabs>
        <w:suppressAutoHyphens w:val="0"/>
        <w:spacing w:line="260" w:lineRule="exact"/>
        <w:ind w:left="570" w:hanging="570"/>
        <w:outlineLvl w:val="0"/>
        <w:rPr>
          <w:b/>
          <w:bCs/>
          <w:noProof/>
          <w:szCs w:val="22"/>
          <w:lang w:eastAsia="en-US"/>
        </w:rPr>
      </w:pPr>
      <w:r w:rsidRPr="0047462D">
        <w:rPr>
          <w:b/>
          <w:bCs/>
          <w:noProof/>
          <w:szCs w:val="22"/>
          <w:lang w:eastAsia="en-US"/>
        </w:rPr>
        <w:t>5.1</w:t>
      </w:r>
      <w:r w:rsidRPr="0047462D">
        <w:rPr>
          <w:b/>
          <w:bCs/>
          <w:noProof/>
          <w:szCs w:val="22"/>
          <w:lang w:eastAsia="en-US"/>
        </w:rPr>
        <w:tab/>
        <w:t>Φαρμακοδυναμικές ιδιότητες</w:t>
      </w:r>
    </w:p>
    <w:p w14:paraId="11899AC0" w14:textId="77777777" w:rsidR="00A67D3A" w:rsidRPr="0047462D" w:rsidRDefault="00A67D3A" w:rsidP="00141E57">
      <w:pPr>
        <w:keepNext/>
        <w:rPr>
          <w:rFonts w:eastAsia="Times New Roman"/>
          <w:szCs w:val="22"/>
        </w:rPr>
      </w:pPr>
      <w:r w:rsidRPr="0047462D">
        <w:rPr>
          <w:rFonts w:eastAsia="Times New Roman"/>
          <w:i/>
          <w:iCs/>
          <w:szCs w:val="22"/>
          <w:lang w:eastAsia="en-US"/>
        </w:rPr>
        <w:t xml:space="preserve"> </w:t>
      </w:r>
    </w:p>
    <w:p w14:paraId="67027D35" w14:textId="77777777" w:rsidR="00A67D3A" w:rsidRPr="0047462D" w:rsidRDefault="00A67D3A" w:rsidP="002331FF">
      <w:pPr>
        <w:keepNext/>
        <w:rPr>
          <w:b/>
          <w:bCs/>
          <w:i/>
          <w:iCs/>
          <w:szCs w:val="22"/>
        </w:rPr>
      </w:pPr>
      <w:r w:rsidRPr="0047462D">
        <w:rPr>
          <w:rFonts w:eastAsia="Times New Roman"/>
          <w:szCs w:val="22"/>
        </w:rPr>
        <w:t>Φαρμακοθεραπευτική κατηγορία:</w:t>
      </w:r>
      <w:r w:rsidRPr="0047462D">
        <w:rPr>
          <w:rFonts w:eastAsia="Times New Roman"/>
          <w:szCs w:val="22"/>
          <w:lang w:eastAsia="en-US"/>
        </w:rPr>
        <w:t xml:space="preserve"> </w:t>
      </w:r>
      <w:r w:rsidRPr="0047462D">
        <w:rPr>
          <w:rFonts w:eastAsia="Times New Roman"/>
          <w:szCs w:val="22"/>
        </w:rPr>
        <w:t>Άλλα προϊόντα του αναπνευστικού συστήματος</w:t>
      </w:r>
      <w:r w:rsidR="005D1628" w:rsidRPr="0047462D">
        <w:rPr>
          <w:rFonts w:eastAsia="Times New Roman"/>
          <w:szCs w:val="22"/>
        </w:rPr>
        <w:t>,</w:t>
      </w:r>
      <w:r w:rsidRPr="0047462D">
        <w:rPr>
          <w:rFonts w:eastAsia="Times New Roman"/>
          <w:szCs w:val="22"/>
          <w:lang w:eastAsia="en-US"/>
        </w:rPr>
        <w:t xml:space="preserve"> </w:t>
      </w:r>
      <w:r w:rsidRPr="0047462D">
        <w:rPr>
          <w:rFonts w:eastAsia="Times New Roman"/>
          <w:szCs w:val="22"/>
        </w:rPr>
        <w:t>κωδικός ATC:</w:t>
      </w:r>
      <w:r w:rsidRPr="0047462D">
        <w:rPr>
          <w:rFonts w:eastAsia="Times New Roman"/>
          <w:szCs w:val="22"/>
          <w:lang w:eastAsia="en-US"/>
        </w:rPr>
        <w:t xml:space="preserve"> </w:t>
      </w:r>
      <w:r w:rsidRPr="0047462D">
        <w:rPr>
          <w:rFonts w:eastAsia="MS Mincho"/>
          <w:bCs/>
          <w:color w:val="000000"/>
          <w:lang w:val="en-US" w:eastAsia="ja-JP"/>
        </w:rPr>
        <w:t>R</w:t>
      </w:r>
      <w:r w:rsidRPr="0047462D">
        <w:rPr>
          <w:rFonts w:eastAsia="MS Mincho"/>
          <w:bCs/>
          <w:color w:val="000000"/>
          <w:lang w:eastAsia="ja-JP"/>
        </w:rPr>
        <w:t>07</w:t>
      </w:r>
      <w:r w:rsidRPr="0047462D">
        <w:rPr>
          <w:rFonts w:eastAsia="MS Mincho"/>
          <w:bCs/>
          <w:color w:val="000000"/>
          <w:lang w:val="en-US" w:eastAsia="ja-JP"/>
        </w:rPr>
        <w:t>AX</w:t>
      </w:r>
      <w:r w:rsidRPr="0047462D">
        <w:rPr>
          <w:rFonts w:eastAsia="MS Mincho"/>
          <w:bCs/>
          <w:color w:val="000000"/>
          <w:lang w:eastAsia="ja-JP"/>
        </w:rPr>
        <w:t>02</w:t>
      </w:r>
    </w:p>
    <w:p w14:paraId="658A42B4" w14:textId="77777777" w:rsidR="00A67D3A" w:rsidRPr="0047462D" w:rsidRDefault="00A67D3A">
      <w:pPr>
        <w:keepNext/>
        <w:rPr>
          <w:rFonts w:eastAsia="Times New Roman"/>
          <w:szCs w:val="22"/>
          <w:u w:val="single"/>
        </w:rPr>
      </w:pPr>
    </w:p>
    <w:p w14:paraId="042DD52D" w14:textId="77777777" w:rsidR="00A67D3A" w:rsidRPr="0047462D" w:rsidRDefault="00A67D3A">
      <w:pPr>
        <w:keepNext/>
        <w:rPr>
          <w:rFonts w:eastAsia="Times New Roman"/>
          <w:szCs w:val="22"/>
          <w:u w:val="single"/>
        </w:rPr>
      </w:pPr>
      <w:r w:rsidRPr="0047462D">
        <w:rPr>
          <w:rFonts w:eastAsia="Times New Roman"/>
          <w:szCs w:val="22"/>
          <w:u w:val="single"/>
        </w:rPr>
        <w:t>Μηχανισμός δράσης</w:t>
      </w:r>
    </w:p>
    <w:p w14:paraId="6D57D465" w14:textId="77777777" w:rsidR="00945A25" w:rsidRPr="0047462D" w:rsidRDefault="00945A25">
      <w:pPr>
        <w:keepNext/>
        <w:rPr>
          <w:rFonts w:eastAsia="Times New Roman"/>
          <w:szCs w:val="22"/>
        </w:rPr>
      </w:pPr>
    </w:p>
    <w:p w14:paraId="5D7C179B" w14:textId="762A2DDE" w:rsidR="006016FB" w:rsidRPr="0047462D" w:rsidRDefault="00A67D3A" w:rsidP="006016FB">
      <w:pPr>
        <w:rPr>
          <w:bCs/>
        </w:rPr>
      </w:pPr>
      <w:r w:rsidRPr="0047462D">
        <w:rPr>
          <w:rFonts w:eastAsia="Times New Roman"/>
          <w:szCs w:val="22"/>
        </w:rPr>
        <w:t xml:space="preserve">Το ivacaftor είναι ένας ενισχυτής της πρωτεΐνης CFTR, δηλ. </w:t>
      </w:r>
      <w:r w:rsidRPr="0047462D">
        <w:rPr>
          <w:rFonts w:eastAsia="Times New Roman"/>
          <w:i/>
          <w:iCs/>
          <w:szCs w:val="22"/>
        </w:rPr>
        <w:t>in vitro</w:t>
      </w:r>
      <w:r w:rsidRPr="0047462D">
        <w:rPr>
          <w:rFonts w:eastAsia="Times New Roman"/>
          <w:szCs w:val="22"/>
        </w:rPr>
        <w:t xml:space="preserve"> το ivacaftor αυξάνει </w:t>
      </w:r>
      <w:r w:rsidR="00D67693" w:rsidRPr="0047462D">
        <w:rPr>
          <w:rFonts w:eastAsia="Times New Roman"/>
          <w:szCs w:val="22"/>
        </w:rPr>
        <w:t>την πιθανότητα ανοίγματος του</w:t>
      </w:r>
      <w:r w:rsidRPr="0047462D">
        <w:rPr>
          <w:rFonts w:eastAsia="Times New Roman"/>
          <w:szCs w:val="22"/>
        </w:rPr>
        <w:t xml:space="preserve"> διαύλου της CFTR για την ενίσχυση της μεταφοράς χλωρίου σε </w:t>
      </w:r>
      <w:r w:rsidR="008D1CD4" w:rsidRPr="0047462D">
        <w:rPr>
          <w:rFonts w:eastAsia="Times New Roman"/>
          <w:szCs w:val="22"/>
        </w:rPr>
        <w:t xml:space="preserve">συγκεκριμένες </w:t>
      </w:r>
      <w:r w:rsidR="00556F8D" w:rsidRPr="0047462D">
        <w:rPr>
          <w:szCs w:val="22"/>
        </w:rPr>
        <w:t>«</w:t>
      </w:r>
      <w:r w:rsidR="008D1CD4" w:rsidRPr="0047462D">
        <w:rPr>
          <w:szCs w:val="22"/>
        </w:rPr>
        <w:t>gating</w:t>
      </w:r>
      <w:r w:rsidR="00556F8D" w:rsidRPr="0047462D">
        <w:rPr>
          <w:szCs w:val="22"/>
        </w:rPr>
        <w:t>»</w:t>
      </w:r>
      <w:r w:rsidR="008D1CD4" w:rsidRPr="0047462D">
        <w:rPr>
          <w:szCs w:val="22"/>
        </w:rPr>
        <w:t xml:space="preserve"> </w:t>
      </w:r>
      <w:r w:rsidRPr="0047462D">
        <w:rPr>
          <w:rFonts w:eastAsia="Times New Roman"/>
          <w:szCs w:val="22"/>
        </w:rPr>
        <w:t>μεταλλάξεις (όπως παρατίθενται στ</w:t>
      </w:r>
      <w:r w:rsidR="008D1CD4" w:rsidRPr="0047462D">
        <w:rPr>
          <w:rFonts w:eastAsia="Times New Roman"/>
          <w:szCs w:val="22"/>
        </w:rPr>
        <w:t>ην</w:t>
      </w:r>
      <w:r w:rsidRPr="0047462D">
        <w:rPr>
          <w:rFonts w:eastAsia="Times New Roman"/>
          <w:szCs w:val="22"/>
        </w:rPr>
        <w:t xml:space="preserve"> </w:t>
      </w:r>
      <w:r w:rsidR="008D1CD4" w:rsidRPr="0047462D">
        <w:rPr>
          <w:rFonts w:eastAsia="Times New Roman"/>
          <w:szCs w:val="22"/>
        </w:rPr>
        <w:t>παράγραφο 4.1</w:t>
      </w:r>
      <w:r w:rsidRPr="0047462D">
        <w:rPr>
          <w:rFonts w:eastAsia="Times New Roman"/>
          <w:szCs w:val="22"/>
        </w:rPr>
        <w:t xml:space="preserve">) με μειωμένη πιθανότητα ανοίγματος </w:t>
      </w:r>
      <w:r w:rsidR="00556F8D" w:rsidRPr="0047462D">
        <w:rPr>
          <w:rFonts w:eastAsia="Times New Roman"/>
          <w:szCs w:val="22"/>
        </w:rPr>
        <w:t xml:space="preserve">του </w:t>
      </w:r>
      <w:r w:rsidRPr="0047462D">
        <w:rPr>
          <w:rFonts w:eastAsia="Times New Roman"/>
          <w:szCs w:val="22"/>
        </w:rPr>
        <w:t xml:space="preserve">διαύλου σε σύγκριση με τη φυσιολογική CFTR. Το ivacaftor επίσης ενίσχυσε την πιθανότητα ανοίγματος </w:t>
      </w:r>
      <w:r w:rsidR="00D67693" w:rsidRPr="0047462D">
        <w:rPr>
          <w:rFonts w:eastAsia="Times New Roman"/>
          <w:szCs w:val="22"/>
        </w:rPr>
        <w:t xml:space="preserve">του </w:t>
      </w:r>
      <w:r w:rsidRPr="0047462D">
        <w:rPr>
          <w:rFonts w:eastAsia="Times New Roman"/>
          <w:szCs w:val="22"/>
        </w:rPr>
        <w:t xml:space="preserve">διαύλου της R117H-CFTR, η οποία έχει τόσο χαμηλή πιθανότητα ανοίγματος </w:t>
      </w:r>
      <w:r w:rsidR="00556F8D" w:rsidRPr="0047462D">
        <w:rPr>
          <w:rFonts w:eastAsia="Times New Roman"/>
          <w:szCs w:val="22"/>
        </w:rPr>
        <w:t xml:space="preserve">του </w:t>
      </w:r>
      <w:r w:rsidRPr="0047462D">
        <w:rPr>
          <w:rFonts w:eastAsia="Times New Roman"/>
          <w:szCs w:val="22"/>
        </w:rPr>
        <w:t>διαύλου (</w:t>
      </w:r>
      <w:r w:rsidRPr="0047462D">
        <w:rPr>
          <w:rFonts w:eastAsia="Times New Roman"/>
          <w:szCs w:val="22"/>
          <w:lang w:val="en-US"/>
        </w:rPr>
        <w:t>gating</w:t>
      </w:r>
      <w:r w:rsidRPr="0047462D">
        <w:rPr>
          <w:rFonts w:eastAsia="Times New Roman"/>
          <w:szCs w:val="22"/>
        </w:rPr>
        <w:t xml:space="preserve">) όσο και μειωμένο πλάτος </w:t>
      </w:r>
      <w:r w:rsidR="00556F8D" w:rsidRPr="0047462D">
        <w:rPr>
          <w:rFonts w:eastAsia="Times New Roman"/>
          <w:szCs w:val="22"/>
        </w:rPr>
        <w:t xml:space="preserve">ρεύματος </w:t>
      </w:r>
      <w:r w:rsidRPr="0047462D">
        <w:rPr>
          <w:rFonts w:eastAsia="Times New Roman"/>
          <w:szCs w:val="22"/>
        </w:rPr>
        <w:t>διαύλου (αγωγιμότητα).</w:t>
      </w:r>
      <w:r w:rsidR="006016FB" w:rsidRPr="0047462D">
        <w:rPr>
          <w:rFonts w:eastAsia="Times New Roman"/>
          <w:szCs w:val="22"/>
        </w:rPr>
        <w:t xml:space="preserve"> </w:t>
      </w:r>
      <w:r w:rsidR="006016FB" w:rsidRPr="0047462D">
        <w:rPr>
          <w:bCs/>
        </w:rPr>
        <w:t xml:space="preserve">Η μετάλλαξη </w:t>
      </w:r>
      <w:r w:rsidR="006016FB" w:rsidRPr="0047462D">
        <w:rPr>
          <w:bCs/>
          <w:i/>
        </w:rPr>
        <w:t>G970R</w:t>
      </w:r>
      <w:r w:rsidR="006016FB" w:rsidRPr="0047462D">
        <w:rPr>
          <w:bCs/>
        </w:rPr>
        <w:t xml:space="preserve"> προκαλεί </w:t>
      </w:r>
      <w:r w:rsidR="00BF3CFB" w:rsidRPr="0047462D">
        <w:rPr>
          <w:bCs/>
        </w:rPr>
        <w:t>ελ</w:t>
      </w:r>
      <w:r w:rsidR="00CA22C4" w:rsidRPr="0047462D">
        <w:rPr>
          <w:bCs/>
        </w:rPr>
        <w:t>α</w:t>
      </w:r>
      <w:r w:rsidR="00BF3CFB" w:rsidRPr="0047462D">
        <w:rPr>
          <w:bCs/>
        </w:rPr>
        <w:t>ττωμα</w:t>
      </w:r>
      <w:r w:rsidR="00CA22C4" w:rsidRPr="0047462D">
        <w:rPr>
          <w:bCs/>
        </w:rPr>
        <w:t>τικό μάτισμα</w:t>
      </w:r>
      <w:r w:rsidR="006016FB" w:rsidRPr="0047462D">
        <w:rPr>
          <w:bCs/>
        </w:rPr>
        <w:t xml:space="preserve"> </w:t>
      </w:r>
      <w:r w:rsidR="00BF3CFB" w:rsidRPr="0047462D">
        <w:rPr>
          <w:bCs/>
        </w:rPr>
        <w:t xml:space="preserve">με αποτέλεσμα ελάχιστη έως καθόλου πρωτεΐνη </w:t>
      </w:r>
      <w:r w:rsidR="006016FB" w:rsidRPr="0047462D">
        <w:rPr>
          <w:bCs/>
        </w:rPr>
        <w:t xml:space="preserve">CFTR </w:t>
      </w:r>
      <w:r w:rsidR="00BF3CFB" w:rsidRPr="0047462D">
        <w:rPr>
          <w:bCs/>
        </w:rPr>
        <w:t>στην επιφάνεια του κυττάρου</w:t>
      </w:r>
      <w:r w:rsidR="00302905" w:rsidRPr="0047462D">
        <w:rPr>
          <w:bCs/>
        </w:rPr>
        <w:t>, πράγμα που ενδεχομένως εξηγεί τα αποτελέσματα που παρατηρήθηκαν σε άτομα με αυτή τη μετάλλαξη στη μελέτη 5</w:t>
      </w:r>
      <w:r w:rsidR="006016FB" w:rsidRPr="0047462D">
        <w:rPr>
          <w:bCs/>
        </w:rPr>
        <w:t xml:space="preserve"> (</w:t>
      </w:r>
      <w:r w:rsidR="00BF3CFB" w:rsidRPr="0047462D">
        <w:rPr>
          <w:bCs/>
        </w:rPr>
        <w:t>βλ.</w:t>
      </w:r>
      <w:r w:rsidR="006016FB" w:rsidRPr="0047462D">
        <w:rPr>
          <w:bCs/>
        </w:rPr>
        <w:t xml:space="preserve"> </w:t>
      </w:r>
      <w:r w:rsidR="00BF3CFB" w:rsidRPr="0047462D">
        <w:rPr>
          <w:bCs/>
        </w:rPr>
        <w:t>«Φαρμακοδυναμικές επιδράσεις» και δεδομένα κλινικής αποτελεσματικότητας</w:t>
      </w:r>
      <w:r w:rsidR="006016FB" w:rsidRPr="0047462D">
        <w:rPr>
          <w:bCs/>
        </w:rPr>
        <w:t>).</w:t>
      </w:r>
    </w:p>
    <w:p w14:paraId="7CA28B51" w14:textId="77777777" w:rsidR="005128C1" w:rsidRPr="0047462D" w:rsidRDefault="005128C1">
      <w:pPr>
        <w:rPr>
          <w:rFonts w:eastAsia="Times New Roman"/>
          <w:szCs w:val="22"/>
        </w:rPr>
      </w:pPr>
    </w:p>
    <w:p w14:paraId="02C7A5DB" w14:textId="5CC25845" w:rsidR="00A67D3A" w:rsidRPr="0047462D" w:rsidRDefault="00A67D3A">
      <w:r w:rsidRPr="0047462D">
        <w:rPr>
          <w:bCs/>
          <w:i/>
        </w:rPr>
        <w:t>In vitro</w:t>
      </w:r>
      <w:r w:rsidRPr="0047462D">
        <w:rPr>
          <w:bCs/>
        </w:rPr>
        <w:t xml:space="preserve"> αποκρίσεις που παρατηρήθηκαν σε </w:t>
      </w:r>
      <w:r w:rsidR="00DF50D9" w:rsidRPr="0047462D">
        <w:rPr>
          <w:bCs/>
        </w:rPr>
        <w:t xml:space="preserve">πειράματα καθήλωσης δυναμικού </w:t>
      </w:r>
      <w:r w:rsidRPr="0047462D">
        <w:rPr>
          <w:bCs/>
        </w:rPr>
        <w:t>μεμονωμένου διαύλου ιόντων</w:t>
      </w:r>
      <w:r w:rsidR="00A32003" w:rsidRPr="0047462D">
        <w:rPr>
          <w:bCs/>
        </w:rPr>
        <w:t xml:space="preserve"> </w:t>
      </w:r>
      <w:r w:rsidR="00DF50D9" w:rsidRPr="0047462D">
        <w:rPr>
          <w:bCs/>
        </w:rPr>
        <w:t>(patch clamp)</w:t>
      </w:r>
      <w:r w:rsidRPr="0047462D">
        <w:rPr>
          <w:bCs/>
        </w:rPr>
        <w:t xml:space="preserve">, </w:t>
      </w:r>
      <w:r w:rsidR="00751897" w:rsidRPr="0047462D">
        <w:rPr>
          <w:bCs/>
        </w:rPr>
        <w:t xml:space="preserve">με χρήση </w:t>
      </w:r>
      <w:r w:rsidR="00586D27" w:rsidRPr="0047462D">
        <w:rPr>
          <w:bCs/>
        </w:rPr>
        <w:t>τμημάτων</w:t>
      </w:r>
      <w:r w:rsidR="00A32003" w:rsidRPr="0047462D">
        <w:rPr>
          <w:bCs/>
        </w:rPr>
        <w:t xml:space="preserve"> της</w:t>
      </w:r>
      <w:r w:rsidR="00751897" w:rsidRPr="0047462D">
        <w:rPr>
          <w:bCs/>
        </w:rPr>
        <w:t xml:space="preserve"> </w:t>
      </w:r>
      <w:r w:rsidRPr="0047462D">
        <w:rPr>
          <w:bCs/>
        </w:rPr>
        <w:t>επιφάνει</w:t>
      </w:r>
      <w:r w:rsidR="00A32003" w:rsidRPr="0047462D">
        <w:rPr>
          <w:bCs/>
        </w:rPr>
        <w:t>α</w:t>
      </w:r>
      <w:r w:rsidRPr="0047462D">
        <w:rPr>
          <w:bCs/>
        </w:rPr>
        <w:t xml:space="preserve">ς </w:t>
      </w:r>
      <w:r w:rsidR="00586D27" w:rsidRPr="0047462D">
        <w:rPr>
          <w:bCs/>
        </w:rPr>
        <w:t xml:space="preserve">της </w:t>
      </w:r>
      <w:r w:rsidRPr="0047462D">
        <w:rPr>
          <w:bCs/>
        </w:rPr>
        <w:t xml:space="preserve">μεμβράνης από κύτταρα τρωκτικών που </w:t>
      </w:r>
      <w:r w:rsidR="00907836" w:rsidRPr="0047462D">
        <w:rPr>
          <w:bCs/>
        </w:rPr>
        <w:t xml:space="preserve">εξέφραζαν </w:t>
      </w:r>
      <w:r w:rsidRPr="0047462D">
        <w:rPr>
          <w:bCs/>
        </w:rPr>
        <w:t xml:space="preserve">μεταλλαγμένες μορφές της CFTR, δεν αντιστοιχούν απαραίτητα σε </w:t>
      </w:r>
      <w:r w:rsidRPr="0047462D">
        <w:rPr>
          <w:bCs/>
          <w:i/>
        </w:rPr>
        <w:t>in vivo</w:t>
      </w:r>
      <w:r w:rsidRPr="0047462D">
        <w:rPr>
          <w:bCs/>
        </w:rPr>
        <w:t xml:space="preserve"> φαρμακοδυναμική απόκριση (π.χ. χλώριο ιδρώτα) ή κλινικό όφελος. </w:t>
      </w:r>
      <w:r w:rsidRPr="0047462D">
        <w:rPr>
          <w:rFonts w:eastAsia="Times New Roman"/>
          <w:szCs w:val="22"/>
        </w:rPr>
        <w:t>Δεν έχει διευκρινιστεί πλήρως ο ακριβής μηχανισμός που οδηγεί στην ενίσχυση της δραστηριότητα</w:t>
      </w:r>
      <w:r w:rsidR="002F6F27" w:rsidRPr="0047462D">
        <w:rPr>
          <w:rFonts w:eastAsia="Times New Roman"/>
          <w:szCs w:val="22"/>
        </w:rPr>
        <w:t>ς</w:t>
      </w:r>
      <w:r w:rsidRPr="0047462D">
        <w:rPr>
          <w:rFonts w:eastAsia="Times New Roman"/>
          <w:szCs w:val="22"/>
        </w:rPr>
        <w:t xml:space="preserve"> </w:t>
      </w:r>
      <w:r w:rsidR="00907836" w:rsidRPr="0047462D">
        <w:rPr>
          <w:rFonts w:eastAsia="Times New Roman"/>
          <w:szCs w:val="22"/>
        </w:rPr>
        <w:t>«</w:t>
      </w:r>
      <w:r w:rsidR="00907836" w:rsidRPr="0047462D">
        <w:rPr>
          <w:rFonts w:eastAsia="Times New Roman"/>
          <w:szCs w:val="22"/>
          <w:lang w:val="en-US"/>
        </w:rPr>
        <w:t>gating</w:t>
      </w:r>
      <w:r w:rsidR="00907836" w:rsidRPr="0047462D">
        <w:rPr>
          <w:rFonts w:eastAsia="Times New Roman"/>
          <w:szCs w:val="22"/>
        </w:rPr>
        <w:t xml:space="preserve">» των </w:t>
      </w:r>
      <w:r w:rsidRPr="0047462D">
        <w:rPr>
          <w:rFonts w:eastAsia="Times New Roman"/>
          <w:szCs w:val="22"/>
        </w:rPr>
        <w:t>φυσιολογικών και μερικών μεταλλαγμένων μορφών της CFTR σε αυτό το σύστημα.</w:t>
      </w:r>
    </w:p>
    <w:p w14:paraId="403266C0" w14:textId="77777777" w:rsidR="00A67D3A" w:rsidRPr="0047462D" w:rsidRDefault="00A67D3A">
      <w:pPr>
        <w:pStyle w:val="2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rPr>
          <w:color w:val="000000"/>
          <w:szCs w:val="22"/>
        </w:rPr>
      </w:pPr>
    </w:p>
    <w:p w14:paraId="689CA353" w14:textId="77777777" w:rsidR="00A67D3A" w:rsidRPr="0047462D" w:rsidRDefault="00A67D3A">
      <w:pPr>
        <w:keepNext/>
        <w:rPr>
          <w:rFonts w:eastAsia="Times New Roman"/>
          <w:szCs w:val="22"/>
          <w:u w:val="single"/>
        </w:rPr>
      </w:pPr>
      <w:r w:rsidRPr="0047462D">
        <w:rPr>
          <w:rFonts w:eastAsia="Times New Roman"/>
          <w:szCs w:val="22"/>
          <w:u w:val="single"/>
        </w:rPr>
        <w:t>Φαρμακοδυναμικές επιδράσεις</w:t>
      </w:r>
    </w:p>
    <w:p w14:paraId="5C32943F" w14:textId="77777777" w:rsidR="002A5EB6" w:rsidRPr="0047462D" w:rsidRDefault="002A5EB6">
      <w:pPr>
        <w:keepNext/>
        <w:rPr>
          <w:i/>
          <w:iCs/>
          <w:szCs w:val="22"/>
        </w:rPr>
      </w:pPr>
    </w:p>
    <w:p w14:paraId="1B6E20B6" w14:textId="564DC73C" w:rsidR="002A5EB6" w:rsidRPr="0047462D" w:rsidRDefault="00FF4CC7">
      <w:pPr>
        <w:keepNext/>
        <w:rPr>
          <w:i/>
        </w:rPr>
      </w:pPr>
      <w:r w:rsidRPr="0047462D">
        <w:rPr>
          <w:i/>
          <w:lang w:val="en-US"/>
        </w:rPr>
        <w:t>I</w:t>
      </w:r>
      <w:r w:rsidR="002A5EB6" w:rsidRPr="0047462D">
        <w:rPr>
          <w:i/>
          <w:lang w:val="en-GB"/>
        </w:rPr>
        <w:t>vacaftor</w:t>
      </w:r>
      <w:r w:rsidRPr="00F93ECE">
        <w:rPr>
          <w:i/>
        </w:rPr>
        <w:t xml:space="preserve"> </w:t>
      </w:r>
      <w:r w:rsidRPr="0047462D">
        <w:rPr>
          <w:i/>
        </w:rPr>
        <w:t>ως μονοθεραπεία</w:t>
      </w:r>
    </w:p>
    <w:p w14:paraId="1DB8ADA3" w14:textId="77777777" w:rsidR="00411521" w:rsidRPr="0047462D" w:rsidRDefault="00411521">
      <w:pPr>
        <w:keepNext/>
        <w:rPr>
          <w:i/>
          <w:iCs/>
          <w:szCs w:val="22"/>
        </w:rPr>
      </w:pPr>
    </w:p>
    <w:p w14:paraId="6AE9A834" w14:textId="26C1423C" w:rsidR="00A67D3A" w:rsidRPr="0047462D" w:rsidRDefault="00A67D3A">
      <w:pPr>
        <w:pStyle w:val="labeltext"/>
        <w:rPr>
          <w:sz w:val="22"/>
          <w:szCs w:val="22"/>
          <w:lang w:val="el-GR"/>
        </w:rPr>
      </w:pPr>
      <w:r w:rsidRPr="0047462D">
        <w:rPr>
          <w:rFonts w:eastAsia="Times New Roman"/>
          <w:sz w:val="22"/>
          <w:szCs w:val="22"/>
          <w:lang w:val="el-GR"/>
        </w:rPr>
        <w:t>Στις μελέτες</w:t>
      </w:r>
      <w:r w:rsidRPr="0047462D">
        <w:rPr>
          <w:rFonts w:eastAsia="Times New Roman"/>
          <w:sz w:val="22"/>
          <w:szCs w:val="22"/>
          <w:lang w:val="en-GB"/>
        </w:rPr>
        <w:t> </w:t>
      </w:r>
      <w:r w:rsidRPr="0047462D">
        <w:rPr>
          <w:rFonts w:eastAsia="Times New Roman"/>
          <w:sz w:val="22"/>
          <w:szCs w:val="22"/>
          <w:lang w:val="el-GR"/>
        </w:rPr>
        <w:t>1 και</w:t>
      </w:r>
      <w:r w:rsidRPr="0047462D">
        <w:rPr>
          <w:rFonts w:eastAsia="Times New Roman"/>
          <w:sz w:val="22"/>
          <w:szCs w:val="22"/>
          <w:lang w:val="en-GB"/>
        </w:rPr>
        <w:t> </w:t>
      </w:r>
      <w:r w:rsidRPr="0047462D">
        <w:rPr>
          <w:rFonts w:eastAsia="Times New Roman"/>
          <w:sz w:val="22"/>
          <w:szCs w:val="22"/>
          <w:lang w:val="el-GR"/>
        </w:rPr>
        <w:t xml:space="preserve">2 σε ασθενείς με τη μετάλλαξη </w:t>
      </w:r>
      <w:r w:rsidRPr="0047462D">
        <w:rPr>
          <w:rFonts w:eastAsia="Times New Roman"/>
          <w:i/>
          <w:iCs/>
          <w:sz w:val="22"/>
          <w:szCs w:val="22"/>
          <w:lang w:val="el-GR"/>
        </w:rPr>
        <w:t xml:space="preserve">G551D </w:t>
      </w:r>
      <w:r w:rsidRPr="0047462D">
        <w:rPr>
          <w:rFonts w:eastAsia="Times New Roman"/>
          <w:sz w:val="22"/>
          <w:szCs w:val="22"/>
          <w:lang w:val="el-GR"/>
        </w:rPr>
        <w:t xml:space="preserve">σε ένα αλληλόμορφο του γονιδίου </w:t>
      </w:r>
      <w:r w:rsidRPr="0047462D">
        <w:rPr>
          <w:rFonts w:eastAsia="Times New Roman"/>
          <w:i/>
          <w:iCs/>
          <w:sz w:val="22"/>
          <w:szCs w:val="22"/>
          <w:lang w:val="el-GR"/>
        </w:rPr>
        <w:t>CFTR</w:t>
      </w:r>
      <w:r w:rsidRPr="0047462D">
        <w:rPr>
          <w:rFonts w:eastAsia="Times New Roman"/>
          <w:sz w:val="22"/>
          <w:szCs w:val="22"/>
          <w:lang w:val="el-GR"/>
        </w:rPr>
        <w:t xml:space="preserve">, το ivacaftor οδήγησε σε </w:t>
      </w:r>
      <w:r w:rsidR="00262B72" w:rsidRPr="0047462D">
        <w:rPr>
          <w:rFonts w:eastAsia="Times New Roman"/>
          <w:sz w:val="22"/>
          <w:szCs w:val="22"/>
          <w:lang w:val="el-GR"/>
        </w:rPr>
        <w:t xml:space="preserve">ταχείες </w:t>
      </w:r>
      <w:r w:rsidRPr="0047462D">
        <w:rPr>
          <w:rFonts w:eastAsia="Times New Roman"/>
          <w:sz w:val="22"/>
          <w:szCs w:val="22"/>
          <w:lang w:val="el-GR"/>
        </w:rPr>
        <w:t>(15</w:t>
      </w:r>
      <w:r w:rsidRPr="0047462D">
        <w:rPr>
          <w:rFonts w:eastAsia="Times New Roman"/>
          <w:sz w:val="22"/>
          <w:szCs w:val="22"/>
          <w:lang w:val="en-GB"/>
        </w:rPr>
        <w:t> </w:t>
      </w:r>
      <w:r w:rsidRPr="0047462D">
        <w:rPr>
          <w:rFonts w:eastAsia="Times New Roman"/>
          <w:sz w:val="22"/>
          <w:szCs w:val="22"/>
          <w:lang w:val="el-GR"/>
        </w:rPr>
        <w:t xml:space="preserve">ημέρες), </w:t>
      </w:r>
      <w:r w:rsidR="00262B72" w:rsidRPr="0047462D">
        <w:rPr>
          <w:rFonts w:eastAsia="Times New Roman"/>
          <w:sz w:val="22"/>
          <w:szCs w:val="22"/>
          <w:lang w:val="el-GR"/>
        </w:rPr>
        <w:t xml:space="preserve">σημαντικές </w:t>
      </w:r>
      <w:r w:rsidRPr="0047462D">
        <w:rPr>
          <w:rFonts w:eastAsia="Times New Roman"/>
          <w:sz w:val="22"/>
          <w:szCs w:val="22"/>
          <w:lang w:val="el-GR"/>
        </w:rPr>
        <w:t xml:space="preserve">(η μέση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από την τιμή αναφοράς έως την </w:t>
      </w:r>
      <w:r w:rsidR="00245041"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r w:rsidR="00DB547B" w:rsidRPr="0047462D">
        <w:rPr>
          <w:rFonts w:eastAsia="Times New Roman"/>
          <w:sz w:val="22"/>
          <w:szCs w:val="22"/>
          <w:lang w:val="el-GR"/>
        </w:rPr>
        <w:t xml:space="preserve"> </w:t>
      </w:r>
      <w:r w:rsidRPr="0047462D">
        <w:rPr>
          <w:rFonts w:eastAsia="Times New Roman"/>
          <w:sz w:val="22"/>
          <w:szCs w:val="22"/>
          <w:lang w:val="el-GR"/>
        </w:rPr>
        <w:t xml:space="preserve">ήταν -48 mmol/l [95%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51, </w:t>
      </w:r>
      <w:r w:rsidRPr="0047462D">
        <w:rPr>
          <w:rFonts w:eastAsia="Times New Roman"/>
          <w:sz w:val="22"/>
          <w:szCs w:val="22"/>
          <w:lang w:val="el-GR"/>
        </w:rPr>
        <w:noBreakHyphen/>
        <w:t>45] και</w:t>
      </w:r>
      <w:r w:rsidRPr="0047462D">
        <w:rPr>
          <w:rFonts w:eastAsia="Times New Roman"/>
          <w:sz w:val="22"/>
          <w:szCs w:val="22"/>
          <w:lang w:val="en-GB"/>
        </w:rPr>
        <w:t> </w:t>
      </w:r>
      <w:r w:rsidRPr="0047462D">
        <w:rPr>
          <w:rFonts w:eastAsia="Times New Roman"/>
          <w:sz w:val="22"/>
          <w:szCs w:val="22"/>
          <w:lang w:val="el-GR"/>
        </w:rPr>
        <w:noBreakHyphen/>
        <w:t xml:space="preserve">54 mmol/l [95%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62, </w:t>
      </w:r>
      <w:r w:rsidRPr="0047462D">
        <w:rPr>
          <w:rFonts w:eastAsia="Times New Roman"/>
          <w:sz w:val="22"/>
          <w:szCs w:val="22"/>
          <w:lang w:val="el-GR"/>
        </w:rPr>
        <w:noBreakHyphen/>
        <w:t xml:space="preserve">47], αντίστοιχα) και </w:t>
      </w:r>
      <w:r w:rsidR="000D31A2" w:rsidRPr="0047462D">
        <w:rPr>
          <w:sz w:val="22"/>
          <w:lang w:val="el-GR"/>
        </w:rPr>
        <w:t>σταθερ</w:t>
      </w:r>
      <w:r w:rsidR="000D31A2" w:rsidRPr="0047462D">
        <w:rPr>
          <w:rFonts w:eastAsia="Times New Roman"/>
          <w:sz w:val="22"/>
          <w:szCs w:val="22"/>
          <w:lang w:val="el-GR"/>
        </w:rPr>
        <w:t xml:space="preserve">ές </w:t>
      </w:r>
      <w:r w:rsidRPr="0047462D">
        <w:rPr>
          <w:rFonts w:eastAsia="Times New Roman"/>
          <w:sz w:val="22"/>
          <w:szCs w:val="22"/>
          <w:lang w:val="el-GR"/>
        </w:rPr>
        <w:t xml:space="preserve">(στις 48 εβδομάδες) </w:t>
      </w:r>
      <w:r w:rsidR="000D31A2" w:rsidRPr="0047462D">
        <w:rPr>
          <w:rFonts w:eastAsia="Times New Roman"/>
          <w:sz w:val="22"/>
          <w:szCs w:val="22"/>
          <w:lang w:val="el-GR"/>
        </w:rPr>
        <w:t xml:space="preserve">μειώσεις </w:t>
      </w:r>
      <w:r w:rsidRPr="0047462D">
        <w:rPr>
          <w:rFonts w:eastAsia="Times New Roman"/>
          <w:sz w:val="22"/>
          <w:szCs w:val="22"/>
          <w:lang w:val="el-GR"/>
        </w:rPr>
        <w:t>στη συγκέντρωση χλωρίου ιδρώτα.</w:t>
      </w:r>
    </w:p>
    <w:p w14:paraId="20E6B4AD" w14:textId="77777777" w:rsidR="00A67D3A" w:rsidRPr="0047462D" w:rsidRDefault="00A67D3A">
      <w:pPr>
        <w:pStyle w:val="documenttext"/>
        <w:suppressAutoHyphens w:val="0"/>
        <w:spacing w:after="0"/>
        <w:rPr>
          <w:color w:val="000000"/>
          <w:szCs w:val="22"/>
          <w:lang w:val="el-GR"/>
        </w:rPr>
      </w:pPr>
    </w:p>
    <w:p w14:paraId="4DAE05F9" w14:textId="07DD1AFC" w:rsidR="00A67D3A" w:rsidRPr="0047462D" w:rsidRDefault="00A67D3A">
      <w:pPr>
        <w:pStyle w:val="labeltext"/>
        <w:rPr>
          <w:sz w:val="22"/>
          <w:szCs w:val="22"/>
          <w:lang w:val="el-GR"/>
        </w:rPr>
      </w:pPr>
      <w:r w:rsidRPr="0047462D">
        <w:rPr>
          <w:rFonts w:eastAsia="Times New Roman"/>
          <w:sz w:val="22"/>
          <w:szCs w:val="22"/>
          <w:lang w:val="el-GR"/>
        </w:rPr>
        <w:t>Στη μελέτη</w:t>
      </w:r>
      <w:r w:rsidR="002C32E8" w:rsidRPr="0047462D">
        <w:rPr>
          <w:rFonts w:eastAsia="Times New Roman"/>
          <w:sz w:val="22"/>
          <w:szCs w:val="22"/>
          <w:lang w:val="en-GB"/>
        </w:rPr>
        <w:t> </w:t>
      </w:r>
      <w:r w:rsidRPr="0047462D">
        <w:rPr>
          <w:rFonts w:eastAsia="Times New Roman"/>
          <w:sz w:val="22"/>
          <w:szCs w:val="22"/>
          <w:lang w:val="el-GR"/>
        </w:rPr>
        <w:t>5, μέρος</w:t>
      </w:r>
      <w:r w:rsidR="002C32E8" w:rsidRPr="0047462D">
        <w:rPr>
          <w:rFonts w:eastAsia="Times New Roman"/>
          <w:sz w:val="22"/>
          <w:szCs w:val="22"/>
          <w:lang w:val="en-GB"/>
        </w:rPr>
        <w:t> </w:t>
      </w:r>
      <w:r w:rsidRPr="0047462D">
        <w:rPr>
          <w:rFonts w:eastAsia="Times New Roman"/>
          <w:sz w:val="22"/>
          <w:szCs w:val="22"/>
          <w:lang w:val="el-GR"/>
        </w:rPr>
        <w:t xml:space="preserve">1 σε ασθενείς που είχαν μια </w:t>
      </w:r>
      <w:r w:rsidRPr="0047462D">
        <w:rPr>
          <w:sz w:val="22"/>
          <w:szCs w:val="22"/>
          <w:lang w:val="el-GR"/>
        </w:rPr>
        <w:t xml:space="preserve">μη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745DE7" w:rsidRPr="0047462D">
        <w:rPr>
          <w:sz w:val="22"/>
          <w:szCs w:val="22"/>
          <w:lang w:val="el-GR"/>
        </w:rPr>
        <w:t>«</w:t>
      </w:r>
      <w:r w:rsidRPr="0047462D">
        <w:rPr>
          <w:sz w:val="22"/>
          <w:szCs w:val="22"/>
        </w:rPr>
        <w:t>gating</w:t>
      </w:r>
      <w:r w:rsidR="00745DE7" w:rsidRPr="0047462D">
        <w:rPr>
          <w:sz w:val="22"/>
          <w:szCs w:val="22"/>
          <w:lang w:val="el-GR"/>
        </w:rPr>
        <w:t>»</w:t>
      </w:r>
      <w:r w:rsidRPr="0047462D">
        <w:rPr>
          <w:sz w:val="22"/>
          <w:szCs w:val="22"/>
          <w:lang w:val="el-GR"/>
        </w:rPr>
        <w:t xml:space="preserve"> μετάλλαξη</w:t>
      </w:r>
      <w:r w:rsidRPr="0047462D">
        <w:rPr>
          <w:rFonts w:eastAsia="Times New Roman"/>
          <w:i/>
          <w:iCs/>
          <w:sz w:val="22"/>
          <w:szCs w:val="22"/>
          <w:lang w:val="el-GR"/>
        </w:rPr>
        <w:t xml:space="preserve"> </w:t>
      </w:r>
      <w:r w:rsidRPr="0047462D">
        <w:rPr>
          <w:rFonts w:eastAsia="Times New Roman"/>
          <w:sz w:val="22"/>
          <w:szCs w:val="22"/>
          <w:lang w:val="el-GR"/>
        </w:rPr>
        <w:t xml:space="preserve">στο γονίδιο </w:t>
      </w:r>
      <w:r w:rsidRPr="0047462D">
        <w:rPr>
          <w:rFonts w:eastAsia="Times New Roman"/>
          <w:i/>
          <w:iCs/>
          <w:sz w:val="22"/>
          <w:szCs w:val="22"/>
          <w:lang w:val="el-GR"/>
        </w:rPr>
        <w:t>CFTR</w:t>
      </w:r>
      <w:r w:rsidRPr="0047462D">
        <w:rPr>
          <w:rFonts w:eastAsia="Times New Roman"/>
          <w:sz w:val="22"/>
          <w:szCs w:val="22"/>
          <w:lang w:val="el-GR"/>
        </w:rPr>
        <w:t>, η θεραπεία με ivacaftor οδήγησε σε ταχεία (15</w:t>
      </w:r>
      <w:r w:rsidRPr="0047462D">
        <w:rPr>
          <w:rFonts w:eastAsia="Times New Roman"/>
          <w:sz w:val="22"/>
          <w:szCs w:val="22"/>
          <w:lang w:val="en-GB"/>
        </w:rPr>
        <w:t> </w:t>
      </w:r>
      <w:r w:rsidRPr="0047462D">
        <w:rPr>
          <w:rFonts w:eastAsia="Times New Roman"/>
          <w:sz w:val="22"/>
          <w:szCs w:val="22"/>
          <w:lang w:val="el-GR"/>
        </w:rPr>
        <w:t xml:space="preserve">ημέρες) και </w:t>
      </w:r>
      <w:r w:rsidR="00262B72" w:rsidRPr="0047462D">
        <w:rPr>
          <w:rFonts w:eastAsia="Times New Roman"/>
          <w:sz w:val="22"/>
          <w:szCs w:val="22"/>
          <w:lang w:val="el-GR"/>
        </w:rPr>
        <w:t xml:space="preserve">σημαντική </w:t>
      </w:r>
      <w:r w:rsidRPr="0047462D">
        <w:rPr>
          <w:rFonts w:eastAsia="Times New Roman"/>
          <w:sz w:val="22"/>
          <w:szCs w:val="22"/>
          <w:lang w:val="el-GR"/>
        </w:rPr>
        <w:t xml:space="preserve">μέση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από την τιμή αναφοράς της τάξης των </w:t>
      </w:r>
      <w:r w:rsidR="00745DE7" w:rsidRPr="0047462D">
        <w:rPr>
          <w:sz w:val="22"/>
          <w:szCs w:val="22"/>
          <w:lang w:val="el-GR"/>
        </w:rPr>
        <w:noBreakHyphen/>
      </w:r>
      <w:r w:rsidRPr="0047462D">
        <w:rPr>
          <w:rFonts w:eastAsia="Times New Roman"/>
          <w:sz w:val="22"/>
          <w:szCs w:val="22"/>
          <w:lang w:val="el-GR"/>
        </w:rPr>
        <w:t xml:space="preserve">49 mmol/l (95%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57, </w:t>
      </w:r>
      <w:r w:rsidRPr="0047462D">
        <w:rPr>
          <w:rFonts w:eastAsia="Times New Roman"/>
          <w:sz w:val="22"/>
          <w:szCs w:val="22"/>
          <w:lang w:val="el-GR"/>
        </w:rPr>
        <w:noBreakHyphen/>
        <w:t>41) καθ’ όλη τη διάρκεια των 8</w:t>
      </w:r>
      <w:r w:rsidR="002C32E8" w:rsidRPr="0047462D">
        <w:rPr>
          <w:rFonts w:eastAsia="Times New Roman"/>
          <w:sz w:val="22"/>
          <w:szCs w:val="22"/>
          <w:lang w:val="en-GB"/>
        </w:rPr>
        <w:t> </w:t>
      </w:r>
      <w:r w:rsidRPr="0047462D">
        <w:rPr>
          <w:rFonts w:eastAsia="Times New Roman"/>
          <w:sz w:val="22"/>
          <w:szCs w:val="22"/>
          <w:lang w:val="el-GR"/>
        </w:rPr>
        <w:t xml:space="preserve">εβδομάδων της θεραπείας. Ωστόσο, σε ασθενείς με τη μετάλλαξη </w:t>
      </w:r>
      <w:r w:rsidRPr="0047462D">
        <w:rPr>
          <w:i/>
          <w:sz w:val="22"/>
          <w:szCs w:val="22"/>
        </w:rPr>
        <w:t>G</w:t>
      </w:r>
      <w:r w:rsidRPr="0047462D">
        <w:rPr>
          <w:i/>
          <w:sz w:val="22"/>
          <w:szCs w:val="22"/>
          <w:lang w:val="el-GR"/>
        </w:rPr>
        <w:t>970</w:t>
      </w:r>
      <w:r w:rsidRPr="0047462D">
        <w:rPr>
          <w:i/>
          <w:sz w:val="22"/>
          <w:szCs w:val="22"/>
        </w:rPr>
        <w:t>R</w:t>
      </w:r>
      <w:r w:rsidRPr="0047462D">
        <w:rPr>
          <w:sz w:val="22"/>
          <w:szCs w:val="22"/>
          <w:lang w:val="el-GR"/>
        </w:rPr>
        <w:t>-</w:t>
      </w:r>
      <w:r w:rsidRPr="0047462D">
        <w:rPr>
          <w:i/>
          <w:sz w:val="22"/>
          <w:szCs w:val="22"/>
        </w:rPr>
        <w:t>CFTR</w:t>
      </w:r>
      <w:r w:rsidRPr="0047462D">
        <w:rPr>
          <w:sz w:val="22"/>
          <w:szCs w:val="22"/>
          <w:lang w:val="el-GR"/>
        </w:rPr>
        <w:t xml:space="preserve">, η </w:t>
      </w:r>
      <w:r w:rsidRPr="0047462D">
        <w:rPr>
          <w:rFonts w:eastAsia="Times New Roman"/>
          <w:sz w:val="22"/>
          <w:szCs w:val="22"/>
          <w:lang w:val="el-GR"/>
        </w:rPr>
        <w:t xml:space="preserve">μέση </w:t>
      </w:r>
      <w:r w:rsidRPr="0047462D">
        <w:rPr>
          <w:sz w:val="22"/>
          <w:szCs w:val="22"/>
          <w:lang w:val="el-GR"/>
        </w:rPr>
        <w:t>(</w:t>
      </w:r>
      <w:r w:rsidRPr="0047462D">
        <w:rPr>
          <w:sz w:val="22"/>
          <w:szCs w:val="22"/>
        </w:rPr>
        <w:t>SD</w:t>
      </w:r>
      <w:r w:rsidRPr="0047462D">
        <w:rPr>
          <w:sz w:val="22"/>
          <w:szCs w:val="22"/>
          <w:lang w:val="el-GR"/>
        </w:rPr>
        <w:t xml:space="preserve">) απόλυτη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την </w:t>
      </w:r>
      <w:r w:rsidR="00245041"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 xml:space="preserve">8 ήταν </w:t>
      </w:r>
      <w:r w:rsidRPr="0047462D">
        <w:rPr>
          <w:sz w:val="22"/>
          <w:szCs w:val="22"/>
          <w:lang w:val="el-GR"/>
        </w:rPr>
        <w:noBreakHyphen/>
        <w:t>6,25 (6,55)</w:t>
      </w:r>
      <w:r w:rsidRPr="0047462D">
        <w:rPr>
          <w:sz w:val="22"/>
          <w:szCs w:val="22"/>
        </w:rPr>
        <w:t> mmol</w:t>
      </w:r>
      <w:r w:rsidRPr="0047462D">
        <w:rPr>
          <w:sz w:val="22"/>
          <w:szCs w:val="22"/>
          <w:lang w:val="el-GR"/>
        </w:rPr>
        <w:t>/</w:t>
      </w:r>
      <w:r w:rsidRPr="0047462D">
        <w:rPr>
          <w:sz w:val="22"/>
          <w:szCs w:val="22"/>
        </w:rPr>
        <w:t>l</w:t>
      </w:r>
      <w:r w:rsidRPr="0047462D">
        <w:rPr>
          <w:sz w:val="22"/>
          <w:szCs w:val="22"/>
          <w:lang w:val="el-GR"/>
        </w:rPr>
        <w:t xml:space="preserve">. </w:t>
      </w:r>
      <w:r w:rsidRPr="0047462D">
        <w:rPr>
          <w:bCs/>
          <w:sz w:val="22"/>
          <w:szCs w:val="22"/>
          <w:lang w:val="el-GR"/>
        </w:rPr>
        <w:t>Παρόμοια αποτελέσματα με το μέρος 1 παρατηρήθηκαν στο μέρος 2 της μελέτης. Στην επίσκεψη παρακολούθησης της 4</w:t>
      </w:r>
      <w:r w:rsidRPr="0047462D">
        <w:rPr>
          <w:bCs/>
          <w:sz w:val="22"/>
          <w:szCs w:val="22"/>
          <w:vertAlign w:val="superscript"/>
          <w:lang w:val="el-GR"/>
        </w:rPr>
        <w:t>ης</w:t>
      </w:r>
      <w:r w:rsidRPr="0047462D">
        <w:rPr>
          <w:bCs/>
          <w:sz w:val="22"/>
          <w:szCs w:val="22"/>
          <w:lang w:val="el-GR"/>
        </w:rPr>
        <w:t xml:space="preserve"> εβδομάδας (4 εβδομάδες μετά το τέλος χορήγησης δόσης του </w:t>
      </w:r>
      <w:r w:rsidRPr="0047462D">
        <w:rPr>
          <w:bCs/>
          <w:sz w:val="22"/>
          <w:szCs w:val="22"/>
        </w:rPr>
        <w:t>ivacaftor</w:t>
      </w:r>
      <w:r w:rsidRPr="0047462D">
        <w:rPr>
          <w:bCs/>
          <w:sz w:val="22"/>
          <w:szCs w:val="22"/>
          <w:lang w:val="el-GR"/>
        </w:rPr>
        <w:t>), οι μέσες τιμές χλωρίου ιδρώτα για κάθε ομάδα έτειναν προς τα επίπεδα πριν από τη θεραπεία.</w:t>
      </w:r>
      <w:r w:rsidRPr="0047462D">
        <w:rPr>
          <w:sz w:val="22"/>
          <w:szCs w:val="22"/>
          <w:lang w:val="el-GR"/>
        </w:rPr>
        <w:t xml:space="preserve"> </w:t>
      </w:r>
    </w:p>
    <w:p w14:paraId="2827F2FB" w14:textId="77777777" w:rsidR="00A67D3A" w:rsidRPr="0047462D" w:rsidRDefault="00A67D3A" w:rsidP="00141E57">
      <w:pPr>
        <w:pStyle w:val="labeltext"/>
        <w:rPr>
          <w:sz w:val="22"/>
          <w:lang w:val="el-GR"/>
        </w:rPr>
      </w:pPr>
    </w:p>
    <w:p w14:paraId="1FA152A4" w14:textId="5961E8B8" w:rsidR="00A67D3A" w:rsidRPr="0047462D" w:rsidRDefault="00A67D3A" w:rsidP="00BB1AF3">
      <w:bookmarkStart w:id="3" w:name="_Hlk38290299"/>
      <w:r w:rsidRPr="0047462D">
        <w:t>Στη μελέτη</w:t>
      </w:r>
      <w:r w:rsidR="002C32E8" w:rsidRPr="0047462D">
        <w:t> </w:t>
      </w:r>
      <w:r w:rsidRPr="0047462D">
        <w:t xml:space="preserve">6 σε ασθενείς ηλικίας 6 ετών ή άνω με ΚΙ, </w:t>
      </w:r>
      <w:r w:rsidRPr="0047462D">
        <w:rPr>
          <w:rFonts w:eastAsia="Times New Roman"/>
        </w:rPr>
        <w:t xml:space="preserve">οι οποίοι είχαν μια μετάλλαξη </w:t>
      </w:r>
      <w:r w:rsidRPr="0047462D">
        <w:rPr>
          <w:i/>
        </w:rPr>
        <w:t>R117H</w:t>
      </w:r>
      <w:r w:rsidRPr="0047462D">
        <w:rPr>
          <w:rFonts w:eastAsia="Times New Roman"/>
        </w:rPr>
        <w:t xml:space="preserve"> στο γονίδιο </w:t>
      </w:r>
      <w:r w:rsidRPr="0047462D">
        <w:rPr>
          <w:rFonts w:eastAsia="Times New Roman"/>
          <w:i/>
          <w:iCs/>
        </w:rPr>
        <w:t>CFTR</w:t>
      </w:r>
      <w:r w:rsidRPr="0047462D">
        <w:rPr>
          <w:rFonts w:eastAsia="Times New Roman"/>
          <w:iCs/>
        </w:rPr>
        <w:t>,</w:t>
      </w:r>
      <w:r w:rsidRPr="0047462D">
        <w:rPr>
          <w:rFonts w:eastAsia="Times New Roman"/>
        </w:rPr>
        <w:t xml:space="preserve"> η διαφορά της θεραπείας </w:t>
      </w:r>
      <w:r w:rsidRPr="0047462D">
        <w:t xml:space="preserve">στη μέση </w:t>
      </w:r>
      <w:r w:rsidR="00D67693" w:rsidRPr="0047462D">
        <w:t xml:space="preserve">μεταβολή </w:t>
      </w:r>
      <w:r w:rsidRPr="0047462D">
        <w:rPr>
          <w:rFonts w:eastAsia="Times New Roman"/>
        </w:rPr>
        <w:t xml:space="preserve">στο χλώριο ιδρώτα </w:t>
      </w:r>
      <w:r w:rsidRPr="0047462D">
        <w:t>από την τιμή αναφοράς καθ’ όλη τη διάρκεια των 24</w:t>
      </w:r>
      <w:r w:rsidR="002C32E8" w:rsidRPr="0047462D">
        <w:t> </w:t>
      </w:r>
      <w:r w:rsidRPr="0047462D">
        <w:t xml:space="preserve">εβδομάδων θεραπείας ήταν </w:t>
      </w:r>
      <w:r w:rsidRPr="0047462D">
        <w:noBreakHyphen/>
        <w:t xml:space="preserve">24 mmol/l </w:t>
      </w:r>
      <w:r w:rsidRPr="0047462D">
        <w:rPr>
          <w:rFonts w:eastAsia="Times New Roman"/>
        </w:rPr>
        <w:t>(95% CI </w:t>
      </w:r>
      <w:r w:rsidRPr="0047462D">
        <w:rPr>
          <w:rFonts w:eastAsia="Times New Roman"/>
        </w:rPr>
        <w:noBreakHyphen/>
        <w:t>28, </w:t>
      </w:r>
      <w:r w:rsidRPr="0047462D">
        <w:rPr>
          <w:rFonts w:eastAsia="Times New Roman"/>
        </w:rPr>
        <w:noBreakHyphen/>
        <w:t>20)</w:t>
      </w:r>
      <w:r w:rsidRPr="0047462D">
        <w:t>.</w:t>
      </w:r>
      <w:r w:rsidR="00411521" w:rsidRPr="0047462D">
        <w:t xml:space="preserve"> Σε αναλύσεις υποομάδων</w:t>
      </w:r>
      <w:r w:rsidR="00B37958" w:rsidRPr="0047462D">
        <w:t xml:space="preserve"> κατά ηλικία</w:t>
      </w:r>
      <w:r w:rsidR="00411521" w:rsidRPr="0047462D">
        <w:t xml:space="preserve">, η διαφορά της θεραπείας ήταν </w:t>
      </w:r>
      <w:r w:rsidR="00B37958" w:rsidRPr="0047462D">
        <w:rPr>
          <w:szCs w:val="22"/>
        </w:rPr>
        <w:noBreakHyphen/>
      </w:r>
      <w:r w:rsidR="00411521" w:rsidRPr="0047462D">
        <w:t>21,87 mmol/</w:t>
      </w:r>
      <w:r w:rsidR="00B93C50" w:rsidRPr="0047462D">
        <w:rPr>
          <w:lang w:val="en-US"/>
        </w:rPr>
        <w:t>l</w:t>
      </w:r>
      <w:r w:rsidR="00411521" w:rsidRPr="0047462D">
        <w:t xml:space="preserve"> (95% CI: </w:t>
      </w:r>
      <w:r w:rsidR="00B37958" w:rsidRPr="0047462D">
        <w:rPr>
          <w:szCs w:val="22"/>
        </w:rPr>
        <w:noBreakHyphen/>
      </w:r>
      <w:r w:rsidR="00411521" w:rsidRPr="0047462D">
        <w:t xml:space="preserve">26,46, </w:t>
      </w:r>
      <w:r w:rsidR="00B37958" w:rsidRPr="0047462D">
        <w:rPr>
          <w:szCs w:val="22"/>
        </w:rPr>
        <w:noBreakHyphen/>
      </w:r>
      <w:r w:rsidR="00411521" w:rsidRPr="0047462D">
        <w:t xml:space="preserve">17,28) σε ασθενείς ηλικίας 18 ετών </w:t>
      </w:r>
      <w:r w:rsidR="00394387" w:rsidRPr="0047462D">
        <w:t xml:space="preserve">και </w:t>
      </w:r>
      <w:r w:rsidR="00411521" w:rsidRPr="0047462D">
        <w:t xml:space="preserve">άνω, </w:t>
      </w:r>
      <w:r w:rsidR="00580425" w:rsidRPr="0047462D">
        <w:t xml:space="preserve">και </w:t>
      </w:r>
      <w:r w:rsidR="00B37958" w:rsidRPr="0047462D">
        <w:rPr>
          <w:szCs w:val="22"/>
        </w:rPr>
        <w:noBreakHyphen/>
      </w:r>
      <w:r w:rsidR="00411521" w:rsidRPr="0047462D">
        <w:t>27</w:t>
      </w:r>
      <w:r w:rsidR="00580425" w:rsidRPr="0047462D">
        <w:t>,</w:t>
      </w:r>
      <w:r w:rsidR="00411521" w:rsidRPr="0047462D">
        <w:t>63</w:t>
      </w:r>
      <w:r w:rsidR="00580425" w:rsidRPr="0047462D">
        <w:t> </w:t>
      </w:r>
      <w:r w:rsidR="00411521" w:rsidRPr="0047462D">
        <w:t>mmol/</w:t>
      </w:r>
      <w:r w:rsidR="00B93C50" w:rsidRPr="0047462D">
        <w:rPr>
          <w:lang w:val="en-US"/>
        </w:rPr>
        <w:t>l</w:t>
      </w:r>
      <w:r w:rsidR="00411521" w:rsidRPr="0047462D">
        <w:t xml:space="preserve"> (95% CI: </w:t>
      </w:r>
      <w:r w:rsidR="00B37958" w:rsidRPr="0047462D">
        <w:rPr>
          <w:szCs w:val="22"/>
        </w:rPr>
        <w:noBreakHyphen/>
      </w:r>
      <w:r w:rsidR="00411521" w:rsidRPr="0047462D">
        <w:t>37</w:t>
      </w:r>
      <w:r w:rsidR="00580425" w:rsidRPr="0047462D">
        <w:t>,</w:t>
      </w:r>
      <w:r w:rsidR="00411521" w:rsidRPr="0047462D">
        <w:t xml:space="preserve">16, </w:t>
      </w:r>
      <w:r w:rsidR="00B37958" w:rsidRPr="0047462D">
        <w:rPr>
          <w:szCs w:val="22"/>
        </w:rPr>
        <w:noBreakHyphen/>
      </w:r>
      <w:r w:rsidR="00411521" w:rsidRPr="0047462D">
        <w:t>18</w:t>
      </w:r>
      <w:r w:rsidR="00580425" w:rsidRPr="0047462D">
        <w:t>,</w:t>
      </w:r>
      <w:r w:rsidR="00411521" w:rsidRPr="0047462D">
        <w:t xml:space="preserve">10) </w:t>
      </w:r>
      <w:r w:rsidR="00580425" w:rsidRPr="0047462D">
        <w:t xml:space="preserve">σε ασθενείς ηλικίας </w:t>
      </w:r>
      <w:r w:rsidR="00411521" w:rsidRPr="0047462D">
        <w:t>6</w:t>
      </w:r>
      <w:r w:rsidR="00580425" w:rsidRPr="0047462D">
        <w:rPr>
          <w:szCs w:val="22"/>
        </w:rPr>
        <w:noBreakHyphen/>
      </w:r>
      <w:r w:rsidR="00411521" w:rsidRPr="0047462D">
        <w:t>11</w:t>
      </w:r>
      <w:r w:rsidR="00580425" w:rsidRPr="0047462D">
        <w:t> ετών</w:t>
      </w:r>
      <w:r w:rsidR="00411521" w:rsidRPr="0047462D">
        <w:t xml:space="preserve">. </w:t>
      </w:r>
      <w:r w:rsidR="00580425" w:rsidRPr="0047462D">
        <w:t xml:space="preserve">Σε αυτή τη μελέτη εισήχθησαν δύο ασθενείς ηλικίας </w:t>
      </w:r>
      <w:r w:rsidR="00411521" w:rsidRPr="0047462D">
        <w:t xml:space="preserve">12 </w:t>
      </w:r>
      <w:r w:rsidR="00580425" w:rsidRPr="0047462D">
        <w:t>έως</w:t>
      </w:r>
      <w:r w:rsidR="00411521" w:rsidRPr="0047462D">
        <w:t xml:space="preserve"> 17</w:t>
      </w:r>
      <w:r w:rsidR="00580425" w:rsidRPr="0047462D">
        <w:t> ετών</w:t>
      </w:r>
      <w:r w:rsidR="00411521" w:rsidRPr="0047462D">
        <w:t>.</w:t>
      </w:r>
    </w:p>
    <w:bookmarkEnd w:id="3"/>
    <w:p w14:paraId="0AEC0DB0" w14:textId="77777777" w:rsidR="00A67D3A" w:rsidRPr="0047462D" w:rsidRDefault="00A67D3A" w:rsidP="007307BE">
      <w:pPr>
        <w:pStyle w:val="documenttext"/>
        <w:spacing w:after="0"/>
        <w:rPr>
          <w:rFonts w:eastAsia="Times New Roman"/>
          <w:sz w:val="22"/>
          <w:szCs w:val="22"/>
          <w:u w:val="single"/>
          <w:lang w:val="el-GR"/>
        </w:rPr>
      </w:pPr>
    </w:p>
    <w:p w14:paraId="1CD5BD94" w14:textId="054FC8B8" w:rsidR="00F95687" w:rsidRPr="0047462D" w:rsidRDefault="005B1788" w:rsidP="009A2EEC">
      <w:pPr>
        <w:keepNext/>
        <w:rPr>
          <w:i/>
        </w:rPr>
      </w:pPr>
      <w:r w:rsidRPr="0047462D">
        <w:rPr>
          <w:i/>
        </w:rPr>
        <w:t>Ivacaftor σε συνδυαστικό σχήμα με tezacaftor/ivacaftor</w:t>
      </w:r>
    </w:p>
    <w:p w14:paraId="60D3E301" w14:textId="77777777" w:rsidR="00CD4843" w:rsidRPr="0047462D" w:rsidRDefault="00CD4843" w:rsidP="009A2EEC">
      <w:pPr>
        <w:keepNext/>
      </w:pPr>
    </w:p>
    <w:p w14:paraId="4ED6A9C9" w14:textId="1932201D" w:rsidR="005B1788" w:rsidRPr="0047462D" w:rsidRDefault="00181490" w:rsidP="005B1788">
      <w:r w:rsidRPr="0047462D">
        <w:t xml:space="preserve">Σε ασθενείς ομόζυγους για τη μετάλλαξη </w:t>
      </w:r>
      <w:r w:rsidR="005B1788" w:rsidRPr="0047462D">
        <w:rPr>
          <w:i/>
          <w:iCs/>
        </w:rPr>
        <w:t>F508del</w:t>
      </w:r>
      <w:r w:rsidR="005B1788" w:rsidRPr="0047462D">
        <w:t xml:space="preserve">, </w:t>
      </w:r>
      <w:r w:rsidRPr="0047462D">
        <w:t xml:space="preserve">η διαφορά της θεραπείας </w:t>
      </w:r>
      <w:r w:rsidR="004A5B00" w:rsidRPr="0047462D">
        <w:t xml:space="preserve">μεταξύ του </w:t>
      </w:r>
      <w:r w:rsidR="005B1788" w:rsidRPr="0047462D">
        <w:t xml:space="preserve">ivacaftor </w:t>
      </w:r>
      <w:r w:rsidR="004A5B00" w:rsidRPr="0047462D">
        <w:t xml:space="preserve">σε συνδυασμό με </w:t>
      </w:r>
      <w:r w:rsidR="005B1788" w:rsidRPr="0047462D">
        <w:t xml:space="preserve">tezacaftor/ivacaftor </w:t>
      </w:r>
      <w:r w:rsidR="004A5B00" w:rsidRPr="0047462D">
        <w:t xml:space="preserve">και του εικονικού φαρμάκου για τη μέση απόλυτη </w:t>
      </w:r>
      <w:r w:rsidR="00D67693" w:rsidRPr="0047462D">
        <w:t>μεταβολή</w:t>
      </w:r>
      <w:r w:rsidR="004A5B00" w:rsidRPr="0047462D">
        <w:t xml:space="preserve"> από την τιμή αναφοράς στο χλώριο ιδρώτα</w:t>
      </w:r>
      <w:r w:rsidR="005B1788" w:rsidRPr="0047462D">
        <w:t xml:space="preserve"> </w:t>
      </w:r>
      <w:r w:rsidR="004A5B00" w:rsidRPr="0047462D">
        <w:t xml:space="preserve">έως την </w:t>
      </w:r>
      <w:r w:rsidR="00245041" w:rsidRPr="0047462D">
        <w:t>ε</w:t>
      </w:r>
      <w:r w:rsidR="004A5B00" w:rsidRPr="0047462D">
        <w:t>βδομάδα</w:t>
      </w:r>
      <w:r w:rsidR="005B1788" w:rsidRPr="0047462D">
        <w:t xml:space="preserve"> 24</w:t>
      </w:r>
      <w:r w:rsidR="004A5B00" w:rsidRPr="0047462D">
        <w:t xml:space="preserve"> ήταν </w:t>
      </w:r>
      <w:r w:rsidR="005B1788" w:rsidRPr="0047462D">
        <w:noBreakHyphen/>
        <w:t>10</w:t>
      </w:r>
      <w:r w:rsidR="004A5B00" w:rsidRPr="0047462D">
        <w:t>,</w:t>
      </w:r>
      <w:r w:rsidR="005B1788" w:rsidRPr="0047462D">
        <w:t>1 mmol/</w:t>
      </w:r>
      <w:r w:rsidR="00FE7CD0" w:rsidRPr="0047462D">
        <w:rPr>
          <w:lang w:val="en-US"/>
        </w:rPr>
        <w:t>l</w:t>
      </w:r>
      <w:r w:rsidR="005B1788" w:rsidRPr="0047462D">
        <w:t xml:space="preserve"> (95% CI: </w:t>
      </w:r>
      <w:r w:rsidR="005B1788" w:rsidRPr="0047462D">
        <w:noBreakHyphen/>
        <w:t>11</w:t>
      </w:r>
      <w:r w:rsidR="004A5B00" w:rsidRPr="0047462D">
        <w:t>,</w:t>
      </w:r>
      <w:r w:rsidR="005B1788" w:rsidRPr="0047462D">
        <w:t xml:space="preserve">4, </w:t>
      </w:r>
      <w:r w:rsidR="005B1788" w:rsidRPr="0047462D">
        <w:noBreakHyphen/>
        <w:t>8</w:t>
      </w:r>
      <w:r w:rsidR="004A5B00" w:rsidRPr="0047462D">
        <w:t>,</w:t>
      </w:r>
      <w:r w:rsidR="005B1788" w:rsidRPr="0047462D">
        <w:t>8</w:t>
      </w:r>
      <w:r w:rsidR="004F7B8E" w:rsidRPr="00F93ECE">
        <w:t>).</w:t>
      </w:r>
    </w:p>
    <w:p w14:paraId="1C3C67C0" w14:textId="77777777" w:rsidR="00245041" w:rsidRPr="0047462D" w:rsidRDefault="00245041" w:rsidP="005B1788"/>
    <w:p w14:paraId="54650186" w14:textId="2E20AA3B" w:rsidR="005B1788" w:rsidRDefault="004A5B00" w:rsidP="005B1788">
      <w:r w:rsidRPr="0047462D">
        <w:t xml:space="preserve">Σε ασθενείς ετερόζυγους για τη μετάλλαξη </w:t>
      </w:r>
      <w:r w:rsidR="005B1788" w:rsidRPr="0047462D">
        <w:rPr>
          <w:i/>
          <w:iCs/>
        </w:rPr>
        <w:t xml:space="preserve">F508del </w:t>
      </w:r>
      <w:r w:rsidRPr="0047462D">
        <w:rPr>
          <w:bCs/>
        </w:rPr>
        <w:t xml:space="preserve">και μια δεύτερη μετάλλαξη σχετιζόμενη με υπολειπόμενη λειτουργία </w:t>
      </w:r>
      <w:r w:rsidR="00C04AF6" w:rsidRPr="0047462D">
        <w:rPr>
          <w:bCs/>
        </w:rPr>
        <w:t>της</w:t>
      </w:r>
      <w:r w:rsidR="005B1788" w:rsidRPr="0047462D">
        <w:t xml:space="preserve"> </w:t>
      </w:r>
      <w:r w:rsidR="005B1788" w:rsidRPr="0047462D">
        <w:rPr>
          <w:iCs/>
        </w:rPr>
        <w:t>CFTR</w:t>
      </w:r>
      <w:r w:rsidR="005B1788" w:rsidRPr="0047462D">
        <w:t xml:space="preserve">, </w:t>
      </w:r>
      <w:r w:rsidRPr="0047462D">
        <w:t xml:space="preserve">η διαφορά της θεραπείας στη μέση απόλυτη </w:t>
      </w:r>
      <w:r w:rsidR="00D67693" w:rsidRPr="0047462D">
        <w:t>μεταβολή</w:t>
      </w:r>
      <w:r w:rsidRPr="0047462D">
        <w:t xml:space="preserve"> από την τιμή αναφοράς στο χλώριο ιδρώτα έως την </w:t>
      </w:r>
      <w:r w:rsidR="00245041" w:rsidRPr="0047462D">
        <w:t>ε</w:t>
      </w:r>
      <w:r w:rsidRPr="0047462D">
        <w:t>βδομάδα</w:t>
      </w:r>
      <w:r w:rsidR="005B1788" w:rsidRPr="0047462D">
        <w:t xml:space="preserve"> 8 </w:t>
      </w:r>
      <w:r w:rsidRPr="0047462D">
        <w:t>ήταν</w:t>
      </w:r>
      <w:r w:rsidR="005B1788" w:rsidRPr="0047462D">
        <w:t xml:space="preserve"> </w:t>
      </w:r>
      <w:r w:rsidR="005B1788" w:rsidRPr="0047462D">
        <w:noBreakHyphen/>
        <w:t>9</w:t>
      </w:r>
      <w:r w:rsidRPr="0047462D">
        <w:t>,</w:t>
      </w:r>
      <w:r w:rsidR="005B1788" w:rsidRPr="0047462D">
        <w:t>5 mmol/</w:t>
      </w:r>
      <w:r w:rsidR="00FE7CD0" w:rsidRPr="0047462D">
        <w:rPr>
          <w:lang w:val="en-US"/>
        </w:rPr>
        <w:t>l</w:t>
      </w:r>
      <w:r w:rsidR="005B1788" w:rsidRPr="0047462D">
        <w:t xml:space="preserve"> (95% CI: </w:t>
      </w:r>
      <w:r w:rsidR="005B1788" w:rsidRPr="0047462D">
        <w:noBreakHyphen/>
        <w:t>11</w:t>
      </w:r>
      <w:r w:rsidRPr="0047462D">
        <w:t>,</w:t>
      </w:r>
      <w:r w:rsidR="005B1788" w:rsidRPr="0047462D">
        <w:t xml:space="preserve">7, </w:t>
      </w:r>
      <w:r w:rsidR="005B1788" w:rsidRPr="0047462D">
        <w:noBreakHyphen/>
        <w:t>7</w:t>
      </w:r>
      <w:r w:rsidRPr="0047462D">
        <w:t>,</w:t>
      </w:r>
      <w:r w:rsidR="005B1788" w:rsidRPr="0047462D">
        <w:t>3</w:t>
      </w:r>
      <w:r w:rsidR="004F7B8E" w:rsidRPr="00F93ECE">
        <w:t>)</w:t>
      </w:r>
      <w:r w:rsidR="005B1788" w:rsidRPr="0047462D">
        <w:t xml:space="preserve"> </w:t>
      </w:r>
      <w:r w:rsidRPr="0047462D">
        <w:t>μεταξύ του tezacaftor/ivacafto</w:t>
      </w:r>
      <w:r w:rsidR="00AB1D14" w:rsidRPr="0047462D">
        <w:t>r</w:t>
      </w:r>
      <w:r w:rsidRPr="0047462D">
        <w:t xml:space="preserve"> και του εικονικού φαρμάκου</w:t>
      </w:r>
      <w:r w:rsidR="005B1788" w:rsidRPr="0047462D">
        <w:t xml:space="preserve">, </w:t>
      </w:r>
      <w:r w:rsidRPr="0047462D">
        <w:t xml:space="preserve">και </w:t>
      </w:r>
      <w:r w:rsidR="004F7B8E" w:rsidRPr="0047462D">
        <w:noBreakHyphen/>
      </w:r>
      <w:r w:rsidR="005B1788" w:rsidRPr="0047462D">
        <w:t>4</w:t>
      </w:r>
      <w:r w:rsidRPr="0047462D">
        <w:t>,</w:t>
      </w:r>
      <w:r w:rsidR="005B1788" w:rsidRPr="0047462D">
        <w:t>5 mmol/</w:t>
      </w:r>
      <w:r w:rsidR="00FE7CD0" w:rsidRPr="0047462D">
        <w:rPr>
          <w:lang w:val="en-US"/>
        </w:rPr>
        <w:t>l</w:t>
      </w:r>
      <w:r w:rsidR="005B1788" w:rsidRPr="0047462D">
        <w:t xml:space="preserve"> (95% CI: </w:t>
      </w:r>
      <w:r w:rsidR="005B1788" w:rsidRPr="0047462D">
        <w:noBreakHyphen/>
        <w:t>6</w:t>
      </w:r>
      <w:r w:rsidRPr="0047462D">
        <w:t>,</w:t>
      </w:r>
      <w:r w:rsidR="005B1788" w:rsidRPr="0047462D">
        <w:t xml:space="preserve">7, </w:t>
      </w:r>
      <w:r w:rsidR="005B1788" w:rsidRPr="0047462D">
        <w:noBreakHyphen/>
        <w:t>2</w:t>
      </w:r>
      <w:r w:rsidRPr="0047462D">
        <w:t>,</w:t>
      </w:r>
      <w:r w:rsidR="005B1788" w:rsidRPr="0047462D">
        <w:t>3</w:t>
      </w:r>
      <w:r w:rsidR="004F7B8E" w:rsidRPr="00F93ECE">
        <w:t>)</w:t>
      </w:r>
      <w:r w:rsidR="005B1788" w:rsidRPr="0047462D">
        <w:t xml:space="preserve"> </w:t>
      </w:r>
      <w:r w:rsidRPr="0047462D">
        <w:t>μεταξύ του</w:t>
      </w:r>
      <w:r w:rsidR="005B1788" w:rsidRPr="0047462D">
        <w:t xml:space="preserve"> ivacaftor </w:t>
      </w:r>
      <w:r w:rsidRPr="0047462D">
        <w:t>και του εικονικού φαρμάκου</w:t>
      </w:r>
      <w:r w:rsidR="005B1788" w:rsidRPr="0047462D">
        <w:t>.</w:t>
      </w:r>
    </w:p>
    <w:p w14:paraId="362F5C6C" w14:textId="51F95D8C" w:rsidR="000734DF" w:rsidRPr="00C749BA" w:rsidRDefault="000734DF" w:rsidP="005B1788">
      <w:pPr>
        <w:rPr>
          <w:szCs w:val="22"/>
        </w:rPr>
      </w:pPr>
    </w:p>
    <w:p w14:paraId="53EF9E1F" w14:textId="71919657" w:rsidR="000734DF" w:rsidRPr="00F93ECE" w:rsidRDefault="000734DF" w:rsidP="000734DF">
      <w:pPr>
        <w:pStyle w:val="documenttext"/>
        <w:spacing w:after="0"/>
        <w:rPr>
          <w:sz w:val="22"/>
          <w:szCs w:val="22"/>
          <w:u w:val="single"/>
          <w:lang w:val="el-GR"/>
        </w:rPr>
      </w:pPr>
      <w:r w:rsidRPr="00B309DE">
        <w:rPr>
          <w:sz w:val="22"/>
          <w:szCs w:val="22"/>
          <w:lang w:val="el-GR"/>
        </w:rPr>
        <w:t>Σε ασθενείς ηλικίας</w:t>
      </w:r>
      <w:r w:rsidRPr="00F93ECE">
        <w:rPr>
          <w:sz w:val="22"/>
          <w:szCs w:val="22"/>
          <w:lang w:val="el-GR"/>
        </w:rPr>
        <w:t xml:space="preserve"> 6 </w:t>
      </w:r>
      <w:r w:rsidRPr="00B309DE">
        <w:rPr>
          <w:sz w:val="22"/>
          <w:szCs w:val="22"/>
          <w:lang w:val="el-GR"/>
        </w:rPr>
        <w:t xml:space="preserve">έως κάτω των </w:t>
      </w:r>
      <w:r w:rsidRPr="00F93ECE">
        <w:rPr>
          <w:sz w:val="22"/>
          <w:szCs w:val="22"/>
          <w:lang w:val="el-GR"/>
        </w:rPr>
        <w:t>12</w:t>
      </w:r>
      <w:r w:rsidRPr="00F93ECE">
        <w:rPr>
          <w:rFonts w:eastAsia="MS Mincho"/>
          <w:sz w:val="22"/>
          <w:szCs w:val="22"/>
          <w:lang w:eastAsia="ja-JP"/>
        </w:rPr>
        <w:t> </w:t>
      </w:r>
      <w:r w:rsidRPr="00F93ECE">
        <w:rPr>
          <w:rFonts w:eastAsia="MS Mincho"/>
          <w:sz w:val="22"/>
          <w:szCs w:val="22"/>
          <w:lang w:val="el-GR" w:eastAsia="ja-JP"/>
        </w:rPr>
        <w:t xml:space="preserve">ετών </w:t>
      </w:r>
      <w:r w:rsidRPr="00B309DE">
        <w:rPr>
          <w:sz w:val="22"/>
          <w:szCs w:val="22"/>
          <w:lang w:val="el-GR"/>
        </w:rPr>
        <w:t xml:space="preserve">που ήταν ομόζυγοι ή ετερόζυγοι για τη μετάλλαξη </w:t>
      </w:r>
      <w:r w:rsidRPr="00B309DE">
        <w:rPr>
          <w:i/>
          <w:sz w:val="22"/>
          <w:szCs w:val="22"/>
        </w:rPr>
        <w:t>F</w:t>
      </w:r>
      <w:r w:rsidRPr="00F93ECE">
        <w:rPr>
          <w:i/>
          <w:sz w:val="22"/>
          <w:szCs w:val="22"/>
          <w:lang w:val="el-GR"/>
        </w:rPr>
        <w:t>508</w:t>
      </w:r>
      <w:r w:rsidRPr="00B309DE">
        <w:rPr>
          <w:i/>
          <w:sz w:val="22"/>
          <w:szCs w:val="22"/>
        </w:rPr>
        <w:t>del</w:t>
      </w:r>
      <w:r w:rsidRPr="00F93ECE">
        <w:rPr>
          <w:sz w:val="22"/>
          <w:szCs w:val="22"/>
          <w:lang w:val="el-GR"/>
        </w:rPr>
        <w:t xml:space="preserve"> και μια δεύτερη μετάλλαξη σχετιζόμενη με υπολειπόμενη λειτουργία της </w:t>
      </w:r>
      <w:r w:rsidRPr="00B309DE">
        <w:rPr>
          <w:i/>
          <w:iCs/>
          <w:sz w:val="22"/>
          <w:szCs w:val="22"/>
        </w:rPr>
        <w:t>CFTR</w:t>
      </w:r>
      <w:r w:rsidRPr="00F93ECE">
        <w:rPr>
          <w:sz w:val="22"/>
          <w:szCs w:val="22"/>
          <w:lang w:val="el-GR"/>
        </w:rPr>
        <w:t xml:space="preserve">, </w:t>
      </w:r>
      <w:r w:rsidRPr="00B309DE">
        <w:rPr>
          <w:sz w:val="22"/>
          <w:szCs w:val="22"/>
          <w:lang w:val="el-GR"/>
        </w:rPr>
        <w:t>η μέση εντός της ομάδας απόλυτη μεταβολή στο χλώριο ιδρώτα από την έναρξη στην εβδομάδα</w:t>
      </w:r>
      <w:r w:rsidRPr="00F93ECE">
        <w:rPr>
          <w:rFonts w:eastAsia="MS Mincho"/>
          <w:sz w:val="22"/>
          <w:szCs w:val="22"/>
          <w:lang w:eastAsia="ja-JP"/>
        </w:rPr>
        <w:t> </w:t>
      </w:r>
      <w:r w:rsidRPr="00F93ECE">
        <w:rPr>
          <w:sz w:val="22"/>
          <w:szCs w:val="22"/>
          <w:lang w:val="el-GR"/>
        </w:rPr>
        <w:t xml:space="preserve">8 </w:t>
      </w:r>
      <w:r w:rsidRPr="00B309DE">
        <w:rPr>
          <w:sz w:val="22"/>
          <w:szCs w:val="22"/>
          <w:lang w:val="el-GR"/>
        </w:rPr>
        <w:t>ήταν</w:t>
      </w:r>
      <w:r w:rsidRPr="00F93ECE">
        <w:rPr>
          <w:sz w:val="22"/>
          <w:szCs w:val="22"/>
          <w:lang w:val="el-GR"/>
        </w:rPr>
        <w:t xml:space="preserve"> </w:t>
      </w:r>
      <w:r w:rsidRPr="00F93ECE">
        <w:rPr>
          <w:sz w:val="22"/>
          <w:szCs w:val="22"/>
          <w:lang w:val="el-GR"/>
        </w:rPr>
        <w:noBreakHyphen/>
        <w:t>12</w:t>
      </w:r>
      <w:r w:rsidRPr="00B309DE">
        <w:rPr>
          <w:sz w:val="22"/>
          <w:szCs w:val="22"/>
          <w:lang w:val="el-GR"/>
        </w:rPr>
        <w:t>,</w:t>
      </w:r>
      <w:r w:rsidRPr="00F93ECE">
        <w:rPr>
          <w:sz w:val="22"/>
          <w:szCs w:val="22"/>
          <w:lang w:val="el-GR"/>
        </w:rPr>
        <w:t>3</w:t>
      </w:r>
      <w:r w:rsidRPr="00F93ECE">
        <w:rPr>
          <w:rFonts w:eastAsia="MS Mincho"/>
          <w:sz w:val="22"/>
          <w:szCs w:val="22"/>
          <w:lang w:eastAsia="ja-JP"/>
        </w:rPr>
        <w:t> </w:t>
      </w:r>
      <w:r w:rsidRPr="00B309DE">
        <w:rPr>
          <w:sz w:val="22"/>
          <w:szCs w:val="22"/>
        </w:rPr>
        <w:t>mmol</w:t>
      </w:r>
      <w:r w:rsidRPr="00F93ECE">
        <w:rPr>
          <w:sz w:val="22"/>
          <w:szCs w:val="22"/>
          <w:lang w:val="el-GR"/>
        </w:rPr>
        <w:t>/</w:t>
      </w:r>
      <w:r w:rsidRPr="00B309DE">
        <w:rPr>
          <w:sz w:val="22"/>
          <w:szCs w:val="22"/>
        </w:rPr>
        <w:t>l</w:t>
      </w:r>
      <w:r w:rsidRPr="00F93ECE">
        <w:rPr>
          <w:sz w:val="22"/>
          <w:szCs w:val="22"/>
          <w:lang w:val="el-GR"/>
        </w:rPr>
        <w:t xml:space="preserve"> (95% </w:t>
      </w:r>
      <w:r w:rsidRPr="00B309DE">
        <w:rPr>
          <w:sz w:val="22"/>
          <w:szCs w:val="22"/>
        </w:rPr>
        <w:t>CI</w:t>
      </w:r>
      <w:r w:rsidRPr="00F93ECE">
        <w:rPr>
          <w:sz w:val="22"/>
          <w:szCs w:val="22"/>
          <w:lang w:val="el-GR"/>
        </w:rPr>
        <w:t xml:space="preserve">: </w:t>
      </w:r>
      <w:r w:rsidRPr="00F93ECE">
        <w:rPr>
          <w:sz w:val="22"/>
          <w:szCs w:val="22"/>
          <w:lang w:val="el-GR"/>
        </w:rPr>
        <w:noBreakHyphen/>
        <w:t xml:space="preserve">15,3, </w:t>
      </w:r>
      <w:r w:rsidRPr="00F93ECE">
        <w:rPr>
          <w:sz w:val="22"/>
          <w:szCs w:val="22"/>
          <w:lang w:val="el-GR"/>
        </w:rPr>
        <w:noBreakHyphen/>
        <w:t xml:space="preserve">9,3) </w:t>
      </w:r>
      <w:r w:rsidRPr="00B309DE">
        <w:rPr>
          <w:sz w:val="22"/>
          <w:szCs w:val="22"/>
          <w:lang w:val="el-GR"/>
        </w:rPr>
        <w:t xml:space="preserve">στην ομάδα του </w:t>
      </w:r>
      <w:r w:rsidRPr="00B309DE">
        <w:rPr>
          <w:sz w:val="22"/>
          <w:szCs w:val="22"/>
        </w:rPr>
        <w:t>tezacaftor</w:t>
      </w:r>
      <w:r w:rsidRPr="00F93ECE">
        <w:rPr>
          <w:sz w:val="22"/>
          <w:szCs w:val="22"/>
          <w:lang w:val="el-GR"/>
        </w:rPr>
        <w:t>/</w:t>
      </w:r>
      <w:r w:rsidRPr="00B309DE">
        <w:rPr>
          <w:sz w:val="22"/>
          <w:szCs w:val="22"/>
        </w:rPr>
        <w:t>ivacaftor</w:t>
      </w:r>
      <w:r w:rsidRPr="00F93ECE">
        <w:rPr>
          <w:sz w:val="22"/>
          <w:szCs w:val="22"/>
          <w:lang w:val="el-GR"/>
        </w:rPr>
        <w:t>.</w:t>
      </w:r>
    </w:p>
    <w:p w14:paraId="41F8442D" w14:textId="741509BB" w:rsidR="005B1788" w:rsidRPr="00B309DE" w:rsidRDefault="005B1788" w:rsidP="007307BE">
      <w:pPr>
        <w:pStyle w:val="documenttext"/>
        <w:spacing w:after="0"/>
        <w:rPr>
          <w:rFonts w:eastAsia="Times New Roman"/>
          <w:sz w:val="22"/>
          <w:szCs w:val="22"/>
          <w:u w:val="single"/>
          <w:lang w:val="el-GR"/>
        </w:rPr>
      </w:pPr>
    </w:p>
    <w:p w14:paraId="2A39EB61" w14:textId="6A89C7F0" w:rsidR="00E25072" w:rsidRPr="00F93ECE" w:rsidRDefault="00E25072" w:rsidP="00E25072">
      <w:pPr>
        <w:pStyle w:val="documenttext"/>
        <w:keepNext/>
        <w:spacing w:after="0"/>
        <w:rPr>
          <w:i/>
          <w:iCs/>
          <w:sz w:val="22"/>
          <w:szCs w:val="22"/>
          <w:lang w:val="el-GR"/>
        </w:rPr>
      </w:pPr>
      <w:r w:rsidRPr="0047462D">
        <w:rPr>
          <w:i/>
          <w:iCs/>
          <w:sz w:val="22"/>
          <w:szCs w:val="22"/>
          <w:lang w:val="en-GB"/>
        </w:rPr>
        <w:t>Ivacaftor</w:t>
      </w:r>
      <w:r w:rsidRPr="00F93ECE">
        <w:rPr>
          <w:i/>
          <w:iCs/>
          <w:sz w:val="22"/>
          <w:szCs w:val="22"/>
          <w:lang w:val="el-GR"/>
        </w:rPr>
        <w:t xml:space="preserve"> </w:t>
      </w:r>
      <w:r w:rsidR="007171D4" w:rsidRPr="0047462D">
        <w:rPr>
          <w:i/>
          <w:iCs/>
          <w:sz w:val="22"/>
          <w:szCs w:val="22"/>
          <w:lang w:val="el-GR"/>
        </w:rPr>
        <w:t xml:space="preserve">σε συνδυαστικό σχήμα με </w:t>
      </w:r>
      <w:r w:rsidRPr="0047462D">
        <w:rPr>
          <w:i/>
          <w:iCs/>
          <w:sz w:val="22"/>
          <w:szCs w:val="22"/>
          <w:lang w:val="en-GB"/>
        </w:rPr>
        <w:t>ivacaftor</w:t>
      </w:r>
      <w:r w:rsidRPr="00F93ECE">
        <w:rPr>
          <w:i/>
          <w:iCs/>
          <w:sz w:val="22"/>
          <w:szCs w:val="22"/>
          <w:lang w:val="el-GR"/>
        </w:rPr>
        <w:t>/</w:t>
      </w:r>
      <w:r w:rsidRPr="0047462D">
        <w:rPr>
          <w:i/>
          <w:iCs/>
          <w:sz w:val="22"/>
          <w:szCs w:val="22"/>
          <w:lang w:val="en-GB"/>
        </w:rPr>
        <w:t>tezacaftor</w:t>
      </w:r>
      <w:r w:rsidRPr="00F93ECE">
        <w:rPr>
          <w:i/>
          <w:iCs/>
          <w:sz w:val="22"/>
          <w:szCs w:val="22"/>
          <w:lang w:val="el-GR"/>
        </w:rPr>
        <w:t>/</w:t>
      </w:r>
      <w:r w:rsidRPr="0047462D">
        <w:rPr>
          <w:i/>
          <w:iCs/>
          <w:sz w:val="22"/>
          <w:szCs w:val="22"/>
          <w:lang w:val="en-GB"/>
        </w:rPr>
        <w:t>elexacaftor</w:t>
      </w:r>
    </w:p>
    <w:p w14:paraId="0B07AAC7" w14:textId="77777777" w:rsidR="00E25072" w:rsidRPr="0047462D" w:rsidRDefault="00E25072" w:rsidP="00E25072">
      <w:pPr>
        <w:keepNext/>
        <w:rPr>
          <w:rFonts w:eastAsia="Calibri"/>
          <w:i/>
          <w:iCs/>
        </w:rPr>
      </w:pPr>
    </w:p>
    <w:p w14:paraId="72960E94" w14:textId="5843960C" w:rsidR="00E25072" w:rsidRPr="0047462D" w:rsidRDefault="004F7B8E" w:rsidP="00E25072">
      <w:pPr>
        <w:keepNext/>
        <w:rPr>
          <w:rFonts w:eastAsia="Calibri"/>
        </w:rPr>
      </w:pPr>
      <w:r w:rsidRPr="0047462D">
        <w:rPr>
          <w:rFonts w:eastAsia="Calibri"/>
        </w:rPr>
        <w:t xml:space="preserve">Σε </w:t>
      </w:r>
      <w:r w:rsidR="007171D4" w:rsidRPr="0047462D">
        <w:rPr>
          <w:rFonts w:eastAsia="Calibri"/>
        </w:rPr>
        <w:t xml:space="preserve">ασθενείς με μια μετάλλαξη </w:t>
      </w:r>
      <w:r w:rsidR="00E25072" w:rsidRPr="0047462D">
        <w:rPr>
          <w:rFonts w:eastAsia="Calibri"/>
          <w:i/>
        </w:rPr>
        <w:t>F508del</w:t>
      </w:r>
      <w:r w:rsidR="00E25072" w:rsidRPr="0047462D">
        <w:rPr>
          <w:rFonts w:eastAsia="Calibri"/>
        </w:rPr>
        <w:t xml:space="preserve"> </w:t>
      </w:r>
      <w:r w:rsidR="00477A3D" w:rsidRPr="0047462D">
        <w:rPr>
          <w:rStyle w:val="hps"/>
        </w:rPr>
        <w:t xml:space="preserve">σε ένα αλληλόμορφο και μια μετάλλαξη στο δεύτερο αλληλόμορφο που </w:t>
      </w:r>
      <w:r w:rsidR="001147D0">
        <w:rPr>
          <w:rStyle w:val="hps"/>
        </w:rPr>
        <w:t>υποδηλώνει</w:t>
      </w:r>
      <w:r w:rsidR="001147D0" w:rsidRPr="0047462D">
        <w:rPr>
          <w:rFonts w:eastAsia="Calibri"/>
        </w:rPr>
        <w:t xml:space="preserve"> </w:t>
      </w:r>
      <w:r w:rsidR="00477A3D" w:rsidRPr="0047462D">
        <w:rPr>
          <w:rFonts w:eastAsia="Calibri"/>
        </w:rPr>
        <w:t>είτε καθόλου παραγωγή πρωτεΐνης</w:t>
      </w:r>
      <w:r w:rsidR="00E25072" w:rsidRPr="0047462D">
        <w:rPr>
          <w:rFonts w:eastAsia="Calibri"/>
        </w:rPr>
        <w:t xml:space="preserve"> CFTR </w:t>
      </w:r>
      <w:r w:rsidR="00477A3D" w:rsidRPr="0047462D">
        <w:rPr>
          <w:rFonts w:eastAsia="Calibri"/>
        </w:rPr>
        <w:t xml:space="preserve">είτε πρωτεΐνη </w:t>
      </w:r>
      <w:r w:rsidR="00E25072" w:rsidRPr="0047462D">
        <w:rPr>
          <w:rFonts w:eastAsia="Calibri"/>
        </w:rPr>
        <w:t xml:space="preserve">CFTR </w:t>
      </w:r>
      <w:r w:rsidR="00477A3D" w:rsidRPr="0047462D">
        <w:rPr>
          <w:rStyle w:val="hps"/>
        </w:rPr>
        <w:t>που δεν ανταποκρίνεται στο</w:t>
      </w:r>
      <w:r w:rsidR="00477A3D" w:rsidRPr="0047462D">
        <w:rPr>
          <w:rFonts w:eastAsia="Calibri"/>
        </w:rPr>
        <w:t xml:space="preserve"> </w:t>
      </w:r>
      <w:r w:rsidR="00E25072" w:rsidRPr="0047462D">
        <w:rPr>
          <w:rFonts w:eastAsia="Calibri"/>
        </w:rPr>
        <w:t xml:space="preserve">ivacaftor </w:t>
      </w:r>
      <w:r w:rsidR="00477A3D" w:rsidRPr="0047462D">
        <w:rPr>
          <w:rFonts w:eastAsia="Calibri"/>
        </w:rPr>
        <w:t>και τον συνδυασμό</w:t>
      </w:r>
      <w:r w:rsidR="00E25072" w:rsidRPr="0047462D">
        <w:rPr>
          <w:rFonts w:eastAsia="Calibri"/>
        </w:rPr>
        <w:t xml:space="preserve"> tezacaftor/ivacaftor, </w:t>
      </w:r>
      <w:r w:rsidRPr="0047462D">
        <w:rPr>
          <w:rStyle w:val="hps"/>
        </w:rPr>
        <w:t>η</w:t>
      </w:r>
      <w:r w:rsidR="00477A3D" w:rsidRPr="0047462D">
        <w:rPr>
          <w:rStyle w:val="hps"/>
        </w:rPr>
        <w:t xml:space="preserve"> διαφορά θεραπείας μεταξύ του </w:t>
      </w:r>
      <w:r w:rsidR="00E25072" w:rsidRPr="0047462D">
        <w:rPr>
          <w:rFonts w:eastAsia="Calibri"/>
        </w:rPr>
        <w:t xml:space="preserve">ivacaftor/tezacaftor/elexacaftor </w:t>
      </w:r>
      <w:r w:rsidR="00477A3D" w:rsidRPr="0047462D">
        <w:rPr>
          <w:rFonts w:eastAsia="Calibri"/>
        </w:rPr>
        <w:t xml:space="preserve">και του εικονικού φαρμάκου για </w:t>
      </w:r>
      <w:r w:rsidR="00477A3D" w:rsidRPr="0047462D">
        <w:rPr>
          <w:rStyle w:val="hps"/>
        </w:rPr>
        <w:t>τη μέση απόλυτη μεταβολή στο χλώριο του ιδρώτα από την έναρξη έως την εβδομάδα 24 ήταν</w:t>
      </w:r>
      <w:r w:rsidR="00477A3D" w:rsidRPr="0047462D">
        <w:rPr>
          <w:rFonts w:eastAsia="Calibri"/>
        </w:rPr>
        <w:t xml:space="preserve"> </w:t>
      </w:r>
      <w:r w:rsidR="00E25072" w:rsidRPr="0047462D">
        <w:rPr>
          <w:rFonts w:eastAsia="Calibri"/>
        </w:rPr>
        <w:noBreakHyphen/>
        <w:t>41</w:t>
      </w:r>
      <w:r w:rsidR="00477A3D" w:rsidRPr="0047462D">
        <w:rPr>
          <w:rFonts w:eastAsia="Calibri"/>
        </w:rPr>
        <w:t>,</w:t>
      </w:r>
      <w:r w:rsidR="00E25072" w:rsidRPr="0047462D">
        <w:rPr>
          <w:rFonts w:eastAsia="Calibri"/>
        </w:rPr>
        <w:t>8 mmol/</w:t>
      </w:r>
      <w:r w:rsidR="00477A3D" w:rsidRPr="0047462D">
        <w:rPr>
          <w:rFonts w:eastAsia="Calibri"/>
          <w:lang w:val="en-US"/>
        </w:rPr>
        <w:t>l</w:t>
      </w:r>
      <w:r w:rsidR="00E25072" w:rsidRPr="0047462D">
        <w:rPr>
          <w:rFonts w:eastAsia="Calibri"/>
        </w:rPr>
        <w:t xml:space="preserve"> (95% CI: -44</w:t>
      </w:r>
      <w:r w:rsidR="00477A3D" w:rsidRPr="00F93ECE">
        <w:rPr>
          <w:rFonts w:eastAsia="Calibri"/>
        </w:rPr>
        <w:t>,</w:t>
      </w:r>
      <w:r w:rsidR="00E25072" w:rsidRPr="0047462D">
        <w:rPr>
          <w:rFonts w:eastAsia="Calibri"/>
        </w:rPr>
        <w:t>4, -39</w:t>
      </w:r>
      <w:r w:rsidR="00477A3D" w:rsidRPr="00F93ECE">
        <w:rPr>
          <w:rFonts w:eastAsia="Calibri"/>
        </w:rPr>
        <w:t>,</w:t>
      </w:r>
      <w:r w:rsidR="00E25072" w:rsidRPr="0047462D">
        <w:rPr>
          <w:rFonts w:eastAsia="Calibri"/>
        </w:rPr>
        <w:t>3).</w:t>
      </w:r>
    </w:p>
    <w:p w14:paraId="01BA36EF" w14:textId="77777777" w:rsidR="00E25072" w:rsidRPr="0047462D" w:rsidRDefault="00E25072" w:rsidP="00E25072">
      <w:pPr>
        <w:autoSpaceDE w:val="0"/>
        <w:autoSpaceDN w:val="0"/>
        <w:adjustRightInd w:val="0"/>
      </w:pPr>
    </w:p>
    <w:p w14:paraId="5FDA2957" w14:textId="1E6C45D6" w:rsidR="00E25072" w:rsidRPr="0047462D" w:rsidRDefault="00373A54" w:rsidP="00E25072">
      <w:pPr>
        <w:autoSpaceDE w:val="0"/>
        <w:autoSpaceDN w:val="0"/>
        <w:adjustRightInd w:val="0"/>
      </w:pPr>
      <w:r w:rsidRPr="0047462D">
        <w:t>Σε</w:t>
      </w:r>
      <w:r w:rsidR="005C5D30" w:rsidRPr="0047462D">
        <w:t xml:space="preserve"> </w:t>
      </w:r>
      <w:r w:rsidR="005C5D30" w:rsidRPr="0047462D">
        <w:rPr>
          <w:rStyle w:val="hps"/>
        </w:rPr>
        <w:t>ασθενείς ομόζυγ</w:t>
      </w:r>
      <w:r w:rsidR="000D7EA0" w:rsidRPr="0047462D">
        <w:rPr>
          <w:rStyle w:val="hps"/>
        </w:rPr>
        <w:t>ους</w:t>
      </w:r>
      <w:r w:rsidR="005C5D30" w:rsidRPr="0047462D">
        <w:rPr>
          <w:rStyle w:val="hps"/>
        </w:rPr>
        <w:t xml:space="preserve"> για τη μετάλλαξη </w:t>
      </w:r>
      <w:r w:rsidR="00E25072" w:rsidRPr="0047462D">
        <w:rPr>
          <w:i/>
        </w:rPr>
        <w:t>F508del</w:t>
      </w:r>
      <w:r w:rsidR="00E25072" w:rsidRPr="0047462D">
        <w:t xml:space="preserve">, </w:t>
      </w:r>
      <w:r w:rsidR="005C5D30" w:rsidRPr="0047462D">
        <w:rPr>
          <w:rStyle w:val="hps"/>
        </w:rPr>
        <w:t xml:space="preserve">η διαφορά θεραπείας μεταξύ του </w:t>
      </w:r>
      <w:r w:rsidR="00E25072" w:rsidRPr="0047462D">
        <w:t xml:space="preserve">ivacaftor/tezacaftor/elexacaftor </w:t>
      </w:r>
      <w:r w:rsidR="005C5D30" w:rsidRPr="0047462D">
        <w:t>και του</w:t>
      </w:r>
      <w:r w:rsidR="00E25072" w:rsidRPr="0047462D">
        <w:t xml:space="preserve"> tezacaftor/ivacaftor </w:t>
      </w:r>
      <w:r w:rsidR="005C5D30" w:rsidRPr="0047462D">
        <w:rPr>
          <w:rStyle w:val="hps"/>
        </w:rPr>
        <w:t xml:space="preserve">για τη μέση απόλυτη μεταβολή στο χλώριο του ιδρώτα από την έναρξη στην </w:t>
      </w:r>
      <w:r w:rsidR="005C5D30" w:rsidRPr="0047462D">
        <w:t>εβδομάδα </w:t>
      </w:r>
      <w:r w:rsidR="00E25072" w:rsidRPr="0047462D">
        <w:t xml:space="preserve">4 </w:t>
      </w:r>
      <w:r w:rsidR="005C5D30" w:rsidRPr="0047462D">
        <w:t>ήταν</w:t>
      </w:r>
      <w:r w:rsidR="00E25072" w:rsidRPr="0047462D">
        <w:t xml:space="preserve"> </w:t>
      </w:r>
      <w:r w:rsidR="00E25072" w:rsidRPr="0047462D">
        <w:noBreakHyphen/>
        <w:t>45</w:t>
      </w:r>
      <w:r w:rsidR="005C5D30" w:rsidRPr="0047462D">
        <w:t>,</w:t>
      </w:r>
      <w:r w:rsidR="00E25072" w:rsidRPr="0047462D">
        <w:t>1 mmol/</w:t>
      </w:r>
      <w:r w:rsidR="005C5D30" w:rsidRPr="0047462D">
        <w:rPr>
          <w:lang w:val="en-US"/>
        </w:rPr>
        <w:t>l</w:t>
      </w:r>
      <w:r w:rsidR="00E25072" w:rsidRPr="0047462D">
        <w:t xml:space="preserve"> (95% CI: -50</w:t>
      </w:r>
      <w:r w:rsidR="005C5D30" w:rsidRPr="00F93ECE">
        <w:t>,</w:t>
      </w:r>
      <w:r w:rsidR="00E25072" w:rsidRPr="0047462D">
        <w:t>1, -40</w:t>
      </w:r>
      <w:r w:rsidR="005C5D30" w:rsidRPr="00F93ECE">
        <w:t>,</w:t>
      </w:r>
      <w:r w:rsidR="00E25072" w:rsidRPr="0047462D">
        <w:t>1).</w:t>
      </w:r>
    </w:p>
    <w:p w14:paraId="66233973" w14:textId="77777777" w:rsidR="00E25072" w:rsidRPr="0047462D" w:rsidRDefault="00E25072" w:rsidP="007307BE">
      <w:pPr>
        <w:pStyle w:val="documenttext"/>
        <w:spacing w:after="0"/>
        <w:rPr>
          <w:rFonts w:eastAsia="Times New Roman"/>
          <w:sz w:val="22"/>
          <w:szCs w:val="22"/>
          <w:u w:val="single"/>
          <w:lang w:val="el-GR"/>
        </w:rPr>
      </w:pPr>
    </w:p>
    <w:p w14:paraId="6C5C4BA9" w14:textId="77777777" w:rsidR="00A67D3A" w:rsidRPr="0047462D" w:rsidRDefault="00A67D3A" w:rsidP="002331FF">
      <w:pPr>
        <w:pStyle w:val="documenttext"/>
        <w:keepNext/>
        <w:spacing w:after="0"/>
        <w:rPr>
          <w:rFonts w:eastAsia="Times New Roman"/>
          <w:sz w:val="22"/>
          <w:szCs w:val="22"/>
          <w:u w:val="single"/>
          <w:lang w:val="el-GR"/>
        </w:rPr>
      </w:pPr>
      <w:r w:rsidRPr="0047462D">
        <w:rPr>
          <w:rFonts w:eastAsia="Times New Roman"/>
          <w:sz w:val="22"/>
          <w:szCs w:val="22"/>
          <w:u w:val="single"/>
          <w:lang w:val="el-GR"/>
        </w:rPr>
        <w:t>Κλινική αποτελεσματικότητα και ασφάλεια</w:t>
      </w:r>
    </w:p>
    <w:p w14:paraId="2BCF8004" w14:textId="77777777" w:rsidR="00FA6899" w:rsidRPr="0047462D" w:rsidRDefault="00FA6899" w:rsidP="002331FF">
      <w:pPr>
        <w:pStyle w:val="documenttext"/>
        <w:keepNext/>
        <w:spacing w:after="0"/>
        <w:rPr>
          <w:sz w:val="22"/>
          <w:szCs w:val="22"/>
          <w:lang w:val="el-GR"/>
        </w:rPr>
      </w:pPr>
    </w:p>
    <w:p w14:paraId="526EE967" w14:textId="20BE7387" w:rsidR="00FA6899" w:rsidRPr="0047462D" w:rsidRDefault="001C5E1E" w:rsidP="002331FF">
      <w:pPr>
        <w:pStyle w:val="documenttext"/>
        <w:keepNext/>
        <w:spacing w:after="0"/>
        <w:rPr>
          <w:i/>
          <w:sz w:val="22"/>
          <w:lang w:val="el-GR"/>
        </w:rPr>
      </w:pPr>
      <w:r w:rsidRPr="0047462D">
        <w:rPr>
          <w:i/>
          <w:sz w:val="22"/>
          <w:szCs w:val="22"/>
          <w:lang w:val="en-GB"/>
        </w:rPr>
        <w:t>Ivacaftor</w:t>
      </w:r>
      <w:r w:rsidRPr="0047462D">
        <w:rPr>
          <w:i/>
          <w:sz w:val="22"/>
          <w:lang w:val="el-GR"/>
        </w:rPr>
        <w:t xml:space="preserve"> ως μ</w:t>
      </w:r>
      <w:r w:rsidR="00FA6899" w:rsidRPr="0047462D">
        <w:rPr>
          <w:i/>
          <w:sz w:val="22"/>
          <w:lang w:val="el-GR"/>
        </w:rPr>
        <w:t>ονοθεραπεία</w:t>
      </w:r>
    </w:p>
    <w:p w14:paraId="03FCE6FE" w14:textId="77777777" w:rsidR="00FA6899" w:rsidRPr="0047462D" w:rsidRDefault="00FA6899" w:rsidP="002331FF">
      <w:pPr>
        <w:pStyle w:val="documenttext"/>
        <w:keepNext/>
        <w:spacing w:after="0"/>
        <w:rPr>
          <w:sz w:val="22"/>
          <w:szCs w:val="22"/>
          <w:lang w:val="el-GR"/>
        </w:rPr>
      </w:pPr>
    </w:p>
    <w:p w14:paraId="18365832" w14:textId="33E02C37" w:rsidR="005D5499" w:rsidRPr="0047462D" w:rsidRDefault="007A3A47" w:rsidP="009E50D2">
      <w:pPr>
        <w:pStyle w:val="labeltext"/>
        <w:keepNext/>
        <w:rPr>
          <w:rFonts w:eastAsia="Times New Roman"/>
          <w:sz w:val="22"/>
          <w:szCs w:val="22"/>
          <w:u w:val="single"/>
          <w:lang w:val="el-GR"/>
        </w:rPr>
      </w:pPr>
      <w:r w:rsidRPr="0047462D">
        <w:rPr>
          <w:rFonts w:eastAsia="MS Mincho"/>
          <w:i/>
          <w:sz w:val="22"/>
          <w:szCs w:val="22"/>
          <w:u w:val="single"/>
          <w:lang w:val="el-GR"/>
        </w:rPr>
        <w:t>Μελέτ</w:t>
      </w:r>
      <w:r w:rsidR="00F324D4">
        <w:rPr>
          <w:rFonts w:eastAsia="MS Mincho"/>
          <w:i/>
          <w:sz w:val="22"/>
          <w:szCs w:val="22"/>
          <w:u w:val="single"/>
          <w:lang w:val="el-GR"/>
        </w:rPr>
        <w:t>ες</w:t>
      </w:r>
      <w:r w:rsidR="001C5E1E" w:rsidRPr="0047462D">
        <w:rPr>
          <w:rFonts w:eastAsia="MS Mincho"/>
          <w:i/>
          <w:sz w:val="22"/>
          <w:szCs w:val="22"/>
          <w:u w:val="single"/>
          <w:lang w:val="el-GR"/>
        </w:rPr>
        <w:t> </w:t>
      </w:r>
      <w:r w:rsidRPr="0047462D">
        <w:rPr>
          <w:rFonts w:eastAsia="MS Mincho"/>
          <w:i/>
          <w:sz w:val="22"/>
          <w:szCs w:val="22"/>
          <w:u w:val="single"/>
          <w:lang w:val="el-GR"/>
        </w:rPr>
        <w:t xml:space="preserve">1 και 2: μελέτες σε ασθενείς με ΚΙ με </w:t>
      </w:r>
      <w:r w:rsidR="00C3023A" w:rsidRPr="0047462D">
        <w:rPr>
          <w:rFonts w:eastAsia="MS Mincho"/>
          <w:i/>
          <w:sz w:val="22"/>
          <w:szCs w:val="22"/>
          <w:u w:val="single"/>
          <w:lang w:val="el-GR"/>
        </w:rPr>
        <w:t>«</w:t>
      </w:r>
      <w:r w:rsidRPr="0047462D">
        <w:rPr>
          <w:rFonts w:eastAsia="MS Mincho"/>
          <w:i/>
          <w:sz w:val="22"/>
          <w:szCs w:val="22"/>
          <w:u w:val="single"/>
          <w:lang w:val="el-GR"/>
        </w:rPr>
        <w:t>gating</w:t>
      </w:r>
      <w:r w:rsidR="00C3023A" w:rsidRPr="0047462D">
        <w:rPr>
          <w:rFonts w:eastAsia="MS Mincho"/>
          <w:i/>
          <w:sz w:val="22"/>
          <w:szCs w:val="22"/>
          <w:u w:val="single"/>
          <w:lang w:val="el-GR"/>
        </w:rPr>
        <w:t>»</w:t>
      </w:r>
      <w:r w:rsidRPr="0047462D">
        <w:rPr>
          <w:rFonts w:eastAsia="MS Mincho"/>
          <w:i/>
          <w:sz w:val="22"/>
          <w:szCs w:val="22"/>
          <w:u w:val="single"/>
          <w:lang w:val="el-GR"/>
        </w:rPr>
        <w:t xml:space="preserve"> μεταλλάξεις G551D</w:t>
      </w:r>
      <w:r w:rsidRPr="0047462D">
        <w:rPr>
          <w:rFonts w:eastAsia="Times New Roman"/>
          <w:sz w:val="22"/>
          <w:szCs w:val="22"/>
          <w:u w:val="single"/>
          <w:lang w:val="el-GR"/>
        </w:rPr>
        <w:t xml:space="preserve"> </w:t>
      </w:r>
    </w:p>
    <w:p w14:paraId="30D2BFC5" w14:textId="77777777" w:rsidR="00CD4843" w:rsidRPr="0047462D" w:rsidRDefault="00CD4843" w:rsidP="009E50D2">
      <w:pPr>
        <w:pStyle w:val="labeltext"/>
        <w:keepNext/>
        <w:rPr>
          <w:rFonts w:eastAsia="Times New Roman"/>
          <w:sz w:val="22"/>
          <w:szCs w:val="22"/>
          <w:u w:val="single"/>
          <w:lang w:val="el-GR"/>
        </w:rPr>
      </w:pPr>
    </w:p>
    <w:p w14:paraId="77E2394C" w14:textId="3A0D1C5D" w:rsidR="00A67D3A" w:rsidRPr="0047462D" w:rsidRDefault="00A67D3A">
      <w:pPr>
        <w:pStyle w:val="labeltext"/>
        <w:rPr>
          <w:sz w:val="22"/>
          <w:szCs w:val="22"/>
          <w:lang w:val="el-GR"/>
        </w:rPr>
      </w:pPr>
      <w:r w:rsidRPr="0047462D">
        <w:rPr>
          <w:rFonts w:eastAsia="Times New Roman"/>
          <w:sz w:val="22"/>
          <w:szCs w:val="22"/>
          <w:lang w:val="el-GR"/>
        </w:rPr>
        <w:t xml:space="preserve">Η αποτελεσματικότητα του </w:t>
      </w:r>
      <w:r w:rsidR="001C5E1E" w:rsidRPr="0047462D">
        <w:rPr>
          <w:rFonts w:eastAsia="Times New Roman"/>
          <w:sz w:val="22"/>
          <w:szCs w:val="22"/>
          <w:lang w:val="el-GR"/>
        </w:rPr>
        <w:t xml:space="preserve">ivacaftor </w:t>
      </w:r>
      <w:r w:rsidRPr="0047462D">
        <w:rPr>
          <w:rFonts w:eastAsia="Times New Roman"/>
          <w:sz w:val="22"/>
          <w:szCs w:val="22"/>
          <w:lang w:val="el-GR"/>
        </w:rPr>
        <w:t xml:space="preserve">αξιολογήθηκε σε δύο </w:t>
      </w:r>
      <w:r w:rsidR="00973BAC">
        <w:rPr>
          <w:rFonts w:eastAsia="Times New Roman"/>
          <w:sz w:val="22"/>
          <w:szCs w:val="22"/>
          <w:lang w:val="el-GR"/>
        </w:rPr>
        <w:t>φ</w:t>
      </w:r>
      <w:r w:rsidRPr="0047462D">
        <w:rPr>
          <w:rFonts w:eastAsia="Times New Roman"/>
          <w:sz w:val="22"/>
          <w:szCs w:val="22"/>
          <w:lang w:val="el-GR"/>
        </w:rPr>
        <w:t xml:space="preserve">άσης 3 τυχαιοποιημένες, διπλά τυφλές, ελεγχόμενες με εικονικό φάρμακο, πολυκεντρικές μελέτες κλινικά σταθερών ασθενών με ΚΙ που είχαν τη μετάλλαξη </w:t>
      </w:r>
      <w:r w:rsidRPr="0047462D">
        <w:rPr>
          <w:rFonts w:eastAsia="Times New Roman"/>
          <w:i/>
          <w:iCs/>
          <w:sz w:val="22"/>
          <w:szCs w:val="22"/>
          <w:lang w:val="el-GR"/>
        </w:rPr>
        <w:t>G551D</w:t>
      </w:r>
      <w:r w:rsidRPr="0047462D">
        <w:rPr>
          <w:rFonts w:eastAsia="Times New Roman"/>
          <w:sz w:val="22"/>
          <w:szCs w:val="22"/>
          <w:lang w:val="el-GR"/>
        </w:rPr>
        <w:t xml:space="preserve"> στο γονίδιο </w:t>
      </w:r>
      <w:r w:rsidRPr="0047462D">
        <w:rPr>
          <w:rFonts w:eastAsia="Times New Roman"/>
          <w:i/>
          <w:iCs/>
          <w:sz w:val="22"/>
          <w:szCs w:val="22"/>
          <w:lang w:val="el-GR"/>
        </w:rPr>
        <w:t>CFTR</w:t>
      </w:r>
      <w:r w:rsidRPr="0047462D">
        <w:rPr>
          <w:rFonts w:eastAsia="Times New Roman"/>
          <w:sz w:val="22"/>
          <w:szCs w:val="22"/>
          <w:lang w:val="el-GR"/>
        </w:rPr>
        <w:t xml:space="preserve"> σε τουλάχιστον 1 αλληλόμορφο και είχαν FEV</w:t>
      </w:r>
      <w:r w:rsidRPr="0047462D">
        <w:rPr>
          <w:rFonts w:eastAsia="Times New Roman"/>
          <w:sz w:val="22"/>
          <w:szCs w:val="22"/>
          <w:vertAlign w:val="subscript"/>
          <w:lang w:val="el-GR"/>
        </w:rPr>
        <w:t>1</w:t>
      </w:r>
      <w:r w:rsidRPr="0047462D">
        <w:rPr>
          <w:rFonts w:eastAsia="Times New Roman"/>
          <w:sz w:val="22"/>
          <w:szCs w:val="22"/>
          <w:lang w:val="el-GR"/>
        </w:rPr>
        <w:t xml:space="preserve"> ≥</w:t>
      </w:r>
      <w:r w:rsidR="00C3023A" w:rsidRPr="0047462D">
        <w:rPr>
          <w:rFonts w:eastAsia="Times New Roman"/>
          <w:sz w:val="22"/>
          <w:szCs w:val="22"/>
        </w:rPr>
        <w:t> </w:t>
      </w:r>
      <w:r w:rsidRPr="0047462D">
        <w:rPr>
          <w:rFonts w:eastAsia="Times New Roman"/>
          <w:sz w:val="22"/>
          <w:szCs w:val="22"/>
          <w:lang w:val="el-GR"/>
        </w:rPr>
        <w:t xml:space="preserve">40% του προβλεπόμενου. </w:t>
      </w:r>
    </w:p>
    <w:p w14:paraId="3CBD0F39" w14:textId="77777777" w:rsidR="00A67D3A" w:rsidRPr="0047462D" w:rsidRDefault="00A67D3A">
      <w:pPr>
        <w:pStyle w:val="labeltext"/>
        <w:rPr>
          <w:sz w:val="22"/>
          <w:szCs w:val="22"/>
          <w:lang w:val="el-GR"/>
        </w:rPr>
      </w:pPr>
    </w:p>
    <w:p w14:paraId="3BFDC5DD" w14:textId="16D98B90" w:rsidR="00A67D3A" w:rsidRPr="0047462D" w:rsidRDefault="00A67D3A">
      <w:pPr>
        <w:pStyle w:val="labeltext"/>
        <w:rPr>
          <w:sz w:val="22"/>
          <w:szCs w:val="22"/>
          <w:lang w:val="el-GR"/>
        </w:rPr>
      </w:pPr>
      <w:r w:rsidRPr="0047462D">
        <w:rPr>
          <w:rFonts w:eastAsia="Times New Roman"/>
          <w:sz w:val="22"/>
          <w:szCs w:val="22"/>
          <w:lang w:val="el-GR"/>
        </w:rPr>
        <w:t xml:space="preserve">Οι ασθενείς σε αμφότερες τις μελέτες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C3023A" w:rsidRPr="0047462D">
        <w:rPr>
          <w:rFonts w:eastAsia="Times New Roman"/>
          <w:sz w:val="22"/>
          <w:szCs w:val="22"/>
          <w:lang w:val="el-GR"/>
        </w:rPr>
        <w:t xml:space="preserve">περιείχαν </w:t>
      </w:r>
      <w:r w:rsidRPr="0047462D">
        <w:rPr>
          <w:rFonts w:eastAsia="Times New Roman"/>
          <w:sz w:val="22"/>
          <w:szCs w:val="22"/>
          <w:lang w:val="el-GR"/>
        </w:rPr>
        <w:t>λίπος</w:t>
      </w:r>
      <w:r w:rsidR="00C3023A" w:rsidRPr="0047462D">
        <w:rPr>
          <w:rFonts w:eastAsia="Times New Roman"/>
          <w:sz w:val="22"/>
          <w:szCs w:val="22"/>
          <w:lang w:val="el-GR"/>
        </w:rPr>
        <w:t>,</w:t>
      </w:r>
      <w:r w:rsidRPr="0047462D">
        <w:rPr>
          <w:rFonts w:eastAsia="Times New Roman"/>
          <w:sz w:val="22"/>
          <w:szCs w:val="22"/>
          <w:lang w:val="el-GR"/>
        </w:rPr>
        <w:t xml:space="preserve"> για 48 εβδομάδες επιπρόσθετα με τις συνταγογραφηθείσες για την ΚΙ θεραπείες τους (π.χ. τομπραμυκίνη, δορνάση άλφα). Η χρήση εισπνεόμενου υπερτονικού </w:t>
      </w:r>
      <w:r w:rsidR="007A3A47" w:rsidRPr="0047462D">
        <w:rPr>
          <w:rFonts w:eastAsia="Times New Roman"/>
          <w:sz w:val="22"/>
          <w:szCs w:val="22"/>
          <w:lang w:val="el-GR"/>
        </w:rPr>
        <w:t>χλωριούχου νατρίου</w:t>
      </w:r>
      <w:r w:rsidRPr="0047462D">
        <w:rPr>
          <w:rFonts w:eastAsia="Times New Roman"/>
          <w:sz w:val="22"/>
          <w:szCs w:val="22"/>
          <w:lang w:val="el-GR"/>
        </w:rPr>
        <w:t xml:space="preserve"> δεν επιτρεπόταν.</w:t>
      </w:r>
    </w:p>
    <w:p w14:paraId="119C860E" w14:textId="77777777" w:rsidR="00A67D3A" w:rsidRPr="0047462D" w:rsidRDefault="00A67D3A">
      <w:pPr>
        <w:pStyle w:val="labeltext"/>
        <w:rPr>
          <w:sz w:val="22"/>
          <w:szCs w:val="22"/>
          <w:lang w:val="el-GR"/>
        </w:rPr>
      </w:pPr>
    </w:p>
    <w:p w14:paraId="3CCF879A" w14:textId="4D9070D3" w:rsidR="00A67D3A" w:rsidRPr="0047462D" w:rsidRDefault="00A67D3A">
      <w:pPr>
        <w:rPr>
          <w:rFonts w:eastAsia="Times New Roman"/>
          <w:szCs w:val="22"/>
        </w:rPr>
      </w:pPr>
      <w:r w:rsidRPr="0047462D">
        <w:rPr>
          <w:rFonts w:eastAsia="Times New Roman"/>
          <w:szCs w:val="22"/>
        </w:rPr>
        <w:t>Η μελέτη</w:t>
      </w:r>
      <w:r w:rsidR="002C32E8" w:rsidRPr="0047462D">
        <w:rPr>
          <w:rFonts w:eastAsia="Times New Roman"/>
          <w:szCs w:val="22"/>
          <w:lang w:val="en-GB"/>
        </w:rPr>
        <w:t> </w:t>
      </w:r>
      <w:r w:rsidRPr="0047462D">
        <w:rPr>
          <w:rFonts w:eastAsia="Times New Roman"/>
          <w:szCs w:val="22"/>
        </w:rPr>
        <w:t xml:space="preserve">1 αξιολόγησε 161 ασθενείς που ήταν ηλικίας 12 ετών </w:t>
      </w:r>
      <w:r w:rsidR="00360744" w:rsidRPr="0047462D">
        <w:rPr>
          <w:rFonts w:eastAsia="Times New Roman"/>
          <w:szCs w:val="22"/>
        </w:rPr>
        <w:t>ή</w:t>
      </w:r>
      <w:r w:rsidRPr="0047462D">
        <w:rPr>
          <w:rFonts w:eastAsia="Times New Roman"/>
          <w:szCs w:val="22"/>
        </w:rPr>
        <w:t xml:space="preserve"> άνω. </w:t>
      </w:r>
      <w:r w:rsidRPr="0047462D">
        <w:rPr>
          <w:bCs/>
        </w:rPr>
        <w:t xml:space="preserve">122 (75,8%) ασθενείς είχαν τη μετάλλαξη </w:t>
      </w:r>
      <w:r w:rsidRPr="0047462D">
        <w:rPr>
          <w:i/>
          <w:szCs w:val="22"/>
        </w:rPr>
        <w:t>F508del</w:t>
      </w:r>
      <w:r w:rsidRPr="0047462D">
        <w:rPr>
          <w:bCs/>
        </w:rPr>
        <w:t xml:space="preserve"> στο δεύτερο αλληλόμορφο. Κατά την έναρξη της μελέτης, οι ασθενείς στην ομάδα του εικονικού φαρμάκου χρησιμοποίησαν κάποια φαρμακευτικά προϊόντα σε υψηλότερη συχνότητα από την ομάδα του ivacaftor. Αυτά τα φάρμακα περιλάμβαναν τη δορνάση άλφα (73,1% έναντι 65,1%), τη σαλβουταμόλη (53,8% έναντι 42,2%), την τομπραμυκίνη (44,9% έναντι 33,7%) και τ</w:t>
      </w:r>
      <w:r w:rsidR="00360744" w:rsidRPr="0047462D">
        <w:rPr>
          <w:bCs/>
        </w:rPr>
        <w:t>ις</w:t>
      </w:r>
      <w:r w:rsidRPr="0047462D">
        <w:rPr>
          <w:bCs/>
        </w:rPr>
        <w:t xml:space="preserve"> </w:t>
      </w:r>
      <w:r w:rsidRPr="0047462D">
        <w:rPr>
          <w:szCs w:val="22"/>
        </w:rPr>
        <w:t>σαλμετερόλη/φλουτικαζόνη</w:t>
      </w:r>
      <w:r w:rsidRPr="0047462D">
        <w:rPr>
          <w:bCs/>
        </w:rPr>
        <w:t xml:space="preserve"> (41,0% έναντι 27,7%). </w:t>
      </w:r>
      <w:r w:rsidR="00C3023A"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63,6% (εύρος: 31,6% έως 98,2%) και η μέση ηλικία ήταν 26 ετών (εύρος: 12 έως 53 ετών). </w:t>
      </w:r>
    </w:p>
    <w:p w14:paraId="0091E17C" w14:textId="77777777" w:rsidR="00A67D3A" w:rsidRPr="0047462D" w:rsidRDefault="00A67D3A">
      <w:pPr>
        <w:rPr>
          <w:rFonts w:eastAsia="Times New Roman"/>
          <w:szCs w:val="22"/>
        </w:rPr>
      </w:pPr>
    </w:p>
    <w:p w14:paraId="778410E9" w14:textId="2BD36B18" w:rsidR="00A67D3A" w:rsidRPr="0047462D" w:rsidRDefault="00A67D3A">
      <w:pPr>
        <w:rPr>
          <w:bCs/>
        </w:rPr>
      </w:pPr>
      <w:r w:rsidRPr="0047462D">
        <w:rPr>
          <w:rFonts w:eastAsia="Times New Roman"/>
          <w:szCs w:val="22"/>
        </w:rPr>
        <w:t xml:space="preserve">Η μελέτη 2 αξιολόγησε 52 ασθενείς που ήταν ηλικίας 6 έως 11 ετών στη διαλογή. Το μέσο (SD) </w:t>
      </w:r>
      <w:r w:rsidRPr="0047462D">
        <w:rPr>
          <w:szCs w:val="22"/>
        </w:rPr>
        <w:t>σωματικό βάρος ήταν 30,9 (8,63) kg.</w:t>
      </w:r>
      <w:r w:rsidRPr="0047462D">
        <w:rPr>
          <w:bCs/>
        </w:rPr>
        <w:t xml:space="preserve"> 42 (80,8%) ασθενείς είχαν τη μετάλλαξη </w:t>
      </w:r>
      <w:r w:rsidRPr="0047462D">
        <w:rPr>
          <w:i/>
          <w:szCs w:val="22"/>
        </w:rPr>
        <w:t>F508del</w:t>
      </w:r>
      <w:r w:rsidRPr="0047462D">
        <w:rPr>
          <w:bCs/>
        </w:rPr>
        <w:t xml:space="preserve"> στο δεύτερο αλληλόμορφο. </w:t>
      </w:r>
      <w:r w:rsidR="00C3023A"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84,2% (εύρος: 44,0% έως 133,8%) και η μέση ηλικία ήταν 9 ετών (εύρος: 6 έως 12 ετών). </w:t>
      </w:r>
      <w:r w:rsidRPr="0047462D">
        <w:rPr>
          <w:bCs/>
        </w:rPr>
        <w:t>8 (30,8%) ασθενείς στην ομάδα του εικονικού φαρμάκου και 4 (15,4%) ασθενείς στην ομάδα του ivacaftor είχαν FEV</w:t>
      </w:r>
      <w:r w:rsidRPr="0047462D">
        <w:rPr>
          <w:bCs/>
          <w:vertAlign w:val="subscript"/>
        </w:rPr>
        <w:t>1</w:t>
      </w:r>
      <w:r w:rsidRPr="0047462D">
        <w:rPr>
          <w:bCs/>
        </w:rPr>
        <w:t xml:space="preserve"> μικρότερο από το 70% του προβλεπόμενου </w:t>
      </w:r>
      <w:r w:rsidR="00C3023A" w:rsidRPr="0047462D">
        <w:rPr>
          <w:bCs/>
        </w:rPr>
        <w:t>κατά την έναρξη</w:t>
      </w:r>
      <w:r w:rsidRPr="0047462D">
        <w:rPr>
          <w:bCs/>
        </w:rPr>
        <w:t>.</w:t>
      </w:r>
    </w:p>
    <w:p w14:paraId="2089A3B3" w14:textId="77777777" w:rsidR="00A67D3A" w:rsidRPr="0047462D" w:rsidRDefault="00A67D3A">
      <w:pPr>
        <w:pStyle w:val="labeltext"/>
        <w:rPr>
          <w:sz w:val="22"/>
          <w:szCs w:val="22"/>
          <w:lang w:val="el-GR"/>
        </w:rPr>
      </w:pPr>
    </w:p>
    <w:p w14:paraId="5B59BC01" w14:textId="77777777" w:rsidR="00A67D3A" w:rsidRPr="0047462D" w:rsidRDefault="00A67D3A">
      <w:pPr>
        <w:pStyle w:val="labeltext"/>
        <w:rPr>
          <w:sz w:val="22"/>
          <w:szCs w:val="22"/>
          <w:lang w:val="el-GR"/>
        </w:rPr>
      </w:pPr>
      <w:r w:rsidRPr="0047462D">
        <w:rPr>
          <w:rFonts w:eastAsia="Times New Roman"/>
          <w:sz w:val="22"/>
          <w:szCs w:val="22"/>
          <w:lang w:val="el-GR"/>
        </w:rPr>
        <w:t xml:space="preserve">Το πρωτεύον τελικό σημείο αποτελεσματικότητας σε αμφότερες τις μελέτες ήταν η μέση απόλυτη </w:t>
      </w:r>
      <w:r w:rsidR="00D67693" w:rsidRPr="0047462D">
        <w:rPr>
          <w:rFonts w:eastAsia="Times New Roman"/>
          <w:sz w:val="22"/>
          <w:szCs w:val="22"/>
          <w:lang w:val="el-GR"/>
        </w:rPr>
        <w:t xml:space="preserve">μεταβολή </w:t>
      </w:r>
      <w:r w:rsidRPr="0047462D">
        <w:rPr>
          <w:rFonts w:eastAsia="Times New Roman"/>
          <w:sz w:val="22"/>
          <w:szCs w:val="22"/>
          <w:lang w:val="el-GR"/>
        </w:rPr>
        <w:t>από την τιμή αναφοράς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σε 24 εβδομάδες θεραπείας. </w:t>
      </w:r>
    </w:p>
    <w:p w14:paraId="1C8E5220" w14:textId="77777777" w:rsidR="00A67D3A" w:rsidRPr="0047462D" w:rsidRDefault="00A67D3A">
      <w:pPr>
        <w:pStyle w:val="labeltext"/>
        <w:rPr>
          <w:sz w:val="22"/>
          <w:szCs w:val="22"/>
          <w:lang w:val="el-GR"/>
        </w:rPr>
      </w:pPr>
    </w:p>
    <w:p w14:paraId="1AF14E59" w14:textId="0B113109" w:rsidR="00A67D3A" w:rsidRPr="0047462D" w:rsidRDefault="00A67D3A">
      <w:pPr>
        <w:pStyle w:val="labeltext"/>
        <w:rPr>
          <w:sz w:val="22"/>
          <w:szCs w:val="22"/>
          <w:lang w:val="el-GR"/>
        </w:rPr>
      </w:pPr>
      <w:r w:rsidRPr="0047462D">
        <w:rPr>
          <w:rFonts w:eastAsia="Times New Roman"/>
          <w:sz w:val="22"/>
          <w:szCs w:val="22"/>
          <w:lang w:val="el-GR"/>
        </w:rPr>
        <w:t xml:space="preserve">Η διαφορά θεραπείας μεταξύ του ivacaftor και του εικονικού φαρμάκου για τη μέση απόλυτη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 </w:t>
      </w:r>
      <w:r w:rsidRPr="0047462D">
        <w:rPr>
          <w:rFonts w:eastAsia="Times New Roman"/>
          <w:sz w:val="22"/>
          <w:szCs w:val="22"/>
          <w:lang w:val="el-GR"/>
        </w:rPr>
        <w:t>24 ήταν 10,6</w:t>
      </w:r>
      <w:r w:rsidRPr="0047462D">
        <w:rPr>
          <w:rFonts w:eastAsia="Times New Roman"/>
          <w:sz w:val="22"/>
          <w:szCs w:val="22"/>
          <w:lang w:val="en-GB"/>
        </w:rPr>
        <w:t> </w:t>
      </w:r>
      <w:r w:rsidRPr="0047462D">
        <w:rPr>
          <w:rFonts w:eastAsia="Times New Roman"/>
          <w:sz w:val="22"/>
          <w:szCs w:val="22"/>
          <w:lang w:val="el-GR"/>
        </w:rPr>
        <w:t>ποσοστιαίες μονάδες (8,6, 12,6) στη μελέτη</w:t>
      </w:r>
      <w:r w:rsidR="007963F3" w:rsidRPr="0047462D">
        <w:rPr>
          <w:rFonts w:eastAsia="Times New Roman"/>
          <w:sz w:val="22"/>
          <w:szCs w:val="22"/>
          <w:lang w:val="el-GR"/>
        </w:rPr>
        <w:t> </w:t>
      </w:r>
      <w:r w:rsidRPr="0047462D">
        <w:rPr>
          <w:rFonts w:eastAsia="Times New Roman"/>
          <w:sz w:val="22"/>
          <w:szCs w:val="22"/>
          <w:lang w:val="el-GR"/>
        </w:rPr>
        <w:t>1 και 12,5 ποσοστιαίες μονάδες (6,6, 18,3) στη μελέτη</w:t>
      </w:r>
      <w:r w:rsidRPr="0047462D">
        <w:rPr>
          <w:rFonts w:eastAsia="Times New Roman"/>
          <w:sz w:val="22"/>
          <w:szCs w:val="22"/>
          <w:lang w:val="en-GB"/>
        </w:rPr>
        <w:t> </w:t>
      </w:r>
      <w:r w:rsidRPr="0047462D">
        <w:rPr>
          <w:rFonts w:eastAsia="Times New Roman"/>
          <w:sz w:val="22"/>
          <w:szCs w:val="22"/>
          <w:lang w:val="el-GR"/>
        </w:rPr>
        <w:t xml:space="preserve">2. Η διαφορά θεραπείας μεταξύ του ivacaftor και του εικονικού φαρμάκου για τη μέση σχετική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 </w:t>
      </w:r>
      <w:r w:rsidRPr="0047462D">
        <w:rPr>
          <w:rFonts w:eastAsia="Times New Roman"/>
          <w:sz w:val="22"/>
          <w:szCs w:val="22"/>
          <w:lang w:val="el-GR"/>
        </w:rPr>
        <w:t xml:space="preserve">24 ήταν 17,1% (13,9, 20,2) στη μελέτη 1 και 15,8% (8,4, 23,2) στη μελέτη 2. Η μέση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από την τιμή αναφοράς 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 </w:t>
      </w:r>
      <w:r w:rsidRPr="0047462D">
        <w:rPr>
          <w:rFonts w:eastAsia="Times New Roman"/>
          <w:sz w:val="22"/>
          <w:szCs w:val="22"/>
          <w:lang w:val="el-GR"/>
        </w:rPr>
        <w:t>24 στον FEV</w:t>
      </w:r>
      <w:r w:rsidRPr="0047462D">
        <w:rPr>
          <w:rFonts w:eastAsia="Times New Roman"/>
          <w:sz w:val="22"/>
          <w:szCs w:val="22"/>
          <w:vertAlign w:val="subscript"/>
          <w:lang w:val="el-GR"/>
        </w:rPr>
        <w:t>1</w:t>
      </w:r>
      <w:r w:rsidRPr="0047462D">
        <w:rPr>
          <w:rFonts w:eastAsia="Times New Roman"/>
          <w:sz w:val="22"/>
          <w:szCs w:val="22"/>
          <w:lang w:val="el-GR"/>
        </w:rPr>
        <w:t xml:space="preserve"> (L) ήταν 0,37 L στην ομάδα του ivacaftor και 0,01 L στην ομάδα του εικονικού φαρμάκου στη μελέτη 1 και 0,30 L στην ομάδα του ivacaftor και 0,07 L στην ομάδα εικονικού φαρμάκου στη μελέτη 2. Σε αμφότερες τις μελέτες, οι βελτιώσεις στον FEV</w:t>
      </w:r>
      <w:r w:rsidRPr="0047462D">
        <w:rPr>
          <w:rFonts w:eastAsia="Times New Roman"/>
          <w:sz w:val="22"/>
          <w:szCs w:val="22"/>
          <w:vertAlign w:val="subscript"/>
          <w:lang w:val="el-GR"/>
        </w:rPr>
        <w:t>1</w:t>
      </w:r>
      <w:r w:rsidRPr="0047462D">
        <w:rPr>
          <w:rFonts w:eastAsia="Times New Roman"/>
          <w:sz w:val="22"/>
          <w:szCs w:val="22"/>
          <w:lang w:val="el-GR"/>
        </w:rPr>
        <w:t xml:space="preserve"> ήταν ταχείας έναρξης (</w:t>
      </w:r>
      <w:r w:rsidR="00EE2A20" w:rsidRPr="0047462D">
        <w:rPr>
          <w:rFonts w:eastAsia="Times New Roman"/>
          <w:sz w:val="22"/>
          <w:szCs w:val="22"/>
          <w:lang w:val="el-GR"/>
        </w:rPr>
        <w:t>ημέρα </w:t>
      </w:r>
      <w:r w:rsidRPr="0047462D">
        <w:rPr>
          <w:rFonts w:eastAsia="Times New Roman"/>
          <w:sz w:val="22"/>
          <w:szCs w:val="22"/>
          <w:lang w:val="el-GR"/>
        </w:rPr>
        <w:t xml:space="preserve">15) και παρέμειναν και για τις 48 εβδομάδες. </w:t>
      </w:r>
    </w:p>
    <w:p w14:paraId="36577311" w14:textId="77777777" w:rsidR="00A67D3A" w:rsidRPr="0047462D" w:rsidRDefault="00A67D3A">
      <w:pPr>
        <w:pStyle w:val="labeltext"/>
        <w:rPr>
          <w:sz w:val="22"/>
          <w:szCs w:val="22"/>
          <w:lang w:val="el-GR"/>
        </w:rPr>
      </w:pPr>
    </w:p>
    <w:p w14:paraId="53E618A2" w14:textId="77B22F4B" w:rsidR="00A67D3A" w:rsidRPr="0047462D" w:rsidRDefault="00A67D3A">
      <w:r w:rsidRPr="0047462D">
        <w:rPr>
          <w:rFonts w:eastAsia="Times New Roman"/>
          <w:szCs w:val="22"/>
        </w:rPr>
        <w:t xml:space="preserve">Η διαφορά θεραπείας μεταξύ του ivacaftor και του εικονικού φαρμάκου για τη μέση απόλυτη </w:t>
      </w:r>
      <w:r w:rsidR="00D67693" w:rsidRPr="0047462D">
        <w:rPr>
          <w:rFonts w:eastAsia="Times New Roman"/>
          <w:szCs w:val="22"/>
        </w:rPr>
        <w:t xml:space="preserve">μεταβολή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EE2A20" w:rsidRPr="0047462D">
        <w:rPr>
          <w:rFonts w:eastAsia="Times New Roman"/>
          <w:szCs w:val="22"/>
        </w:rPr>
        <w:t>ε</w:t>
      </w:r>
      <w:r w:rsidR="008300C7" w:rsidRPr="0047462D">
        <w:rPr>
          <w:rFonts w:eastAsia="Times New Roman"/>
          <w:szCs w:val="22"/>
        </w:rPr>
        <w:t>βδομάδα </w:t>
      </w:r>
      <w:r w:rsidRPr="0047462D">
        <w:rPr>
          <w:rFonts w:eastAsia="Times New Roman"/>
          <w:szCs w:val="22"/>
        </w:rPr>
        <w:t>24 σε ασθενείς ηλικίας 12 έως 17 ετών στη μελέτη</w:t>
      </w:r>
      <w:r w:rsidR="00036D01" w:rsidRPr="0047462D">
        <w:rPr>
          <w:rFonts w:eastAsia="Times New Roman"/>
          <w:szCs w:val="22"/>
        </w:rPr>
        <w:t> </w:t>
      </w:r>
      <w:r w:rsidRPr="0047462D">
        <w:rPr>
          <w:rFonts w:eastAsia="Times New Roman"/>
          <w:szCs w:val="22"/>
        </w:rPr>
        <w:t xml:space="preserve">1 ήταν 11,9 ποσοστιαίες μονάδες (5,9, 17,9). Η διαφορά θεραπείας μεταξύ του ivacaftor και του εικονικού φαρμάκου για τη μέση απόλυτη </w:t>
      </w:r>
      <w:r w:rsidR="00D67693" w:rsidRPr="0047462D">
        <w:rPr>
          <w:rFonts w:eastAsia="Times New Roman"/>
          <w:szCs w:val="22"/>
        </w:rPr>
        <w:t xml:space="preserve">μεταβολή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EE2A20" w:rsidRPr="0047462D">
        <w:rPr>
          <w:rFonts w:eastAsia="Times New Roman"/>
          <w:szCs w:val="22"/>
        </w:rPr>
        <w:t>ε</w:t>
      </w:r>
      <w:r w:rsidR="008300C7" w:rsidRPr="0047462D">
        <w:rPr>
          <w:rFonts w:eastAsia="Times New Roman"/>
          <w:szCs w:val="22"/>
        </w:rPr>
        <w:t>βδομάδα </w:t>
      </w:r>
      <w:r w:rsidRPr="0047462D">
        <w:rPr>
          <w:rFonts w:eastAsia="Times New Roman"/>
          <w:szCs w:val="22"/>
        </w:rPr>
        <w:t>24 σε ασθενείς με τιμή αναφοράς προβλεπόμενου FEV</w:t>
      </w:r>
      <w:r w:rsidRPr="0047462D">
        <w:rPr>
          <w:rFonts w:eastAsia="Times New Roman"/>
          <w:szCs w:val="22"/>
          <w:vertAlign w:val="subscript"/>
        </w:rPr>
        <w:t>1</w:t>
      </w:r>
      <w:r w:rsidRPr="0047462D">
        <w:rPr>
          <w:rFonts w:eastAsia="Times New Roman"/>
          <w:szCs w:val="22"/>
        </w:rPr>
        <w:t xml:space="preserve"> μεγαλύτερη από 90% στη μελέτη</w:t>
      </w:r>
      <w:r w:rsidR="00036D01" w:rsidRPr="0047462D">
        <w:rPr>
          <w:rFonts w:eastAsia="Times New Roman"/>
          <w:szCs w:val="22"/>
        </w:rPr>
        <w:t> </w:t>
      </w:r>
      <w:r w:rsidRPr="0047462D">
        <w:rPr>
          <w:rFonts w:eastAsia="Times New Roman"/>
          <w:szCs w:val="22"/>
        </w:rPr>
        <w:t>2 ήταν 6,9 ποσοστιαίες μονάδες (</w:t>
      </w:r>
      <w:r w:rsidR="00ED7342" w:rsidRPr="0047462D">
        <w:rPr>
          <w:szCs w:val="22"/>
        </w:rPr>
        <w:noBreakHyphen/>
      </w:r>
      <w:r w:rsidRPr="0047462D">
        <w:rPr>
          <w:szCs w:val="22"/>
        </w:rPr>
        <w:t>3,8, 17,6</w:t>
      </w:r>
      <w:r w:rsidRPr="0047462D">
        <w:rPr>
          <w:rFonts w:eastAsia="Times New Roman"/>
          <w:szCs w:val="22"/>
        </w:rPr>
        <w:t xml:space="preserve">). </w:t>
      </w:r>
    </w:p>
    <w:p w14:paraId="3D4BE74D" w14:textId="77777777" w:rsidR="00A67D3A" w:rsidRPr="0047462D" w:rsidRDefault="00A67D3A"/>
    <w:p w14:paraId="23F556C2" w14:textId="09CD5399" w:rsidR="00A67D3A" w:rsidRPr="0047462D" w:rsidRDefault="00A67D3A">
      <w:pPr>
        <w:rPr>
          <w:bCs/>
        </w:rPr>
      </w:pPr>
      <w:r w:rsidRPr="0047462D">
        <w:rPr>
          <w:bCs/>
        </w:rPr>
        <w:t xml:space="preserve">Τα αποτελέσματα </w:t>
      </w:r>
      <w:r w:rsidR="000D31A2" w:rsidRPr="0047462D">
        <w:rPr>
          <w:bCs/>
        </w:rPr>
        <w:t>για</w:t>
      </w:r>
      <w:r w:rsidRPr="0047462D">
        <w:rPr>
          <w:bCs/>
        </w:rPr>
        <w:t xml:space="preserve"> κλινικά σημαντικά δευτερεύοντα τελικά σημεία παρατίθενται στον Πίνακα </w:t>
      </w:r>
      <w:r w:rsidR="00373A54" w:rsidRPr="0047462D">
        <w:rPr>
          <w:bCs/>
        </w:rPr>
        <w:t>6</w:t>
      </w:r>
      <w:r w:rsidRPr="0047462D">
        <w:rPr>
          <w:bCs/>
        </w:rPr>
        <w:t>.</w:t>
      </w:r>
    </w:p>
    <w:p w14:paraId="160E0587" w14:textId="77777777" w:rsidR="00A67D3A" w:rsidRPr="0047462D" w:rsidRDefault="00A67D3A">
      <w:pPr>
        <w:rPr>
          <w:bCs/>
        </w:rPr>
      </w:pPr>
    </w:p>
    <w:p w14:paraId="32F6D699" w14:textId="250CD818" w:rsidR="00EE2A20" w:rsidRPr="0047462D" w:rsidRDefault="00EE2A20" w:rsidP="00EB5A36">
      <w:pPr>
        <w:pStyle w:val="labeltext"/>
        <w:keepNext/>
        <w:spacing w:after="120"/>
        <w:ind w:left="1080" w:hanging="1080"/>
        <w:rPr>
          <w:b/>
          <w:color w:val="000000" w:themeColor="text1"/>
          <w:sz w:val="22"/>
          <w:szCs w:val="22"/>
          <w:lang w:val="el-GR"/>
        </w:rPr>
      </w:pPr>
      <w:r w:rsidRPr="0047462D">
        <w:rPr>
          <w:b/>
          <w:color w:val="000000" w:themeColor="text1"/>
          <w:sz w:val="22"/>
          <w:szCs w:val="22"/>
          <w:lang w:val="el-GR"/>
        </w:rPr>
        <w:t>Πίνακας</w:t>
      </w:r>
      <w:r w:rsidRPr="0047462D">
        <w:rPr>
          <w:b/>
          <w:color w:val="000000" w:themeColor="text1"/>
          <w:sz w:val="22"/>
          <w:szCs w:val="22"/>
        </w:rPr>
        <w:t> </w:t>
      </w:r>
      <w:r w:rsidR="00373A54" w:rsidRPr="0047462D">
        <w:rPr>
          <w:b/>
          <w:color w:val="000000" w:themeColor="text1"/>
          <w:sz w:val="22"/>
          <w:szCs w:val="22"/>
          <w:lang w:val="el-GR"/>
        </w:rPr>
        <w:t>6</w:t>
      </w:r>
      <w:r w:rsidRPr="0047462D">
        <w:rPr>
          <w:b/>
          <w:color w:val="000000" w:themeColor="text1"/>
          <w:sz w:val="22"/>
          <w:szCs w:val="22"/>
          <w:lang w:val="el-GR"/>
        </w:rPr>
        <w:t xml:space="preserve">: Επίδραση του </w:t>
      </w:r>
      <w:r w:rsidRPr="0047462D">
        <w:rPr>
          <w:b/>
          <w:color w:val="000000" w:themeColor="text1"/>
          <w:sz w:val="22"/>
          <w:szCs w:val="22"/>
        </w:rPr>
        <w:t>ivacaftor</w:t>
      </w:r>
      <w:r w:rsidRPr="0047462D">
        <w:rPr>
          <w:b/>
          <w:color w:val="000000" w:themeColor="text1"/>
          <w:sz w:val="22"/>
          <w:szCs w:val="22"/>
          <w:lang w:val="el-GR"/>
        </w:rPr>
        <w:t xml:space="preserve"> </w:t>
      </w:r>
      <w:r w:rsidR="00925C73" w:rsidRPr="0047462D">
        <w:rPr>
          <w:b/>
          <w:color w:val="000000" w:themeColor="text1"/>
          <w:sz w:val="22"/>
          <w:szCs w:val="22"/>
          <w:lang w:val="el-GR"/>
        </w:rPr>
        <w:t>για</w:t>
      </w:r>
      <w:r w:rsidRPr="0047462D">
        <w:rPr>
          <w:b/>
          <w:color w:val="000000" w:themeColor="text1"/>
          <w:sz w:val="22"/>
          <w:szCs w:val="22"/>
          <w:lang w:val="el-GR"/>
        </w:rPr>
        <w:t xml:space="preserve"> άλλα τελικά σημεία αποτελεσματικότητας στις μελέτες</w:t>
      </w:r>
      <w:r w:rsidRPr="0047462D">
        <w:rPr>
          <w:b/>
          <w:color w:val="000000" w:themeColor="text1"/>
          <w:sz w:val="22"/>
          <w:szCs w:val="22"/>
        </w:rPr>
        <w:t> </w:t>
      </w:r>
      <w:r w:rsidRPr="0047462D">
        <w:rPr>
          <w:b/>
          <w:color w:val="000000" w:themeColor="text1"/>
          <w:sz w:val="22"/>
          <w:szCs w:val="22"/>
          <w:lang w:val="el-GR"/>
        </w:rPr>
        <w:t>1 και</w:t>
      </w:r>
      <w:r w:rsidRPr="0047462D">
        <w:rPr>
          <w:b/>
          <w:color w:val="000000" w:themeColor="text1"/>
          <w:sz w:val="22"/>
          <w:szCs w:val="22"/>
        </w:rPr>
        <w:t> </w:t>
      </w:r>
      <w:r w:rsidRPr="0047462D">
        <w:rPr>
          <w:b/>
          <w:color w:val="000000" w:themeColor="text1"/>
          <w:sz w:val="22"/>
          <w:szCs w:val="22"/>
          <w:lang w:val="el-GR"/>
        </w:rPr>
        <w:t>2</w:t>
      </w:r>
    </w:p>
    <w:tbl>
      <w:tblPr>
        <w:tblW w:w="9287" w:type="dxa"/>
        <w:tblInd w:w="108" w:type="dxa"/>
        <w:tblLayout w:type="fixed"/>
        <w:tblLook w:val="0000" w:firstRow="0" w:lastRow="0" w:firstColumn="0" w:lastColumn="0" w:noHBand="0" w:noVBand="0"/>
      </w:tblPr>
      <w:tblGrid>
        <w:gridCol w:w="2594"/>
        <w:gridCol w:w="1854"/>
        <w:gridCol w:w="1339"/>
        <w:gridCol w:w="1854"/>
        <w:gridCol w:w="1646"/>
      </w:tblGrid>
      <w:tr w:rsidR="00A67D3A" w:rsidRPr="0047462D" w14:paraId="0BA3FAA3" w14:textId="77777777" w:rsidTr="00EB5A36">
        <w:trPr>
          <w:trHeight w:val="210"/>
          <w:tblHeader/>
        </w:trPr>
        <w:tc>
          <w:tcPr>
            <w:tcW w:w="2594" w:type="dxa"/>
            <w:tcBorders>
              <w:top w:val="single" w:sz="4" w:space="0" w:color="auto"/>
              <w:left w:val="single" w:sz="4" w:space="0" w:color="auto"/>
            </w:tcBorders>
            <w:shd w:val="clear" w:color="auto" w:fill="auto"/>
          </w:tcPr>
          <w:p w14:paraId="27784AEF" w14:textId="77777777" w:rsidR="00A67D3A" w:rsidRPr="0047462D" w:rsidRDefault="00A67D3A" w:rsidP="00EE2A20">
            <w:pPr>
              <w:pStyle w:val="tabletextcenterjustified"/>
              <w:keepNext/>
              <w:snapToGrid w:val="0"/>
              <w:spacing w:before="0" w:after="0"/>
              <w:jc w:val="left"/>
              <w:rPr>
                <w:b/>
                <w:bCs/>
                <w:sz w:val="22"/>
                <w:szCs w:val="22"/>
                <w:lang w:val="el-GR" w:eastAsia="en-GB"/>
              </w:rPr>
            </w:pPr>
          </w:p>
        </w:tc>
        <w:tc>
          <w:tcPr>
            <w:tcW w:w="3193" w:type="dxa"/>
            <w:gridSpan w:val="2"/>
            <w:tcBorders>
              <w:top w:val="single" w:sz="4" w:space="0" w:color="auto"/>
              <w:bottom w:val="single" w:sz="4" w:space="0" w:color="auto"/>
            </w:tcBorders>
            <w:shd w:val="clear" w:color="auto" w:fill="auto"/>
          </w:tcPr>
          <w:p w14:paraId="4CDF6E51" w14:textId="78CADD71"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Μελέτη</w:t>
            </w:r>
            <w:r w:rsidR="00036D01" w:rsidRPr="0047462D">
              <w:rPr>
                <w:rFonts w:eastAsia="Times New Roman"/>
                <w:b/>
                <w:bCs/>
                <w:sz w:val="22"/>
                <w:szCs w:val="22"/>
                <w:lang w:val="el-GR"/>
              </w:rPr>
              <w:t> </w:t>
            </w:r>
            <w:r w:rsidRPr="0047462D">
              <w:rPr>
                <w:rFonts w:eastAsia="Times New Roman"/>
                <w:b/>
                <w:bCs/>
                <w:sz w:val="22"/>
                <w:szCs w:val="22"/>
                <w:lang w:val="el-GR"/>
              </w:rPr>
              <w:t>1</w:t>
            </w:r>
          </w:p>
        </w:tc>
        <w:tc>
          <w:tcPr>
            <w:tcW w:w="3500" w:type="dxa"/>
            <w:gridSpan w:val="2"/>
            <w:tcBorders>
              <w:top w:val="single" w:sz="4" w:space="0" w:color="auto"/>
              <w:bottom w:val="single" w:sz="4" w:space="0" w:color="auto"/>
              <w:right w:val="single" w:sz="4" w:space="0" w:color="auto"/>
            </w:tcBorders>
            <w:shd w:val="clear" w:color="auto" w:fill="auto"/>
          </w:tcPr>
          <w:p w14:paraId="3297FBCF" w14:textId="199E3841"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Μελέτη</w:t>
            </w:r>
            <w:r w:rsidR="00036D01" w:rsidRPr="0047462D">
              <w:rPr>
                <w:rFonts w:eastAsia="Times New Roman"/>
                <w:b/>
                <w:bCs/>
                <w:sz w:val="22"/>
                <w:szCs w:val="22"/>
                <w:lang w:val="el-GR"/>
              </w:rPr>
              <w:t> </w:t>
            </w:r>
            <w:r w:rsidRPr="0047462D">
              <w:rPr>
                <w:rFonts w:eastAsia="Times New Roman"/>
                <w:b/>
                <w:bCs/>
                <w:sz w:val="22"/>
                <w:szCs w:val="22"/>
                <w:lang w:val="el-GR"/>
              </w:rPr>
              <w:t>2</w:t>
            </w:r>
          </w:p>
        </w:tc>
      </w:tr>
      <w:tr w:rsidR="00A67D3A" w:rsidRPr="0047462D" w14:paraId="1D934AD2" w14:textId="77777777" w:rsidTr="00EB5A36">
        <w:trPr>
          <w:trHeight w:val="565"/>
          <w:tblHeader/>
        </w:trPr>
        <w:tc>
          <w:tcPr>
            <w:tcW w:w="2594" w:type="dxa"/>
            <w:tcBorders>
              <w:left w:val="single" w:sz="4" w:space="0" w:color="auto"/>
              <w:bottom w:val="single" w:sz="4" w:space="0" w:color="auto"/>
            </w:tcBorders>
            <w:shd w:val="clear" w:color="auto" w:fill="auto"/>
            <w:vAlign w:val="bottom"/>
          </w:tcPr>
          <w:p w14:paraId="2CD2E8CD" w14:textId="77777777" w:rsidR="00A67D3A" w:rsidRPr="0047462D" w:rsidRDefault="00A67D3A" w:rsidP="00EE2A20">
            <w:pPr>
              <w:pStyle w:val="tabletextleftjustified"/>
              <w:keepNext/>
              <w:spacing w:before="0" w:after="0"/>
              <w:rPr>
                <w:rFonts w:eastAsia="Times New Roman"/>
                <w:b/>
                <w:bCs/>
                <w:sz w:val="22"/>
                <w:szCs w:val="22"/>
                <w:lang w:val="el-GR"/>
              </w:rPr>
            </w:pPr>
            <w:r w:rsidRPr="0047462D">
              <w:rPr>
                <w:rFonts w:eastAsia="Times New Roman"/>
                <w:b/>
                <w:bCs/>
                <w:sz w:val="22"/>
                <w:szCs w:val="22"/>
                <w:lang w:val="el-GR"/>
              </w:rPr>
              <w:t>Τελικό σημείο</w:t>
            </w:r>
          </w:p>
        </w:tc>
        <w:tc>
          <w:tcPr>
            <w:tcW w:w="1854" w:type="dxa"/>
            <w:tcBorders>
              <w:top w:val="single" w:sz="4" w:space="0" w:color="auto"/>
              <w:bottom w:val="single" w:sz="4" w:space="0" w:color="auto"/>
            </w:tcBorders>
            <w:shd w:val="clear" w:color="auto" w:fill="auto"/>
            <w:vAlign w:val="bottom"/>
          </w:tcPr>
          <w:p w14:paraId="3239D30B"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6F622D47"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339" w:type="dxa"/>
            <w:tcBorders>
              <w:top w:val="single" w:sz="4" w:space="0" w:color="auto"/>
              <w:bottom w:val="single" w:sz="4" w:space="0" w:color="auto"/>
            </w:tcBorders>
            <w:shd w:val="clear" w:color="auto" w:fill="auto"/>
            <w:vAlign w:val="bottom"/>
          </w:tcPr>
          <w:p w14:paraId="246FE64B"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Τιμή P</w:t>
            </w:r>
          </w:p>
        </w:tc>
        <w:tc>
          <w:tcPr>
            <w:tcW w:w="1854" w:type="dxa"/>
            <w:tcBorders>
              <w:top w:val="single" w:sz="4" w:space="0" w:color="auto"/>
              <w:bottom w:val="single" w:sz="4" w:space="0" w:color="auto"/>
            </w:tcBorders>
            <w:shd w:val="clear" w:color="auto" w:fill="auto"/>
            <w:vAlign w:val="bottom"/>
          </w:tcPr>
          <w:p w14:paraId="73E29B7E"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57741F37"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646" w:type="dxa"/>
            <w:tcBorders>
              <w:top w:val="single" w:sz="4" w:space="0" w:color="auto"/>
              <w:bottom w:val="single" w:sz="4" w:space="0" w:color="auto"/>
              <w:right w:val="single" w:sz="4" w:space="0" w:color="auto"/>
            </w:tcBorders>
            <w:shd w:val="clear" w:color="auto" w:fill="auto"/>
            <w:vAlign w:val="bottom"/>
          </w:tcPr>
          <w:p w14:paraId="1CDE774B"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Τιμή P</w:t>
            </w:r>
          </w:p>
        </w:tc>
      </w:tr>
      <w:tr w:rsidR="00A67D3A" w:rsidRPr="0047462D" w14:paraId="35D61EC1" w14:textId="77777777" w:rsidTr="00EB5A36">
        <w:trPr>
          <w:trHeight w:val="210"/>
        </w:trPr>
        <w:tc>
          <w:tcPr>
            <w:tcW w:w="9287" w:type="dxa"/>
            <w:gridSpan w:val="5"/>
            <w:tcBorders>
              <w:top w:val="single" w:sz="4" w:space="0" w:color="auto"/>
              <w:left w:val="single" w:sz="4" w:space="0" w:color="auto"/>
              <w:right w:val="single" w:sz="4" w:space="0" w:color="auto"/>
            </w:tcBorders>
            <w:shd w:val="clear" w:color="auto" w:fill="auto"/>
          </w:tcPr>
          <w:p w14:paraId="36AA1436"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 xml:space="preserve">Μέση απόλυτη </w:t>
            </w:r>
            <w:r w:rsidR="0065349C" w:rsidRPr="0047462D">
              <w:rPr>
                <w:rFonts w:eastAsia="Times New Roman"/>
                <w:b/>
                <w:sz w:val="22"/>
                <w:szCs w:val="22"/>
                <w:lang w:val="el-GR"/>
              </w:rPr>
              <w:t>μεταβολή</w:t>
            </w:r>
            <w:r w:rsidR="0065349C" w:rsidRPr="0047462D">
              <w:rPr>
                <w:rFonts w:eastAsia="Times New Roman"/>
                <w:b/>
                <w:bCs/>
                <w:sz w:val="22"/>
                <w:szCs w:val="22"/>
                <w:lang w:val="el-GR"/>
              </w:rPr>
              <w:t xml:space="preserve"> </w:t>
            </w:r>
            <w:r w:rsidRPr="0047462D">
              <w:rPr>
                <w:rFonts w:eastAsia="Times New Roman"/>
                <w:b/>
                <w:bCs/>
                <w:sz w:val="22"/>
                <w:szCs w:val="22"/>
                <w:lang w:val="el-GR"/>
              </w:rPr>
              <w:t>από την τιμή αναφοράς στ</w:t>
            </w:r>
            <w:r w:rsidRPr="0047462D">
              <w:rPr>
                <w:b/>
                <w:bCs/>
                <w:sz w:val="22"/>
                <w:szCs w:val="22"/>
                <w:lang w:val="el-GR"/>
              </w:rPr>
              <w:t>η</w:t>
            </w:r>
            <w:r w:rsidRPr="0047462D">
              <w:rPr>
                <w:rFonts w:eastAsia="Times New Roman"/>
                <w:b/>
                <w:bCs/>
                <w:sz w:val="22"/>
                <w:szCs w:val="22"/>
                <w:lang w:val="el-GR"/>
              </w:rPr>
              <w:t xml:space="preserve"> βαθμολογία του αναπνευστικού τομέα του CFQ-R</w:t>
            </w:r>
            <w:r w:rsidRPr="0047462D">
              <w:rPr>
                <w:rFonts w:eastAsia="Times New Roman"/>
                <w:b/>
                <w:bCs/>
                <w:sz w:val="22"/>
                <w:szCs w:val="22"/>
                <w:vertAlign w:val="superscript"/>
                <w:lang w:val="el-GR"/>
              </w:rPr>
              <w:t>β</w:t>
            </w:r>
            <w:r w:rsidRPr="0047462D">
              <w:rPr>
                <w:rFonts w:eastAsia="Times New Roman"/>
                <w:b/>
                <w:bCs/>
                <w:sz w:val="22"/>
                <w:szCs w:val="22"/>
                <w:lang w:val="el-GR"/>
              </w:rPr>
              <w:t xml:space="preserve"> (μονάδες)</w:t>
            </w:r>
            <w:r w:rsidRPr="0047462D">
              <w:rPr>
                <w:rFonts w:eastAsia="Times New Roman"/>
                <w:b/>
                <w:bCs/>
                <w:sz w:val="22"/>
                <w:szCs w:val="22"/>
                <w:vertAlign w:val="superscript"/>
                <w:lang w:val="el-GR"/>
              </w:rPr>
              <w:t>γ</w:t>
            </w:r>
          </w:p>
        </w:tc>
      </w:tr>
      <w:tr w:rsidR="00A67D3A" w:rsidRPr="0047462D" w14:paraId="0262A415" w14:textId="77777777" w:rsidTr="00EB5A36">
        <w:trPr>
          <w:trHeight w:val="366"/>
        </w:trPr>
        <w:tc>
          <w:tcPr>
            <w:tcW w:w="2594" w:type="dxa"/>
            <w:tcBorders>
              <w:left w:val="single" w:sz="4" w:space="0" w:color="auto"/>
            </w:tcBorders>
            <w:shd w:val="clear" w:color="auto" w:fill="auto"/>
          </w:tcPr>
          <w:p w14:paraId="7266A25C" w14:textId="6BF444AC" w:rsidR="00A67D3A" w:rsidRPr="0047462D" w:rsidRDefault="00A67D3A" w:rsidP="00EE2A20">
            <w:pPr>
              <w:pStyle w:val="tabletextleftjustified"/>
              <w:keepNext/>
              <w:spacing w:before="0" w:after="0"/>
              <w:rPr>
                <w:sz w:val="22"/>
                <w:szCs w:val="22"/>
                <w:lang w:val="el-GR" w:eastAsia="en-GB"/>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shd w:val="clear" w:color="auto" w:fill="auto"/>
          </w:tcPr>
          <w:p w14:paraId="666F91DD" w14:textId="77777777" w:rsidR="00A67D3A" w:rsidRPr="0047462D" w:rsidRDefault="00A67D3A" w:rsidP="00EE2A20">
            <w:pPr>
              <w:pStyle w:val="tabletextcenterjustified"/>
              <w:keepNext/>
              <w:spacing w:before="0" w:after="0"/>
              <w:rPr>
                <w:sz w:val="22"/>
                <w:szCs w:val="22"/>
                <w:lang w:eastAsia="en-GB"/>
              </w:rPr>
            </w:pPr>
            <w:r w:rsidRPr="0047462D">
              <w:rPr>
                <w:sz w:val="22"/>
                <w:szCs w:val="22"/>
                <w:lang w:val="el-GR" w:eastAsia="en-GB"/>
              </w:rPr>
              <w:t>8,1</w:t>
            </w:r>
          </w:p>
          <w:p w14:paraId="613BC198"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(4,7, 11,4)</w:t>
            </w:r>
          </w:p>
        </w:tc>
        <w:tc>
          <w:tcPr>
            <w:tcW w:w="1339" w:type="dxa"/>
            <w:shd w:val="clear" w:color="auto" w:fill="auto"/>
          </w:tcPr>
          <w:p w14:paraId="4C7EDD27"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shd w:val="clear" w:color="auto" w:fill="auto"/>
          </w:tcPr>
          <w:p w14:paraId="39F70174" w14:textId="77777777" w:rsidR="00A67D3A" w:rsidRPr="0047462D" w:rsidRDefault="00A67D3A" w:rsidP="00EE2A20">
            <w:pPr>
              <w:pStyle w:val="tabletextcenterjustified"/>
              <w:keepNext/>
              <w:spacing w:before="0" w:after="0"/>
              <w:rPr>
                <w:sz w:val="22"/>
                <w:szCs w:val="22"/>
                <w:lang w:eastAsia="en-GB"/>
              </w:rPr>
            </w:pPr>
            <w:r w:rsidRPr="0047462D">
              <w:rPr>
                <w:sz w:val="22"/>
                <w:szCs w:val="22"/>
                <w:lang w:val="el-GR" w:eastAsia="en-GB"/>
              </w:rPr>
              <w:t>6,1</w:t>
            </w:r>
          </w:p>
          <w:p w14:paraId="53FF8247"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w:t>
            </w:r>
            <w:r w:rsidRPr="0047462D">
              <w:rPr>
                <w:sz w:val="22"/>
                <w:szCs w:val="22"/>
                <w:lang w:val="el-GR" w:eastAsia="en-GB"/>
              </w:rPr>
              <w:noBreakHyphen/>
              <w:t>1,4, 13,5)</w:t>
            </w:r>
          </w:p>
        </w:tc>
        <w:tc>
          <w:tcPr>
            <w:tcW w:w="1646" w:type="dxa"/>
            <w:tcBorders>
              <w:right w:val="single" w:sz="4" w:space="0" w:color="auto"/>
            </w:tcBorders>
            <w:shd w:val="clear" w:color="auto" w:fill="auto"/>
          </w:tcPr>
          <w:p w14:paraId="0C35AE0B"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0,1092</w:t>
            </w:r>
          </w:p>
        </w:tc>
      </w:tr>
      <w:tr w:rsidR="00A67D3A" w:rsidRPr="0047462D" w14:paraId="1D932E34" w14:textId="77777777" w:rsidTr="00EB5A36">
        <w:trPr>
          <w:trHeight w:val="377"/>
        </w:trPr>
        <w:tc>
          <w:tcPr>
            <w:tcW w:w="2594" w:type="dxa"/>
            <w:tcBorders>
              <w:left w:val="single" w:sz="4" w:space="0" w:color="auto"/>
              <w:bottom w:val="single" w:sz="4" w:space="0" w:color="auto"/>
            </w:tcBorders>
            <w:shd w:val="clear" w:color="auto" w:fill="auto"/>
          </w:tcPr>
          <w:p w14:paraId="1D3D6311" w14:textId="14FB6EC7"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bottom w:val="single" w:sz="4" w:space="0" w:color="auto"/>
            </w:tcBorders>
            <w:shd w:val="clear" w:color="auto" w:fill="auto"/>
          </w:tcPr>
          <w:p w14:paraId="570E47D0" w14:textId="77777777" w:rsidR="00A67D3A" w:rsidRPr="0047462D" w:rsidRDefault="00A67D3A" w:rsidP="00EB5A36">
            <w:pPr>
              <w:pStyle w:val="tabletextcenterjustified"/>
              <w:keepNext/>
              <w:spacing w:before="0" w:after="0"/>
              <w:rPr>
                <w:sz w:val="22"/>
                <w:szCs w:val="22"/>
              </w:rPr>
            </w:pPr>
            <w:r w:rsidRPr="0047462D">
              <w:rPr>
                <w:sz w:val="22"/>
                <w:szCs w:val="22"/>
                <w:lang w:val="el-GR"/>
              </w:rPr>
              <w:t>8,6</w:t>
            </w:r>
          </w:p>
          <w:p w14:paraId="59E5CFBA"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rPr>
              <w:t>(5,3, 11,9)</w:t>
            </w:r>
          </w:p>
        </w:tc>
        <w:tc>
          <w:tcPr>
            <w:tcW w:w="1339" w:type="dxa"/>
            <w:tcBorders>
              <w:bottom w:val="single" w:sz="4" w:space="0" w:color="auto"/>
            </w:tcBorders>
            <w:shd w:val="clear" w:color="auto" w:fill="auto"/>
          </w:tcPr>
          <w:p w14:paraId="605EF241"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tcBorders>
              <w:bottom w:val="single" w:sz="4" w:space="0" w:color="auto"/>
            </w:tcBorders>
            <w:shd w:val="clear" w:color="auto" w:fill="auto"/>
          </w:tcPr>
          <w:p w14:paraId="35807FBB"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5,1</w:t>
            </w:r>
          </w:p>
          <w:p w14:paraId="1DB0F3CA"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eastAsia="en-GB"/>
              </w:rPr>
              <w:t>(-1,6, 11,8)</w:t>
            </w:r>
          </w:p>
        </w:tc>
        <w:tc>
          <w:tcPr>
            <w:tcW w:w="1646" w:type="dxa"/>
            <w:tcBorders>
              <w:bottom w:val="single" w:sz="4" w:space="0" w:color="auto"/>
              <w:right w:val="single" w:sz="4" w:space="0" w:color="auto"/>
            </w:tcBorders>
            <w:shd w:val="clear" w:color="auto" w:fill="auto"/>
          </w:tcPr>
          <w:p w14:paraId="28855178" w14:textId="77777777" w:rsidR="00A67D3A" w:rsidRPr="0047462D" w:rsidRDefault="00A67D3A" w:rsidP="00EB5A36">
            <w:pPr>
              <w:pStyle w:val="tabletextcenterjustified"/>
              <w:keepNext/>
              <w:spacing w:before="0" w:after="0"/>
              <w:rPr>
                <w:rFonts w:eastAsia="Times New Roman"/>
                <w:b/>
                <w:bCs/>
                <w:sz w:val="22"/>
                <w:szCs w:val="22"/>
                <w:lang w:val="el-GR"/>
              </w:rPr>
            </w:pPr>
            <w:r w:rsidRPr="0047462D">
              <w:rPr>
                <w:sz w:val="22"/>
                <w:szCs w:val="22"/>
                <w:lang w:val="el-GR" w:eastAsia="en-GB"/>
              </w:rPr>
              <w:t>0,1354</w:t>
            </w:r>
          </w:p>
        </w:tc>
      </w:tr>
      <w:tr w:rsidR="00A67D3A" w:rsidRPr="0047462D" w14:paraId="340CFA8C" w14:textId="77777777" w:rsidTr="00EB5A36">
        <w:trPr>
          <w:trHeight w:val="199"/>
        </w:trPr>
        <w:tc>
          <w:tcPr>
            <w:tcW w:w="9287" w:type="dxa"/>
            <w:gridSpan w:val="5"/>
            <w:tcBorders>
              <w:top w:val="single" w:sz="4" w:space="0" w:color="auto"/>
              <w:left w:val="single" w:sz="4" w:space="0" w:color="auto"/>
              <w:right w:val="single" w:sz="4" w:space="0" w:color="auto"/>
            </w:tcBorders>
            <w:shd w:val="clear" w:color="auto" w:fill="auto"/>
          </w:tcPr>
          <w:p w14:paraId="326050EA"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Σχετικός κίνδυνος πνευμονικής παρόξυνσης</w:t>
            </w:r>
          </w:p>
        </w:tc>
      </w:tr>
      <w:tr w:rsidR="00A67D3A" w:rsidRPr="0047462D" w14:paraId="10E490EA" w14:textId="77777777" w:rsidTr="00EB5A36">
        <w:trPr>
          <w:trHeight w:val="210"/>
        </w:trPr>
        <w:tc>
          <w:tcPr>
            <w:tcW w:w="2594" w:type="dxa"/>
            <w:tcBorders>
              <w:left w:val="single" w:sz="4" w:space="0" w:color="auto"/>
            </w:tcBorders>
            <w:shd w:val="clear" w:color="auto" w:fill="auto"/>
          </w:tcPr>
          <w:p w14:paraId="70F4A905" w14:textId="0CD5782D"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shd w:val="clear" w:color="auto" w:fill="auto"/>
          </w:tcPr>
          <w:p w14:paraId="75050EB0" w14:textId="77777777" w:rsidR="00A67D3A" w:rsidRPr="0047462D" w:rsidRDefault="00A67D3A" w:rsidP="00EE2A20">
            <w:pPr>
              <w:pStyle w:val="tabletextcenterjustified"/>
              <w:keepNext/>
              <w:spacing w:before="0" w:after="0"/>
              <w:rPr>
                <w:sz w:val="22"/>
                <w:szCs w:val="22"/>
                <w:lang w:val="el-GR"/>
              </w:rPr>
            </w:pPr>
            <w:r w:rsidRPr="0047462D">
              <w:rPr>
                <w:rFonts w:eastAsia="Times New Roman"/>
                <w:sz w:val="22"/>
                <w:szCs w:val="22"/>
                <w:lang w:val="el-GR"/>
              </w:rPr>
              <w:t>0,40</w:t>
            </w:r>
            <w:r w:rsidRPr="0047462D">
              <w:rPr>
                <w:rFonts w:eastAsia="Times New Roman"/>
                <w:sz w:val="22"/>
                <w:szCs w:val="22"/>
                <w:vertAlign w:val="superscript"/>
                <w:lang w:val="el-GR"/>
              </w:rPr>
              <w:t>δ</w:t>
            </w:r>
          </w:p>
        </w:tc>
        <w:tc>
          <w:tcPr>
            <w:tcW w:w="1339" w:type="dxa"/>
            <w:shd w:val="clear" w:color="auto" w:fill="auto"/>
          </w:tcPr>
          <w:p w14:paraId="5E11691A"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rPr>
              <w:t>0,0016</w:t>
            </w:r>
          </w:p>
        </w:tc>
        <w:tc>
          <w:tcPr>
            <w:tcW w:w="1854" w:type="dxa"/>
            <w:shd w:val="clear" w:color="auto" w:fill="auto"/>
          </w:tcPr>
          <w:p w14:paraId="5CF9EB53" w14:textId="77777777" w:rsidR="00A67D3A" w:rsidRPr="0047462D" w:rsidRDefault="00A67D3A" w:rsidP="00EE2A20">
            <w:pPr>
              <w:pStyle w:val="tabletextcenterjustified"/>
              <w:keepNext/>
              <w:spacing w:before="0" w:after="0"/>
              <w:rPr>
                <w:rFonts w:eastAsia="Times New Roman"/>
                <w:sz w:val="22"/>
                <w:szCs w:val="22"/>
                <w:lang w:val="el-GR"/>
              </w:rPr>
            </w:pPr>
            <w:r w:rsidRPr="0047462D">
              <w:rPr>
                <w:rFonts w:eastAsia="Times New Roman"/>
                <w:sz w:val="22"/>
                <w:szCs w:val="22"/>
                <w:lang w:val="el-GR"/>
              </w:rPr>
              <w:t>Δ.Α.</w:t>
            </w:r>
          </w:p>
        </w:tc>
        <w:tc>
          <w:tcPr>
            <w:tcW w:w="1646" w:type="dxa"/>
            <w:tcBorders>
              <w:right w:val="single" w:sz="4" w:space="0" w:color="auto"/>
            </w:tcBorders>
            <w:shd w:val="clear" w:color="auto" w:fill="auto"/>
          </w:tcPr>
          <w:p w14:paraId="7AC5CA08" w14:textId="77777777" w:rsidR="00A67D3A" w:rsidRPr="0047462D" w:rsidRDefault="00A67D3A" w:rsidP="00EE2A20">
            <w:pPr>
              <w:pStyle w:val="tabletextcenterjustified"/>
              <w:keepNext/>
              <w:spacing w:before="0" w:after="0"/>
              <w:rPr>
                <w:rFonts w:eastAsia="Times New Roman"/>
                <w:sz w:val="22"/>
                <w:szCs w:val="22"/>
                <w:lang w:val="el-GR"/>
              </w:rPr>
            </w:pPr>
            <w:r w:rsidRPr="0047462D">
              <w:rPr>
                <w:rFonts w:eastAsia="Times New Roman"/>
                <w:sz w:val="22"/>
                <w:szCs w:val="22"/>
                <w:lang w:val="el-GR"/>
              </w:rPr>
              <w:t>Δ.Α.</w:t>
            </w:r>
          </w:p>
        </w:tc>
      </w:tr>
      <w:tr w:rsidR="00A67D3A" w:rsidRPr="0047462D" w14:paraId="2EB4923D" w14:textId="77777777" w:rsidTr="00EB5A36">
        <w:trPr>
          <w:trHeight w:val="199"/>
        </w:trPr>
        <w:tc>
          <w:tcPr>
            <w:tcW w:w="2594" w:type="dxa"/>
            <w:tcBorders>
              <w:left w:val="single" w:sz="4" w:space="0" w:color="auto"/>
              <w:bottom w:val="single" w:sz="4" w:space="0" w:color="auto"/>
            </w:tcBorders>
            <w:shd w:val="clear" w:color="auto" w:fill="auto"/>
          </w:tcPr>
          <w:p w14:paraId="2B982C2A" w14:textId="74700C71"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bottom w:val="single" w:sz="4" w:space="0" w:color="auto"/>
            </w:tcBorders>
            <w:shd w:val="clear" w:color="auto" w:fill="auto"/>
          </w:tcPr>
          <w:p w14:paraId="07E301DB" w14:textId="77777777" w:rsidR="00A67D3A" w:rsidRPr="0047462D" w:rsidRDefault="00A67D3A" w:rsidP="00EB5A36">
            <w:pPr>
              <w:pStyle w:val="tabletextcenterjustified"/>
              <w:keepNext/>
              <w:spacing w:before="0" w:after="0"/>
              <w:rPr>
                <w:sz w:val="22"/>
                <w:szCs w:val="22"/>
                <w:lang w:val="el-GR" w:eastAsia="en-GB"/>
              </w:rPr>
            </w:pPr>
            <w:r w:rsidRPr="0047462D">
              <w:rPr>
                <w:rFonts w:eastAsia="Times New Roman"/>
                <w:sz w:val="22"/>
                <w:szCs w:val="22"/>
                <w:lang w:val="el-GR"/>
              </w:rPr>
              <w:t>0,46</w:t>
            </w:r>
            <w:r w:rsidRPr="0047462D">
              <w:rPr>
                <w:rFonts w:eastAsia="Times New Roman"/>
                <w:sz w:val="22"/>
                <w:szCs w:val="22"/>
                <w:vertAlign w:val="superscript"/>
                <w:lang w:val="el-GR"/>
              </w:rPr>
              <w:t>δ</w:t>
            </w:r>
          </w:p>
        </w:tc>
        <w:tc>
          <w:tcPr>
            <w:tcW w:w="1339" w:type="dxa"/>
            <w:tcBorders>
              <w:bottom w:val="single" w:sz="4" w:space="0" w:color="auto"/>
            </w:tcBorders>
            <w:shd w:val="clear" w:color="auto" w:fill="auto"/>
          </w:tcPr>
          <w:p w14:paraId="2ACAE3AF" w14:textId="77777777" w:rsidR="00A67D3A" w:rsidRPr="0047462D" w:rsidRDefault="00A67D3A" w:rsidP="00EB5A36">
            <w:pPr>
              <w:pStyle w:val="tabletextcenterjustified"/>
              <w:keepNext/>
              <w:spacing w:before="0" w:after="0"/>
              <w:rPr>
                <w:rFonts w:eastAsia="Times New Roman"/>
                <w:sz w:val="22"/>
                <w:szCs w:val="22"/>
                <w:lang w:val="el-GR"/>
              </w:rPr>
            </w:pPr>
            <w:r w:rsidRPr="0047462D">
              <w:rPr>
                <w:sz w:val="22"/>
                <w:szCs w:val="22"/>
                <w:lang w:val="el-GR" w:eastAsia="en-GB"/>
              </w:rPr>
              <w:t>0,0012</w:t>
            </w:r>
          </w:p>
        </w:tc>
        <w:tc>
          <w:tcPr>
            <w:tcW w:w="1854" w:type="dxa"/>
            <w:tcBorders>
              <w:bottom w:val="single" w:sz="4" w:space="0" w:color="auto"/>
            </w:tcBorders>
            <w:shd w:val="clear" w:color="auto" w:fill="auto"/>
          </w:tcPr>
          <w:p w14:paraId="448D8219" w14:textId="77777777" w:rsidR="00A67D3A" w:rsidRPr="0047462D" w:rsidRDefault="00A67D3A" w:rsidP="00EB5A36">
            <w:pPr>
              <w:pStyle w:val="tabletextcenterjustified"/>
              <w:keepNext/>
              <w:spacing w:before="0" w:after="0"/>
              <w:rPr>
                <w:rFonts w:eastAsia="Times New Roman"/>
                <w:sz w:val="22"/>
                <w:szCs w:val="22"/>
                <w:lang w:val="el-GR"/>
              </w:rPr>
            </w:pPr>
            <w:r w:rsidRPr="0047462D">
              <w:rPr>
                <w:rFonts w:eastAsia="Times New Roman"/>
                <w:sz w:val="22"/>
                <w:szCs w:val="22"/>
                <w:lang w:val="el-GR"/>
              </w:rPr>
              <w:t>Δ.Α.</w:t>
            </w:r>
          </w:p>
        </w:tc>
        <w:tc>
          <w:tcPr>
            <w:tcW w:w="1646" w:type="dxa"/>
            <w:tcBorders>
              <w:bottom w:val="single" w:sz="4" w:space="0" w:color="auto"/>
              <w:right w:val="single" w:sz="4" w:space="0" w:color="auto"/>
            </w:tcBorders>
            <w:shd w:val="clear" w:color="auto" w:fill="auto"/>
          </w:tcPr>
          <w:p w14:paraId="03C4C48A" w14:textId="77777777" w:rsidR="00A67D3A" w:rsidRPr="0047462D" w:rsidRDefault="00A67D3A" w:rsidP="00EB5A36">
            <w:pPr>
              <w:pStyle w:val="tabletextcenterjustified"/>
              <w:keepNext/>
              <w:spacing w:before="0" w:after="0"/>
              <w:rPr>
                <w:rFonts w:eastAsia="Times New Roman"/>
                <w:b/>
                <w:bCs/>
                <w:sz w:val="22"/>
                <w:szCs w:val="22"/>
                <w:lang w:val="el-GR"/>
              </w:rPr>
            </w:pPr>
            <w:r w:rsidRPr="0047462D">
              <w:rPr>
                <w:rFonts w:eastAsia="Times New Roman"/>
                <w:sz w:val="22"/>
                <w:szCs w:val="22"/>
                <w:lang w:val="el-GR"/>
              </w:rPr>
              <w:t>Δ.Α.</w:t>
            </w:r>
          </w:p>
        </w:tc>
      </w:tr>
      <w:tr w:rsidR="00A67D3A" w:rsidRPr="0047462D" w14:paraId="1D159348" w14:textId="77777777" w:rsidTr="00EB5A36">
        <w:trPr>
          <w:trHeight w:val="210"/>
        </w:trPr>
        <w:tc>
          <w:tcPr>
            <w:tcW w:w="9287" w:type="dxa"/>
            <w:gridSpan w:val="5"/>
            <w:tcBorders>
              <w:top w:val="single" w:sz="4" w:space="0" w:color="auto"/>
              <w:left w:val="single" w:sz="4" w:space="0" w:color="auto"/>
              <w:right w:val="single" w:sz="4" w:space="0" w:color="auto"/>
            </w:tcBorders>
            <w:shd w:val="clear" w:color="auto" w:fill="auto"/>
          </w:tcPr>
          <w:p w14:paraId="605AF929"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 xml:space="preserve">Μέση απόλυτη </w:t>
            </w:r>
            <w:r w:rsidR="0065349C" w:rsidRPr="0047462D">
              <w:rPr>
                <w:rFonts w:eastAsia="Times New Roman"/>
                <w:b/>
                <w:bCs/>
                <w:sz w:val="22"/>
                <w:szCs w:val="22"/>
                <w:lang w:val="el-GR"/>
              </w:rPr>
              <w:t xml:space="preserve">μεταβολή </w:t>
            </w:r>
            <w:r w:rsidRPr="0047462D">
              <w:rPr>
                <w:rFonts w:eastAsia="Times New Roman"/>
                <w:b/>
                <w:bCs/>
                <w:sz w:val="22"/>
                <w:szCs w:val="22"/>
                <w:lang w:val="el-GR"/>
              </w:rPr>
              <w:t>από την τιμή αναφοράς στο σωματικό βάρος (kg)</w:t>
            </w:r>
          </w:p>
        </w:tc>
      </w:tr>
      <w:tr w:rsidR="00A67D3A" w:rsidRPr="0047462D" w14:paraId="63512202" w14:textId="77777777" w:rsidTr="00EB5A36">
        <w:trPr>
          <w:trHeight w:val="377"/>
        </w:trPr>
        <w:tc>
          <w:tcPr>
            <w:tcW w:w="2594" w:type="dxa"/>
            <w:tcBorders>
              <w:left w:val="single" w:sz="4" w:space="0" w:color="auto"/>
            </w:tcBorders>
            <w:shd w:val="clear" w:color="auto" w:fill="auto"/>
          </w:tcPr>
          <w:p w14:paraId="5FBFEE85" w14:textId="099A50CD"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shd w:val="clear" w:color="auto" w:fill="auto"/>
          </w:tcPr>
          <w:p w14:paraId="612E5B73" w14:textId="77777777" w:rsidR="00A67D3A" w:rsidRPr="0047462D" w:rsidRDefault="00A67D3A" w:rsidP="00EE2A20">
            <w:pPr>
              <w:pStyle w:val="tabletextcenterjustified"/>
              <w:keepNext/>
              <w:spacing w:before="0" w:after="0"/>
              <w:rPr>
                <w:sz w:val="22"/>
                <w:szCs w:val="22"/>
              </w:rPr>
            </w:pPr>
            <w:r w:rsidRPr="0047462D">
              <w:rPr>
                <w:sz w:val="22"/>
                <w:szCs w:val="22"/>
                <w:lang w:val="el-GR"/>
              </w:rPr>
              <w:t>2,8</w:t>
            </w:r>
          </w:p>
          <w:p w14:paraId="4A7743A3"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(1,8, 3,7)</w:t>
            </w:r>
          </w:p>
        </w:tc>
        <w:tc>
          <w:tcPr>
            <w:tcW w:w="1339" w:type="dxa"/>
            <w:shd w:val="clear" w:color="auto" w:fill="auto"/>
          </w:tcPr>
          <w:p w14:paraId="5C6A9D87"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&lt;</w:t>
            </w:r>
            <w:r w:rsidR="00960C81" w:rsidRPr="0047462D">
              <w:rPr>
                <w:sz w:val="22"/>
                <w:szCs w:val="22"/>
              </w:rPr>
              <w:t> </w:t>
            </w:r>
            <w:r w:rsidRPr="0047462D">
              <w:rPr>
                <w:sz w:val="22"/>
                <w:szCs w:val="22"/>
                <w:lang w:val="el-GR"/>
              </w:rPr>
              <w:t>0,0001</w:t>
            </w:r>
          </w:p>
        </w:tc>
        <w:tc>
          <w:tcPr>
            <w:tcW w:w="1854" w:type="dxa"/>
            <w:shd w:val="clear" w:color="auto" w:fill="auto"/>
          </w:tcPr>
          <w:p w14:paraId="012A31AB" w14:textId="77777777" w:rsidR="00A67D3A" w:rsidRPr="0047462D" w:rsidRDefault="00A67D3A" w:rsidP="00EE2A20">
            <w:pPr>
              <w:pStyle w:val="tabletextcenterjustified"/>
              <w:keepNext/>
              <w:spacing w:before="0" w:after="0"/>
              <w:rPr>
                <w:sz w:val="22"/>
                <w:szCs w:val="22"/>
              </w:rPr>
            </w:pPr>
            <w:r w:rsidRPr="0047462D">
              <w:rPr>
                <w:sz w:val="22"/>
                <w:szCs w:val="22"/>
                <w:lang w:val="el-GR"/>
              </w:rPr>
              <w:t>1,9</w:t>
            </w:r>
          </w:p>
          <w:p w14:paraId="4AC016A2"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(0,9, 2,9)</w:t>
            </w:r>
          </w:p>
        </w:tc>
        <w:tc>
          <w:tcPr>
            <w:tcW w:w="1646" w:type="dxa"/>
            <w:tcBorders>
              <w:right w:val="single" w:sz="4" w:space="0" w:color="auto"/>
            </w:tcBorders>
            <w:shd w:val="clear" w:color="auto" w:fill="auto"/>
          </w:tcPr>
          <w:p w14:paraId="46311075"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0,0004</w:t>
            </w:r>
          </w:p>
        </w:tc>
      </w:tr>
      <w:tr w:rsidR="00A67D3A" w:rsidRPr="0047462D" w14:paraId="66C93563" w14:textId="77777777" w:rsidTr="00EB5A36">
        <w:trPr>
          <w:trHeight w:val="366"/>
        </w:trPr>
        <w:tc>
          <w:tcPr>
            <w:tcW w:w="2594" w:type="dxa"/>
            <w:tcBorders>
              <w:left w:val="single" w:sz="4" w:space="0" w:color="auto"/>
              <w:bottom w:val="single" w:sz="4" w:space="0" w:color="auto"/>
            </w:tcBorders>
            <w:shd w:val="clear" w:color="auto" w:fill="auto"/>
          </w:tcPr>
          <w:p w14:paraId="3A9287D6" w14:textId="001A84CB"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bottom w:val="single" w:sz="4" w:space="0" w:color="auto"/>
            </w:tcBorders>
            <w:shd w:val="clear" w:color="auto" w:fill="auto"/>
          </w:tcPr>
          <w:p w14:paraId="2271DFCE"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rPr>
              <w:t>2,7</w:t>
            </w:r>
            <w:r w:rsidRPr="0047462D">
              <w:rPr>
                <w:sz w:val="22"/>
                <w:szCs w:val="22"/>
                <w:lang w:val="el-GR"/>
              </w:rPr>
              <w:br/>
              <w:t>(1,3, 4,1)</w:t>
            </w:r>
          </w:p>
        </w:tc>
        <w:tc>
          <w:tcPr>
            <w:tcW w:w="1339" w:type="dxa"/>
            <w:tcBorders>
              <w:bottom w:val="single" w:sz="4" w:space="0" w:color="auto"/>
            </w:tcBorders>
            <w:shd w:val="clear" w:color="auto" w:fill="auto"/>
          </w:tcPr>
          <w:p w14:paraId="05A3AB1F"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eastAsia="en-GB"/>
              </w:rPr>
              <w:t>0,0001</w:t>
            </w:r>
          </w:p>
        </w:tc>
        <w:tc>
          <w:tcPr>
            <w:tcW w:w="1854" w:type="dxa"/>
            <w:tcBorders>
              <w:bottom w:val="single" w:sz="4" w:space="0" w:color="auto"/>
            </w:tcBorders>
            <w:shd w:val="clear" w:color="auto" w:fill="auto"/>
          </w:tcPr>
          <w:p w14:paraId="72E86A19"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2,8</w:t>
            </w:r>
          </w:p>
          <w:p w14:paraId="593B36DE"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eastAsia="en-GB"/>
              </w:rPr>
              <w:t>(1,3, 4,2)</w:t>
            </w:r>
          </w:p>
        </w:tc>
        <w:tc>
          <w:tcPr>
            <w:tcW w:w="1646" w:type="dxa"/>
            <w:tcBorders>
              <w:bottom w:val="single" w:sz="4" w:space="0" w:color="auto"/>
              <w:right w:val="single" w:sz="4" w:space="0" w:color="auto"/>
            </w:tcBorders>
            <w:shd w:val="clear" w:color="auto" w:fill="auto"/>
          </w:tcPr>
          <w:p w14:paraId="4FB4D12B" w14:textId="77777777" w:rsidR="00A67D3A" w:rsidRPr="0047462D" w:rsidRDefault="00A67D3A" w:rsidP="00EB5A36">
            <w:pPr>
              <w:pStyle w:val="tabletextcenterjustified"/>
              <w:keepNext/>
              <w:spacing w:before="0" w:after="0"/>
              <w:rPr>
                <w:rFonts w:eastAsia="Times New Roman"/>
                <w:b/>
                <w:bCs/>
                <w:sz w:val="22"/>
                <w:szCs w:val="22"/>
                <w:lang w:val="el-GR"/>
              </w:rPr>
            </w:pPr>
            <w:r w:rsidRPr="0047462D">
              <w:rPr>
                <w:sz w:val="22"/>
                <w:szCs w:val="22"/>
                <w:lang w:val="el-GR" w:eastAsia="en-GB"/>
              </w:rPr>
              <w:t>0,0002</w:t>
            </w:r>
          </w:p>
        </w:tc>
      </w:tr>
      <w:tr w:rsidR="00A67D3A" w:rsidRPr="0047462D" w14:paraId="5D440A01"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5011FDD7"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 xml:space="preserve">Μέση απόλυτη </w:t>
            </w:r>
            <w:r w:rsidR="0065349C" w:rsidRPr="0047462D">
              <w:rPr>
                <w:rFonts w:eastAsia="Times New Roman"/>
                <w:b/>
                <w:bCs/>
                <w:sz w:val="22"/>
                <w:szCs w:val="22"/>
                <w:lang w:val="el-GR"/>
              </w:rPr>
              <w:t xml:space="preserve">μεταβολή </w:t>
            </w:r>
            <w:r w:rsidRPr="0047462D">
              <w:rPr>
                <w:rFonts w:eastAsia="Times New Roman"/>
                <w:b/>
                <w:bCs/>
                <w:sz w:val="22"/>
                <w:szCs w:val="22"/>
                <w:lang w:val="el-GR"/>
              </w:rPr>
              <w:t>από την τιμή αναφοράς στο δείκτη μάζας του σώματος (kg/m</w:t>
            </w:r>
            <w:r w:rsidRPr="0047462D">
              <w:rPr>
                <w:rFonts w:eastAsia="Times New Roman"/>
                <w:b/>
                <w:bCs/>
                <w:sz w:val="22"/>
                <w:szCs w:val="22"/>
                <w:vertAlign w:val="superscript"/>
                <w:lang w:val="el-GR"/>
              </w:rPr>
              <w:t>2</w:t>
            </w:r>
            <w:r w:rsidRPr="0047462D">
              <w:rPr>
                <w:rFonts w:eastAsia="Times New Roman"/>
                <w:b/>
                <w:bCs/>
                <w:sz w:val="22"/>
                <w:szCs w:val="22"/>
                <w:lang w:val="el-GR"/>
              </w:rPr>
              <w:t>)</w:t>
            </w:r>
          </w:p>
        </w:tc>
      </w:tr>
      <w:tr w:rsidR="00A67D3A" w:rsidRPr="0047462D" w14:paraId="1E9FF3BA"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1640AD98" w14:textId="14651BB1"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bottom w:val="single" w:sz="4" w:space="0" w:color="auto"/>
            </w:tcBorders>
            <w:shd w:val="clear" w:color="auto" w:fill="auto"/>
          </w:tcPr>
          <w:p w14:paraId="4A5062E8"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0,94</w:t>
            </w:r>
          </w:p>
          <w:p w14:paraId="08EF2B16"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rPr>
              <w:t>(0,62, 1,26)</w:t>
            </w:r>
          </w:p>
        </w:tc>
        <w:tc>
          <w:tcPr>
            <w:tcW w:w="1339" w:type="dxa"/>
            <w:tcBorders>
              <w:top w:val="single" w:sz="4" w:space="0" w:color="auto"/>
              <w:bottom w:val="single" w:sz="4" w:space="0" w:color="auto"/>
            </w:tcBorders>
            <w:shd w:val="clear" w:color="auto" w:fill="auto"/>
          </w:tcPr>
          <w:p w14:paraId="5A54A56F"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tcBorders>
              <w:top w:val="single" w:sz="4" w:space="0" w:color="auto"/>
              <w:bottom w:val="single" w:sz="4" w:space="0" w:color="auto"/>
            </w:tcBorders>
            <w:shd w:val="clear" w:color="auto" w:fill="auto"/>
          </w:tcPr>
          <w:p w14:paraId="7C5B873C"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0,81</w:t>
            </w:r>
          </w:p>
          <w:p w14:paraId="5E6008EC"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(0,34, 1,28)</w:t>
            </w:r>
          </w:p>
        </w:tc>
        <w:tc>
          <w:tcPr>
            <w:tcW w:w="1646" w:type="dxa"/>
            <w:tcBorders>
              <w:top w:val="single" w:sz="4" w:space="0" w:color="auto"/>
              <w:bottom w:val="single" w:sz="4" w:space="0" w:color="auto"/>
              <w:right w:val="single" w:sz="4" w:space="0" w:color="auto"/>
            </w:tcBorders>
            <w:shd w:val="clear" w:color="auto" w:fill="auto"/>
          </w:tcPr>
          <w:p w14:paraId="254336F4"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0,0008</w:t>
            </w:r>
          </w:p>
        </w:tc>
      </w:tr>
      <w:tr w:rsidR="00A67D3A" w:rsidRPr="0047462D" w14:paraId="39B71327"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7955EC2D" w14:textId="05E414C5"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bottom w:val="single" w:sz="4" w:space="0" w:color="auto"/>
            </w:tcBorders>
            <w:shd w:val="clear" w:color="auto" w:fill="auto"/>
          </w:tcPr>
          <w:p w14:paraId="705270BB"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0,93</w:t>
            </w:r>
          </w:p>
          <w:p w14:paraId="25BBB5D7"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rPr>
              <w:t>(0,48, 1,38)</w:t>
            </w:r>
          </w:p>
        </w:tc>
        <w:tc>
          <w:tcPr>
            <w:tcW w:w="1339" w:type="dxa"/>
            <w:tcBorders>
              <w:top w:val="single" w:sz="4" w:space="0" w:color="auto"/>
              <w:bottom w:val="single" w:sz="4" w:space="0" w:color="auto"/>
            </w:tcBorders>
            <w:shd w:val="clear" w:color="auto" w:fill="auto"/>
          </w:tcPr>
          <w:p w14:paraId="2D3BAEFB"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tcBorders>
              <w:top w:val="single" w:sz="4" w:space="0" w:color="auto"/>
              <w:bottom w:val="single" w:sz="4" w:space="0" w:color="auto"/>
            </w:tcBorders>
            <w:shd w:val="clear" w:color="auto" w:fill="auto"/>
          </w:tcPr>
          <w:p w14:paraId="65B49DA9"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1,09</w:t>
            </w:r>
          </w:p>
          <w:p w14:paraId="5D114B5D"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(0,51, 1,67)</w:t>
            </w:r>
          </w:p>
        </w:tc>
        <w:tc>
          <w:tcPr>
            <w:tcW w:w="1646" w:type="dxa"/>
            <w:tcBorders>
              <w:top w:val="single" w:sz="4" w:space="0" w:color="auto"/>
              <w:bottom w:val="single" w:sz="4" w:space="0" w:color="auto"/>
              <w:right w:val="single" w:sz="4" w:space="0" w:color="auto"/>
            </w:tcBorders>
            <w:shd w:val="clear" w:color="auto" w:fill="auto"/>
          </w:tcPr>
          <w:p w14:paraId="7B8508FF"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0,0003</w:t>
            </w:r>
          </w:p>
        </w:tc>
      </w:tr>
      <w:tr w:rsidR="00A67D3A" w:rsidRPr="0047462D" w14:paraId="5AE3D79C"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3F668407" w14:textId="77777777" w:rsidR="00A67D3A" w:rsidRPr="0047462D" w:rsidRDefault="00A67D3A" w:rsidP="00EE2A20">
            <w:pPr>
              <w:pStyle w:val="tabletextcenterjustified"/>
              <w:keepNext/>
              <w:spacing w:before="0" w:after="0"/>
              <w:jc w:val="left"/>
              <w:rPr>
                <w:sz w:val="22"/>
                <w:szCs w:val="22"/>
                <w:lang w:val="el-GR" w:eastAsia="en-GB"/>
              </w:rPr>
            </w:pPr>
            <w:r w:rsidRPr="0047462D">
              <w:rPr>
                <w:rFonts w:eastAsia="Times New Roman"/>
                <w:b/>
                <w:bCs/>
                <w:sz w:val="22"/>
                <w:szCs w:val="22"/>
                <w:lang w:val="el-GR"/>
              </w:rPr>
              <w:t xml:space="preserve">Μέση </w:t>
            </w:r>
            <w:r w:rsidR="0065349C" w:rsidRPr="0047462D">
              <w:rPr>
                <w:rFonts w:eastAsia="Times New Roman"/>
                <w:b/>
                <w:bCs/>
                <w:sz w:val="22"/>
                <w:szCs w:val="22"/>
                <w:lang w:val="el-GR"/>
              </w:rPr>
              <w:t xml:space="preserve">μεταβολή </w:t>
            </w:r>
            <w:r w:rsidRPr="0047462D">
              <w:rPr>
                <w:rFonts w:eastAsia="Times New Roman"/>
                <w:b/>
                <w:bCs/>
                <w:sz w:val="22"/>
                <w:szCs w:val="22"/>
                <w:lang w:val="el-GR"/>
              </w:rPr>
              <w:t xml:space="preserve">από την τιμή αναφοράς στις βαθμολογίες </w:t>
            </w:r>
            <w:r w:rsidRPr="0047462D">
              <w:rPr>
                <w:rFonts w:eastAsia="Times New Roman"/>
                <w:b/>
                <w:bCs/>
                <w:sz w:val="22"/>
                <w:szCs w:val="22"/>
              </w:rPr>
              <w:t>z</w:t>
            </w:r>
          </w:p>
        </w:tc>
      </w:tr>
      <w:tr w:rsidR="00A67D3A" w:rsidRPr="0047462D" w14:paraId="1C3E959D"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71D3580E" w14:textId="19FD85A5"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βάρους για την ηλικία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8300C7"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bottom w:val="single" w:sz="4" w:space="0" w:color="auto"/>
            </w:tcBorders>
            <w:shd w:val="clear" w:color="auto" w:fill="auto"/>
          </w:tcPr>
          <w:p w14:paraId="53E60FDD" w14:textId="77777777" w:rsidR="00A67D3A" w:rsidRPr="0047462D" w:rsidRDefault="00A67D3A" w:rsidP="00EB5A36">
            <w:pPr>
              <w:pStyle w:val="tabletextcenterjustified"/>
              <w:keepNext/>
              <w:spacing w:before="0" w:after="0"/>
              <w:suppressOverlap/>
              <w:rPr>
                <w:sz w:val="22"/>
                <w:szCs w:val="22"/>
              </w:rPr>
            </w:pPr>
            <w:r w:rsidRPr="0047462D">
              <w:rPr>
                <w:sz w:val="22"/>
                <w:szCs w:val="22"/>
              </w:rPr>
              <w:t>0,33</w:t>
            </w:r>
          </w:p>
          <w:p w14:paraId="3BFB7803"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rPr>
              <w:t>(0,04, 0,62)</w:t>
            </w:r>
          </w:p>
        </w:tc>
        <w:tc>
          <w:tcPr>
            <w:tcW w:w="1339" w:type="dxa"/>
            <w:tcBorders>
              <w:top w:val="single" w:sz="4" w:space="0" w:color="auto"/>
              <w:bottom w:val="single" w:sz="4" w:space="0" w:color="auto"/>
            </w:tcBorders>
            <w:shd w:val="clear" w:color="auto" w:fill="auto"/>
          </w:tcPr>
          <w:p w14:paraId="3937E60E" w14:textId="77777777" w:rsidR="00A67D3A" w:rsidRPr="0047462D" w:rsidRDefault="00A67D3A" w:rsidP="00EE2A20">
            <w:pPr>
              <w:pStyle w:val="tabletextcenterjustified"/>
              <w:keepNext/>
              <w:spacing w:before="0" w:after="0"/>
              <w:rPr>
                <w:sz w:val="22"/>
                <w:szCs w:val="22"/>
                <w:lang w:eastAsia="en-GB"/>
              </w:rPr>
            </w:pPr>
            <w:r w:rsidRPr="0047462D">
              <w:rPr>
                <w:sz w:val="22"/>
                <w:szCs w:val="22"/>
                <w:lang w:val="el-GR" w:eastAsia="en-GB"/>
              </w:rPr>
              <w:t>0,</w:t>
            </w:r>
            <w:r w:rsidRPr="0047462D">
              <w:rPr>
                <w:sz w:val="22"/>
                <w:szCs w:val="22"/>
                <w:lang w:eastAsia="en-GB"/>
              </w:rPr>
              <w:t>0260</w:t>
            </w:r>
          </w:p>
        </w:tc>
        <w:tc>
          <w:tcPr>
            <w:tcW w:w="1854" w:type="dxa"/>
            <w:tcBorders>
              <w:top w:val="single" w:sz="4" w:space="0" w:color="auto"/>
              <w:bottom w:val="single" w:sz="4" w:space="0" w:color="auto"/>
            </w:tcBorders>
            <w:shd w:val="clear" w:color="auto" w:fill="auto"/>
          </w:tcPr>
          <w:p w14:paraId="30816E32" w14:textId="77777777" w:rsidR="00A67D3A" w:rsidRPr="0047462D" w:rsidRDefault="00A67D3A" w:rsidP="00EB5A36">
            <w:pPr>
              <w:pStyle w:val="tabletextcenterjustified"/>
              <w:keepNext/>
              <w:spacing w:before="0" w:after="0"/>
              <w:suppressOverlap/>
              <w:rPr>
                <w:sz w:val="22"/>
                <w:szCs w:val="22"/>
                <w:lang w:eastAsia="en-GB"/>
              </w:rPr>
            </w:pPr>
            <w:r w:rsidRPr="0047462D">
              <w:rPr>
                <w:sz w:val="22"/>
                <w:szCs w:val="22"/>
                <w:lang w:eastAsia="en-GB"/>
              </w:rPr>
              <w:t>0,39</w:t>
            </w:r>
          </w:p>
          <w:p w14:paraId="706D3619"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eastAsia="en-GB"/>
              </w:rPr>
              <w:t>(0,24, 0,53)</w:t>
            </w:r>
          </w:p>
        </w:tc>
        <w:tc>
          <w:tcPr>
            <w:tcW w:w="1646" w:type="dxa"/>
            <w:tcBorders>
              <w:top w:val="single" w:sz="4" w:space="0" w:color="auto"/>
              <w:bottom w:val="single" w:sz="4" w:space="0" w:color="auto"/>
              <w:right w:val="single" w:sz="4" w:space="0" w:color="auto"/>
            </w:tcBorders>
            <w:shd w:val="clear" w:color="auto" w:fill="auto"/>
          </w:tcPr>
          <w:p w14:paraId="28C1574B"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eastAsia="en-GB"/>
              </w:rPr>
              <w:t>&lt;</w:t>
            </w:r>
            <w:r w:rsidR="00960C81" w:rsidRPr="0047462D">
              <w:rPr>
                <w:sz w:val="22"/>
                <w:szCs w:val="22"/>
                <w:lang w:eastAsia="en-GB"/>
              </w:rPr>
              <w:t> </w:t>
            </w:r>
            <w:r w:rsidRPr="0047462D">
              <w:rPr>
                <w:sz w:val="22"/>
                <w:szCs w:val="22"/>
                <w:lang w:eastAsia="en-GB"/>
              </w:rPr>
              <w:t>0,0001</w:t>
            </w:r>
          </w:p>
        </w:tc>
      </w:tr>
      <w:tr w:rsidR="00A67D3A" w:rsidRPr="0047462D" w14:paraId="5E090CDD"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27FE78CF" w14:textId="2DFCB9D4"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δείκτη μάζας του σώματος (</w:t>
            </w:r>
            <w:r w:rsidRPr="0047462D">
              <w:rPr>
                <w:rFonts w:eastAsia="Times New Roman"/>
                <w:sz w:val="22"/>
                <w:szCs w:val="22"/>
              </w:rPr>
              <w:t>BMI</w:t>
            </w:r>
            <w:r w:rsidRPr="0047462D">
              <w:rPr>
                <w:rFonts w:eastAsia="Times New Roman"/>
                <w:sz w:val="22"/>
                <w:szCs w:val="22"/>
                <w:lang w:val="el-GR"/>
              </w:rPr>
              <w:t xml:space="preserve">) για την ηλικία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8300C7"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bottom w:val="single" w:sz="4" w:space="0" w:color="auto"/>
            </w:tcBorders>
            <w:shd w:val="clear" w:color="auto" w:fill="auto"/>
          </w:tcPr>
          <w:p w14:paraId="686D6FB1" w14:textId="77777777" w:rsidR="00A67D3A" w:rsidRPr="0047462D" w:rsidRDefault="00A67D3A" w:rsidP="00EB5A36">
            <w:pPr>
              <w:pStyle w:val="tabletextcenterjustified"/>
              <w:keepNext/>
              <w:spacing w:before="0" w:after="0"/>
              <w:suppressOverlap/>
              <w:rPr>
                <w:sz w:val="22"/>
                <w:szCs w:val="22"/>
                <w:lang w:val="el-GR"/>
              </w:rPr>
            </w:pPr>
            <w:r w:rsidRPr="0047462D">
              <w:rPr>
                <w:sz w:val="22"/>
                <w:szCs w:val="22"/>
                <w:lang w:val="el-GR"/>
              </w:rPr>
              <w:t>0,33</w:t>
            </w:r>
          </w:p>
          <w:p w14:paraId="4962D8FA"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rPr>
              <w:t>(0,002, 0,65)</w:t>
            </w:r>
          </w:p>
        </w:tc>
        <w:tc>
          <w:tcPr>
            <w:tcW w:w="1339" w:type="dxa"/>
            <w:tcBorders>
              <w:top w:val="single" w:sz="4" w:space="0" w:color="auto"/>
              <w:bottom w:val="single" w:sz="4" w:space="0" w:color="auto"/>
            </w:tcBorders>
            <w:shd w:val="clear" w:color="auto" w:fill="auto"/>
          </w:tcPr>
          <w:p w14:paraId="702ADC70"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0,0490</w:t>
            </w:r>
          </w:p>
        </w:tc>
        <w:tc>
          <w:tcPr>
            <w:tcW w:w="1854" w:type="dxa"/>
            <w:tcBorders>
              <w:top w:val="single" w:sz="4" w:space="0" w:color="auto"/>
              <w:bottom w:val="single" w:sz="4" w:space="0" w:color="auto"/>
            </w:tcBorders>
            <w:shd w:val="clear" w:color="auto" w:fill="auto"/>
          </w:tcPr>
          <w:p w14:paraId="3757AAED" w14:textId="77777777" w:rsidR="00A67D3A" w:rsidRPr="0047462D" w:rsidRDefault="00A67D3A" w:rsidP="00EB5A36">
            <w:pPr>
              <w:pStyle w:val="tabletextcenterjustified"/>
              <w:keepNext/>
              <w:spacing w:before="0" w:after="0"/>
              <w:suppressOverlap/>
              <w:rPr>
                <w:sz w:val="22"/>
                <w:szCs w:val="22"/>
                <w:lang w:val="el-GR" w:eastAsia="en-GB"/>
              </w:rPr>
            </w:pPr>
            <w:r w:rsidRPr="0047462D">
              <w:rPr>
                <w:sz w:val="22"/>
                <w:szCs w:val="22"/>
                <w:lang w:val="el-GR" w:eastAsia="en-GB"/>
              </w:rPr>
              <w:t>0,45</w:t>
            </w:r>
          </w:p>
          <w:p w14:paraId="394511DA"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(0,26, 0,65)</w:t>
            </w:r>
          </w:p>
        </w:tc>
        <w:tc>
          <w:tcPr>
            <w:tcW w:w="1646" w:type="dxa"/>
            <w:tcBorders>
              <w:top w:val="single" w:sz="4" w:space="0" w:color="auto"/>
              <w:bottom w:val="single" w:sz="4" w:space="0" w:color="auto"/>
              <w:right w:val="single" w:sz="4" w:space="0" w:color="auto"/>
            </w:tcBorders>
            <w:shd w:val="clear" w:color="auto" w:fill="auto"/>
          </w:tcPr>
          <w:p w14:paraId="29CAA42D"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r>
    </w:tbl>
    <w:p w14:paraId="3418D71F" w14:textId="65E0E75C" w:rsidR="00EE2A20" w:rsidRPr="0047462D" w:rsidRDefault="00EE2A20" w:rsidP="00EB5A36">
      <w:pPr>
        <w:pStyle w:val="tablefootnote"/>
        <w:keepNext/>
        <w:spacing w:before="120"/>
        <w:ind w:left="86"/>
        <w:rPr>
          <w:rFonts w:eastAsia="Times New Roman"/>
          <w:sz w:val="18"/>
          <w:szCs w:val="18"/>
          <w:vertAlign w:val="superscript"/>
          <w:lang w:val="el-GR"/>
        </w:rPr>
      </w:pPr>
      <w:r w:rsidRPr="0047462D">
        <w:rPr>
          <w:rFonts w:eastAsia="Times New Roman"/>
          <w:sz w:val="18"/>
          <w:szCs w:val="18"/>
        </w:rPr>
        <w:t>CI</w:t>
      </w:r>
      <w:r w:rsidRPr="0047462D">
        <w:rPr>
          <w:rFonts w:eastAsia="Times New Roman"/>
          <w:sz w:val="18"/>
          <w:szCs w:val="18"/>
          <w:lang w:val="el-GR"/>
        </w:rPr>
        <w:t xml:space="preserve">: Διάστημα εμπιστοσύνης, Δ.Α.: Δεν αναλύθηκε λόγω χαμηλής </w:t>
      </w:r>
      <w:r w:rsidR="00BF3654" w:rsidRPr="0047462D">
        <w:rPr>
          <w:rFonts w:eastAsia="Times New Roman"/>
          <w:sz w:val="18"/>
          <w:szCs w:val="18"/>
          <w:lang w:val="el-GR"/>
        </w:rPr>
        <w:t>επίπτωσης</w:t>
      </w:r>
      <w:r w:rsidRPr="0047462D">
        <w:rPr>
          <w:rFonts w:eastAsia="Times New Roman"/>
          <w:sz w:val="18"/>
          <w:szCs w:val="18"/>
          <w:lang w:val="el-GR"/>
        </w:rPr>
        <w:t xml:space="preserve"> συμβαμάτων</w:t>
      </w:r>
    </w:p>
    <w:p w14:paraId="38018964" w14:textId="77777777" w:rsidR="00EE2A20" w:rsidRPr="0047462D" w:rsidRDefault="00EE2A20" w:rsidP="00EB5A36">
      <w:pPr>
        <w:pStyle w:val="tablefootnote"/>
        <w:keepNext/>
        <w:spacing w:after="40"/>
        <w:ind w:left="90"/>
        <w:rPr>
          <w:rFonts w:eastAsia="Times New Roman"/>
          <w:sz w:val="18"/>
          <w:szCs w:val="18"/>
          <w:vertAlign w:val="superscript"/>
          <w:lang w:val="el-GR"/>
        </w:rPr>
      </w:pPr>
      <w:r w:rsidRPr="0047462D">
        <w:rPr>
          <w:rFonts w:eastAsia="Times New Roman"/>
          <w:sz w:val="18"/>
          <w:szCs w:val="18"/>
          <w:vertAlign w:val="superscript"/>
          <w:lang w:val="el-GR"/>
        </w:rPr>
        <w:t>α</w:t>
      </w:r>
      <w:r w:rsidRPr="0047462D">
        <w:rPr>
          <w:rFonts w:eastAsia="Times New Roman"/>
          <w:sz w:val="18"/>
          <w:szCs w:val="18"/>
          <w:vertAlign w:val="superscript"/>
          <w:lang w:val="el-GR"/>
        </w:rPr>
        <w:tab/>
      </w:r>
      <w:r w:rsidRPr="0047462D">
        <w:rPr>
          <w:rFonts w:eastAsia="Times New Roman"/>
          <w:sz w:val="18"/>
          <w:szCs w:val="18"/>
          <w:lang w:val="el-GR"/>
        </w:rPr>
        <w:t>Διαφορά θεραπείας = επίδραση του ivacaftor – επίδραση του εικονικού φαρμάκου</w:t>
      </w:r>
    </w:p>
    <w:p w14:paraId="2E00A5F5" w14:textId="5371D077" w:rsidR="00EE2A20" w:rsidRPr="0047462D" w:rsidRDefault="00EE2A20" w:rsidP="00EB5A36">
      <w:pPr>
        <w:pStyle w:val="tablefootnote"/>
        <w:keepNext/>
        <w:tabs>
          <w:tab w:val="clear" w:pos="288"/>
          <w:tab w:val="left" w:pos="90"/>
        </w:tabs>
        <w:spacing w:after="40"/>
        <w:ind w:left="272" w:hanging="524"/>
        <w:rPr>
          <w:rFonts w:eastAsia="Times New Roman"/>
          <w:sz w:val="18"/>
          <w:szCs w:val="18"/>
          <w:lang w:val="el-GR"/>
        </w:rPr>
      </w:pPr>
      <w:r w:rsidRPr="0047462D">
        <w:rPr>
          <w:rFonts w:eastAsia="Times New Roman"/>
          <w:sz w:val="18"/>
          <w:szCs w:val="18"/>
          <w:vertAlign w:val="superscript"/>
          <w:lang w:val="el-GR"/>
        </w:rPr>
        <w:tab/>
        <w:t>β</w:t>
      </w:r>
      <w:r w:rsidRPr="0047462D">
        <w:rPr>
          <w:rFonts w:eastAsia="Times New Roman"/>
          <w:sz w:val="18"/>
          <w:szCs w:val="18"/>
          <w:lang w:val="el-GR"/>
        </w:rPr>
        <w:tab/>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sz w:val="18"/>
          <w:szCs w:val="18"/>
          <w:lang w:val="el-GR" w:eastAsia="ja-JP"/>
        </w:rPr>
        <w:t xml:space="preserve">: </w:t>
      </w:r>
      <w:r w:rsidRPr="0047462D">
        <w:rPr>
          <w:rFonts w:eastAsia="Times New Roman"/>
          <w:sz w:val="18"/>
          <w:szCs w:val="18"/>
          <w:lang w:val="el-GR"/>
        </w:rPr>
        <w:t>Ερωτηματολόγιο Κυστικής Ίνωσης-Αναθεωρημένο, μια ειδικ</w:t>
      </w:r>
      <w:r w:rsidR="002C3901" w:rsidRPr="0047462D">
        <w:rPr>
          <w:rFonts w:eastAsia="Times New Roman"/>
          <w:sz w:val="18"/>
          <w:szCs w:val="18"/>
          <w:lang w:val="el-GR"/>
        </w:rPr>
        <w:t>ή</w:t>
      </w:r>
      <w:r w:rsidRPr="0047462D">
        <w:rPr>
          <w:rFonts w:eastAsia="Times New Roman"/>
          <w:sz w:val="18"/>
          <w:szCs w:val="18"/>
          <w:lang w:val="el-GR"/>
        </w:rPr>
        <w:t xml:space="preserve"> με την υγεία μέτρηση ποιότητας ζωής για την ΚΙ.</w:t>
      </w:r>
    </w:p>
    <w:p w14:paraId="69EB7FAB" w14:textId="4A1086C3" w:rsidR="00EE2A20" w:rsidRPr="0047462D" w:rsidRDefault="00EE2A20" w:rsidP="00EB5A36">
      <w:pPr>
        <w:pStyle w:val="tablefootnotelast"/>
        <w:keepNext/>
        <w:tabs>
          <w:tab w:val="clear" w:pos="288"/>
          <w:tab w:val="left" w:pos="90"/>
        </w:tabs>
        <w:spacing w:after="40"/>
        <w:ind w:left="272" w:hanging="500"/>
        <w:rPr>
          <w:rFonts w:eastAsia="Times New Roman"/>
          <w:sz w:val="18"/>
          <w:szCs w:val="18"/>
          <w:lang w:val="el-GR"/>
        </w:rPr>
      </w:pPr>
      <w:r w:rsidRPr="0047462D">
        <w:rPr>
          <w:rFonts w:eastAsia="Times New Roman"/>
          <w:sz w:val="18"/>
          <w:szCs w:val="18"/>
          <w:vertAlign w:val="superscript"/>
          <w:lang w:val="el-GR"/>
        </w:rPr>
        <w:tab/>
        <w:t>γ</w:t>
      </w:r>
      <w:r w:rsidRPr="0047462D">
        <w:rPr>
          <w:rFonts w:eastAsia="Times New Roman"/>
          <w:sz w:val="18"/>
          <w:szCs w:val="18"/>
          <w:vertAlign w:val="superscript"/>
          <w:lang w:val="el-GR"/>
        </w:rPr>
        <w:tab/>
      </w:r>
      <w:r w:rsidRPr="0047462D">
        <w:rPr>
          <w:rFonts w:eastAsia="Times New Roman"/>
          <w:sz w:val="18"/>
          <w:szCs w:val="18"/>
          <w:lang w:val="el-GR"/>
        </w:rPr>
        <w:t>Τα δεδομένα της μελέτης</w:t>
      </w:r>
      <w:r w:rsidR="00036D01" w:rsidRPr="0047462D">
        <w:rPr>
          <w:rFonts w:eastAsia="Times New Roman"/>
          <w:sz w:val="18"/>
          <w:szCs w:val="18"/>
          <w:lang w:val="el-GR"/>
        </w:rPr>
        <w:t> </w:t>
      </w:r>
      <w:r w:rsidRPr="0047462D">
        <w:rPr>
          <w:rFonts w:eastAsia="Times New Roman"/>
          <w:sz w:val="18"/>
          <w:szCs w:val="18"/>
          <w:lang w:val="el-GR"/>
        </w:rPr>
        <w:t xml:space="preserve">1 συγκεντρώθηκαν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ενήλικες/εφήβους και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12 έως 13</w:t>
      </w:r>
      <w:r w:rsidR="000D61EB" w:rsidRPr="0047462D">
        <w:rPr>
          <w:rFonts w:eastAsia="Times New Roman"/>
          <w:sz w:val="18"/>
          <w:szCs w:val="18"/>
          <w:lang w:val="el-GR"/>
        </w:rPr>
        <w:t> </w:t>
      </w:r>
      <w:r w:rsidRPr="0047462D">
        <w:rPr>
          <w:rFonts w:eastAsia="Times New Roman"/>
          <w:sz w:val="18"/>
          <w:szCs w:val="18"/>
          <w:lang w:val="el-GR"/>
        </w:rPr>
        <w:t>ετών. Τα δεδομένα της μελέτης</w:t>
      </w:r>
      <w:r w:rsidR="00036D01" w:rsidRPr="0047462D">
        <w:rPr>
          <w:rFonts w:eastAsia="Times New Roman"/>
          <w:sz w:val="18"/>
          <w:szCs w:val="18"/>
          <w:lang w:val="el-GR"/>
        </w:rPr>
        <w:t> </w:t>
      </w:r>
      <w:r w:rsidRPr="0047462D">
        <w:rPr>
          <w:rFonts w:eastAsia="Times New Roman"/>
          <w:sz w:val="18"/>
          <w:szCs w:val="18"/>
          <w:lang w:val="el-GR"/>
        </w:rPr>
        <w:t xml:space="preserve">2 ελήφθησαν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6 έως 11</w:t>
      </w:r>
      <w:r w:rsidR="000D61EB" w:rsidRPr="0047462D">
        <w:rPr>
          <w:rFonts w:eastAsia="Times New Roman"/>
          <w:sz w:val="18"/>
          <w:szCs w:val="18"/>
          <w:lang w:val="el-GR"/>
        </w:rPr>
        <w:t> </w:t>
      </w:r>
      <w:r w:rsidRPr="0047462D">
        <w:rPr>
          <w:rFonts w:eastAsia="Times New Roman"/>
          <w:sz w:val="18"/>
          <w:szCs w:val="18"/>
          <w:lang w:val="el-GR"/>
        </w:rPr>
        <w:t>ετών.</w:t>
      </w:r>
    </w:p>
    <w:p w14:paraId="0A8DB0E5" w14:textId="77777777" w:rsidR="00EE2A20" w:rsidRPr="0047462D" w:rsidRDefault="00EE2A20" w:rsidP="00EB5A36">
      <w:pPr>
        <w:pStyle w:val="tablefootnotelast"/>
        <w:keepNext/>
        <w:spacing w:after="40"/>
        <w:ind w:left="90"/>
        <w:rPr>
          <w:rFonts w:eastAsia="Times New Roman"/>
          <w:sz w:val="18"/>
          <w:szCs w:val="18"/>
          <w:lang w:val="el-GR"/>
        </w:rPr>
      </w:pPr>
      <w:r w:rsidRPr="0047462D">
        <w:rPr>
          <w:rFonts w:eastAsia="Times New Roman"/>
          <w:sz w:val="18"/>
          <w:szCs w:val="18"/>
          <w:vertAlign w:val="superscript"/>
          <w:lang w:val="el-GR"/>
        </w:rPr>
        <w:t>δ</w:t>
      </w:r>
      <w:r w:rsidRPr="0047462D">
        <w:rPr>
          <w:rFonts w:eastAsia="Times New Roman"/>
          <w:sz w:val="18"/>
          <w:szCs w:val="18"/>
          <w:vertAlign w:val="superscript"/>
          <w:lang w:val="el-GR"/>
        </w:rPr>
        <w:tab/>
      </w:r>
      <w:r w:rsidRPr="0047462D">
        <w:rPr>
          <w:rFonts w:eastAsia="Times New Roman"/>
          <w:sz w:val="18"/>
          <w:szCs w:val="18"/>
          <w:lang w:val="el-GR"/>
        </w:rPr>
        <w:t>Σχετικός κίνδυνος για το</w:t>
      </w:r>
      <w:r w:rsidR="00231F00" w:rsidRPr="0047462D">
        <w:rPr>
          <w:rFonts w:eastAsia="Times New Roman"/>
          <w:sz w:val="18"/>
          <w:szCs w:val="18"/>
          <w:lang w:val="el-GR"/>
        </w:rPr>
        <w:t>ν</w:t>
      </w:r>
      <w:r w:rsidRPr="0047462D">
        <w:rPr>
          <w:rFonts w:eastAsia="Times New Roman"/>
          <w:sz w:val="18"/>
          <w:szCs w:val="18"/>
          <w:lang w:val="el-GR"/>
        </w:rPr>
        <w:t xml:space="preserve"> χρόνο έως την πρώτη πνευμονική παρόξυνση</w:t>
      </w:r>
    </w:p>
    <w:p w14:paraId="78C7F8A3" w14:textId="77777777" w:rsidR="00EE2A20" w:rsidRPr="0047462D" w:rsidRDefault="00EE2A20" w:rsidP="00EB5A36">
      <w:pPr>
        <w:ind w:left="90"/>
        <w:rPr>
          <w:sz w:val="18"/>
          <w:szCs w:val="18"/>
        </w:rPr>
      </w:pPr>
      <w:r w:rsidRPr="0047462D">
        <w:rPr>
          <w:rFonts w:eastAsia="Times New Roman"/>
          <w:sz w:val="18"/>
          <w:szCs w:val="18"/>
          <w:vertAlign w:val="superscript"/>
        </w:rPr>
        <w:t>ε</w:t>
      </w:r>
      <w:r w:rsidRPr="0047462D">
        <w:rPr>
          <w:rFonts w:eastAsia="Times New Roman"/>
          <w:sz w:val="18"/>
          <w:szCs w:val="18"/>
          <w:vertAlign w:val="superscript"/>
        </w:rPr>
        <w:tab/>
      </w:r>
      <w:r w:rsidRPr="0047462D">
        <w:rPr>
          <w:rFonts w:eastAsia="Times New Roman"/>
          <w:sz w:val="18"/>
          <w:szCs w:val="18"/>
        </w:rPr>
        <w:t>Σε άτομα ηλικίας κάτω των 20</w:t>
      </w:r>
      <w:r w:rsidR="000D61EB" w:rsidRPr="0047462D">
        <w:rPr>
          <w:rFonts w:eastAsia="Times New Roman"/>
          <w:sz w:val="18"/>
          <w:szCs w:val="18"/>
        </w:rPr>
        <w:t> </w:t>
      </w:r>
      <w:r w:rsidRPr="0047462D">
        <w:rPr>
          <w:rFonts w:eastAsia="Times New Roman"/>
          <w:sz w:val="18"/>
          <w:szCs w:val="18"/>
        </w:rPr>
        <w:t xml:space="preserve">ετών (γραφήματα ανάπτυξης </w:t>
      </w:r>
      <w:r w:rsidRPr="0047462D">
        <w:rPr>
          <w:sz w:val="18"/>
          <w:szCs w:val="18"/>
        </w:rPr>
        <w:t>CDC)</w:t>
      </w:r>
    </w:p>
    <w:p w14:paraId="2A9A6EF1" w14:textId="77777777" w:rsidR="00EE2A20" w:rsidRPr="0047462D" w:rsidRDefault="00EE2A20" w:rsidP="00EE2A20">
      <w:pPr>
        <w:rPr>
          <w:rFonts w:eastAsia="Times New Roman"/>
          <w:szCs w:val="22"/>
        </w:rPr>
      </w:pPr>
    </w:p>
    <w:p w14:paraId="019ED26B" w14:textId="2013A496" w:rsidR="00A67D3A" w:rsidRPr="0047462D" w:rsidRDefault="00ED7342" w:rsidP="00141E57">
      <w:pPr>
        <w:pStyle w:val="labeltext"/>
        <w:keepNext/>
        <w:rPr>
          <w:i/>
          <w:sz w:val="22"/>
          <w:szCs w:val="22"/>
          <w:u w:val="single"/>
          <w:lang w:val="el-GR"/>
        </w:rPr>
      </w:pPr>
      <w:r w:rsidRPr="0047462D">
        <w:rPr>
          <w:rFonts w:eastAsia="Times New Roman"/>
          <w:i/>
          <w:sz w:val="22"/>
          <w:szCs w:val="22"/>
          <w:u w:val="single"/>
          <w:lang w:val="el-GR"/>
        </w:rPr>
        <w:t>Μελέτη</w:t>
      </w:r>
      <w:r w:rsidRPr="0047462D">
        <w:rPr>
          <w:rFonts w:eastAsia="Times New Roman"/>
          <w:i/>
          <w:sz w:val="22"/>
          <w:szCs w:val="22"/>
          <w:u w:val="single"/>
          <w:lang w:val="en-GB"/>
        </w:rPr>
        <w:t> </w:t>
      </w:r>
      <w:r w:rsidRPr="0047462D">
        <w:rPr>
          <w:rFonts w:eastAsia="Times New Roman"/>
          <w:i/>
          <w:sz w:val="22"/>
          <w:szCs w:val="22"/>
          <w:u w:val="single"/>
          <w:lang w:val="el-GR"/>
        </w:rPr>
        <w:t xml:space="preserve">5: μελέτη σε ασθενείς με ΚΙ με </w:t>
      </w:r>
      <w:r w:rsidRPr="0047462D">
        <w:rPr>
          <w:i/>
          <w:sz w:val="22"/>
          <w:szCs w:val="22"/>
          <w:u w:val="single"/>
          <w:lang w:val="el-GR"/>
        </w:rPr>
        <w:t>μη</w:t>
      </w:r>
      <w:r w:rsidR="00C8572A" w:rsidRPr="0047462D">
        <w:rPr>
          <w:i/>
          <w:sz w:val="22"/>
          <w:szCs w:val="22"/>
          <w:u w:val="single"/>
          <w:lang w:val="el-GR"/>
        </w:rPr>
        <w:t xml:space="preserve"> </w:t>
      </w:r>
      <w:r w:rsidRPr="0047462D">
        <w:rPr>
          <w:i/>
          <w:sz w:val="22"/>
          <w:szCs w:val="22"/>
          <w:u w:val="single"/>
        </w:rPr>
        <w:t>G</w:t>
      </w:r>
      <w:r w:rsidRPr="0047462D">
        <w:rPr>
          <w:i/>
          <w:sz w:val="22"/>
          <w:szCs w:val="22"/>
          <w:u w:val="single"/>
          <w:lang w:val="el-GR"/>
        </w:rPr>
        <w:t>551</w:t>
      </w:r>
      <w:r w:rsidRPr="0047462D">
        <w:rPr>
          <w:i/>
          <w:sz w:val="22"/>
          <w:szCs w:val="22"/>
          <w:u w:val="single"/>
        </w:rPr>
        <w:t>D</w:t>
      </w:r>
      <w:r w:rsidRPr="0047462D">
        <w:rPr>
          <w:i/>
          <w:sz w:val="22"/>
          <w:szCs w:val="22"/>
          <w:u w:val="single"/>
          <w:lang w:val="el-GR"/>
        </w:rPr>
        <w:t xml:space="preserve"> </w:t>
      </w:r>
      <w:r w:rsidR="00C8572A" w:rsidRPr="0047462D">
        <w:rPr>
          <w:i/>
          <w:sz w:val="22"/>
          <w:szCs w:val="22"/>
          <w:u w:val="single"/>
          <w:lang w:val="el-GR"/>
        </w:rPr>
        <w:t>«</w:t>
      </w:r>
      <w:r w:rsidRPr="0047462D">
        <w:rPr>
          <w:i/>
          <w:sz w:val="22"/>
          <w:szCs w:val="22"/>
          <w:u w:val="single"/>
        </w:rPr>
        <w:t>gating</w:t>
      </w:r>
      <w:r w:rsidR="00C8572A" w:rsidRPr="0047462D">
        <w:rPr>
          <w:i/>
          <w:sz w:val="22"/>
          <w:szCs w:val="22"/>
          <w:u w:val="single"/>
          <w:lang w:val="el-GR"/>
        </w:rPr>
        <w:t>»</w:t>
      </w:r>
      <w:r w:rsidRPr="0047462D">
        <w:rPr>
          <w:i/>
          <w:sz w:val="22"/>
          <w:szCs w:val="22"/>
          <w:u w:val="single"/>
          <w:lang w:val="el-GR"/>
        </w:rPr>
        <w:t xml:space="preserve"> μεταλλάξεις</w:t>
      </w:r>
    </w:p>
    <w:p w14:paraId="2C9DD4ED" w14:textId="77777777" w:rsidR="00CD4843" w:rsidRPr="0047462D" w:rsidRDefault="00CD4843" w:rsidP="00141E57">
      <w:pPr>
        <w:pStyle w:val="labeltext"/>
        <w:keepNext/>
        <w:rPr>
          <w:rFonts w:eastAsia="Times New Roman"/>
          <w:i/>
          <w:sz w:val="22"/>
          <w:szCs w:val="22"/>
          <w:u w:val="single"/>
          <w:lang w:val="el-GR"/>
        </w:rPr>
      </w:pPr>
    </w:p>
    <w:p w14:paraId="44FB158F" w14:textId="2405E238" w:rsidR="00A67D3A" w:rsidRPr="0047462D" w:rsidRDefault="00A67D3A" w:rsidP="002331FF">
      <w:pPr>
        <w:pStyle w:val="labeltext"/>
        <w:rPr>
          <w:rFonts w:eastAsia="Times New Roman"/>
          <w:sz w:val="22"/>
          <w:szCs w:val="22"/>
          <w:lang w:val="el-GR"/>
        </w:rPr>
      </w:pPr>
      <w:r w:rsidRPr="0047462D">
        <w:rPr>
          <w:rFonts w:eastAsia="Times New Roman"/>
          <w:sz w:val="22"/>
          <w:szCs w:val="22"/>
          <w:lang w:val="el-GR"/>
        </w:rPr>
        <w:t>Η μελέτη</w:t>
      </w:r>
      <w:r w:rsidR="002C32E8" w:rsidRPr="0047462D">
        <w:rPr>
          <w:rFonts w:eastAsia="Times New Roman"/>
          <w:sz w:val="22"/>
          <w:szCs w:val="22"/>
          <w:lang w:val="en-GB"/>
        </w:rPr>
        <w:t> </w:t>
      </w:r>
      <w:r w:rsidRPr="0047462D">
        <w:rPr>
          <w:rFonts w:eastAsia="Times New Roman"/>
          <w:sz w:val="22"/>
          <w:szCs w:val="22"/>
          <w:lang w:val="el-GR"/>
        </w:rPr>
        <w:t xml:space="preserve">5 ήταν μια </w:t>
      </w:r>
      <w:r w:rsidR="00973BAC">
        <w:rPr>
          <w:rFonts w:eastAsia="Times New Roman"/>
          <w:sz w:val="22"/>
          <w:szCs w:val="22"/>
          <w:lang w:val="el-GR"/>
        </w:rPr>
        <w:t>φ</w:t>
      </w:r>
      <w:r w:rsidRPr="0047462D">
        <w:rPr>
          <w:rFonts w:eastAsia="Times New Roman"/>
          <w:sz w:val="22"/>
          <w:szCs w:val="22"/>
          <w:lang w:val="el-GR"/>
        </w:rPr>
        <w:t>άσης</w:t>
      </w:r>
      <w:r w:rsidR="002C32E8" w:rsidRPr="0047462D">
        <w:rPr>
          <w:rFonts w:eastAsia="Times New Roman"/>
          <w:sz w:val="22"/>
          <w:szCs w:val="22"/>
          <w:lang w:val="en-GB"/>
        </w:rPr>
        <w:t> </w:t>
      </w:r>
      <w:r w:rsidRPr="0047462D">
        <w:rPr>
          <w:rFonts w:eastAsia="Times New Roman"/>
          <w:sz w:val="22"/>
          <w:szCs w:val="22"/>
          <w:lang w:val="el-GR"/>
        </w:rPr>
        <w:t>3, δύο μερών, τυχαιοποιημένη, διπλά τυφλή, ελεγχόμενη με εικονικό φάρμακο, διασταυρούμενη μελέτη (μέρος 1), ακολουθούμενη από μια ανοιχτής επισήμανσης περίοδο επέκτασης 16</w:t>
      </w:r>
      <w:r w:rsidR="002C32E8" w:rsidRPr="0047462D">
        <w:rPr>
          <w:rFonts w:eastAsia="Times New Roman"/>
          <w:sz w:val="22"/>
          <w:szCs w:val="22"/>
          <w:lang w:val="en-GB"/>
        </w:rPr>
        <w:t> </w:t>
      </w:r>
      <w:r w:rsidRPr="0047462D">
        <w:rPr>
          <w:rFonts w:eastAsia="Times New Roman"/>
          <w:sz w:val="22"/>
          <w:szCs w:val="22"/>
          <w:lang w:val="el-GR"/>
        </w:rPr>
        <w:t>εβδομάδων (μέρος</w:t>
      </w:r>
      <w:r w:rsidR="002C32E8" w:rsidRPr="0047462D">
        <w:rPr>
          <w:rFonts w:eastAsia="Times New Roman"/>
          <w:sz w:val="22"/>
          <w:szCs w:val="22"/>
          <w:lang w:val="en-GB"/>
        </w:rPr>
        <w:t> </w:t>
      </w:r>
      <w:r w:rsidRPr="0047462D">
        <w:rPr>
          <w:rFonts w:eastAsia="Times New Roman"/>
          <w:sz w:val="22"/>
          <w:szCs w:val="22"/>
          <w:lang w:val="el-GR"/>
        </w:rPr>
        <w:t xml:space="preserve">2), για την αξιολόγηση της αποτελεσματικότητας και της ασφάλειας του </w:t>
      </w:r>
      <w:r w:rsidRPr="0047462D">
        <w:rPr>
          <w:rFonts w:eastAsia="Times New Roman"/>
          <w:bCs/>
          <w:sz w:val="22"/>
          <w:szCs w:val="22"/>
          <w:lang w:val="el-GR"/>
        </w:rPr>
        <w:t xml:space="preserve">ivacaftor σε ασθενείς με ΚΙ, ηλικίας 6 ετών και άνω, οι οποίοι έχουν </w:t>
      </w:r>
      <w:r w:rsidR="00582F38" w:rsidRPr="0047462D">
        <w:rPr>
          <w:rFonts w:eastAsia="Times New Roman"/>
          <w:bCs/>
          <w:sz w:val="22"/>
          <w:szCs w:val="22"/>
          <w:lang w:val="el-GR"/>
        </w:rPr>
        <w:t xml:space="preserve">μια μετάλλαξη </w:t>
      </w:r>
      <w:r w:rsidR="00582F38" w:rsidRPr="0047462D">
        <w:rPr>
          <w:i/>
          <w:sz w:val="22"/>
          <w:szCs w:val="22"/>
        </w:rPr>
        <w:t>G</w:t>
      </w:r>
      <w:r w:rsidR="00582F38" w:rsidRPr="0047462D">
        <w:rPr>
          <w:i/>
          <w:sz w:val="22"/>
          <w:szCs w:val="22"/>
          <w:lang w:val="el-GR"/>
        </w:rPr>
        <w:t>970</w:t>
      </w:r>
      <w:r w:rsidR="00582F38" w:rsidRPr="0047462D">
        <w:rPr>
          <w:i/>
          <w:sz w:val="22"/>
          <w:szCs w:val="22"/>
        </w:rPr>
        <w:t>R</w:t>
      </w:r>
      <w:r w:rsidR="00582F38" w:rsidRPr="0047462D">
        <w:rPr>
          <w:rFonts w:eastAsia="Times New Roman"/>
          <w:bCs/>
          <w:sz w:val="22"/>
          <w:szCs w:val="22"/>
          <w:lang w:val="el-GR"/>
        </w:rPr>
        <w:t xml:space="preserve"> ή </w:t>
      </w:r>
      <w:r w:rsidRPr="0047462D">
        <w:rPr>
          <w:rFonts w:eastAsia="Times New Roman"/>
          <w:bCs/>
          <w:sz w:val="22"/>
          <w:szCs w:val="22"/>
          <w:lang w:val="el-GR"/>
        </w:rPr>
        <w:t xml:space="preserve">μια </w:t>
      </w:r>
      <w:r w:rsidRPr="0047462D">
        <w:rPr>
          <w:sz w:val="22"/>
          <w:szCs w:val="22"/>
          <w:lang w:val="el-GR"/>
        </w:rPr>
        <w:t xml:space="preserve">μη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3C33A7" w:rsidRPr="0047462D">
        <w:rPr>
          <w:sz w:val="22"/>
          <w:szCs w:val="22"/>
          <w:lang w:val="el-GR"/>
        </w:rPr>
        <w:t>«</w:t>
      </w:r>
      <w:r w:rsidRPr="0047462D">
        <w:rPr>
          <w:sz w:val="22"/>
          <w:szCs w:val="22"/>
        </w:rPr>
        <w:t>gating</w:t>
      </w:r>
      <w:r w:rsidR="003C33A7" w:rsidRPr="0047462D">
        <w:rPr>
          <w:sz w:val="22"/>
          <w:szCs w:val="22"/>
          <w:lang w:val="el-GR"/>
        </w:rPr>
        <w:t>»</w:t>
      </w:r>
      <w:r w:rsidRPr="0047462D">
        <w:rPr>
          <w:sz w:val="22"/>
          <w:szCs w:val="22"/>
          <w:lang w:val="el-GR"/>
        </w:rPr>
        <w:t xml:space="preserve"> μετάλλαξη στο γονίδιο </w:t>
      </w:r>
      <w:r w:rsidRPr="0047462D">
        <w:rPr>
          <w:i/>
          <w:sz w:val="22"/>
          <w:szCs w:val="22"/>
        </w:rPr>
        <w:t>CFTR</w:t>
      </w:r>
      <w:r w:rsidRPr="0047462D">
        <w:rPr>
          <w:i/>
          <w:sz w:val="22"/>
          <w:szCs w:val="22"/>
          <w:lang w:val="el-GR"/>
        </w:rPr>
        <w:t xml:space="preserve"> </w:t>
      </w:r>
      <w:r w:rsidRPr="0047462D">
        <w:rPr>
          <w:bCs/>
          <w:sz w:val="22"/>
          <w:szCs w:val="22"/>
          <w:lang w:val="el-GR"/>
        </w:rPr>
        <w:t>(</w:t>
      </w:r>
      <w:r w:rsidRPr="0047462D">
        <w:rPr>
          <w:bCs/>
          <w:i/>
          <w:sz w:val="22"/>
          <w:szCs w:val="22"/>
        </w:rPr>
        <w:t>G</w:t>
      </w:r>
      <w:r w:rsidRPr="0047462D">
        <w:rPr>
          <w:bCs/>
          <w:i/>
          <w:sz w:val="22"/>
          <w:szCs w:val="22"/>
          <w:lang w:val="el-GR"/>
        </w:rPr>
        <w:t>178</w:t>
      </w:r>
      <w:r w:rsidRPr="0047462D">
        <w:rPr>
          <w:bCs/>
          <w:i/>
          <w:sz w:val="22"/>
          <w:szCs w:val="22"/>
        </w:rPr>
        <w:t>R</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R</w:t>
      </w:r>
      <w:r w:rsidRPr="0047462D">
        <w:rPr>
          <w:bCs/>
          <w:i/>
          <w:sz w:val="22"/>
          <w:szCs w:val="22"/>
          <w:lang w:val="el-GR"/>
        </w:rPr>
        <w:t xml:space="preserve">, </w:t>
      </w:r>
      <w:r w:rsidRPr="0047462D">
        <w:rPr>
          <w:bCs/>
          <w:i/>
          <w:sz w:val="22"/>
          <w:szCs w:val="22"/>
        </w:rPr>
        <w:t>G</w:t>
      </w:r>
      <w:r w:rsidRPr="0047462D">
        <w:rPr>
          <w:bCs/>
          <w:i/>
          <w:sz w:val="22"/>
          <w:szCs w:val="22"/>
          <w:lang w:val="el-GR"/>
        </w:rPr>
        <w:t>551</w:t>
      </w:r>
      <w:r w:rsidRPr="0047462D">
        <w:rPr>
          <w:bCs/>
          <w:i/>
          <w:sz w:val="22"/>
          <w:szCs w:val="22"/>
        </w:rPr>
        <w:t>S</w:t>
      </w:r>
      <w:r w:rsidRPr="0047462D">
        <w:rPr>
          <w:bCs/>
          <w:i/>
          <w:sz w:val="22"/>
          <w:szCs w:val="22"/>
          <w:lang w:val="el-GR"/>
        </w:rPr>
        <w:t xml:space="preserve">, </w:t>
      </w:r>
      <w:r w:rsidRPr="0047462D">
        <w:rPr>
          <w:bCs/>
          <w:i/>
          <w:sz w:val="22"/>
          <w:szCs w:val="22"/>
        </w:rPr>
        <w:t>G</w:t>
      </w:r>
      <w:r w:rsidRPr="0047462D">
        <w:rPr>
          <w:bCs/>
          <w:i/>
          <w:sz w:val="22"/>
          <w:szCs w:val="22"/>
          <w:lang w:val="el-GR"/>
        </w:rPr>
        <w:t>1244</w:t>
      </w:r>
      <w:r w:rsidRPr="0047462D">
        <w:rPr>
          <w:bCs/>
          <w:i/>
          <w:sz w:val="22"/>
          <w:szCs w:val="22"/>
        </w:rPr>
        <w:t>E</w:t>
      </w:r>
      <w:r w:rsidRPr="0047462D">
        <w:rPr>
          <w:bCs/>
          <w:i/>
          <w:sz w:val="22"/>
          <w:szCs w:val="22"/>
          <w:lang w:val="el-GR"/>
        </w:rPr>
        <w:t xml:space="preserve">, </w:t>
      </w:r>
      <w:r w:rsidRPr="0047462D">
        <w:rPr>
          <w:bCs/>
          <w:i/>
          <w:sz w:val="22"/>
          <w:szCs w:val="22"/>
        </w:rPr>
        <w:t>S</w:t>
      </w:r>
      <w:r w:rsidRPr="0047462D">
        <w:rPr>
          <w:bCs/>
          <w:i/>
          <w:sz w:val="22"/>
          <w:szCs w:val="22"/>
          <w:lang w:val="el-GR"/>
        </w:rPr>
        <w:t>1251</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1255</w:t>
      </w:r>
      <w:r w:rsidRPr="0047462D">
        <w:rPr>
          <w:bCs/>
          <w:i/>
          <w:sz w:val="22"/>
          <w:szCs w:val="22"/>
        </w:rPr>
        <w:t>P</w:t>
      </w:r>
      <w:r w:rsidRPr="0047462D">
        <w:rPr>
          <w:bCs/>
          <w:sz w:val="22"/>
          <w:szCs w:val="22"/>
          <w:lang w:val="el-GR"/>
        </w:rPr>
        <w:t xml:space="preserve"> ή</w:t>
      </w:r>
      <w:r w:rsidRPr="0047462D">
        <w:rPr>
          <w:bCs/>
          <w:i/>
          <w:sz w:val="22"/>
          <w:szCs w:val="22"/>
          <w:lang w:val="el-GR"/>
        </w:rPr>
        <w:t xml:space="preserve"> </w:t>
      </w:r>
      <w:r w:rsidRPr="0047462D">
        <w:rPr>
          <w:bCs/>
          <w:i/>
          <w:sz w:val="22"/>
          <w:szCs w:val="22"/>
        </w:rPr>
        <w:t>G</w:t>
      </w:r>
      <w:r w:rsidRPr="0047462D">
        <w:rPr>
          <w:bCs/>
          <w:i/>
          <w:sz w:val="22"/>
          <w:szCs w:val="22"/>
          <w:lang w:val="el-GR"/>
        </w:rPr>
        <w:t>1349</w:t>
      </w:r>
      <w:r w:rsidRPr="0047462D">
        <w:rPr>
          <w:bCs/>
          <w:i/>
          <w:sz w:val="22"/>
          <w:szCs w:val="22"/>
        </w:rPr>
        <w:t>D</w:t>
      </w:r>
      <w:r w:rsidRPr="0047462D">
        <w:rPr>
          <w:bCs/>
          <w:sz w:val="22"/>
          <w:szCs w:val="22"/>
          <w:lang w:val="el-GR"/>
        </w:rPr>
        <w:t>)</w:t>
      </w:r>
      <w:r w:rsidRPr="0047462D">
        <w:rPr>
          <w:sz w:val="22"/>
          <w:szCs w:val="22"/>
          <w:lang w:val="el-GR"/>
        </w:rPr>
        <w:t>.</w:t>
      </w:r>
    </w:p>
    <w:p w14:paraId="6F76DBC0" w14:textId="77777777" w:rsidR="00A67D3A" w:rsidRPr="0047462D" w:rsidRDefault="00A67D3A">
      <w:pPr>
        <w:pStyle w:val="labeltext"/>
        <w:rPr>
          <w:rFonts w:eastAsia="Times New Roman"/>
          <w:sz w:val="22"/>
          <w:szCs w:val="22"/>
          <w:u w:val="single"/>
          <w:lang w:val="el-GR"/>
        </w:rPr>
      </w:pPr>
    </w:p>
    <w:p w14:paraId="3DD94106" w14:textId="2690DFD2" w:rsidR="00A67D3A" w:rsidRPr="0047462D" w:rsidRDefault="00A67D3A" w:rsidP="002C32E8">
      <w:pPr>
        <w:pStyle w:val="labeltext"/>
        <w:rPr>
          <w:rFonts w:eastAsia="Times New Roman"/>
          <w:sz w:val="22"/>
          <w:szCs w:val="22"/>
          <w:u w:val="single"/>
          <w:lang w:val="el-GR"/>
        </w:rPr>
      </w:pPr>
      <w:r w:rsidRPr="0047462D">
        <w:rPr>
          <w:rFonts w:eastAsia="Times New Roman"/>
          <w:sz w:val="22"/>
          <w:szCs w:val="22"/>
          <w:lang w:val="el-GR"/>
        </w:rPr>
        <w:t xml:space="preserve">Στο μέρος 1, οι ασθενείς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3C33A7" w:rsidRPr="0047462D">
        <w:rPr>
          <w:rFonts w:eastAsia="Times New Roman"/>
          <w:sz w:val="22"/>
          <w:szCs w:val="22"/>
          <w:lang w:val="el-GR"/>
        </w:rPr>
        <w:t xml:space="preserve">περιείχαν </w:t>
      </w:r>
      <w:r w:rsidRPr="0047462D">
        <w:rPr>
          <w:rFonts w:eastAsia="Times New Roman"/>
          <w:sz w:val="22"/>
          <w:szCs w:val="22"/>
          <w:lang w:val="el-GR"/>
        </w:rPr>
        <w:t>λίπος</w:t>
      </w:r>
      <w:r w:rsidR="003C33A7" w:rsidRPr="0047462D">
        <w:rPr>
          <w:rFonts w:eastAsia="Times New Roman"/>
          <w:sz w:val="22"/>
          <w:szCs w:val="22"/>
          <w:lang w:val="el-GR"/>
        </w:rPr>
        <w:t>,</w:t>
      </w:r>
      <w:r w:rsidRPr="0047462D">
        <w:rPr>
          <w:rFonts w:eastAsia="Times New Roman"/>
          <w:sz w:val="22"/>
          <w:szCs w:val="22"/>
          <w:lang w:val="el-GR"/>
        </w:rPr>
        <w:t xml:space="preserve"> για 8 εβδομάδες επιπρόσθετα με τις συνταγογραφηθείσες για την ΚΙ θεραπείες τους, και μεταφέρθηκαν στην άλλη θεραπεία για τις δεύτερες 8</w:t>
      </w:r>
      <w:r w:rsidR="002C32E8" w:rsidRPr="0047462D">
        <w:rPr>
          <w:rFonts w:eastAsia="Times New Roman"/>
          <w:sz w:val="22"/>
          <w:szCs w:val="22"/>
          <w:lang w:val="en-GB"/>
        </w:rPr>
        <w:t> </w:t>
      </w:r>
      <w:r w:rsidRPr="0047462D">
        <w:rPr>
          <w:rFonts w:eastAsia="Times New Roman"/>
          <w:sz w:val="22"/>
          <w:szCs w:val="22"/>
          <w:lang w:val="el-GR"/>
        </w:rPr>
        <w:t>εβδομάδες μετά από μια περίοδο κάθαρσης διάρκειας 4 έως 8</w:t>
      </w:r>
      <w:r w:rsidR="002C32E8" w:rsidRPr="0047462D">
        <w:rPr>
          <w:rFonts w:eastAsia="Times New Roman"/>
          <w:sz w:val="22"/>
          <w:szCs w:val="22"/>
          <w:lang w:val="en-GB"/>
        </w:rPr>
        <w:t> </w:t>
      </w:r>
      <w:r w:rsidRPr="0047462D">
        <w:rPr>
          <w:rFonts w:eastAsia="Times New Roman"/>
          <w:sz w:val="22"/>
          <w:szCs w:val="22"/>
          <w:lang w:val="el-GR"/>
        </w:rPr>
        <w:t>εβδομάδων. Η χρήση εισπνεόμενου υπερτονικού αλατούχου διαλύματος δεν επιτρεπόταν.</w:t>
      </w:r>
      <w:r w:rsidRPr="0047462D">
        <w:rPr>
          <w:bCs/>
          <w:sz w:val="22"/>
          <w:szCs w:val="22"/>
          <w:lang w:val="el-GR"/>
        </w:rPr>
        <w:t xml:space="preserve"> Στο μέρος</w:t>
      </w:r>
      <w:r w:rsidR="002C32E8" w:rsidRPr="0047462D">
        <w:rPr>
          <w:bCs/>
          <w:sz w:val="22"/>
          <w:szCs w:val="22"/>
          <w:lang w:val="en-GB"/>
        </w:rPr>
        <w:t> </w:t>
      </w:r>
      <w:r w:rsidRPr="0047462D">
        <w:rPr>
          <w:bCs/>
          <w:sz w:val="22"/>
          <w:szCs w:val="22"/>
          <w:lang w:val="el-GR"/>
        </w:rPr>
        <w:t xml:space="preserve">2, όλοι οι ασθενείς έλαβαν </w:t>
      </w:r>
      <w:r w:rsidRPr="0047462D">
        <w:rPr>
          <w:bCs/>
          <w:sz w:val="22"/>
          <w:szCs w:val="22"/>
        </w:rPr>
        <w:t>ivacaftor</w:t>
      </w:r>
      <w:r w:rsidRPr="0047462D">
        <w:rPr>
          <w:bCs/>
          <w:sz w:val="22"/>
          <w:szCs w:val="22"/>
          <w:lang w:val="el-GR"/>
        </w:rPr>
        <w:t xml:space="preserve"> όπως αναφέρεται στο μέρος</w:t>
      </w:r>
      <w:r w:rsidR="002C32E8" w:rsidRPr="0047462D">
        <w:rPr>
          <w:bCs/>
          <w:sz w:val="22"/>
          <w:szCs w:val="22"/>
          <w:lang w:val="en-GB"/>
        </w:rPr>
        <w:t> </w:t>
      </w:r>
      <w:r w:rsidRPr="0047462D">
        <w:rPr>
          <w:bCs/>
          <w:sz w:val="22"/>
          <w:szCs w:val="22"/>
          <w:lang w:val="el-GR"/>
        </w:rPr>
        <w:t xml:space="preserve">1 για 16 πρόσθετες εβδομάδες. Η διάρκεια της συνεχούς θεραπείας με </w:t>
      </w:r>
      <w:r w:rsidRPr="0047462D">
        <w:rPr>
          <w:bCs/>
          <w:sz w:val="22"/>
          <w:szCs w:val="22"/>
        </w:rPr>
        <w:t>ivacaftor</w:t>
      </w:r>
      <w:r w:rsidRPr="0047462D">
        <w:rPr>
          <w:bCs/>
          <w:sz w:val="22"/>
          <w:szCs w:val="22"/>
          <w:lang w:val="el-GR"/>
        </w:rPr>
        <w:t xml:space="preserve"> ήταν 24</w:t>
      </w:r>
      <w:r w:rsidR="002C32E8" w:rsidRPr="0047462D">
        <w:rPr>
          <w:bCs/>
          <w:sz w:val="22"/>
          <w:szCs w:val="22"/>
          <w:lang w:val="en-GB"/>
        </w:rPr>
        <w:t> </w:t>
      </w:r>
      <w:r w:rsidRPr="0047462D">
        <w:rPr>
          <w:bCs/>
          <w:sz w:val="22"/>
          <w:szCs w:val="22"/>
          <w:lang w:val="el-GR"/>
        </w:rPr>
        <w:t>εβδομάδες για τους ασθενείς που τυχαιοποιήθηκαν στο μέρος</w:t>
      </w:r>
      <w:r w:rsidR="002C32E8" w:rsidRPr="0047462D">
        <w:rPr>
          <w:bCs/>
          <w:sz w:val="22"/>
          <w:szCs w:val="22"/>
          <w:lang w:val="en-GB"/>
        </w:rPr>
        <w:t> </w:t>
      </w:r>
      <w:r w:rsidRPr="0047462D">
        <w:rPr>
          <w:bCs/>
          <w:sz w:val="22"/>
          <w:szCs w:val="22"/>
          <w:lang w:val="el-GR"/>
        </w:rPr>
        <w:t>1 με την ακολουθία θεραπείας εικονικού φαρμάκου/</w:t>
      </w:r>
      <w:r w:rsidRPr="0047462D">
        <w:rPr>
          <w:bCs/>
          <w:sz w:val="22"/>
          <w:szCs w:val="22"/>
        </w:rPr>
        <w:t>ivacaftor</w:t>
      </w:r>
      <w:r w:rsidRPr="0047462D">
        <w:rPr>
          <w:bCs/>
          <w:sz w:val="22"/>
          <w:szCs w:val="22"/>
          <w:lang w:val="el-GR"/>
        </w:rPr>
        <w:t xml:space="preserve"> και 16</w:t>
      </w:r>
      <w:r w:rsidR="002C32E8" w:rsidRPr="0047462D">
        <w:rPr>
          <w:bCs/>
          <w:sz w:val="22"/>
          <w:szCs w:val="22"/>
          <w:lang w:val="en-GB"/>
        </w:rPr>
        <w:t> </w:t>
      </w:r>
      <w:r w:rsidRPr="0047462D">
        <w:rPr>
          <w:bCs/>
          <w:sz w:val="22"/>
          <w:szCs w:val="22"/>
          <w:lang w:val="el-GR"/>
        </w:rPr>
        <w:t>εβδομάδες για τους ασθενείς που τυχαιοποιήθηκαν στο μέρος</w:t>
      </w:r>
      <w:r w:rsidR="002C32E8" w:rsidRPr="0047462D">
        <w:rPr>
          <w:bCs/>
          <w:sz w:val="22"/>
          <w:szCs w:val="22"/>
          <w:lang w:val="en-GB"/>
        </w:rPr>
        <w:t> </w:t>
      </w:r>
      <w:r w:rsidRPr="0047462D">
        <w:rPr>
          <w:bCs/>
          <w:sz w:val="22"/>
          <w:szCs w:val="22"/>
          <w:lang w:val="el-GR"/>
        </w:rPr>
        <w:t xml:space="preserve">1 με την ακολουθία θεραπείας </w:t>
      </w:r>
      <w:r w:rsidRPr="0047462D">
        <w:rPr>
          <w:bCs/>
          <w:sz w:val="22"/>
          <w:szCs w:val="22"/>
        </w:rPr>
        <w:t>ivacaftor</w:t>
      </w:r>
      <w:r w:rsidRPr="0047462D">
        <w:rPr>
          <w:bCs/>
          <w:sz w:val="22"/>
          <w:szCs w:val="22"/>
          <w:lang w:val="el-GR"/>
        </w:rPr>
        <w:t>/εικονικού φαρμάκου.</w:t>
      </w:r>
    </w:p>
    <w:p w14:paraId="52A048CA" w14:textId="77777777" w:rsidR="00A67D3A" w:rsidRPr="0047462D" w:rsidRDefault="00A67D3A">
      <w:pPr>
        <w:pStyle w:val="labeltext"/>
        <w:rPr>
          <w:rFonts w:eastAsia="Times New Roman"/>
          <w:sz w:val="22"/>
          <w:szCs w:val="22"/>
          <w:u w:val="single"/>
          <w:lang w:val="el-GR"/>
        </w:rPr>
      </w:pPr>
    </w:p>
    <w:p w14:paraId="6A153D67" w14:textId="27E290E4" w:rsidR="00A67D3A" w:rsidRPr="0047462D" w:rsidRDefault="00A67D3A" w:rsidP="002C32E8">
      <w:r w:rsidRPr="0047462D">
        <w:rPr>
          <w:bCs/>
        </w:rPr>
        <w:t>Τριάντα εννέα ασθενείς (μέση ηλικία 23 έτη) με τιμή αναφοράς για τον FEV</w:t>
      </w:r>
      <w:r w:rsidRPr="0047462D">
        <w:rPr>
          <w:bCs/>
          <w:vertAlign w:val="subscript"/>
        </w:rPr>
        <w:t>1</w:t>
      </w:r>
      <w:r w:rsidRPr="0047462D">
        <w:rPr>
          <w:bCs/>
        </w:rPr>
        <w:t xml:space="preserve"> ≥</w:t>
      </w:r>
      <w:r w:rsidR="009A7400" w:rsidRPr="0047462D">
        <w:rPr>
          <w:bCs/>
          <w:lang w:val="en-US"/>
        </w:rPr>
        <w:t> </w:t>
      </w:r>
      <w:r w:rsidRPr="0047462D">
        <w:rPr>
          <w:bCs/>
        </w:rPr>
        <w:t>40% του προβλεπόμενου (μέσος FEV</w:t>
      </w:r>
      <w:r w:rsidRPr="0047462D">
        <w:rPr>
          <w:bCs/>
          <w:vertAlign w:val="subscript"/>
        </w:rPr>
        <w:t>1</w:t>
      </w:r>
      <w:r w:rsidRPr="0047462D">
        <w:rPr>
          <w:bCs/>
        </w:rPr>
        <w:t xml:space="preserve"> 78% του προβλεπόμενου [εύρος: 43% έως 119%</w:t>
      </w:r>
      <w:r w:rsidRPr="0047462D">
        <w:rPr>
          <w:bCs/>
          <w:szCs w:val="22"/>
        </w:rPr>
        <w:t>])</w:t>
      </w:r>
      <w:r w:rsidRPr="0047462D">
        <w:rPr>
          <w:bCs/>
        </w:rPr>
        <w:t xml:space="preserve"> εισήχθησαν. Εξήντα δύο τοις εκατό (24/39) από αυτούς έφεραν τη μετάλλαξη </w:t>
      </w:r>
      <w:r w:rsidRPr="0047462D">
        <w:rPr>
          <w:bCs/>
          <w:i/>
          <w:szCs w:val="22"/>
        </w:rPr>
        <w:t>F508del</w:t>
      </w:r>
      <w:r w:rsidRPr="0047462D">
        <w:rPr>
          <w:bCs/>
          <w:szCs w:val="22"/>
        </w:rPr>
        <w:t>-</w:t>
      </w:r>
      <w:r w:rsidRPr="0047462D">
        <w:rPr>
          <w:bCs/>
          <w:i/>
          <w:szCs w:val="22"/>
        </w:rPr>
        <w:t>CFTR</w:t>
      </w:r>
      <w:r w:rsidRPr="0047462D">
        <w:rPr>
          <w:bCs/>
        </w:rPr>
        <w:t xml:space="preserve"> στο δεύτερο αλληλόμορφο. Συνολικά, 36</w:t>
      </w:r>
      <w:r w:rsidR="002C32E8" w:rsidRPr="0047462D">
        <w:rPr>
          <w:bCs/>
          <w:lang w:val="en-GB"/>
        </w:rPr>
        <w:t> </w:t>
      </w:r>
      <w:r w:rsidRPr="0047462D">
        <w:rPr>
          <w:bCs/>
        </w:rPr>
        <w:t>ασθενείς συνέχισαν στο μέρος 2 (18 ανά ακολουθία θεραπείας).</w:t>
      </w:r>
    </w:p>
    <w:p w14:paraId="4BE19852" w14:textId="77777777" w:rsidR="00A67D3A" w:rsidRPr="0047462D" w:rsidRDefault="00A67D3A">
      <w:pPr>
        <w:pStyle w:val="labeltext"/>
        <w:rPr>
          <w:rFonts w:eastAsia="Times New Roman"/>
          <w:sz w:val="22"/>
          <w:szCs w:val="22"/>
          <w:u w:val="single"/>
          <w:lang w:val="el-GR"/>
        </w:rPr>
      </w:pPr>
    </w:p>
    <w:p w14:paraId="289D5DF4" w14:textId="60DA9EA0" w:rsidR="00A67D3A" w:rsidRPr="0047462D" w:rsidRDefault="00A67D3A">
      <w:r w:rsidRPr="0047462D">
        <w:rPr>
          <w:bCs/>
        </w:rPr>
        <w:t>Στο μέρος</w:t>
      </w:r>
      <w:r w:rsidR="002C32E8" w:rsidRPr="0047462D">
        <w:rPr>
          <w:bCs/>
          <w:lang w:val="en-GB"/>
        </w:rPr>
        <w:t> </w:t>
      </w:r>
      <w:r w:rsidRPr="0047462D">
        <w:rPr>
          <w:bCs/>
        </w:rPr>
        <w:t>1 της μελέτης</w:t>
      </w:r>
      <w:r w:rsidR="002C32E8" w:rsidRPr="0047462D">
        <w:rPr>
          <w:bCs/>
          <w:lang w:val="en-GB"/>
        </w:rPr>
        <w:t> </w:t>
      </w:r>
      <w:r w:rsidRPr="0047462D">
        <w:rPr>
          <w:bCs/>
        </w:rPr>
        <w:t>5, το μέσο ποσοστό προβλεπόμενου FEV</w:t>
      </w:r>
      <w:r w:rsidRPr="0047462D">
        <w:rPr>
          <w:bCs/>
          <w:vertAlign w:val="subscript"/>
        </w:rPr>
        <w:t>1</w:t>
      </w:r>
      <w:r w:rsidRPr="0047462D">
        <w:rPr>
          <w:bCs/>
        </w:rPr>
        <w:t xml:space="preserve"> στην τιμή αναφοράς σε ασθενείς υπό αγωγή με εικονικό φάρμακο ήταν 79,3%, ενώ σε ασθενείς υπό αγωγή με ivacaftor αυτή η τιμή ήταν 76,4%. Η μέση συνολική τιμή μετά την </w:t>
      </w:r>
      <w:r w:rsidR="00163C1F" w:rsidRPr="0047462D">
        <w:rPr>
          <w:bCs/>
        </w:rPr>
        <w:t xml:space="preserve">έναρξη </w:t>
      </w:r>
      <w:r w:rsidRPr="0047462D">
        <w:rPr>
          <w:bCs/>
        </w:rPr>
        <w:t xml:space="preserve">ήταν 76,0% και 83,7%, αντίστοιχα. Η μέση απόλυτη </w:t>
      </w:r>
      <w:r w:rsidR="0065349C" w:rsidRPr="0047462D">
        <w:rPr>
          <w:rFonts w:eastAsia="Times New Roman"/>
          <w:szCs w:val="22"/>
        </w:rPr>
        <w:t>μεταβολή</w:t>
      </w:r>
      <w:r w:rsidR="0065349C" w:rsidRPr="0047462D">
        <w:rPr>
          <w:bCs/>
        </w:rPr>
        <w:t xml:space="preserve"> </w:t>
      </w:r>
      <w:r w:rsidRPr="0047462D">
        <w:rPr>
          <w:bCs/>
        </w:rPr>
        <w:t xml:space="preserve">από την τιμή αναφοράς έως την </w:t>
      </w:r>
      <w:r w:rsidR="00925C73" w:rsidRPr="0047462D">
        <w:rPr>
          <w:bCs/>
        </w:rPr>
        <w:t>ε</w:t>
      </w:r>
      <w:r w:rsidR="008300C7" w:rsidRPr="0047462D">
        <w:rPr>
          <w:bCs/>
        </w:rPr>
        <w:t>βδομάδα</w:t>
      </w:r>
      <w:r w:rsidR="00DB547B" w:rsidRPr="0047462D">
        <w:rPr>
          <w:rFonts w:eastAsia="Times New Roman"/>
          <w:szCs w:val="22"/>
        </w:rPr>
        <w:t> </w:t>
      </w:r>
      <w:r w:rsidRPr="0047462D">
        <w:rPr>
          <w:bCs/>
        </w:rPr>
        <w:t>8 στο ποσοστό προβλεπόμενου FEV</w:t>
      </w:r>
      <w:r w:rsidRPr="0047462D">
        <w:rPr>
          <w:bCs/>
          <w:vertAlign w:val="subscript"/>
        </w:rPr>
        <w:t>1</w:t>
      </w:r>
      <w:r w:rsidRPr="0047462D">
        <w:rPr>
          <w:bCs/>
        </w:rPr>
        <w:t xml:space="preserve"> (πρωτεύον τελικό σημείο αποτελεσματικότητας) ήταν 7,5% στην περίοδο του ivacaftor και -3,2% στην περίοδο του εικονικού φαρμάκου. Η παρατηρούμενη διαφορά θεραπείας (95% CI) μεταξύ του ivacaftor και του εικονικού φαρμάκου ήταν 10,7% (7,3, 14,1) (</w:t>
      </w:r>
      <w:r w:rsidRPr="0047462D">
        <w:rPr>
          <w:i/>
          <w:iCs/>
        </w:rPr>
        <w:t>P</w:t>
      </w:r>
      <w:r w:rsidR="00163C1F" w:rsidRPr="0047462D">
        <w:rPr>
          <w:i/>
          <w:iCs/>
        </w:rPr>
        <w:t> </w:t>
      </w:r>
      <w:r w:rsidR="00CF4325" w:rsidRPr="0047462D">
        <w:t>&lt;</w:t>
      </w:r>
      <w:r w:rsidR="00163C1F" w:rsidRPr="0047462D">
        <w:t> </w:t>
      </w:r>
      <w:r w:rsidRPr="0047462D">
        <w:rPr>
          <w:bCs/>
        </w:rPr>
        <w:t>0,0001).</w:t>
      </w:r>
    </w:p>
    <w:p w14:paraId="382A1D27" w14:textId="77777777" w:rsidR="00A67D3A" w:rsidRPr="0047462D" w:rsidRDefault="00A67D3A">
      <w:pPr>
        <w:pStyle w:val="labeltext"/>
        <w:rPr>
          <w:rFonts w:eastAsia="Times New Roman"/>
          <w:sz w:val="22"/>
          <w:szCs w:val="22"/>
          <w:u w:val="single"/>
          <w:lang w:val="el-GR"/>
        </w:rPr>
      </w:pPr>
    </w:p>
    <w:p w14:paraId="42AD2DE5" w14:textId="09F4AA31" w:rsidR="00A67D3A" w:rsidRPr="0047462D" w:rsidRDefault="00A67D3A">
      <w:pPr>
        <w:rPr>
          <w:bCs/>
        </w:rPr>
      </w:pPr>
      <w:r w:rsidRPr="0047462D">
        <w:rPr>
          <w:bCs/>
        </w:rPr>
        <w:t>Η επίδραση του ivacaftor στο συνολικό πληθυσμό της μελέτης</w:t>
      </w:r>
      <w:r w:rsidR="00036D01" w:rsidRPr="0047462D">
        <w:rPr>
          <w:bCs/>
        </w:rPr>
        <w:t> </w:t>
      </w:r>
      <w:r w:rsidRPr="0047462D">
        <w:rPr>
          <w:bCs/>
        </w:rPr>
        <w:t xml:space="preserve">5 (συμπεριλαμβανομένων των δευτερευόντων τελικών σημείων, απόλυτη </w:t>
      </w:r>
      <w:r w:rsidR="0065349C" w:rsidRPr="0047462D">
        <w:rPr>
          <w:rFonts w:eastAsia="Times New Roman"/>
          <w:szCs w:val="22"/>
        </w:rPr>
        <w:t>μεταβολή</w:t>
      </w:r>
      <w:r w:rsidR="0065349C" w:rsidRPr="0047462D">
        <w:rPr>
          <w:bCs/>
        </w:rPr>
        <w:t xml:space="preserve"> </w:t>
      </w:r>
      <w:r w:rsidRPr="0047462D">
        <w:rPr>
          <w:bCs/>
        </w:rPr>
        <w:t>στο</w:t>
      </w:r>
      <w:r w:rsidR="00A36D75" w:rsidRPr="0047462D">
        <w:rPr>
          <w:bCs/>
        </w:rPr>
        <w:t>ν</w:t>
      </w:r>
      <w:r w:rsidRPr="0047462D">
        <w:rPr>
          <w:bCs/>
        </w:rPr>
        <w:t xml:space="preserve"> ΔΜΣ στις 8</w:t>
      </w:r>
      <w:r w:rsidR="002C32E8" w:rsidRPr="0047462D">
        <w:rPr>
          <w:bCs/>
          <w:lang w:val="en-GB"/>
        </w:rPr>
        <w:t> </w:t>
      </w:r>
      <w:r w:rsidRPr="0047462D">
        <w:rPr>
          <w:bCs/>
        </w:rPr>
        <w:t xml:space="preserve">εβδομάδες θεραπείας και απόλυτη </w:t>
      </w:r>
      <w:r w:rsidR="0065349C" w:rsidRPr="0047462D">
        <w:rPr>
          <w:rFonts w:eastAsia="Times New Roman"/>
          <w:szCs w:val="22"/>
        </w:rPr>
        <w:t>μεταβολή</w:t>
      </w:r>
      <w:r w:rsidR="0065349C" w:rsidRPr="0047462D">
        <w:rPr>
          <w:bCs/>
        </w:rPr>
        <w:t xml:space="preserve"> </w:t>
      </w:r>
      <w:r w:rsidRPr="0047462D">
        <w:rPr>
          <w:bCs/>
        </w:rPr>
        <w:t xml:space="preserve">στη βαθμολογία του αναπνευστικού τομέα του CFQ-R καθ’ όλη τη διάρκεια των 8 εβδομάδων θεραπείας) και ανά συγκεκριμένη μετάλλαξη (απόλυτη </w:t>
      </w:r>
      <w:r w:rsidR="0065349C" w:rsidRPr="0047462D">
        <w:rPr>
          <w:rFonts w:eastAsia="Times New Roman"/>
          <w:szCs w:val="22"/>
        </w:rPr>
        <w:t>μεταβολή</w:t>
      </w:r>
      <w:r w:rsidR="0065349C" w:rsidRPr="0047462D">
        <w:rPr>
          <w:bCs/>
        </w:rPr>
        <w:t xml:space="preserve"> </w:t>
      </w:r>
      <w:r w:rsidRPr="0047462D">
        <w:rPr>
          <w:bCs/>
        </w:rPr>
        <w:t xml:space="preserve">στο </w:t>
      </w:r>
      <w:r w:rsidRPr="0047462D">
        <w:rPr>
          <w:rFonts w:eastAsia="Times New Roman"/>
          <w:szCs w:val="22"/>
        </w:rPr>
        <w:t>χλώριο ιδρώτα</w:t>
      </w:r>
      <w:r w:rsidRPr="0047462D">
        <w:rPr>
          <w:bCs/>
        </w:rPr>
        <w:t xml:space="preserve"> και το ποσοστό προβλεπόμενου FEV</w:t>
      </w:r>
      <w:r w:rsidRPr="0047462D">
        <w:rPr>
          <w:bCs/>
          <w:vertAlign w:val="subscript"/>
        </w:rPr>
        <w:t>1</w:t>
      </w:r>
      <w:r w:rsidRPr="0047462D">
        <w:rPr>
          <w:bCs/>
        </w:rPr>
        <w:t xml:space="preserve"> την </w:t>
      </w:r>
      <w:r w:rsidR="00925C73" w:rsidRPr="0047462D">
        <w:rPr>
          <w:bCs/>
        </w:rPr>
        <w:t>ε</w:t>
      </w:r>
      <w:r w:rsidR="008300C7" w:rsidRPr="0047462D">
        <w:rPr>
          <w:bCs/>
        </w:rPr>
        <w:t>βδομάδα</w:t>
      </w:r>
      <w:r w:rsidR="00DB547B" w:rsidRPr="0047462D">
        <w:rPr>
          <w:rFonts w:eastAsia="Times New Roman"/>
          <w:szCs w:val="22"/>
        </w:rPr>
        <w:t> </w:t>
      </w:r>
      <w:r w:rsidRPr="0047462D">
        <w:rPr>
          <w:bCs/>
        </w:rPr>
        <w:t>8) παρατίθεται στον Πίνακα</w:t>
      </w:r>
      <w:r w:rsidR="003F27E2" w:rsidRPr="0047462D">
        <w:rPr>
          <w:bCs/>
        </w:rPr>
        <w:t> </w:t>
      </w:r>
      <w:r w:rsidR="00373A54" w:rsidRPr="0047462D">
        <w:rPr>
          <w:bCs/>
        </w:rPr>
        <w:t>7</w:t>
      </w:r>
      <w:r w:rsidRPr="0047462D">
        <w:rPr>
          <w:bCs/>
        </w:rPr>
        <w:t>. Με βάση κλινικές (ποσοστό προβλεπόμενου FEV</w:t>
      </w:r>
      <w:r w:rsidRPr="0047462D">
        <w:rPr>
          <w:bCs/>
          <w:vertAlign w:val="subscript"/>
        </w:rPr>
        <w:t>1</w:t>
      </w:r>
      <w:r w:rsidRPr="0047462D">
        <w:rPr>
          <w:bCs/>
        </w:rPr>
        <w:t>) και φαρμακοδυναμικές (</w:t>
      </w:r>
      <w:r w:rsidRPr="0047462D">
        <w:rPr>
          <w:rFonts w:eastAsia="Times New Roman"/>
          <w:szCs w:val="22"/>
        </w:rPr>
        <w:t>χλώριο ιδρώτα)</w:t>
      </w:r>
      <w:r w:rsidRPr="0047462D">
        <w:rPr>
          <w:bCs/>
        </w:rPr>
        <w:t xml:space="preserve"> αποκρίσεις στο ivacaftor, η αποτελεσματικότητα σε ασθενείς με τη μετάλλαξη </w:t>
      </w:r>
      <w:r w:rsidRPr="0047462D">
        <w:rPr>
          <w:bCs/>
          <w:i/>
        </w:rPr>
        <w:t>G970R</w:t>
      </w:r>
      <w:r w:rsidRPr="0047462D">
        <w:rPr>
          <w:bCs/>
        </w:rPr>
        <w:t xml:space="preserve"> δεν μπόρεσε να τεκμηριωθεί.</w:t>
      </w:r>
    </w:p>
    <w:p w14:paraId="08C68409" w14:textId="77777777" w:rsidR="00A67D3A" w:rsidRPr="0047462D" w:rsidRDefault="00A67D3A">
      <w:pPr>
        <w:pStyle w:val="labeltext"/>
        <w:rPr>
          <w:sz w:val="22"/>
          <w:u w:val="single"/>
          <w:lang w:val="el-GR"/>
        </w:rPr>
      </w:pPr>
    </w:p>
    <w:p w14:paraId="42C3F894" w14:textId="0A31C20A" w:rsidR="00925C73" w:rsidRPr="0047462D" w:rsidRDefault="00925C73" w:rsidP="00EB5A36">
      <w:pPr>
        <w:pStyle w:val="labeltext"/>
        <w:keepNext/>
        <w:spacing w:after="120"/>
        <w:ind w:left="1080" w:hanging="1080"/>
        <w:rPr>
          <w:b/>
          <w:color w:val="000000" w:themeColor="text1"/>
          <w:sz w:val="22"/>
          <w:szCs w:val="22"/>
          <w:lang w:val="el-GR"/>
        </w:rPr>
      </w:pPr>
      <w:r w:rsidRPr="0047462D">
        <w:rPr>
          <w:b/>
          <w:color w:val="000000" w:themeColor="text1"/>
          <w:sz w:val="22"/>
          <w:szCs w:val="22"/>
          <w:lang w:val="el-GR"/>
        </w:rPr>
        <w:t>Πίνακας </w:t>
      </w:r>
      <w:r w:rsidR="00373A54" w:rsidRPr="0047462D">
        <w:rPr>
          <w:b/>
          <w:color w:val="000000" w:themeColor="text1"/>
          <w:sz w:val="22"/>
          <w:szCs w:val="22"/>
          <w:lang w:val="el-GR"/>
        </w:rPr>
        <w:t>7</w:t>
      </w:r>
      <w:r w:rsidRPr="0047462D">
        <w:rPr>
          <w:b/>
          <w:color w:val="000000" w:themeColor="text1"/>
          <w:sz w:val="22"/>
          <w:szCs w:val="22"/>
          <w:lang w:val="el-GR"/>
        </w:rPr>
        <w:t xml:space="preserve">: Επίδραση του </w:t>
      </w:r>
      <w:r w:rsidRPr="0047462D">
        <w:rPr>
          <w:b/>
          <w:color w:val="000000" w:themeColor="text1"/>
          <w:sz w:val="22"/>
          <w:szCs w:val="22"/>
        </w:rPr>
        <w:t>ivacaftor</w:t>
      </w:r>
      <w:r w:rsidRPr="0047462D">
        <w:rPr>
          <w:b/>
          <w:color w:val="000000" w:themeColor="text1"/>
          <w:sz w:val="22"/>
          <w:szCs w:val="22"/>
          <w:lang w:val="el-GR"/>
        </w:rPr>
        <w:t xml:space="preserve"> για μεταβλητές αποτελεσματικότητας στο συνολικό πληθυσμό και για συγκεκριμένες μεταλλάξεις </w:t>
      </w:r>
      <w:r w:rsidRPr="0047462D">
        <w:rPr>
          <w:b/>
          <w:i/>
          <w:iCs/>
          <w:color w:val="000000" w:themeColor="text1"/>
          <w:sz w:val="22"/>
          <w:szCs w:val="22"/>
        </w:rPr>
        <w:t>CFTR</w:t>
      </w:r>
    </w:p>
    <w:tbl>
      <w:tblPr>
        <w:tblW w:w="0" w:type="auto"/>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514"/>
        <w:gridCol w:w="2221"/>
        <w:gridCol w:w="752"/>
        <w:gridCol w:w="2973"/>
        <w:gridCol w:w="10"/>
      </w:tblGrid>
      <w:tr w:rsidR="00A67D3A" w:rsidRPr="0047462D" w14:paraId="2D9F613D"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E85513A" w14:textId="77777777" w:rsidR="00A67D3A" w:rsidRPr="0047462D" w:rsidRDefault="00A67D3A" w:rsidP="008C6B97">
            <w:pPr>
              <w:keepNext/>
              <w:jc w:val="center"/>
            </w:pPr>
            <w:r w:rsidRPr="0047462D">
              <w:rPr>
                <w:b/>
                <w:color w:val="000000"/>
                <w:szCs w:val="16"/>
              </w:rPr>
              <w:t xml:space="preserve">Απόλυτη </w:t>
            </w:r>
            <w:r w:rsidR="0065349C" w:rsidRPr="0047462D">
              <w:rPr>
                <w:rFonts w:eastAsia="Times New Roman"/>
                <w:b/>
                <w:szCs w:val="22"/>
              </w:rPr>
              <w:t>μεταβολή</w:t>
            </w:r>
            <w:r w:rsidR="0065349C" w:rsidRPr="0047462D">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0B8A106A" w14:textId="77777777" w:rsidR="00A67D3A" w:rsidRPr="0047462D" w:rsidRDefault="00A67D3A" w:rsidP="002331FF">
            <w:pPr>
              <w:autoSpaceDE w:val="0"/>
              <w:autoSpaceDN w:val="0"/>
              <w:adjustRightInd w:val="0"/>
              <w:jc w:val="center"/>
              <w:rPr>
                <w:b/>
                <w:color w:val="000000"/>
                <w:szCs w:val="16"/>
              </w:rPr>
            </w:pPr>
            <w:r w:rsidRPr="0047462D">
              <w:rPr>
                <w:b/>
                <w:color w:val="000000"/>
                <w:szCs w:val="16"/>
              </w:rPr>
              <w:t>ΔΜΣ</w:t>
            </w:r>
          </w:p>
          <w:p w14:paraId="4AA46D2D" w14:textId="77777777" w:rsidR="00A67D3A" w:rsidRPr="0047462D" w:rsidRDefault="00A67D3A">
            <w:pPr>
              <w:autoSpaceDE w:val="0"/>
              <w:autoSpaceDN w:val="0"/>
              <w:adjustRightInd w:val="0"/>
              <w:jc w:val="center"/>
              <w:rPr>
                <w:b/>
                <w:color w:val="000000"/>
                <w:szCs w:val="16"/>
              </w:rPr>
            </w:pPr>
            <w:r w:rsidRPr="0047462D">
              <w:rPr>
                <w:b/>
                <w:color w:val="000000"/>
                <w:szCs w:val="16"/>
              </w:rPr>
              <w:t>(kg/m</w:t>
            </w:r>
            <w:r w:rsidRPr="0047462D">
              <w:rPr>
                <w:b/>
                <w:color w:val="000000"/>
                <w:szCs w:val="16"/>
                <w:vertAlign w:val="superscript"/>
              </w:rPr>
              <w:t>2</w:t>
            </w:r>
            <w:r w:rsidRPr="0047462D">
              <w:rPr>
                <w:b/>
                <w:color w:val="000000"/>
                <w:szCs w:val="16"/>
              </w:rPr>
              <w:t>)</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0FD39CE" w14:textId="77777777" w:rsidR="00A67D3A" w:rsidRPr="0047462D" w:rsidRDefault="00A67D3A">
            <w:pPr>
              <w:jc w:val="center"/>
            </w:pPr>
            <w:r w:rsidRPr="0047462D">
              <w:rPr>
                <w:rFonts w:eastAsia="Times New Roman"/>
                <w:b/>
                <w:bCs/>
                <w:szCs w:val="22"/>
              </w:rPr>
              <w:t xml:space="preserve">Βαθμολογία του αναπνευστικού τομέα του CFQ-R </w:t>
            </w:r>
            <w:r w:rsidRPr="0047462D">
              <w:rPr>
                <w:b/>
                <w:color w:val="000000"/>
                <w:szCs w:val="16"/>
              </w:rPr>
              <w:t>(μονάδες)</w:t>
            </w:r>
          </w:p>
        </w:tc>
      </w:tr>
      <w:tr w:rsidR="00A67D3A" w:rsidRPr="0047462D" w14:paraId="7C71CCAE"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56622CFD" w14:textId="18C72A92" w:rsidR="00A67D3A" w:rsidRPr="0047462D" w:rsidRDefault="00A67D3A" w:rsidP="008300C7">
            <w:pPr>
              <w:keepNext/>
              <w:jc w:val="center"/>
            </w:pPr>
            <w:r w:rsidRPr="0047462D">
              <w:rPr>
                <w:b/>
                <w:color w:val="000000"/>
                <w:szCs w:val="16"/>
              </w:rPr>
              <w:t xml:space="preserve">Έως 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0F64B8DC" w14:textId="2BB8E32E" w:rsidR="00A67D3A" w:rsidRPr="0047462D" w:rsidRDefault="00A67D3A" w:rsidP="008300C7">
            <w:pPr>
              <w:jc w:val="center"/>
            </w:pPr>
            <w:r w:rsidRPr="0047462D">
              <w:rPr>
                <w:b/>
                <w:color w:val="000000"/>
                <w:szCs w:val="16"/>
              </w:rPr>
              <w:t xml:space="preserve">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6148652" w14:textId="6EF021C4" w:rsidR="00A67D3A" w:rsidRPr="0047462D" w:rsidRDefault="00A67D3A" w:rsidP="008300C7">
            <w:pPr>
              <w:jc w:val="center"/>
            </w:pPr>
            <w:r w:rsidRPr="0047462D">
              <w:rPr>
                <w:b/>
                <w:color w:val="000000"/>
                <w:szCs w:val="16"/>
              </w:rPr>
              <w:t xml:space="preserve">Έως 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r>
      <w:tr w:rsidR="00A67D3A" w:rsidRPr="0047462D" w14:paraId="2A326E5D" w14:textId="77777777">
        <w:trPr>
          <w:gridAfter w:val="1"/>
          <w:wAfter w:w="10" w:type="dxa"/>
        </w:trPr>
        <w:tc>
          <w:tcPr>
            <w:tcW w:w="8918" w:type="dxa"/>
            <w:gridSpan w:val="5"/>
            <w:tcBorders>
              <w:top w:val="single" w:sz="4" w:space="0" w:color="auto"/>
              <w:left w:val="single" w:sz="4" w:space="0" w:color="auto"/>
              <w:bottom w:val="single" w:sz="4" w:space="0" w:color="auto"/>
              <w:right w:val="single" w:sz="4" w:space="0" w:color="auto"/>
            </w:tcBorders>
            <w:shd w:val="clear" w:color="auto" w:fill="auto"/>
          </w:tcPr>
          <w:p w14:paraId="34C627B2" w14:textId="77777777" w:rsidR="00A67D3A" w:rsidRPr="0047462D" w:rsidRDefault="00A67D3A" w:rsidP="00141E57">
            <w:pPr>
              <w:keepNext/>
              <w:autoSpaceDE w:val="0"/>
              <w:autoSpaceDN w:val="0"/>
              <w:adjustRightInd w:val="0"/>
              <w:rPr>
                <w:color w:val="000000"/>
                <w:szCs w:val="16"/>
              </w:rPr>
            </w:pPr>
            <w:r w:rsidRPr="0047462D">
              <w:rPr>
                <w:color w:val="000000"/>
                <w:szCs w:val="16"/>
              </w:rPr>
              <w:t>Όλοι οι ασθενείς (N=39)</w:t>
            </w:r>
          </w:p>
          <w:p w14:paraId="30EDB480" w14:textId="77777777" w:rsidR="00A67D3A" w:rsidRPr="0047462D" w:rsidRDefault="00A67D3A" w:rsidP="008C6B97">
            <w:pPr>
              <w:keepNext/>
              <w:autoSpaceDE w:val="0"/>
              <w:autoSpaceDN w:val="0"/>
              <w:adjustRightInd w:val="0"/>
              <w:rPr>
                <w:color w:val="000000"/>
                <w:szCs w:val="16"/>
              </w:rPr>
            </w:pPr>
            <w:r w:rsidRPr="0047462D">
              <w:rPr>
                <w:color w:val="000000"/>
                <w:szCs w:val="16"/>
              </w:rPr>
              <w:t xml:space="preserve">Τα αποτελέσματα παρατίθενται ως μέση (95% CI) </w:t>
            </w:r>
            <w:r w:rsidR="0065349C" w:rsidRPr="0047462D">
              <w:rPr>
                <w:color w:val="000000"/>
                <w:szCs w:val="16"/>
              </w:rPr>
              <w:t xml:space="preserve">μεταβολή </w:t>
            </w:r>
            <w:r w:rsidRPr="0047462D">
              <w:rPr>
                <w:color w:val="000000"/>
                <w:szCs w:val="16"/>
              </w:rPr>
              <w:t>από την τιμή αναφοράς των ασθενών υπό αγωγή με ivacaftor έναντι των ασθενών υπό αγωγή με εικονικό φάρμακο:</w:t>
            </w:r>
          </w:p>
        </w:tc>
      </w:tr>
      <w:tr w:rsidR="00A67D3A" w:rsidRPr="0047462D" w14:paraId="6E6C79AF"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BC0B3C8" w14:textId="77777777" w:rsidR="00A67D3A" w:rsidRPr="0047462D" w:rsidRDefault="00A67D3A" w:rsidP="00141E57">
            <w:pPr>
              <w:keepNext/>
              <w:jc w:val="center"/>
            </w:pPr>
            <w:r w:rsidRPr="0047462D">
              <w:rPr>
                <w:bCs/>
                <w:iCs/>
                <w:color w:val="000000"/>
                <w:szCs w:val="16"/>
              </w:rPr>
              <w:t>10,7 (7,3, 14,1)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5ABE033B" w14:textId="77777777" w:rsidR="00A67D3A" w:rsidRPr="0047462D" w:rsidRDefault="00A67D3A" w:rsidP="002331FF">
            <w:pPr>
              <w:jc w:val="center"/>
            </w:pPr>
            <w:r w:rsidRPr="0047462D">
              <w:rPr>
                <w:color w:val="000000"/>
                <w:szCs w:val="16"/>
              </w:rPr>
              <w:t>0,66 (0,34, 0,99)</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468EC6C6" w14:textId="77777777" w:rsidR="00A67D3A" w:rsidRPr="0047462D" w:rsidRDefault="00A67D3A">
            <w:pPr>
              <w:jc w:val="center"/>
            </w:pPr>
            <w:r w:rsidRPr="0047462D">
              <w:rPr>
                <w:color w:val="000000"/>
                <w:szCs w:val="16"/>
              </w:rPr>
              <w:t>9,6 (4,5, 14,7)</w:t>
            </w:r>
          </w:p>
        </w:tc>
      </w:tr>
      <w:tr w:rsidR="00A67D3A" w:rsidRPr="0047462D" w14:paraId="367BF592"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928" w:type="dxa"/>
            <w:gridSpan w:val="6"/>
            <w:tcBorders>
              <w:top w:val="single" w:sz="4" w:space="0" w:color="auto"/>
              <w:left w:val="single" w:sz="4" w:space="0" w:color="auto"/>
              <w:bottom w:val="single" w:sz="4" w:space="0" w:color="auto"/>
              <w:right w:val="single" w:sz="4" w:space="0" w:color="auto"/>
            </w:tcBorders>
            <w:shd w:val="clear" w:color="auto" w:fill="auto"/>
          </w:tcPr>
          <w:p w14:paraId="5B2990FC" w14:textId="77777777" w:rsidR="00A67D3A" w:rsidRPr="0047462D" w:rsidRDefault="00A67D3A" w:rsidP="002331FF">
            <w:pPr>
              <w:keepNext/>
              <w:autoSpaceDE w:val="0"/>
              <w:autoSpaceDN w:val="0"/>
              <w:adjustRightInd w:val="0"/>
              <w:rPr>
                <w:b/>
                <w:bCs/>
                <w:color w:val="000000"/>
                <w:szCs w:val="16"/>
              </w:rPr>
            </w:pPr>
            <w:r w:rsidRPr="0047462D">
              <w:rPr>
                <w:b/>
                <w:bCs/>
                <w:color w:val="000000"/>
                <w:szCs w:val="16"/>
              </w:rPr>
              <w:t>Οι ασθενείς κατηγοριοποιούνται βάσει του τύπου της μετάλλαξης (n)</w:t>
            </w:r>
          </w:p>
          <w:p w14:paraId="64AC0656" w14:textId="0D4C560A" w:rsidR="00A67D3A" w:rsidRPr="0047462D" w:rsidRDefault="00A67D3A" w:rsidP="008300C7">
            <w:pPr>
              <w:keepNext/>
              <w:autoSpaceDE w:val="0"/>
              <w:autoSpaceDN w:val="0"/>
              <w:adjustRightInd w:val="0"/>
              <w:rPr>
                <w:color w:val="000000"/>
                <w:szCs w:val="16"/>
              </w:rPr>
            </w:pPr>
            <w:r w:rsidRPr="0047462D">
              <w:rPr>
                <w:color w:val="000000"/>
                <w:szCs w:val="16"/>
              </w:rPr>
              <w:t xml:space="preserve">Τα αποτελέσματα παρατίθενται ως μέση (ελάχιστη, μέγιστη) </w:t>
            </w:r>
            <w:r w:rsidR="006C4AF3" w:rsidRPr="0047462D">
              <w:rPr>
                <w:color w:val="000000"/>
                <w:szCs w:val="16"/>
              </w:rPr>
              <w:t xml:space="preserve">μεταβολή </w:t>
            </w:r>
            <w:r w:rsidRPr="0047462D">
              <w:rPr>
                <w:color w:val="000000"/>
                <w:szCs w:val="16"/>
              </w:rPr>
              <w:t xml:space="preserve">από την τιμή αναφοράς για τους ασθενείς υπό αγωγή με ivacaftor την </w:t>
            </w:r>
            <w:r w:rsidR="00925C73" w:rsidRPr="0047462D">
              <w:rPr>
                <w:color w:val="000000"/>
                <w:szCs w:val="16"/>
              </w:rPr>
              <w:t>ε</w:t>
            </w:r>
            <w:r w:rsidR="008300C7" w:rsidRPr="0047462D">
              <w:rPr>
                <w:color w:val="000000"/>
                <w:szCs w:val="16"/>
              </w:rPr>
              <w:t>βδομάδα</w:t>
            </w:r>
            <w:r w:rsidR="00DB547B" w:rsidRPr="0047462D">
              <w:rPr>
                <w:rFonts w:eastAsia="Times New Roman"/>
                <w:szCs w:val="22"/>
              </w:rPr>
              <w:t> </w:t>
            </w:r>
            <w:r w:rsidRPr="0047462D">
              <w:rPr>
                <w:color w:val="000000"/>
                <w:szCs w:val="16"/>
              </w:rPr>
              <w:t>8</w:t>
            </w:r>
            <w:r w:rsidRPr="0047462D">
              <w:rPr>
                <w:color w:val="000000"/>
                <w:szCs w:val="16"/>
                <w:vertAlign w:val="superscript"/>
              </w:rPr>
              <w:t>*</w:t>
            </w:r>
            <w:r w:rsidRPr="0047462D">
              <w:rPr>
                <w:color w:val="000000"/>
                <w:szCs w:val="16"/>
              </w:rPr>
              <w:t>:</w:t>
            </w:r>
          </w:p>
        </w:tc>
      </w:tr>
      <w:tr w:rsidR="00A67D3A" w:rsidRPr="0047462D" w14:paraId="03EA9A5A"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val="restart"/>
            <w:tcBorders>
              <w:top w:val="single" w:sz="4" w:space="0" w:color="auto"/>
              <w:left w:val="single" w:sz="4" w:space="0" w:color="auto"/>
              <w:bottom w:val="single" w:sz="4" w:space="0" w:color="auto"/>
            </w:tcBorders>
            <w:shd w:val="clear" w:color="auto" w:fill="auto"/>
          </w:tcPr>
          <w:p w14:paraId="4C88C432" w14:textId="77777777" w:rsidR="00A67D3A" w:rsidRPr="0047462D" w:rsidRDefault="00A67D3A" w:rsidP="002331FF">
            <w:pPr>
              <w:keepNext/>
              <w:autoSpaceDE w:val="0"/>
              <w:autoSpaceDN w:val="0"/>
              <w:adjustRightInd w:val="0"/>
              <w:jc w:val="center"/>
              <w:rPr>
                <w:b/>
                <w:bCs/>
                <w:color w:val="000000"/>
                <w:szCs w:val="16"/>
              </w:rPr>
            </w:pPr>
            <w:r w:rsidRPr="0047462D">
              <w:rPr>
                <w:b/>
                <w:bCs/>
                <w:color w:val="000000"/>
                <w:szCs w:val="16"/>
              </w:rPr>
              <w:t>Μετάλλαξη (n)</w:t>
            </w:r>
          </w:p>
          <w:p w14:paraId="35DB8A0E" w14:textId="77777777" w:rsidR="00A67D3A" w:rsidRPr="0047462D" w:rsidRDefault="00A67D3A">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424C1766" w14:textId="77777777" w:rsidR="00A67D3A" w:rsidRPr="0047462D" w:rsidRDefault="00A67D3A" w:rsidP="008C6B97">
            <w:pPr>
              <w:keepNext/>
              <w:autoSpaceDE w:val="0"/>
              <w:autoSpaceDN w:val="0"/>
              <w:adjustRightInd w:val="0"/>
              <w:jc w:val="center"/>
              <w:rPr>
                <w:b/>
                <w:bCs/>
                <w:color w:val="000000"/>
                <w:szCs w:val="16"/>
              </w:rPr>
            </w:pPr>
            <w:r w:rsidRPr="0047462D">
              <w:rPr>
                <w:b/>
                <w:color w:val="000000"/>
                <w:szCs w:val="16"/>
              </w:rPr>
              <w:t xml:space="preserve">Απόλυτη </w:t>
            </w:r>
            <w:r w:rsidR="0065349C" w:rsidRPr="0047462D">
              <w:rPr>
                <w:rFonts w:eastAsia="Times New Roman"/>
                <w:b/>
                <w:szCs w:val="22"/>
              </w:rPr>
              <w:t>μεταβολή</w:t>
            </w:r>
            <w:r w:rsidR="0065349C" w:rsidRPr="0047462D">
              <w:rPr>
                <w:b/>
                <w:color w:val="000000"/>
                <w:szCs w:val="16"/>
              </w:rPr>
              <w:t xml:space="preserve"> </w:t>
            </w:r>
            <w:r w:rsidRPr="0047462D">
              <w:rPr>
                <w:b/>
                <w:color w:val="000000"/>
                <w:szCs w:val="16"/>
              </w:rPr>
              <w:t>στο χλώριο ιδρώτα (mmol/l)</w:t>
            </w:r>
          </w:p>
        </w:tc>
        <w:tc>
          <w:tcPr>
            <w:tcW w:w="3735" w:type="dxa"/>
            <w:gridSpan w:val="3"/>
            <w:tcBorders>
              <w:top w:val="single" w:sz="4" w:space="0" w:color="auto"/>
              <w:bottom w:val="single" w:sz="4" w:space="0" w:color="auto"/>
              <w:right w:val="single" w:sz="4" w:space="0" w:color="auto"/>
            </w:tcBorders>
            <w:shd w:val="clear" w:color="auto" w:fill="auto"/>
          </w:tcPr>
          <w:p w14:paraId="7C2A7580" w14:textId="77777777" w:rsidR="00A67D3A" w:rsidRPr="0047462D" w:rsidRDefault="00A67D3A" w:rsidP="008C6B97">
            <w:pPr>
              <w:keepNext/>
              <w:autoSpaceDE w:val="0"/>
              <w:autoSpaceDN w:val="0"/>
              <w:adjustRightInd w:val="0"/>
              <w:jc w:val="center"/>
              <w:rPr>
                <w:b/>
                <w:bCs/>
                <w:color w:val="000000"/>
                <w:szCs w:val="16"/>
              </w:rPr>
            </w:pPr>
            <w:r w:rsidRPr="0047462D">
              <w:rPr>
                <w:b/>
                <w:color w:val="000000"/>
                <w:szCs w:val="16"/>
              </w:rPr>
              <w:t xml:space="preserve">Απόλυτη </w:t>
            </w:r>
            <w:r w:rsidR="0065349C" w:rsidRPr="0047462D">
              <w:rPr>
                <w:rFonts w:eastAsia="Times New Roman"/>
                <w:b/>
                <w:szCs w:val="22"/>
              </w:rPr>
              <w:t>μεταβολή</w:t>
            </w:r>
            <w:r w:rsidR="0065349C" w:rsidRPr="0047462D">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 xml:space="preserve">1 </w:t>
            </w:r>
            <w:r w:rsidRPr="0047462D">
              <w:rPr>
                <w:b/>
                <w:color w:val="000000"/>
                <w:szCs w:val="16"/>
              </w:rPr>
              <w:t>(ποσοστιαίες μονάδες)</w:t>
            </w:r>
          </w:p>
        </w:tc>
      </w:tr>
      <w:tr w:rsidR="00A67D3A" w:rsidRPr="0047462D" w14:paraId="15A808E5"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tcBorders>
              <w:top w:val="single" w:sz="4" w:space="0" w:color="auto"/>
              <w:left w:val="single" w:sz="4" w:space="0" w:color="auto"/>
              <w:bottom w:val="single" w:sz="4" w:space="0" w:color="auto"/>
            </w:tcBorders>
            <w:shd w:val="clear" w:color="auto" w:fill="auto"/>
          </w:tcPr>
          <w:p w14:paraId="5A302312" w14:textId="77777777" w:rsidR="00A67D3A" w:rsidRPr="0047462D" w:rsidRDefault="00A67D3A">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03BE421C" w14:textId="448D7E98" w:rsidR="00A67D3A" w:rsidRPr="0047462D" w:rsidRDefault="00A67D3A" w:rsidP="008300C7">
            <w:pPr>
              <w:keepNext/>
              <w:autoSpaceDE w:val="0"/>
              <w:autoSpaceDN w:val="0"/>
              <w:adjustRightInd w:val="0"/>
              <w:jc w:val="center"/>
              <w:rPr>
                <w:b/>
                <w:bCs/>
                <w:color w:val="000000"/>
                <w:szCs w:val="16"/>
              </w:rPr>
            </w:pPr>
            <w:r w:rsidRPr="0047462D">
              <w:rPr>
                <w:b/>
                <w:color w:val="000000"/>
                <w:szCs w:val="16"/>
              </w:rPr>
              <w:t xml:space="preserve">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c>
          <w:tcPr>
            <w:tcW w:w="3735" w:type="dxa"/>
            <w:gridSpan w:val="3"/>
            <w:tcBorders>
              <w:top w:val="single" w:sz="4" w:space="0" w:color="auto"/>
              <w:bottom w:val="single" w:sz="4" w:space="0" w:color="auto"/>
              <w:right w:val="single" w:sz="4" w:space="0" w:color="auto"/>
            </w:tcBorders>
            <w:shd w:val="clear" w:color="auto" w:fill="auto"/>
          </w:tcPr>
          <w:p w14:paraId="34FAD41C" w14:textId="033E7992" w:rsidR="00A67D3A" w:rsidRPr="0047462D" w:rsidRDefault="00A67D3A" w:rsidP="008300C7">
            <w:pPr>
              <w:keepNext/>
              <w:autoSpaceDE w:val="0"/>
              <w:autoSpaceDN w:val="0"/>
              <w:adjustRightInd w:val="0"/>
              <w:jc w:val="center"/>
              <w:rPr>
                <w:b/>
                <w:bCs/>
                <w:color w:val="000000"/>
                <w:szCs w:val="16"/>
              </w:rPr>
            </w:pPr>
            <w:r w:rsidRPr="0047462D">
              <w:rPr>
                <w:b/>
                <w:color w:val="000000"/>
                <w:szCs w:val="16"/>
              </w:rPr>
              <w:t xml:space="preserve">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r>
      <w:tr w:rsidR="00A67D3A" w:rsidRPr="0047462D" w14:paraId="185CAD09"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1770"/>
        </w:trPr>
        <w:tc>
          <w:tcPr>
            <w:tcW w:w="1458" w:type="dxa"/>
            <w:tcBorders>
              <w:top w:val="single" w:sz="4" w:space="0" w:color="auto"/>
              <w:left w:val="single" w:sz="4" w:space="0" w:color="auto"/>
              <w:bottom w:val="single" w:sz="4" w:space="0" w:color="auto"/>
            </w:tcBorders>
            <w:shd w:val="clear" w:color="auto" w:fill="auto"/>
          </w:tcPr>
          <w:p w14:paraId="6A6A010C" w14:textId="77777777" w:rsidR="00A67D3A" w:rsidRPr="0047462D" w:rsidRDefault="00A67D3A" w:rsidP="00205358">
            <w:pPr>
              <w:keepNext/>
              <w:autoSpaceDE w:val="0"/>
              <w:autoSpaceDN w:val="0"/>
              <w:adjustRightInd w:val="0"/>
              <w:jc w:val="center"/>
              <w:rPr>
                <w:color w:val="000000"/>
                <w:szCs w:val="16"/>
                <w:lang w:val="pt-BR"/>
              </w:rPr>
            </w:pPr>
            <w:r w:rsidRPr="0047462D">
              <w:rPr>
                <w:i/>
                <w:iCs/>
                <w:color w:val="000000"/>
                <w:szCs w:val="16"/>
                <w:lang w:val="pt-BR"/>
              </w:rPr>
              <w:t>G1244E</w:t>
            </w:r>
            <w:r w:rsidRPr="0047462D">
              <w:rPr>
                <w:color w:val="000000"/>
                <w:szCs w:val="16"/>
                <w:lang w:val="pt-BR"/>
              </w:rPr>
              <w:t xml:space="preserve"> (5)</w:t>
            </w:r>
          </w:p>
          <w:p w14:paraId="7FB70A9D" w14:textId="77777777" w:rsidR="00A67D3A" w:rsidRPr="0047462D" w:rsidRDefault="00A67D3A" w:rsidP="00205358">
            <w:pPr>
              <w:keepNext/>
              <w:jc w:val="center"/>
              <w:rPr>
                <w:szCs w:val="16"/>
                <w:lang w:val="pt-BR"/>
              </w:rPr>
            </w:pPr>
            <w:r w:rsidRPr="0047462D">
              <w:rPr>
                <w:i/>
                <w:iCs/>
                <w:szCs w:val="16"/>
                <w:lang w:val="pt-BR"/>
              </w:rPr>
              <w:t>G1349D</w:t>
            </w:r>
            <w:r w:rsidRPr="0047462D">
              <w:rPr>
                <w:szCs w:val="16"/>
                <w:lang w:val="pt-BR"/>
              </w:rPr>
              <w:t xml:space="preserve"> (2)</w:t>
            </w:r>
          </w:p>
          <w:p w14:paraId="2C1F2066" w14:textId="77777777" w:rsidR="00A67D3A" w:rsidRPr="0047462D" w:rsidRDefault="00A67D3A" w:rsidP="00205358">
            <w:pPr>
              <w:keepNext/>
              <w:jc w:val="center"/>
              <w:rPr>
                <w:szCs w:val="16"/>
                <w:lang w:val="pt-BR"/>
              </w:rPr>
            </w:pPr>
            <w:r w:rsidRPr="0047462D">
              <w:rPr>
                <w:i/>
                <w:iCs/>
                <w:szCs w:val="16"/>
                <w:lang w:val="pt-BR"/>
              </w:rPr>
              <w:t>G178R</w:t>
            </w:r>
            <w:r w:rsidRPr="0047462D">
              <w:rPr>
                <w:szCs w:val="16"/>
                <w:lang w:val="pt-BR"/>
              </w:rPr>
              <w:t xml:space="preserve"> (5)</w:t>
            </w:r>
          </w:p>
          <w:p w14:paraId="412AAA2B" w14:textId="77777777" w:rsidR="00A67D3A" w:rsidRPr="0047462D" w:rsidRDefault="00A67D3A" w:rsidP="00205358">
            <w:pPr>
              <w:keepNext/>
              <w:jc w:val="center"/>
              <w:rPr>
                <w:szCs w:val="16"/>
                <w:lang w:val="pt-BR"/>
              </w:rPr>
            </w:pPr>
            <w:r w:rsidRPr="0047462D">
              <w:rPr>
                <w:i/>
                <w:iCs/>
                <w:szCs w:val="16"/>
                <w:lang w:val="pt-BR"/>
              </w:rPr>
              <w:t>G551S</w:t>
            </w:r>
            <w:r w:rsidRPr="0047462D">
              <w:rPr>
                <w:szCs w:val="16"/>
                <w:lang w:val="pt-BR"/>
              </w:rPr>
              <w:t xml:space="preserve"> (2)</w:t>
            </w:r>
          </w:p>
          <w:p w14:paraId="1CCF078B" w14:textId="77777777" w:rsidR="00A67D3A" w:rsidRPr="0047462D" w:rsidRDefault="00A67D3A" w:rsidP="00205358">
            <w:pPr>
              <w:keepNext/>
              <w:jc w:val="center"/>
              <w:rPr>
                <w:szCs w:val="16"/>
                <w:lang w:val="pt-BR"/>
              </w:rPr>
            </w:pPr>
            <w:r w:rsidRPr="0047462D">
              <w:rPr>
                <w:i/>
                <w:iCs/>
                <w:szCs w:val="16"/>
                <w:lang w:val="pt-BR"/>
              </w:rPr>
              <w:t>G970R</w:t>
            </w:r>
            <w:r w:rsidR="00582F38" w:rsidRPr="0047462D">
              <w:rPr>
                <w:i/>
                <w:iCs/>
                <w:vertAlign w:val="superscript"/>
                <w:lang w:val="en-US"/>
              </w:rPr>
              <w:t>#</w:t>
            </w:r>
            <w:r w:rsidR="00582F38" w:rsidRPr="0047462D">
              <w:rPr>
                <w:lang w:val="en-US"/>
              </w:rPr>
              <w:t xml:space="preserve"> </w:t>
            </w:r>
            <w:r w:rsidRPr="0047462D">
              <w:rPr>
                <w:szCs w:val="16"/>
                <w:lang w:val="pt-BR"/>
              </w:rPr>
              <w:t>(4)</w:t>
            </w:r>
          </w:p>
          <w:p w14:paraId="4D6123C1" w14:textId="77777777" w:rsidR="00A67D3A" w:rsidRPr="0047462D" w:rsidRDefault="00A67D3A" w:rsidP="00205358">
            <w:pPr>
              <w:keepNext/>
              <w:jc w:val="center"/>
              <w:rPr>
                <w:szCs w:val="16"/>
                <w:lang w:val="en-GB"/>
              </w:rPr>
            </w:pPr>
            <w:r w:rsidRPr="0047462D">
              <w:rPr>
                <w:i/>
                <w:iCs/>
                <w:szCs w:val="16"/>
                <w:lang w:val="en-GB"/>
              </w:rPr>
              <w:t xml:space="preserve">S1251N </w:t>
            </w:r>
            <w:r w:rsidRPr="0047462D">
              <w:rPr>
                <w:szCs w:val="16"/>
                <w:lang w:val="en-GB"/>
              </w:rPr>
              <w:t>(8)</w:t>
            </w:r>
          </w:p>
          <w:p w14:paraId="22A58F29" w14:textId="77777777" w:rsidR="00A67D3A" w:rsidRPr="0047462D" w:rsidRDefault="00A67D3A" w:rsidP="00205358">
            <w:pPr>
              <w:keepNext/>
              <w:jc w:val="center"/>
              <w:rPr>
                <w:szCs w:val="16"/>
              </w:rPr>
            </w:pPr>
            <w:r w:rsidRPr="0047462D">
              <w:rPr>
                <w:i/>
                <w:iCs/>
                <w:szCs w:val="16"/>
              </w:rPr>
              <w:t>S1255P</w:t>
            </w:r>
            <w:r w:rsidRPr="0047462D">
              <w:rPr>
                <w:szCs w:val="16"/>
              </w:rPr>
              <w:t xml:space="preserve"> (2)</w:t>
            </w:r>
          </w:p>
          <w:p w14:paraId="4471EEE3" w14:textId="77777777" w:rsidR="00A67D3A" w:rsidRPr="0047462D" w:rsidRDefault="00A67D3A" w:rsidP="00205358">
            <w:pPr>
              <w:keepNext/>
              <w:jc w:val="center"/>
              <w:rPr>
                <w:szCs w:val="16"/>
              </w:rPr>
            </w:pPr>
            <w:r w:rsidRPr="0047462D">
              <w:rPr>
                <w:i/>
                <w:iCs/>
                <w:szCs w:val="16"/>
              </w:rPr>
              <w:t>S549N</w:t>
            </w:r>
            <w:r w:rsidRPr="0047462D">
              <w:rPr>
                <w:szCs w:val="16"/>
              </w:rPr>
              <w:t xml:space="preserve"> (6)</w:t>
            </w:r>
          </w:p>
          <w:p w14:paraId="61E64FE2" w14:textId="77777777" w:rsidR="00A67D3A" w:rsidRPr="0047462D" w:rsidRDefault="00A67D3A" w:rsidP="00205358">
            <w:pPr>
              <w:keepNext/>
              <w:autoSpaceDE w:val="0"/>
              <w:autoSpaceDN w:val="0"/>
              <w:adjustRightInd w:val="0"/>
              <w:jc w:val="center"/>
              <w:rPr>
                <w:b/>
                <w:bCs/>
                <w:color w:val="000000"/>
                <w:szCs w:val="16"/>
              </w:rPr>
            </w:pPr>
            <w:r w:rsidRPr="0047462D">
              <w:rPr>
                <w:i/>
                <w:iCs/>
                <w:szCs w:val="16"/>
              </w:rPr>
              <w:t>S549R</w:t>
            </w:r>
            <w:r w:rsidRPr="0047462D">
              <w:rPr>
                <w:szCs w:val="16"/>
              </w:rPr>
              <w:t xml:space="preserve"> (4)</w:t>
            </w:r>
          </w:p>
        </w:tc>
        <w:tc>
          <w:tcPr>
            <w:tcW w:w="3735" w:type="dxa"/>
            <w:gridSpan w:val="2"/>
            <w:tcBorders>
              <w:top w:val="single" w:sz="4" w:space="0" w:color="auto"/>
              <w:bottom w:val="single" w:sz="4" w:space="0" w:color="auto"/>
            </w:tcBorders>
            <w:shd w:val="clear" w:color="auto" w:fill="auto"/>
          </w:tcPr>
          <w:p w14:paraId="5B936DA3" w14:textId="77777777" w:rsidR="00A67D3A" w:rsidRPr="0047462D" w:rsidRDefault="00A67D3A" w:rsidP="00205358">
            <w:pPr>
              <w:keepNext/>
              <w:jc w:val="center"/>
              <w:rPr>
                <w:szCs w:val="16"/>
              </w:rPr>
            </w:pPr>
            <w:r w:rsidRPr="0047462D">
              <w:rPr>
                <w:szCs w:val="16"/>
              </w:rPr>
              <w:t>-55 (-75, -34)</w:t>
            </w:r>
          </w:p>
          <w:p w14:paraId="41E1EC91" w14:textId="77777777" w:rsidR="00A67D3A" w:rsidRPr="0047462D" w:rsidRDefault="00A67D3A" w:rsidP="00205358">
            <w:pPr>
              <w:keepNext/>
              <w:jc w:val="center"/>
              <w:rPr>
                <w:szCs w:val="16"/>
              </w:rPr>
            </w:pPr>
            <w:r w:rsidRPr="0047462D">
              <w:rPr>
                <w:szCs w:val="16"/>
              </w:rPr>
              <w:t>-80 (-82, -79)</w:t>
            </w:r>
          </w:p>
          <w:p w14:paraId="133D552A" w14:textId="77777777" w:rsidR="00A67D3A" w:rsidRPr="0047462D" w:rsidRDefault="00A67D3A" w:rsidP="00205358">
            <w:pPr>
              <w:keepNext/>
              <w:jc w:val="center"/>
              <w:rPr>
                <w:szCs w:val="16"/>
              </w:rPr>
            </w:pPr>
            <w:r w:rsidRPr="0047462D">
              <w:rPr>
                <w:szCs w:val="16"/>
              </w:rPr>
              <w:t>-53 (-65, -35)</w:t>
            </w:r>
          </w:p>
          <w:p w14:paraId="32F8E19C" w14:textId="77777777" w:rsidR="00A67D3A" w:rsidRPr="0047462D" w:rsidRDefault="00A67D3A" w:rsidP="00205358">
            <w:pPr>
              <w:keepNext/>
              <w:jc w:val="center"/>
              <w:rPr>
                <w:szCs w:val="16"/>
              </w:rPr>
            </w:pPr>
            <w:r w:rsidRPr="0047462D">
              <w:rPr>
                <w:szCs w:val="16"/>
              </w:rPr>
              <w:t>-68</w:t>
            </w:r>
            <w:r w:rsidRPr="0047462D">
              <w:rPr>
                <w:szCs w:val="16"/>
                <w:vertAlign w:val="superscript"/>
              </w:rPr>
              <w:t>†</w:t>
            </w:r>
            <w:r w:rsidRPr="0047462D">
              <w:rPr>
                <w:szCs w:val="16"/>
              </w:rPr>
              <w:t xml:space="preserve"> </w:t>
            </w:r>
          </w:p>
          <w:p w14:paraId="10F3DDBD" w14:textId="77777777" w:rsidR="00A67D3A" w:rsidRPr="0047462D" w:rsidRDefault="00A67D3A" w:rsidP="00205358">
            <w:pPr>
              <w:keepNext/>
              <w:jc w:val="center"/>
              <w:rPr>
                <w:szCs w:val="16"/>
              </w:rPr>
            </w:pPr>
            <w:r w:rsidRPr="0047462D">
              <w:rPr>
                <w:szCs w:val="16"/>
              </w:rPr>
              <w:t>-6 (-16, -2)</w:t>
            </w:r>
          </w:p>
          <w:p w14:paraId="768E5ABF" w14:textId="77777777" w:rsidR="00A67D3A" w:rsidRPr="0047462D" w:rsidRDefault="00A67D3A" w:rsidP="00205358">
            <w:pPr>
              <w:keepNext/>
              <w:jc w:val="center"/>
              <w:rPr>
                <w:szCs w:val="16"/>
              </w:rPr>
            </w:pPr>
            <w:r w:rsidRPr="0047462D">
              <w:rPr>
                <w:szCs w:val="16"/>
              </w:rPr>
              <w:t>-54 (-84, -7)</w:t>
            </w:r>
          </w:p>
          <w:p w14:paraId="4E3C4F57" w14:textId="77777777" w:rsidR="00A67D3A" w:rsidRPr="0047462D" w:rsidRDefault="00A67D3A" w:rsidP="00205358">
            <w:pPr>
              <w:keepNext/>
              <w:jc w:val="center"/>
              <w:rPr>
                <w:szCs w:val="16"/>
              </w:rPr>
            </w:pPr>
            <w:r w:rsidRPr="0047462D">
              <w:rPr>
                <w:szCs w:val="16"/>
              </w:rPr>
              <w:t>-78 (-82, -74)</w:t>
            </w:r>
          </w:p>
          <w:p w14:paraId="7ABCA37B" w14:textId="77777777" w:rsidR="00A67D3A" w:rsidRPr="0047462D" w:rsidRDefault="00A67D3A" w:rsidP="00205358">
            <w:pPr>
              <w:keepNext/>
              <w:jc w:val="center"/>
              <w:rPr>
                <w:szCs w:val="16"/>
              </w:rPr>
            </w:pPr>
            <w:r w:rsidRPr="0047462D">
              <w:rPr>
                <w:szCs w:val="16"/>
              </w:rPr>
              <w:t>-74 (-93, -53)</w:t>
            </w:r>
          </w:p>
          <w:p w14:paraId="31D88E96" w14:textId="77777777" w:rsidR="00A67D3A" w:rsidRPr="0047462D" w:rsidRDefault="00A67D3A" w:rsidP="00205358">
            <w:pPr>
              <w:keepNext/>
              <w:jc w:val="center"/>
              <w:rPr>
                <w:szCs w:val="16"/>
              </w:rPr>
            </w:pPr>
            <w:r w:rsidRPr="0047462D">
              <w:rPr>
                <w:szCs w:val="16"/>
              </w:rPr>
              <w:t>-61</w:t>
            </w:r>
            <w:r w:rsidRPr="0047462D">
              <w:rPr>
                <w:szCs w:val="16"/>
                <w:vertAlign w:val="superscript"/>
              </w:rPr>
              <w:t>††</w:t>
            </w:r>
            <w:r w:rsidRPr="0047462D">
              <w:rPr>
                <w:szCs w:val="16"/>
              </w:rPr>
              <w:t xml:space="preserve"> (-71, -54)</w:t>
            </w:r>
          </w:p>
        </w:tc>
        <w:tc>
          <w:tcPr>
            <w:tcW w:w="3735" w:type="dxa"/>
            <w:gridSpan w:val="3"/>
            <w:tcBorders>
              <w:top w:val="single" w:sz="4" w:space="0" w:color="auto"/>
              <w:bottom w:val="single" w:sz="4" w:space="0" w:color="auto"/>
              <w:right w:val="single" w:sz="4" w:space="0" w:color="auto"/>
            </w:tcBorders>
            <w:shd w:val="clear" w:color="auto" w:fill="auto"/>
          </w:tcPr>
          <w:p w14:paraId="5BE2CF5B" w14:textId="77777777" w:rsidR="00A67D3A" w:rsidRPr="0047462D" w:rsidRDefault="00A67D3A" w:rsidP="00205358">
            <w:pPr>
              <w:keepNext/>
              <w:jc w:val="center"/>
              <w:rPr>
                <w:szCs w:val="16"/>
              </w:rPr>
            </w:pPr>
            <w:r w:rsidRPr="0047462D">
              <w:rPr>
                <w:szCs w:val="16"/>
              </w:rPr>
              <w:t>8 (-1, 18)</w:t>
            </w:r>
          </w:p>
          <w:p w14:paraId="2739BF1C" w14:textId="77777777" w:rsidR="00A67D3A" w:rsidRPr="0047462D" w:rsidRDefault="00A67D3A" w:rsidP="00205358">
            <w:pPr>
              <w:keepNext/>
              <w:jc w:val="center"/>
              <w:rPr>
                <w:szCs w:val="16"/>
              </w:rPr>
            </w:pPr>
            <w:r w:rsidRPr="0047462D">
              <w:rPr>
                <w:szCs w:val="16"/>
              </w:rPr>
              <w:t>20 (3, 36)</w:t>
            </w:r>
          </w:p>
          <w:p w14:paraId="6D6561F9" w14:textId="77777777" w:rsidR="00A67D3A" w:rsidRPr="0047462D" w:rsidRDefault="00A67D3A" w:rsidP="00205358">
            <w:pPr>
              <w:keepNext/>
              <w:jc w:val="center"/>
              <w:rPr>
                <w:szCs w:val="16"/>
              </w:rPr>
            </w:pPr>
            <w:r w:rsidRPr="0047462D">
              <w:rPr>
                <w:szCs w:val="16"/>
              </w:rPr>
              <w:t>8 (-1, 18)</w:t>
            </w:r>
          </w:p>
          <w:p w14:paraId="656C6E43" w14:textId="77777777" w:rsidR="00A67D3A" w:rsidRPr="0047462D" w:rsidRDefault="00A67D3A" w:rsidP="00205358">
            <w:pPr>
              <w:keepNext/>
              <w:jc w:val="center"/>
              <w:rPr>
                <w:szCs w:val="16"/>
              </w:rPr>
            </w:pPr>
            <w:r w:rsidRPr="0047462D">
              <w:rPr>
                <w:szCs w:val="16"/>
              </w:rPr>
              <w:t>3</w:t>
            </w:r>
            <w:r w:rsidRPr="0047462D">
              <w:rPr>
                <w:szCs w:val="16"/>
                <w:vertAlign w:val="superscript"/>
              </w:rPr>
              <w:t>†</w:t>
            </w:r>
          </w:p>
          <w:p w14:paraId="0BCEF442" w14:textId="77777777" w:rsidR="00A67D3A" w:rsidRPr="0047462D" w:rsidRDefault="00A67D3A" w:rsidP="00205358">
            <w:pPr>
              <w:keepNext/>
              <w:jc w:val="center"/>
              <w:rPr>
                <w:szCs w:val="16"/>
              </w:rPr>
            </w:pPr>
            <w:r w:rsidRPr="0047462D">
              <w:rPr>
                <w:szCs w:val="16"/>
              </w:rPr>
              <w:t>3 (-1, 5)</w:t>
            </w:r>
          </w:p>
          <w:p w14:paraId="1D7D3B61" w14:textId="77777777" w:rsidR="00A67D3A" w:rsidRPr="0047462D" w:rsidRDefault="00A67D3A" w:rsidP="00205358">
            <w:pPr>
              <w:keepNext/>
              <w:jc w:val="center"/>
              <w:rPr>
                <w:szCs w:val="16"/>
              </w:rPr>
            </w:pPr>
            <w:r w:rsidRPr="0047462D">
              <w:rPr>
                <w:szCs w:val="16"/>
              </w:rPr>
              <w:t>9 (-20, 21)</w:t>
            </w:r>
          </w:p>
          <w:p w14:paraId="685BC2F1" w14:textId="77777777" w:rsidR="00A67D3A" w:rsidRPr="0047462D" w:rsidRDefault="00A67D3A" w:rsidP="00205358">
            <w:pPr>
              <w:keepNext/>
              <w:jc w:val="center"/>
              <w:rPr>
                <w:szCs w:val="16"/>
              </w:rPr>
            </w:pPr>
            <w:r w:rsidRPr="0047462D">
              <w:rPr>
                <w:szCs w:val="16"/>
              </w:rPr>
              <w:t>3 (-1, 8)</w:t>
            </w:r>
          </w:p>
          <w:p w14:paraId="23527510" w14:textId="77777777" w:rsidR="00A67D3A" w:rsidRPr="0047462D" w:rsidRDefault="00A67D3A" w:rsidP="00205358">
            <w:pPr>
              <w:keepNext/>
              <w:jc w:val="center"/>
              <w:rPr>
                <w:szCs w:val="16"/>
              </w:rPr>
            </w:pPr>
            <w:r w:rsidRPr="0047462D">
              <w:rPr>
                <w:szCs w:val="16"/>
              </w:rPr>
              <w:t>11 (-2, 20)</w:t>
            </w:r>
          </w:p>
          <w:p w14:paraId="2D61B4AA" w14:textId="77777777" w:rsidR="00A67D3A" w:rsidRPr="0047462D" w:rsidRDefault="00A67D3A" w:rsidP="00205358">
            <w:pPr>
              <w:keepNext/>
              <w:jc w:val="center"/>
              <w:rPr>
                <w:b/>
                <w:color w:val="000000"/>
                <w:szCs w:val="16"/>
              </w:rPr>
            </w:pPr>
            <w:r w:rsidRPr="0047462D">
              <w:rPr>
                <w:szCs w:val="16"/>
              </w:rPr>
              <w:t>5 (-3, 13)</w:t>
            </w:r>
          </w:p>
        </w:tc>
      </w:tr>
    </w:tbl>
    <w:p w14:paraId="66223026" w14:textId="77777777" w:rsidR="00925C73" w:rsidRPr="0047462D" w:rsidRDefault="00925C73" w:rsidP="00EB5A36">
      <w:pPr>
        <w:pStyle w:val="labeltext"/>
        <w:keepNext/>
        <w:spacing w:before="120"/>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Δεν πραγματοποιήθηκε στατιστικός έλεγχος λόγω του μικρού αριθμού των συγκεκριμένων μεταλλάξεων.</w:t>
      </w:r>
    </w:p>
    <w:p w14:paraId="489E0995" w14:textId="0ECA7C2E" w:rsidR="00925C73" w:rsidRPr="0047462D" w:rsidRDefault="00925C73" w:rsidP="00EB5A36">
      <w:pPr>
        <w:pStyle w:val="labeltext"/>
        <w:keepNext/>
        <w:ind w:left="270" w:hanging="18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 xml:space="preserve">Ανταποκρίνεται σε αποτελέσματα από τον έναν ασθενή με τη μετάλλαξη </w:t>
      </w:r>
      <w:r w:rsidRPr="0047462D">
        <w:rPr>
          <w:rFonts w:eastAsia="Times New Roman"/>
          <w:i/>
          <w:iCs/>
          <w:sz w:val="18"/>
          <w:szCs w:val="18"/>
          <w:lang w:val="el-GR"/>
        </w:rPr>
        <w:t>G551S</w:t>
      </w:r>
      <w:r w:rsidRPr="0047462D">
        <w:rPr>
          <w:rFonts w:eastAsia="Times New Roman"/>
          <w:sz w:val="18"/>
          <w:szCs w:val="18"/>
          <w:lang w:val="el-GR"/>
        </w:rPr>
        <w:t xml:space="preserve"> με δεδομένα στο χρονικό σημείο των 8</w:t>
      </w:r>
      <w:r w:rsidR="00B23991" w:rsidRPr="0047462D">
        <w:rPr>
          <w:rFonts w:eastAsia="Times New Roman"/>
          <w:sz w:val="18"/>
          <w:szCs w:val="18"/>
          <w:lang w:val="en-GB"/>
        </w:rPr>
        <w:t> </w:t>
      </w:r>
      <w:r w:rsidRPr="0047462D">
        <w:rPr>
          <w:rFonts w:eastAsia="Times New Roman"/>
          <w:sz w:val="18"/>
          <w:szCs w:val="18"/>
          <w:lang w:val="el-GR"/>
        </w:rPr>
        <w:t>εβδομάδων.</w:t>
      </w:r>
    </w:p>
    <w:p w14:paraId="71E2628E" w14:textId="77777777" w:rsidR="00925C73" w:rsidRPr="0047462D" w:rsidRDefault="00925C73" w:rsidP="00EB5A36">
      <w:pPr>
        <w:pStyle w:val="labeltext"/>
        <w:keepNext/>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n = 3 για την ανάλυση της απόλυτης μεταβολής στο χλώριο ιδρώτα.</w:t>
      </w:r>
    </w:p>
    <w:p w14:paraId="14EBE217" w14:textId="77777777" w:rsidR="00925C73" w:rsidRPr="0047462D" w:rsidRDefault="00925C73" w:rsidP="00EB5A36">
      <w:pPr>
        <w:pStyle w:val="labeltext"/>
        <w:ind w:firstLine="90"/>
        <w:rPr>
          <w:rFonts w:eastAsia="Times New Roman"/>
          <w:sz w:val="18"/>
          <w:szCs w:val="18"/>
          <w:u w:val="single"/>
          <w:lang w:val="el-GR"/>
        </w:rPr>
      </w:pPr>
      <w:r w:rsidRPr="0047462D">
        <w:rPr>
          <w:rFonts w:eastAsia="MS Mincho"/>
          <w:sz w:val="18"/>
          <w:szCs w:val="18"/>
          <w:vertAlign w:val="superscript"/>
          <w:lang w:val="el-GR" w:eastAsia="ja-JP"/>
        </w:rPr>
        <w:t xml:space="preserve"># </w:t>
      </w:r>
      <w:r w:rsidRPr="0047462D">
        <w:rPr>
          <w:rFonts w:eastAsia="MS Mincho"/>
          <w:sz w:val="18"/>
          <w:szCs w:val="18"/>
          <w:lang w:val="el-GR" w:eastAsia="ja-JP"/>
        </w:rPr>
        <w:tab/>
        <w:t xml:space="preserve">Προκαλεί ελαττωματικό μάτισμα με αποτέλεσμα ελάχιστη έως καθόλου πρωτεΐνη </w:t>
      </w:r>
      <w:r w:rsidRPr="0047462D">
        <w:rPr>
          <w:rFonts w:eastAsia="MS Mincho"/>
          <w:sz w:val="18"/>
          <w:szCs w:val="18"/>
          <w:lang w:eastAsia="ja-JP"/>
        </w:rPr>
        <w:t>CFTR</w:t>
      </w:r>
      <w:r w:rsidRPr="0047462D">
        <w:rPr>
          <w:rFonts w:eastAsia="MS Mincho"/>
          <w:sz w:val="18"/>
          <w:szCs w:val="18"/>
          <w:lang w:val="el-GR" w:eastAsia="ja-JP"/>
        </w:rPr>
        <w:t xml:space="preserve"> στην επιφάνεια του κυττάρου.</w:t>
      </w:r>
    </w:p>
    <w:p w14:paraId="384D539D" w14:textId="77777777" w:rsidR="00925C73" w:rsidRPr="0047462D" w:rsidRDefault="00925C73" w:rsidP="00925C73">
      <w:pPr>
        <w:pStyle w:val="labeltext"/>
        <w:rPr>
          <w:rFonts w:eastAsia="Times New Roman"/>
          <w:sz w:val="22"/>
          <w:szCs w:val="22"/>
          <w:u w:val="single"/>
          <w:lang w:val="el-GR"/>
        </w:rPr>
      </w:pPr>
    </w:p>
    <w:p w14:paraId="098D7DEA" w14:textId="31EDC1DD" w:rsidR="00A67D3A" w:rsidRPr="0047462D" w:rsidRDefault="00A67D3A" w:rsidP="002C32E8">
      <w:pPr>
        <w:pStyle w:val="labeltext"/>
        <w:rPr>
          <w:sz w:val="22"/>
          <w:lang w:val="el-GR"/>
        </w:rPr>
      </w:pPr>
      <w:r w:rsidRPr="0047462D">
        <w:rPr>
          <w:bCs/>
          <w:sz w:val="22"/>
          <w:szCs w:val="22"/>
          <w:lang w:val="el-GR"/>
        </w:rPr>
        <w:t>Στο μέρος</w:t>
      </w:r>
      <w:r w:rsidR="002C32E8" w:rsidRPr="0047462D">
        <w:rPr>
          <w:bCs/>
          <w:sz w:val="22"/>
          <w:szCs w:val="22"/>
          <w:lang w:val="en-GB"/>
        </w:rPr>
        <w:t> </w:t>
      </w:r>
      <w:r w:rsidRPr="0047462D">
        <w:rPr>
          <w:bCs/>
          <w:sz w:val="22"/>
          <w:szCs w:val="22"/>
          <w:lang w:val="el-GR"/>
        </w:rPr>
        <w:t>2 της μελέτης</w:t>
      </w:r>
      <w:r w:rsidR="00036D01" w:rsidRPr="0047462D">
        <w:rPr>
          <w:bCs/>
          <w:sz w:val="22"/>
          <w:szCs w:val="22"/>
          <w:lang w:val="el-GR"/>
        </w:rPr>
        <w:t> </w:t>
      </w:r>
      <w:r w:rsidRPr="0047462D">
        <w:rPr>
          <w:bCs/>
          <w:sz w:val="22"/>
          <w:szCs w:val="22"/>
          <w:lang w:val="el-GR"/>
        </w:rPr>
        <w:t xml:space="preserve">5, η μέση (SD) απόλυτη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μετά από 16</w:t>
      </w:r>
      <w:r w:rsidR="002C32E8" w:rsidRPr="0047462D">
        <w:rPr>
          <w:bCs/>
          <w:sz w:val="22"/>
          <w:szCs w:val="22"/>
          <w:lang w:val="en-GB"/>
        </w:rPr>
        <w:t> </w:t>
      </w:r>
      <w:r w:rsidRPr="0047462D">
        <w:rPr>
          <w:bCs/>
          <w:sz w:val="22"/>
          <w:szCs w:val="22"/>
          <w:lang w:val="el-GR"/>
        </w:rPr>
        <w:t xml:space="preserve">εβδομάδες (ασθενείς που τυχαιοποιήθηκαν με την ακολουθία θεραπείας ivacaftor/εικονικού φαρμάκου στο μέρος 1) </w:t>
      </w:r>
      <w:r w:rsidR="00121FAE" w:rsidRPr="0047462D">
        <w:rPr>
          <w:bCs/>
          <w:sz w:val="22"/>
          <w:szCs w:val="22"/>
          <w:lang w:val="el-GR"/>
        </w:rPr>
        <w:t xml:space="preserve">της </w:t>
      </w:r>
      <w:r w:rsidRPr="0047462D">
        <w:rPr>
          <w:bCs/>
          <w:sz w:val="22"/>
          <w:szCs w:val="22"/>
          <w:lang w:val="el-GR"/>
        </w:rPr>
        <w:t>συνεχούς θεραπείας με ivacaftor ήταν 10,4% (13,2%). Στην επίσκεψη παρακολούθησης, 4</w:t>
      </w:r>
      <w:r w:rsidR="002C32E8" w:rsidRPr="0047462D">
        <w:rPr>
          <w:bCs/>
          <w:sz w:val="22"/>
          <w:szCs w:val="22"/>
          <w:lang w:val="en-GB"/>
        </w:rPr>
        <w:t> </w:t>
      </w:r>
      <w:r w:rsidRPr="0047462D">
        <w:rPr>
          <w:bCs/>
          <w:sz w:val="22"/>
          <w:szCs w:val="22"/>
          <w:lang w:val="el-GR"/>
        </w:rPr>
        <w:t xml:space="preserve">εβδομάδες μετά το τέλος χορήγησης δόσης του ivacaftor, η μέση (SD) απόλυτη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6C14CF" w:rsidRPr="0047462D">
        <w:rPr>
          <w:bCs/>
          <w:sz w:val="22"/>
          <w:szCs w:val="22"/>
          <w:lang w:val="el-GR"/>
        </w:rPr>
        <w:t>εβδομάδα</w:t>
      </w:r>
      <w:r w:rsidR="006C14CF" w:rsidRPr="0047462D">
        <w:rPr>
          <w:bCs/>
          <w:sz w:val="22"/>
          <w:szCs w:val="22"/>
          <w:lang w:val="en-GB"/>
        </w:rPr>
        <w:t> </w:t>
      </w:r>
      <w:r w:rsidR="00ED7342" w:rsidRPr="0047462D">
        <w:rPr>
          <w:bCs/>
          <w:szCs w:val="22"/>
          <w:lang w:val="el-GR"/>
        </w:rPr>
        <w:t>16</w:t>
      </w:r>
      <w:r w:rsidR="00231503" w:rsidRPr="0047462D">
        <w:rPr>
          <w:bCs/>
          <w:sz w:val="22"/>
          <w:szCs w:val="22"/>
          <w:lang w:val="el-GR"/>
        </w:rPr>
        <w:t xml:space="preserve"> </w:t>
      </w:r>
      <w:r w:rsidRPr="0047462D">
        <w:rPr>
          <w:bCs/>
          <w:sz w:val="22"/>
          <w:szCs w:val="22"/>
          <w:lang w:val="el-GR"/>
        </w:rPr>
        <w:t xml:space="preserve">του μέρους 2 ήταν </w:t>
      </w:r>
      <w:r w:rsidR="00ED7342" w:rsidRPr="0047462D">
        <w:rPr>
          <w:bCs/>
          <w:szCs w:val="22"/>
          <w:lang w:val="el-GR"/>
        </w:rPr>
        <w:noBreakHyphen/>
      </w:r>
      <w:r w:rsidRPr="0047462D">
        <w:rPr>
          <w:bCs/>
          <w:sz w:val="22"/>
          <w:szCs w:val="22"/>
          <w:lang w:val="el-GR"/>
        </w:rPr>
        <w:t xml:space="preserve">5,9% (9,4%). Για τους ασθενείς που τυχαιοποιήθηκαν με την ακολουθία θεραπείας εικονικού φαρμάκου/ivacaftor στο μέρος 1 υπήρξε μια περαιτέρω μέση (SD)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της τάξης του 3,3% (9,3%) στο ποσοστό προβλεπόμενου FEV</w:t>
      </w:r>
      <w:r w:rsidRPr="0047462D">
        <w:rPr>
          <w:bCs/>
          <w:sz w:val="22"/>
          <w:szCs w:val="22"/>
          <w:vertAlign w:val="subscript"/>
          <w:lang w:val="el-GR"/>
        </w:rPr>
        <w:t>1</w:t>
      </w:r>
      <w:r w:rsidRPr="0047462D">
        <w:rPr>
          <w:bCs/>
          <w:sz w:val="22"/>
          <w:szCs w:val="22"/>
          <w:lang w:val="el-GR"/>
        </w:rPr>
        <w:t xml:space="preserve"> μετά τις πρόσθετες 16</w:t>
      </w:r>
      <w:r w:rsidR="002C32E8" w:rsidRPr="0047462D">
        <w:rPr>
          <w:bCs/>
          <w:sz w:val="22"/>
          <w:szCs w:val="22"/>
          <w:lang w:val="en-GB"/>
        </w:rPr>
        <w:t> </w:t>
      </w:r>
      <w:r w:rsidRPr="0047462D">
        <w:rPr>
          <w:bCs/>
          <w:sz w:val="22"/>
          <w:szCs w:val="22"/>
          <w:lang w:val="el-GR"/>
        </w:rPr>
        <w:t>εβδομάδες θεραπείας με ivacaftor. Στην επίσκεψη παρακολούθησης, 4</w:t>
      </w:r>
      <w:r w:rsidR="002C32E8" w:rsidRPr="0047462D">
        <w:rPr>
          <w:bCs/>
          <w:sz w:val="22"/>
          <w:szCs w:val="22"/>
          <w:lang w:val="en-GB"/>
        </w:rPr>
        <w:t> </w:t>
      </w:r>
      <w:r w:rsidRPr="0047462D">
        <w:rPr>
          <w:bCs/>
          <w:sz w:val="22"/>
          <w:szCs w:val="22"/>
          <w:lang w:val="el-GR"/>
        </w:rPr>
        <w:t xml:space="preserve">εβδομάδες μετά το τέλος χορήγησης δόσης του ivacaftor, η μέση (SD) απόλυτη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6C14CF" w:rsidRPr="0047462D">
        <w:rPr>
          <w:bCs/>
          <w:sz w:val="22"/>
          <w:szCs w:val="22"/>
          <w:lang w:val="el-GR"/>
        </w:rPr>
        <w:t>εβδομάδα</w:t>
      </w:r>
      <w:r w:rsidR="006C14CF" w:rsidRPr="0047462D">
        <w:rPr>
          <w:bCs/>
          <w:sz w:val="22"/>
          <w:szCs w:val="22"/>
          <w:lang w:val="en-GB"/>
        </w:rPr>
        <w:t> </w:t>
      </w:r>
      <w:r w:rsidR="00ED7342" w:rsidRPr="0047462D">
        <w:rPr>
          <w:bCs/>
          <w:sz w:val="22"/>
          <w:szCs w:val="22"/>
          <w:lang w:val="el-GR"/>
        </w:rPr>
        <w:t>16</w:t>
      </w:r>
      <w:r w:rsidR="00231503" w:rsidRPr="0047462D">
        <w:rPr>
          <w:bCs/>
          <w:sz w:val="22"/>
          <w:szCs w:val="22"/>
          <w:lang w:val="el-GR"/>
        </w:rPr>
        <w:t xml:space="preserve"> </w:t>
      </w:r>
      <w:r w:rsidRPr="0047462D">
        <w:rPr>
          <w:bCs/>
          <w:sz w:val="22"/>
          <w:szCs w:val="22"/>
          <w:lang w:val="el-GR"/>
        </w:rPr>
        <w:t>του μέρους 2 ήταν -7,4% (5,5%).</w:t>
      </w:r>
    </w:p>
    <w:p w14:paraId="14241F40" w14:textId="77777777" w:rsidR="00A67D3A" w:rsidRPr="0047462D" w:rsidRDefault="00A67D3A">
      <w:pPr>
        <w:pStyle w:val="labeltext"/>
        <w:rPr>
          <w:sz w:val="22"/>
          <w:lang w:val="el-GR"/>
        </w:rPr>
      </w:pPr>
    </w:p>
    <w:p w14:paraId="48CF984A" w14:textId="617AC6ED" w:rsidR="00A67D3A" w:rsidRPr="0047462D" w:rsidRDefault="00ED7342" w:rsidP="00141E57">
      <w:pPr>
        <w:pStyle w:val="labeltext"/>
        <w:keepNext/>
        <w:rPr>
          <w:rFonts w:eastAsia="Times New Roman"/>
          <w:i/>
          <w:iCs/>
          <w:sz w:val="22"/>
          <w:szCs w:val="22"/>
          <w:u w:val="single"/>
          <w:lang w:val="el-GR"/>
        </w:rPr>
      </w:pPr>
      <w:r w:rsidRPr="0047462D">
        <w:rPr>
          <w:rFonts w:eastAsia="Times New Roman"/>
          <w:i/>
          <w:sz w:val="22"/>
          <w:szCs w:val="22"/>
          <w:u w:val="single"/>
          <w:lang w:val="el-GR"/>
        </w:rPr>
        <w:t>Μελέτη</w:t>
      </w:r>
      <w:r w:rsidRPr="0047462D">
        <w:rPr>
          <w:rFonts w:eastAsia="Times New Roman"/>
          <w:i/>
          <w:sz w:val="22"/>
          <w:szCs w:val="22"/>
          <w:u w:val="single"/>
          <w:lang w:val="en-GB"/>
        </w:rPr>
        <w:t> </w:t>
      </w:r>
      <w:r w:rsidRPr="0047462D">
        <w:rPr>
          <w:rFonts w:eastAsia="Times New Roman"/>
          <w:i/>
          <w:sz w:val="22"/>
          <w:szCs w:val="22"/>
          <w:u w:val="single"/>
          <w:lang w:val="el-GR"/>
        </w:rPr>
        <w:t xml:space="preserve">3: μελέτη σε ασθενείς με ΚΙ με τη μετάλλαξη </w:t>
      </w:r>
      <w:r w:rsidRPr="0047462D">
        <w:rPr>
          <w:rFonts w:eastAsia="Times New Roman"/>
          <w:i/>
          <w:iCs/>
          <w:sz w:val="22"/>
          <w:szCs w:val="22"/>
          <w:u w:val="single"/>
          <w:lang w:val="el-GR"/>
        </w:rPr>
        <w:t>F508del</w:t>
      </w:r>
      <w:r w:rsidRPr="0047462D">
        <w:rPr>
          <w:rFonts w:eastAsia="Times New Roman"/>
          <w:i/>
          <w:sz w:val="22"/>
          <w:szCs w:val="22"/>
          <w:u w:val="single"/>
          <w:lang w:val="el-GR"/>
        </w:rPr>
        <w:t xml:space="preserve"> στο γονίδιο </w:t>
      </w:r>
      <w:r w:rsidRPr="0047462D">
        <w:rPr>
          <w:rFonts w:eastAsia="Times New Roman"/>
          <w:i/>
          <w:iCs/>
          <w:sz w:val="22"/>
          <w:szCs w:val="22"/>
          <w:u w:val="single"/>
          <w:lang w:val="el-GR"/>
        </w:rPr>
        <w:t>CFTR</w:t>
      </w:r>
    </w:p>
    <w:p w14:paraId="3E2E608B" w14:textId="77777777" w:rsidR="009E0E1F" w:rsidRPr="0047462D" w:rsidRDefault="009E0E1F" w:rsidP="00141E57">
      <w:pPr>
        <w:pStyle w:val="labeltext"/>
        <w:keepNext/>
        <w:rPr>
          <w:rFonts w:eastAsia="Times New Roman"/>
          <w:i/>
          <w:szCs w:val="22"/>
          <w:u w:val="single"/>
          <w:lang w:val="el-GR"/>
        </w:rPr>
      </w:pPr>
    </w:p>
    <w:p w14:paraId="5F123801" w14:textId="10C44E4C" w:rsidR="00A67D3A" w:rsidRPr="0047462D" w:rsidRDefault="00A67D3A" w:rsidP="002331FF">
      <w:pPr>
        <w:rPr>
          <w:szCs w:val="22"/>
        </w:rPr>
      </w:pPr>
      <w:r w:rsidRPr="0047462D">
        <w:rPr>
          <w:rFonts w:eastAsia="Times New Roman"/>
          <w:szCs w:val="22"/>
        </w:rPr>
        <w:t>Η μελέτη 3 (μέρος A) ήταν μια διπλά τυφλή, ελεγχόμενη με εικονικό φάρμακο μελέτη 16 εβδομάδων με τυχαιοποίηση 4:1</w:t>
      </w:r>
      <w:r w:rsidR="00692F54" w:rsidRPr="0047462D">
        <w:rPr>
          <w:rFonts w:eastAsia="Times New Roman"/>
          <w:szCs w:val="22"/>
        </w:rPr>
        <w:t>,</w:t>
      </w:r>
      <w:r w:rsidRPr="0047462D">
        <w:rPr>
          <w:rFonts w:eastAsia="Times New Roman"/>
          <w:szCs w:val="22"/>
        </w:rPr>
        <w:t xml:space="preserve"> </w:t>
      </w:r>
      <w:r w:rsidR="00973BAC">
        <w:rPr>
          <w:rFonts w:eastAsia="Times New Roman"/>
          <w:szCs w:val="22"/>
        </w:rPr>
        <w:t>φ</w:t>
      </w:r>
      <w:r w:rsidRPr="0047462D">
        <w:rPr>
          <w:rFonts w:eastAsia="Times New Roman"/>
          <w:szCs w:val="22"/>
        </w:rPr>
        <w:t>άσης</w:t>
      </w:r>
      <w:r w:rsidRPr="0047462D">
        <w:t> </w:t>
      </w:r>
      <w:r w:rsidRPr="0047462D">
        <w:rPr>
          <w:rFonts w:eastAsia="Times New Roman"/>
          <w:szCs w:val="22"/>
        </w:rPr>
        <w:t>2</w:t>
      </w:r>
      <w:r w:rsidR="00692F54" w:rsidRPr="0047462D">
        <w:rPr>
          <w:rFonts w:eastAsia="Times New Roman"/>
          <w:szCs w:val="22"/>
        </w:rPr>
        <w:t>,</w:t>
      </w:r>
      <w:r w:rsidRPr="0047462D">
        <w:rPr>
          <w:rFonts w:eastAsia="Times New Roman"/>
          <w:szCs w:val="22"/>
        </w:rPr>
        <w:t xml:space="preserve"> παράλληλων ομάδων του ivacaftor (150 mg κάθε 12 ώρες) σε 140 ασθενείς με ΚΙ ηλικίας 12 ετών και άνω που ήταν ομόζυγοι για τη μετάλλαξη </w:t>
      </w:r>
      <w:r w:rsidRPr="0047462D">
        <w:rPr>
          <w:rFonts w:eastAsia="Times New Roman"/>
          <w:i/>
          <w:iCs/>
          <w:szCs w:val="22"/>
        </w:rPr>
        <w:t>F508del</w:t>
      </w:r>
      <w:r w:rsidRPr="0047462D">
        <w:rPr>
          <w:rFonts w:eastAsia="Times New Roman"/>
          <w:szCs w:val="22"/>
        </w:rPr>
        <w:t xml:space="preserve"> στο γονίδιο </w:t>
      </w:r>
      <w:r w:rsidRPr="0047462D">
        <w:rPr>
          <w:rFonts w:eastAsia="Times New Roman"/>
          <w:i/>
          <w:iCs/>
          <w:szCs w:val="22"/>
        </w:rPr>
        <w:t>CFTR</w:t>
      </w:r>
      <w:r w:rsidRPr="0047462D">
        <w:rPr>
          <w:rFonts w:eastAsia="Times New Roman"/>
          <w:szCs w:val="22"/>
        </w:rPr>
        <w:t xml:space="preserve"> και που είχαν FEV</w:t>
      </w:r>
      <w:r w:rsidRPr="0047462D">
        <w:rPr>
          <w:rFonts w:eastAsia="Times New Roman"/>
          <w:szCs w:val="22"/>
          <w:vertAlign w:val="subscript"/>
        </w:rPr>
        <w:t>1</w:t>
      </w:r>
      <w:r w:rsidRPr="0047462D">
        <w:rPr>
          <w:rFonts w:eastAsia="Times New Roman"/>
          <w:szCs w:val="22"/>
        </w:rPr>
        <w:t xml:space="preserve"> ≥</w:t>
      </w:r>
      <w:r w:rsidR="007E1EEC" w:rsidRPr="0047462D">
        <w:rPr>
          <w:rFonts w:eastAsia="Times New Roman"/>
          <w:szCs w:val="22"/>
          <w:lang w:val="en-US"/>
        </w:rPr>
        <w:t> </w:t>
      </w:r>
      <w:r w:rsidRPr="0047462D">
        <w:rPr>
          <w:rFonts w:eastAsia="Times New Roman"/>
          <w:szCs w:val="22"/>
        </w:rPr>
        <w:t xml:space="preserve">40% του προβλεπόμενου. </w:t>
      </w:r>
    </w:p>
    <w:p w14:paraId="58FB787F" w14:textId="77777777" w:rsidR="00A67D3A" w:rsidRPr="0047462D" w:rsidRDefault="00A67D3A">
      <w:pPr>
        <w:rPr>
          <w:szCs w:val="22"/>
        </w:rPr>
      </w:pPr>
    </w:p>
    <w:p w14:paraId="424A7CD3" w14:textId="5C47B0F1" w:rsidR="00A67D3A" w:rsidRPr="0047462D" w:rsidRDefault="00A67D3A">
      <w:pPr>
        <w:rPr>
          <w:rFonts w:eastAsia="MS Mincho"/>
          <w:szCs w:val="22"/>
        </w:rPr>
      </w:pPr>
      <w:r w:rsidRPr="0047462D">
        <w:rPr>
          <w:rFonts w:eastAsia="Times New Roman"/>
          <w:szCs w:val="22"/>
        </w:rPr>
        <w:t xml:space="preserve">Η μέση απόλυτη </w:t>
      </w:r>
      <w:r w:rsidR="0065349C" w:rsidRPr="0047462D">
        <w:rPr>
          <w:rFonts w:eastAsia="Times New Roman"/>
          <w:szCs w:val="22"/>
        </w:rPr>
        <w:t xml:space="preserve">μεταβολή </w:t>
      </w:r>
      <w:r w:rsidRPr="0047462D">
        <w:rPr>
          <w:rFonts w:eastAsia="Times New Roman"/>
          <w:szCs w:val="22"/>
        </w:rPr>
        <w:t xml:space="preserve">από την τιμή αναφοράς έως την </w:t>
      </w:r>
      <w:r w:rsidR="006C14CF" w:rsidRPr="0047462D">
        <w:rPr>
          <w:rFonts w:eastAsia="Times New Roman"/>
          <w:szCs w:val="22"/>
        </w:rPr>
        <w:t>εβδομάδα </w:t>
      </w:r>
      <w:r w:rsidRPr="0047462D">
        <w:rPr>
          <w:rFonts w:eastAsia="Times New Roman"/>
          <w:szCs w:val="22"/>
        </w:rPr>
        <w:t>16 στο ποσοστό προβλεπόμενου FEV</w:t>
      </w:r>
      <w:r w:rsidRPr="0047462D">
        <w:rPr>
          <w:rFonts w:eastAsia="Times New Roman"/>
          <w:szCs w:val="22"/>
          <w:vertAlign w:val="subscript"/>
        </w:rPr>
        <w:t>1</w:t>
      </w:r>
      <w:r w:rsidRPr="0047462D">
        <w:rPr>
          <w:rFonts w:eastAsia="Times New Roman"/>
          <w:szCs w:val="22"/>
        </w:rPr>
        <w:t xml:space="preserve"> (πρωτεύον τελικό σημείο αποτελεσματικότητας) ήταν 1,5 ποσοστιαίες μονάδες στην ομάδα του ivacaftor και </w:t>
      </w:r>
      <w:r w:rsidRPr="0047462D">
        <w:rPr>
          <w:rFonts w:eastAsia="Times New Roman"/>
          <w:szCs w:val="22"/>
        </w:rPr>
        <w:noBreakHyphen/>
        <w:t xml:space="preserve">0,2 ποσοστιαίες μονάδες στην ομάδα εικονικού φαρμάκου. Η εκτιμώμενη διαφορά θεραπείας για το ivacaftor έναντι του εικονικού φαρμάκου ήταν 1,7 ποσοστιαίες μονάδες (95% CI </w:t>
      </w:r>
      <w:r w:rsidRPr="0047462D">
        <w:rPr>
          <w:rFonts w:eastAsia="Times New Roman"/>
          <w:szCs w:val="22"/>
        </w:rPr>
        <w:noBreakHyphen/>
        <w:t>0,6, 4,1), αυτή η διαφορά δεν ήταν στατιστικά σημαντική (</w:t>
      </w:r>
      <w:r w:rsidRPr="0047462D">
        <w:rPr>
          <w:rFonts w:eastAsia="Times New Roman"/>
          <w:i/>
          <w:iCs/>
          <w:szCs w:val="22"/>
        </w:rPr>
        <w:t>P</w:t>
      </w:r>
      <w:r w:rsidRPr="0047462D">
        <w:rPr>
          <w:rFonts w:eastAsia="Times New Roman"/>
          <w:szCs w:val="22"/>
        </w:rPr>
        <w:t xml:space="preserve"> = 0,15).</w:t>
      </w:r>
    </w:p>
    <w:p w14:paraId="3EA37894" w14:textId="77777777" w:rsidR="00A67D3A" w:rsidRPr="0047462D" w:rsidRDefault="00A67D3A">
      <w:pPr>
        <w:rPr>
          <w:rFonts w:eastAsia="MS Mincho"/>
          <w:szCs w:val="22"/>
        </w:rPr>
      </w:pPr>
    </w:p>
    <w:p w14:paraId="20559C03" w14:textId="143A844C" w:rsidR="00A67D3A" w:rsidRPr="0047462D" w:rsidRDefault="00ED7342">
      <w:pPr>
        <w:keepNext/>
        <w:rPr>
          <w:rFonts w:eastAsia="Times New Roman"/>
          <w:i/>
          <w:szCs w:val="22"/>
          <w:u w:val="single"/>
        </w:rPr>
      </w:pPr>
      <w:r w:rsidRPr="0047462D">
        <w:rPr>
          <w:rFonts w:eastAsia="Times New Roman"/>
          <w:i/>
          <w:szCs w:val="22"/>
          <w:u w:val="single"/>
        </w:rPr>
        <w:t>Μελέτη</w:t>
      </w:r>
      <w:r w:rsidRPr="0047462D">
        <w:rPr>
          <w:rFonts w:eastAsia="Times New Roman"/>
          <w:i/>
          <w:color w:val="000000"/>
          <w:szCs w:val="22"/>
          <w:u w:val="single"/>
        </w:rPr>
        <w:t> </w:t>
      </w:r>
      <w:r w:rsidRPr="0047462D">
        <w:rPr>
          <w:rFonts w:eastAsia="Times New Roman"/>
          <w:i/>
          <w:szCs w:val="22"/>
          <w:u w:val="single"/>
        </w:rPr>
        <w:t>4: ανοιχτής επισήμανσης μελέτη επέκτασης</w:t>
      </w:r>
    </w:p>
    <w:p w14:paraId="23F21C3F" w14:textId="77777777" w:rsidR="009E0E1F" w:rsidRPr="0047462D" w:rsidRDefault="009E0E1F">
      <w:pPr>
        <w:keepNext/>
        <w:rPr>
          <w:rFonts w:eastAsia="Times New Roman"/>
          <w:i/>
          <w:color w:val="000000"/>
          <w:szCs w:val="22"/>
          <w:u w:val="single"/>
        </w:rPr>
      </w:pPr>
    </w:p>
    <w:p w14:paraId="0F4ED531" w14:textId="09331906" w:rsidR="00A67D3A" w:rsidRPr="0047462D" w:rsidRDefault="00A67D3A">
      <w:pPr>
        <w:tabs>
          <w:tab w:val="left" w:pos="567"/>
        </w:tabs>
        <w:suppressAutoHyphens w:val="0"/>
        <w:spacing w:line="260" w:lineRule="exact"/>
        <w:rPr>
          <w:bCs/>
        </w:rPr>
      </w:pPr>
      <w:r w:rsidRPr="0047462D">
        <w:rPr>
          <w:bCs/>
        </w:rPr>
        <w:t>Στη μελέτη</w:t>
      </w:r>
      <w:r w:rsidR="00036D01" w:rsidRPr="0047462D">
        <w:rPr>
          <w:bCs/>
        </w:rPr>
        <w:t> </w:t>
      </w:r>
      <w:r w:rsidRPr="0047462D">
        <w:rPr>
          <w:bCs/>
        </w:rPr>
        <w:t>4</w:t>
      </w:r>
      <w:r w:rsidR="006E26C5" w:rsidRPr="0047462D">
        <w:rPr>
          <w:bCs/>
        </w:rPr>
        <w:t>,</w:t>
      </w:r>
      <w:r w:rsidRPr="0047462D">
        <w:rPr>
          <w:bCs/>
        </w:rPr>
        <w:t xml:space="preserve"> ασθενείς που ολοκλήρωσαν τη θεραπεία στις μελέτες 1 και 2 με εικονικό φάρμακο άλλαξαν σε ivacaftor, ενώ ασθενείς που υποβάλλονταν σε θεραπεία με ivacaftor συνέχισαν να το λαμβάνουν για τουλάχιστον 96 εβδομάδες, δηλαδή, η διάρκεια της θεραπείας με ivacaftor ήταν τουλάχιστον 96 εβδομάδες για τους ασθενείς στην ομάδα εικονικού φαρμάκου/ivacaftor και τουλάχιστον 144 εβδομάδες για τους ασθενείς στην ομάδα ivacaftor/ivacaftor.</w:t>
      </w:r>
    </w:p>
    <w:p w14:paraId="5E5571D2" w14:textId="77777777" w:rsidR="00A67D3A" w:rsidRPr="0047462D" w:rsidRDefault="00A67D3A">
      <w:pPr>
        <w:tabs>
          <w:tab w:val="left" w:pos="567"/>
        </w:tabs>
        <w:suppressAutoHyphens w:val="0"/>
        <w:spacing w:line="260" w:lineRule="exact"/>
        <w:rPr>
          <w:szCs w:val="22"/>
          <w:u w:val="single"/>
        </w:rPr>
      </w:pPr>
    </w:p>
    <w:p w14:paraId="0EFC67E6" w14:textId="3D342D03" w:rsidR="00A67D3A" w:rsidRPr="0047462D" w:rsidRDefault="00A67D3A">
      <w:r w:rsidRPr="0047462D">
        <w:rPr>
          <w:bCs/>
        </w:rPr>
        <w:t>Εκατόν σαράντα τέσσερις (144) ασθενείς από τη μελέτη</w:t>
      </w:r>
      <w:r w:rsidR="00036D01" w:rsidRPr="0047462D">
        <w:rPr>
          <w:bCs/>
        </w:rPr>
        <w:t> </w:t>
      </w:r>
      <w:r w:rsidRPr="0047462D">
        <w:rPr>
          <w:bCs/>
        </w:rPr>
        <w:t>1</w:t>
      </w:r>
      <w:r w:rsidR="002C32E8" w:rsidRPr="0047462D">
        <w:rPr>
          <w:bCs/>
          <w:lang w:val="en-GB"/>
        </w:rPr>
        <w:t> </w:t>
      </w:r>
      <w:r w:rsidRPr="0047462D">
        <w:rPr>
          <w:bCs/>
        </w:rPr>
        <w:t>μεταφέρθηκαν στη μελέτη</w:t>
      </w:r>
      <w:r w:rsidR="00036D01" w:rsidRPr="0047462D">
        <w:rPr>
          <w:bCs/>
        </w:rPr>
        <w:t> </w:t>
      </w:r>
      <w:r w:rsidRPr="0047462D">
        <w:rPr>
          <w:bCs/>
        </w:rPr>
        <w:t>4, 67 στην ομάδα εικονικού φαρμάκου/ivacaftor και 77 στην ομάδα ivacaftor/ivacaftor. Σαράντα οκτώ (48) ασθενείς από τη μελέτη</w:t>
      </w:r>
      <w:r w:rsidR="00036D01" w:rsidRPr="0047462D">
        <w:rPr>
          <w:bCs/>
        </w:rPr>
        <w:t> </w:t>
      </w:r>
      <w:r w:rsidRPr="0047462D">
        <w:rPr>
          <w:bCs/>
        </w:rPr>
        <w:t>2</w:t>
      </w:r>
      <w:r w:rsidR="002C32E8" w:rsidRPr="0047462D">
        <w:rPr>
          <w:bCs/>
          <w:lang w:val="en-GB"/>
        </w:rPr>
        <w:t> </w:t>
      </w:r>
      <w:r w:rsidRPr="0047462D">
        <w:rPr>
          <w:bCs/>
        </w:rPr>
        <w:t>μεταφέρθηκαν στη μελέτη</w:t>
      </w:r>
      <w:r w:rsidR="00036D01" w:rsidRPr="0047462D">
        <w:rPr>
          <w:bCs/>
        </w:rPr>
        <w:t> </w:t>
      </w:r>
      <w:r w:rsidRPr="0047462D">
        <w:rPr>
          <w:bCs/>
        </w:rPr>
        <w:t>4, 22 στην ομάδα εικονικού φαρμάκου/ivacaftor και 26 στην ομάδα ivacaftor/ivacaftor.</w:t>
      </w:r>
    </w:p>
    <w:p w14:paraId="042A9788" w14:textId="77777777" w:rsidR="00A67D3A" w:rsidRPr="0047462D" w:rsidRDefault="00A67D3A">
      <w:pPr>
        <w:rPr>
          <w:rFonts w:eastAsia="Times New Roman"/>
          <w:szCs w:val="22"/>
          <w:u w:val="single"/>
        </w:rPr>
      </w:pPr>
    </w:p>
    <w:p w14:paraId="7103FFFD" w14:textId="0CD12BDF" w:rsidR="00A67D3A" w:rsidRPr="0047462D" w:rsidRDefault="00A67D3A" w:rsidP="002C32E8">
      <w:pPr>
        <w:rPr>
          <w:bCs/>
        </w:rPr>
      </w:pPr>
      <w:r w:rsidRPr="0047462D">
        <w:rPr>
          <w:bCs/>
        </w:rPr>
        <w:t>Ο Πίνακας</w:t>
      </w:r>
      <w:r w:rsidR="002C32E8" w:rsidRPr="0047462D">
        <w:rPr>
          <w:bCs/>
          <w:lang w:val="en-GB"/>
        </w:rPr>
        <w:t> </w:t>
      </w:r>
      <w:r w:rsidR="00373A54" w:rsidRPr="0047462D">
        <w:rPr>
          <w:bCs/>
        </w:rPr>
        <w:t>8</w:t>
      </w:r>
      <w:r w:rsidRPr="0047462D">
        <w:rPr>
          <w:bCs/>
        </w:rPr>
        <w:t xml:space="preserve"> δείχνει τα αποτελέσματα της μέσης (SD) απόλυτης </w:t>
      </w:r>
      <w:r w:rsidR="005B7C33" w:rsidRPr="0047462D">
        <w:rPr>
          <w:rFonts w:eastAsia="Times New Roman"/>
          <w:szCs w:val="22"/>
        </w:rPr>
        <w:t>μεταβολής</w:t>
      </w:r>
      <w:r w:rsidR="005B7C33" w:rsidRPr="0047462D">
        <w:rPr>
          <w:bCs/>
        </w:rPr>
        <w:t xml:space="preserve"> </w:t>
      </w:r>
      <w:r w:rsidRPr="0047462D">
        <w:rPr>
          <w:bCs/>
        </w:rPr>
        <w:t>στο ποσοστό προβλεπόμενου FEV</w:t>
      </w:r>
      <w:r w:rsidRPr="0047462D">
        <w:rPr>
          <w:bCs/>
          <w:vertAlign w:val="subscript"/>
        </w:rPr>
        <w:t>1</w:t>
      </w:r>
      <w:r w:rsidRPr="0047462D">
        <w:rPr>
          <w:bCs/>
        </w:rPr>
        <w:t xml:space="preserve"> για αμφότερες τις ομάδες των ασθενών. Για τους ασθενείς στην ομάδα εικονικού φαρμάκου/ivacaftor η τιμή αναφοράς του ποσοστού προβλεπόμενου FEV</w:t>
      </w:r>
      <w:r w:rsidRPr="0047462D">
        <w:rPr>
          <w:bCs/>
          <w:vertAlign w:val="subscript"/>
        </w:rPr>
        <w:t>1</w:t>
      </w:r>
      <w:r w:rsidRPr="0047462D">
        <w:rPr>
          <w:bCs/>
        </w:rPr>
        <w:t xml:space="preserve"> είναι εκείνη της μελέτης</w:t>
      </w:r>
      <w:r w:rsidR="00036D01" w:rsidRPr="0047462D">
        <w:rPr>
          <w:bCs/>
        </w:rPr>
        <w:t> </w:t>
      </w:r>
      <w:r w:rsidRPr="0047462D">
        <w:rPr>
          <w:bCs/>
        </w:rPr>
        <w:t>4, ενώ για τους ασθενείς στην ομάδα ivacaftor/ivacaftor η τιμή αναφοράς είναι εκείνη των μελετών 1 και 2.</w:t>
      </w:r>
    </w:p>
    <w:p w14:paraId="418086F8" w14:textId="77777777" w:rsidR="00A67D3A" w:rsidRPr="0047462D" w:rsidRDefault="00A67D3A">
      <w:pPr>
        <w:rPr>
          <w:bCs/>
        </w:rPr>
      </w:pPr>
    </w:p>
    <w:p w14:paraId="7AC6ADE2" w14:textId="4F8CB53F" w:rsidR="0077388C" w:rsidRPr="0047462D" w:rsidRDefault="0077388C" w:rsidP="0077388C">
      <w:pPr>
        <w:pStyle w:val="labeltext"/>
        <w:keepNext/>
        <w:spacing w:after="120"/>
        <w:rPr>
          <w:b/>
          <w:sz w:val="22"/>
          <w:szCs w:val="22"/>
          <w:lang w:val="el-GR"/>
        </w:rPr>
      </w:pPr>
      <w:r w:rsidRPr="0047462D">
        <w:rPr>
          <w:b/>
          <w:sz w:val="22"/>
          <w:szCs w:val="22"/>
          <w:lang w:val="el-GR"/>
        </w:rPr>
        <w:t>Πίνακας</w:t>
      </w:r>
      <w:r w:rsidRPr="0047462D">
        <w:rPr>
          <w:b/>
          <w:sz w:val="22"/>
          <w:szCs w:val="22"/>
        </w:rPr>
        <w:t> </w:t>
      </w:r>
      <w:r w:rsidR="00373A54" w:rsidRPr="0047462D">
        <w:rPr>
          <w:b/>
          <w:sz w:val="22"/>
          <w:szCs w:val="22"/>
          <w:lang w:val="el-GR"/>
        </w:rPr>
        <w:t>8</w:t>
      </w:r>
      <w:r w:rsidRPr="0047462D">
        <w:rPr>
          <w:b/>
          <w:sz w:val="22"/>
          <w:szCs w:val="22"/>
          <w:lang w:val="el-GR"/>
        </w:rPr>
        <w:t xml:space="preserve">: Επίδραση του </w:t>
      </w:r>
      <w:r w:rsidRPr="0047462D">
        <w:rPr>
          <w:b/>
          <w:sz w:val="22"/>
          <w:szCs w:val="22"/>
        </w:rPr>
        <w:t>ivacaftor</w:t>
      </w:r>
      <w:r w:rsidRPr="0047462D">
        <w:rPr>
          <w:b/>
          <w:sz w:val="22"/>
          <w:szCs w:val="22"/>
          <w:lang w:val="el-GR"/>
        </w:rPr>
        <w:t xml:space="preserve"> στο ποσοστό προβλεπόμενου </w:t>
      </w:r>
      <w:r w:rsidRPr="0047462D">
        <w:rPr>
          <w:b/>
          <w:sz w:val="22"/>
          <w:szCs w:val="22"/>
        </w:rPr>
        <w:t>FEV</w:t>
      </w:r>
      <w:r w:rsidRPr="0047462D">
        <w:rPr>
          <w:b/>
          <w:sz w:val="22"/>
          <w:szCs w:val="22"/>
          <w:vertAlign w:val="subscript"/>
          <w:lang w:val="el-GR"/>
        </w:rPr>
        <w:t>1</w:t>
      </w:r>
      <w:r w:rsidRPr="0047462D">
        <w:rPr>
          <w:b/>
          <w:sz w:val="22"/>
          <w:szCs w:val="22"/>
          <w:lang w:val="el-GR"/>
        </w:rPr>
        <w:t xml:space="preserve"> στη μελέτη 4</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2880"/>
        <w:gridCol w:w="1350"/>
        <w:gridCol w:w="3094"/>
      </w:tblGrid>
      <w:tr w:rsidR="00A67D3A" w:rsidRPr="0047462D" w14:paraId="26570D2A" w14:textId="77777777">
        <w:tc>
          <w:tcPr>
            <w:tcW w:w="2032" w:type="dxa"/>
            <w:tcBorders>
              <w:bottom w:val="single" w:sz="4" w:space="0" w:color="auto"/>
            </w:tcBorders>
            <w:shd w:val="clear" w:color="auto" w:fill="auto"/>
          </w:tcPr>
          <w:p w14:paraId="05954DE6" w14:textId="77777777" w:rsidR="00A67D3A" w:rsidRPr="0047462D" w:rsidRDefault="00A67D3A" w:rsidP="00141E57">
            <w:pPr>
              <w:keepNext/>
              <w:rPr>
                <w:rFonts w:eastAsia="MS Mincho"/>
                <w:color w:val="000000"/>
                <w:lang w:eastAsia="ja-JP"/>
              </w:rPr>
            </w:pPr>
            <w:r w:rsidRPr="0047462D">
              <w:rPr>
                <w:b/>
              </w:rPr>
              <w:t>Αρχική μελέτη και ομάδα θεραπείας</w:t>
            </w:r>
          </w:p>
        </w:tc>
        <w:tc>
          <w:tcPr>
            <w:tcW w:w="2880" w:type="dxa"/>
            <w:tcBorders>
              <w:bottom w:val="single" w:sz="4" w:space="0" w:color="auto"/>
            </w:tcBorders>
            <w:shd w:val="clear" w:color="auto" w:fill="auto"/>
          </w:tcPr>
          <w:p w14:paraId="4BDA1651" w14:textId="2D198D1C" w:rsidR="00A67D3A" w:rsidRPr="0047462D" w:rsidRDefault="00A67D3A" w:rsidP="008300C7">
            <w:pPr>
              <w:keepNext/>
              <w:jc w:val="center"/>
              <w:rPr>
                <w:rFonts w:eastAsia="MS Mincho"/>
                <w:color w:val="000000"/>
                <w:lang w:eastAsia="ja-JP"/>
              </w:rPr>
            </w:pPr>
            <w:r w:rsidRPr="0047462D">
              <w:rPr>
                <w:b/>
              </w:rPr>
              <w:t>Διάρκεια της θεραπείας με ivacaftor (</w:t>
            </w:r>
            <w:r w:rsidR="00295822" w:rsidRPr="0047462D">
              <w:rPr>
                <w:b/>
              </w:rPr>
              <w:t>ε</w:t>
            </w:r>
            <w:r w:rsidR="008300C7" w:rsidRPr="0047462D">
              <w:rPr>
                <w:b/>
              </w:rPr>
              <w:t>βδομάδες</w:t>
            </w:r>
            <w:r w:rsidRPr="0047462D">
              <w:rPr>
                <w:b/>
              </w:rPr>
              <w:t>)</w:t>
            </w:r>
          </w:p>
        </w:tc>
        <w:tc>
          <w:tcPr>
            <w:tcW w:w="4444" w:type="dxa"/>
            <w:gridSpan w:val="2"/>
            <w:tcBorders>
              <w:bottom w:val="single" w:sz="4" w:space="0" w:color="auto"/>
            </w:tcBorders>
            <w:shd w:val="clear" w:color="auto" w:fill="auto"/>
          </w:tcPr>
          <w:p w14:paraId="08971040" w14:textId="77777777" w:rsidR="00A67D3A" w:rsidRPr="0047462D" w:rsidRDefault="00A67D3A" w:rsidP="008C6B97">
            <w:pPr>
              <w:keepNext/>
              <w:jc w:val="center"/>
              <w:rPr>
                <w:rFonts w:eastAsia="MS Mincho"/>
                <w:color w:val="000000"/>
                <w:lang w:eastAsia="ja-JP"/>
              </w:rPr>
            </w:pPr>
            <w:r w:rsidRPr="0047462D">
              <w:rPr>
                <w:b/>
              </w:rPr>
              <w:t xml:space="preserve">Απόλυτη </w:t>
            </w:r>
            <w:r w:rsidR="005B7C33" w:rsidRPr="0047462D">
              <w:rPr>
                <w:rFonts w:eastAsia="Times New Roman"/>
                <w:b/>
                <w:szCs w:val="22"/>
              </w:rPr>
              <w:t>μεταβολή</w:t>
            </w:r>
            <w:r w:rsidR="005B7C33" w:rsidRPr="0047462D">
              <w:rPr>
                <w:b/>
              </w:rPr>
              <w:t xml:space="preserve"> </w:t>
            </w:r>
            <w:r w:rsidRPr="0047462D">
              <w:rPr>
                <w:b/>
              </w:rPr>
              <w:t>από την τιμή αναφοράς στο ποσοστό προβλεπόμενου FEV</w:t>
            </w:r>
            <w:r w:rsidRPr="0047462D">
              <w:rPr>
                <w:b/>
                <w:vertAlign w:val="subscript"/>
              </w:rPr>
              <w:t xml:space="preserve">1 </w:t>
            </w:r>
            <w:r w:rsidRPr="0047462D">
              <w:rPr>
                <w:b/>
                <w:vertAlign w:val="subscript"/>
              </w:rPr>
              <w:br/>
            </w:r>
            <w:r w:rsidRPr="0047462D">
              <w:rPr>
                <w:b/>
              </w:rPr>
              <w:t>(ποσοστιαίες μονάδες)</w:t>
            </w:r>
          </w:p>
        </w:tc>
      </w:tr>
      <w:tr w:rsidR="00A67D3A" w:rsidRPr="0047462D" w14:paraId="07BEFD23" w14:textId="77777777">
        <w:tc>
          <w:tcPr>
            <w:tcW w:w="2032" w:type="dxa"/>
            <w:tcBorders>
              <w:top w:val="single" w:sz="4" w:space="0" w:color="auto"/>
              <w:right w:val="single" w:sz="4" w:space="0" w:color="auto"/>
            </w:tcBorders>
            <w:shd w:val="clear" w:color="auto" w:fill="auto"/>
          </w:tcPr>
          <w:p w14:paraId="74A0DAA6" w14:textId="77777777" w:rsidR="00A67D3A" w:rsidRPr="0047462D" w:rsidRDefault="00A67D3A" w:rsidP="00141E57">
            <w:pPr>
              <w:keepNext/>
              <w:rPr>
                <w:b/>
              </w:rPr>
            </w:pPr>
          </w:p>
        </w:tc>
        <w:tc>
          <w:tcPr>
            <w:tcW w:w="2880" w:type="dxa"/>
            <w:tcBorders>
              <w:top w:val="single" w:sz="4" w:space="0" w:color="auto"/>
              <w:left w:val="single" w:sz="4" w:space="0" w:color="auto"/>
              <w:right w:val="single" w:sz="4" w:space="0" w:color="auto"/>
            </w:tcBorders>
            <w:shd w:val="clear" w:color="auto" w:fill="auto"/>
          </w:tcPr>
          <w:p w14:paraId="59F0FCB4" w14:textId="77777777" w:rsidR="00A67D3A" w:rsidRPr="0047462D" w:rsidRDefault="00A67D3A" w:rsidP="00141E57">
            <w:pPr>
              <w:keepNext/>
              <w:jc w:val="center"/>
              <w:rPr>
                <w:b/>
              </w:rPr>
            </w:pPr>
          </w:p>
        </w:tc>
        <w:tc>
          <w:tcPr>
            <w:tcW w:w="1350" w:type="dxa"/>
            <w:tcBorders>
              <w:top w:val="single" w:sz="4" w:space="0" w:color="auto"/>
              <w:left w:val="single" w:sz="4" w:space="0" w:color="auto"/>
              <w:right w:val="single" w:sz="4" w:space="0" w:color="auto"/>
            </w:tcBorders>
            <w:shd w:val="clear" w:color="auto" w:fill="auto"/>
          </w:tcPr>
          <w:p w14:paraId="0D1B5C89" w14:textId="77777777" w:rsidR="00A67D3A" w:rsidRPr="0047462D" w:rsidRDefault="00A67D3A" w:rsidP="00141E57">
            <w:pPr>
              <w:keepNext/>
              <w:jc w:val="center"/>
              <w:rPr>
                <w:b/>
              </w:rPr>
            </w:pPr>
            <w:r w:rsidRPr="0047462D">
              <w:rPr>
                <w:b/>
              </w:rPr>
              <w:t>N</w:t>
            </w:r>
          </w:p>
        </w:tc>
        <w:tc>
          <w:tcPr>
            <w:tcW w:w="3094" w:type="dxa"/>
            <w:tcBorders>
              <w:top w:val="single" w:sz="4" w:space="0" w:color="auto"/>
              <w:left w:val="single" w:sz="4" w:space="0" w:color="auto"/>
            </w:tcBorders>
            <w:shd w:val="clear" w:color="auto" w:fill="auto"/>
          </w:tcPr>
          <w:p w14:paraId="6DB9B0C2" w14:textId="77777777" w:rsidR="00A67D3A" w:rsidRPr="0047462D" w:rsidRDefault="00A67D3A" w:rsidP="00141E57">
            <w:pPr>
              <w:keepNext/>
              <w:jc w:val="center"/>
              <w:rPr>
                <w:b/>
              </w:rPr>
            </w:pPr>
            <w:r w:rsidRPr="0047462D">
              <w:rPr>
                <w:b/>
              </w:rPr>
              <w:t>Μέση (SD)</w:t>
            </w:r>
          </w:p>
        </w:tc>
      </w:tr>
      <w:tr w:rsidR="00A67D3A" w:rsidRPr="0047462D" w14:paraId="75426173" w14:textId="77777777">
        <w:tc>
          <w:tcPr>
            <w:tcW w:w="9356" w:type="dxa"/>
            <w:gridSpan w:val="4"/>
            <w:shd w:val="clear" w:color="auto" w:fill="auto"/>
          </w:tcPr>
          <w:p w14:paraId="4501E887" w14:textId="6412044E" w:rsidR="00A67D3A" w:rsidRPr="0047462D" w:rsidRDefault="00A67D3A" w:rsidP="00141E57">
            <w:pPr>
              <w:keepNext/>
              <w:rPr>
                <w:b/>
              </w:rPr>
            </w:pPr>
            <w:r w:rsidRPr="0047462D">
              <w:rPr>
                <w:b/>
              </w:rPr>
              <w:t>Μελέτη</w:t>
            </w:r>
            <w:r w:rsidR="00036D01" w:rsidRPr="0047462D">
              <w:rPr>
                <w:b/>
              </w:rPr>
              <w:t> </w:t>
            </w:r>
            <w:r w:rsidRPr="0047462D">
              <w:rPr>
                <w:b/>
              </w:rPr>
              <w:t>1</w:t>
            </w:r>
          </w:p>
        </w:tc>
      </w:tr>
      <w:tr w:rsidR="00A67D3A" w:rsidRPr="0047462D" w14:paraId="6F482BB9" w14:textId="77777777">
        <w:tc>
          <w:tcPr>
            <w:tcW w:w="2032" w:type="dxa"/>
            <w:tcBorders>
              <w:right w:val="single" w:sz="4" w:space="0" w:color="auto"/>
            </w:tcBorders>
            <w:shd w:val="clear" w:color="auto" w:fill="auto"/>
          </w:tcPr>
          <w:p w14:paraId="0EA173E3" w14:textId="77777777" w:rsidR="00A67D3A" w:rsidRPr="0047462D" w:rsidRDefault="00A67D3A" w:rsidP="00141E57">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62E78FB9" w14:textId="77777777" w:rsidR="00A67D3A" w:rsidRPr="0047462D" w:rsidRDefault="00A67D3A" w:rsidP="00141E57">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68819840" w14:textId="77777777" w:rsidR="00A67D3A" w:rsidRPr="0047462D" w:rsidRDefault="00A67D3A" w:rsidP="00141E57">
            <w:pPr>
              <w:keepNext/>
              <w:jc w:val="center"/>
            </w:pPr>
            <w:r w:rsidRPr="0047462D">
              <w:t>77</w:t>
            </w:r>
          </w:p>
        </w:tc>
        <w:tc>
          <w:tcPr>
            <w:tcW w:w="3094" w:type="dxa"/>
            <w:tcBorders>
              <w:left w:val="single" w:sz="4" w:space="0" w:color="auto"/>
            </w:tcBorders>
            <w:shd w:val="clear" w:color="auto" w:fill="auto"/>
            <w:vAlign w:val="center"/>
          </w:tcPr>
          <w:p w14:paraId="4EBACC9B" w14:textId="77777777" w:rsidR="00A67D3A" w:rsidRPr="0047462D" w:rsidRDefault="00A67D3A" w:rsidP="00141E57">
            <w:pPr>
              <w:keepNext/>
              <w:jc w:val="center"/>
            </w:pPr>
            <w:r w:rsidRPr="0047462D">
              <w:t>9,4 (8,3)</w:t>
            </w:r>
          </w:p>
        </w:tc>
      </w:tr>
      <w:tr w:rsidR="00A67D3A" w:rsidRPr="0047462D" w14:paraId="1A1B54E9" w14:textId="77777777">
        <w:tc>
          <w:tcPr>
            <w:tcW w:w="2032" w:type="dxa"/>
            <w:tcBorders>
              <w:right w:val="single" w:sz="4" w:space="0" w:color="auto"/>
            </w:tcBorders>
            <w:shd w:val="clear" w:color="auto" w:fill="auto"/>
          </w:tcPr>
          <w:p w14:paraId="3EC25B1B" w14:textId="77777777" w:rsidR="00A67D3A" w:rsidRPr="0047462D" w:rsidRDefault="00A67D3A" w:rsidP="00141E57">
            <w:pPr>
              <w:keepNext/>
              <w:rPr>
                <w:b/>
              </w:rPr>
            </w:pPr>
          </w:p>
        </w:tc>
        <w:tc>
          <w:tcPr>
            <w:tcW w:w="2880" w:type="dxa"/>
            <w:tcBorders>
              <w:left w:val="single" w:sz="4" w:space="0" w:color="auto"/>
              <w:right w:val="single" w:sz="4" w:space="0" w:color="auto"/>
            </w:tcBorders>
            <w:shd w:val="clear" w:color="auto" w:fill="auto"/>
            <w:vAlign w:val="center"/>
          </w:tcPr>
          <w:p w14:paraId="412E013C" w14:textId="77777777" w:rsidR="00A67D3A" w:rsidRPr="0047462D" w:rsidRDefault="00A67D3A" w:rsidP="00141E57">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1CF24041" w14:textId="77777777" w:rsidR="00A67D3A" w:rsidRPr="0047462D" w:rsidRDefault="00A67D3A" w:rsidP="00141E57">
            <w:pPr>
              <w:keepNext/>
              <w:jc w:val="center"/>
            </w:pPr>
            <w:r w:rsidRPr="0047462D">
              <w:t>72</w:t>
            </w:r>
          </w:p>
        </w:tc>
        <w:tc>
          <w:tcPr>
            <w:tcW w:w="3094" w:type="dxa"/>
            <w:tcBorders>
              <w:left w:val="single" w:sz="4" w:space="0" w:color="auto"/>
            </w:tcBorders>
            <w:shd w:val="clear" w:color="auto" w:fill="auto"/>
            <w:vAlign w:val="center"/>
          </w:tcPr>
          <w:p w14:paraId="1497AED8" w14:textId="77777777" w:rsidR="00A67D3A" w:rsidRPr="0047462D" w:rsidRDefault="00A67D3A" w:rsidP="00141E57">
            <w:pPr>
              <w:keepNext/>
              <w:jc w:val="center"/>
            </w:pPr>
            <w:r w:rsidRPr="0047462D">
              <w:t>9,4 (10,8)</w:t>
            </w:r>
          </w:p>
        </w:tc>
      </w:tr>
      <w:tr w:rsidR="00A67D3A" w:rsidRPr="0047462D" w14:paraId="570A7EDB" w14:textId="77777777">
        <w:tc>
          <w:tcPr>
            <w:tcW w:w="2032" w:type="dxa"/>
            <w:tcBorders>
              <w:right w:val="single" w:sz="4" w:space="0" w:color="auto"/>
            </w:tcBorders>
            <w:shd w:val="clear" w:color="auto" w:fill="auto"/>
          </w:tcPr>
          <w:p w14:paraId="25952A37" w14:textId="77777777" w:rsidR="00A67D3A" w:rsidRPr="0047462D" w:rsidRDefault="00A67D3A" w:rsidP="00141E57">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668142F7" w14:textId="77777777" w:rsidR="00A67D3A" w:rsidRPr="0047462D" w:rsidRDefault="00A67D3A" w:rsidP="00141E57">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07F2E669" w14:textId="77777777" w:rsidR="00A67D3A" w:rsidRPr="0047462D" w:rsidRDefault="00A67D3A" w:rsidP="00141E57">
            <w:pPr>
              <w:keepNext/>
              <w:jc w:val="center"/>
            </w:pPr>
            <w:r w:rsidRPr="0047462D">
              <w:t>67</w:t>
            </w:r>
          </w:p>
        </w:tc>
        <w:tc>
          <w:tcPr>
            <w:tcW w:w="3094" w:type="dxa"/>
            <w:tcBorders>
              <w:left w:val="single" w:sz="4" w:space="0" w:color="auto"/>
            </w:tcBorders>
            <w:shd w:val="clear" w:color="auto" w:fill="auto"/>
            <w:vAlign w:val="center"/>
          </w:tcPr>
          <w:p w14:paraId="0C7DF41C" w14:textId="77777777" w:rsidR="00A67D3A" w:rsidRPr="0047462D" w:rsidRDefault="00A67D3A" w:rsidP="00141E57">
            <w:pPr>
              <w:keepNext/>
              <w:jc w:val="center"/>
            </w:pPr>
            <w:r w:rsidRPr="0047462D">
              <w:t>-1,2 (7,8)</w:t>
            </w:r>
            <w:r w:rsidRPr="0047462D">
              <w:rPr>
                <w:color w:val="1F497D"/>
                <w:position w:val="6"/>
                <w:sz w:val="16"/>
              </w:rPr>
              <w:t>†</w:t>
            </w:r>
          </w:p>
        </w:tc>
      </w:tr>
      <w:tr w:rsidR="00A67D3A" w:rsidRPr="0047462D" w14:paraId="2A81A929" w14:textId="77777777">
        <w:tc>
          <w:tcPr>
            <w:tcW w:w="2032" w:type="dxa"/>
            <w:tcBorders>
              <w:right w:val="single" w:sz="4" w:space="0" w:color="auto"/>
            </w:tcBorders>
            <w:shd w:val="clear" w:color="auto" w:fill="auto"/>
          </w:tcPr>
          <w:p w14:paraId="48B18999" w14:textId="77777777" w:rsidR="00A67D3A" w:rsidRPr="0047462D" w:rsidRDefault="00A67D3A" w:rsidP="00141E57">
            <w:pPr>
              <w:keepNext/>
              <w:rPr>
                <w:b/>
              </w:rPr>
            </w:pPr>
          </w:p>
        </w:tc>
        <w:tc>
          <w:tcPr>
            <w:tcW w:w="2880" w:type="dxa"/>
            <w:tcBorders>
              <w:left w:val="single" w:sz="4" w:space="0" w:color="auto"/>
              <w:right w:val="single" w:sz="4" w:space="0" w:color="auto"/>
            </w:tcBorders>
            <w:shd w:val="clear" w:color="auto" w:fill="auto"/>
            <w:vAlign w:val="center"/>
          </w:tcPr>
          <w:p w14:paraId="5DF89DF4" w14:textId="77777777" w:rsidR="00A67D3A" w:rsidRPr="0047462D" w:rsidRDefault="00A67D3A" w:rsidP="00141E57">
            <w:pPr>
              <w:keepNext/>
              <w:jc w:val="center"/>
            </w:pPr>
            <w:r w:rsidRPr="0047462D">
              <w:t>96</w:t>
            </w:r>
          </w:p>
        </w:tc>
        <w:tc>
          <w:tcPr>
            <w:tcW w:w="1350" w:type="dxa"/>
            <w:tcBorders>
              <w:left w:val="single" w:sz="4" w:space="0" w:color="auto"/>
              <w:right w:val="single" w:sz="4" w:space="0" w:color="auto"/>
            </w:tcBorders>
            <w:shd w:val="clear" w:color="auto" w:fill="auto"/>
            <w:vAlign w:val="center"/>
          </w:tcPr>
          <w:p w14:paraId="25D07EA5" w14:textId="77777777" w:rsidR="00A67D3A" w:rsidRPr="0047462D" w:rsidRDefault="00A67D3A" w:rsidP="00141E57">
            <w:pPr>
              <w:keepNext/>
              <w:jc w:val="center"/>
            </w:pPr>
            <w:r w:rsidRPr="0047462D">
              <w:t>55</w:t>
            </w:r>
          </w:p>
        </w:tc>
        <w:tc>
          <w:tcPr>
            <w:tcW w:w="3094" w:type="dxa"/>
            <w:tcBorders>
              <w:left w:val="single" w:sz="4" w:space="0" w:color="auto"/>
            </w:tcBorders>
            <w:shd w:val="clear" w:color="auto" w:fill="auto"/>
            <w:vAlign w:val="center"/>
          </w:tcPr>
          <w:p w14:paraId="4A975416" w14:textId="77777777" w:rsidR="00A67D3A" w:rsidRPr="0047462D" w:rsidRDefault="00A67D3A" w:rsidP="00141E57">
            <w:pPr>
              <w:keepNext/>
              <w:jc w:val="center"/>
            </w:pPr>
            <w:r w:rsidRPr="0047462D">
              <w:t>9,5 (11,2)</w:t>
            </w:r>
          </w:p>
        </w:tc>
      </w:tr>
      <w:tr w:rsidR="00A67D3A" w:rsidRPr="0047462D" w14:paraId="6E766D18" w14:textId="77777777">
        <w:tc>
          <w:tcPr>
            <w:tcW w:w="9356" w:type="dxa"/>
            <w:gridSpan w:val="4"/>
            <w:shd w:val="clear" w:color="auto" w:fill="auto"/>
          </w:tcPr>
          <w:p w14:paraId="4B434337" w14:textId="223C1D0C" w:rsidR="00A67D3A" w:rsidRPr="0047462D" w:rsidRDefault="00A67D3A" w:rsidP="00141E57">
            <w:pPr>
              <w:keepNext/>
              <w:rPr>
                <w:b/>
              </w:rPr>
            </w:pPr>
            <w:r w:rsidRPr="0047462D">
              <w:rPr>
                <w:b/>
              </w:rPr>
              <w:t>Μελέτη</w:t>
            </w:r>
            <w:r w:rsidR="00036D01" w:rsidRPr="0047462D">
              <w:rPr>
                <w:b/>
              </w:rPr>
              <w:t> </w:t>
            </w:r>
            <w:r w:rsidRPr="0047462D">
              <w:rPr>
                <w:b/>
              </w:rPr>
              <w:t>2</w:t>
            </w:r>
          </w:p>
        </w:tc>
      </w:tr>
      <w:tr w:rsidR="00A67D3A" w:rsidRPr="0047462D" w14:paraId="413B12C6" w14:textId="77777777">
        <w:tc>
          <w:tcPr>
            <w:tcW w:w="2032" w:type="dxa"/>
            <w:tcBorders>
              <w:right w:val="single" w:sz="4" w:space="0" w:color="auto"/>
            </w:tcBorders>
            <w:shd w:val="clear" w:color="auto" w:fill="auto"/>
          </w:tcPr>
          <w:p w14:paraId="504422EF" w14:textId="77777777" w:rsidR="00A67D3A" w:rsidRPr="0047462D" w:rsidRDefault="00A67D3A" w:rsidP="00141E57">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60FD1658" w14:textId="77777777" w:rsidR="00A67D3A" w:rsidRPr="0047462D" w:rsidRDefault="00A67D3A" w:rsidP="00141E57">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684F20E8" w14:textId="77777777" w:rsidR="00A67D3A" w:rsidRPr="0047462D" w:rsidRDefault="00A67D3A" w:rsidP="00141E57">
            <w:pPr>
              <w:keepNext/>
              <w:jc w:val="center"/>
            </w:pPr>
            <w:r w:rsidRPr="0047462D">
              <w:t>26</w:t>
            </w:r>
          </w:p>
        </w:tc>
        <w:tc>
          <w:tcPr>
            <w:tcW w:w="3094" w:type="dxa"/>
            <w:tcBorders>
              <w:left w:val="single" w:sz="4" w:space="0" w:color="auto"/>
            </w:tcBorders>
            <w:shd w:val="clear" w:color="auto" w:fill="auto"/>
            <w:vAlign w:val="center"/>
          </w:tcPr>
          <w:p w14:paraId="3EAE568C" w14:textId="77777777" w:rsidR="00A67D3A" w:rsidRPr="0047462D" w:rsidRDefault="00A67D3A" w:rsidP="00141E57">
            <w:pPr>
              <w:keepNext/>
              <w:jc w:val="center"/>
            </w:pPr>
            <w:r w:rsidRPr="0047462D">
              <w:t>10,2 (15,7)</w:t>
            </w:r>
          </w:p>
        </w:tc>
      </w:tr>
      <w:tr w:rsidR="00A67D3A" w:rsidRPr="0047462D" w14:paraId="13D7FBA1" w14:textId="77777777">
        <w:tc>
          <w:tcPr>
            <w:tcW w:w="2032" w:type="dxa"/>
            <w:tcBorders>
              <w:right w:val="single" w:sz="4" w:space="0" w:color="auto"/>
            </w:tcBorders>
            <w:shd w:val="clear" w:color="auto" w:fill="auto"/>
          </w:tcPr>
          <w:p w14:paraId="124C0E93" w14:textId="77777777" w:rsidR="00A67D3A" w:rsidRPr="0047462D" w:rsidRDefault="00A67D3A" w:rsidP="00141E57">
            <w:pPr>
              <w:keepNext/>
              <w:rPr>
                <w:b/>
              </w:rPr>
            </w:pPr>
          </w:p>
        </w:tc>
        <w:tc>
          <w:tcPr>
            <w:tcW w:w="2880" w:type="dxa"/>
            <w:tcBorders>
              <w:left w:val="single" w:sz="4" w:space="0" w:color="auto"/>
              <w:right w:val="single" w:sz="4" w:space="0" w:color="auto"/>
            </w:tcBorders>
            <w:shd w:val="clear" w:color="auto" w:fill="auto"/>
            <w:vAlign w:val="center"/>
          </w:tcPr>
          <w:p w14:paraId="0AD7CC50" w14:textId="77777777" w:rsidR="00A67D3A" w:rsidRPr="0047462D" w:rsidRDefault="00A67D3A" w:rsidP="00141E57">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13C5C14D" w14:textId="77777777" w:rsidR="00A67D3A" w:rsidRPr="0047462D" w:rsidRDefault="00A67D3A" w:rsidP="00141E57">
            <w:pPr>
              <w:keepNext/>
              <w:jc w:val="center"/>
            </w:pPr>
            <w:r w:rsidRPr="0047462D">
              <w:t>25</w:t>
            </w:r>
          </w:p>
        </w:tc>
        <w:tc>
          <w:tcPr>
            <w:tcW w:w="3094" w:type="dxa"/>
            <w:tcBorders>
              <w:left w:val="single" w:sz="4" w:space="0" w:color="auto"/>
            </w:tcBorders>
            <w:shd w:val="clear" w:color="auto" w:fill="auto"/>
            <w:vAlign w:val="center"/>
          </w:tcPr>
          <w:p w14:paraId="24956F35" w14:textId="77777777" w:rsidR="00A67D3A" w:rsidRPr="0047462D" w:rsidRDefault="00A67D3A" w:rsidP="00141E57">
            <w:pPr>
              <w:keepNext/>
              <w:jc w:val="center"/>
            </w:pPr>
            <w:r w:rsidRPr="0047462D">
              <w:t>10,3 (12,4)</w:t>
            </w:r>
          </w:p>
        </w:tc>
      </w:tr>
      <w:tr w:rsidR="00A67D3A" w:rsidRPr="0047462D" w14:paraId="67193842" w14:textId="77777777">
        <w:tc>
          <w:tcPr>
            <w:tcW w:w="2032" w:type="dxa"/>
            <w:tcBorders>
              <w:right w:val="single" w:sz="4" w:space="0" w:color="auto"/>
            </w:tcBorders>
            <w:shd w:val="clear" w:color="auto" w:fill="auto"/>
          </w:tcPr>
          <w:p w14:paraId="5FDD0BE1" w14:textId="77777777" w:rsidR="00A67D3A" w:rsidRPr="0047462D" w:rsidRDefault="00A67D3A" w:rsidP="00141E57">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3E1DA003" w14:textId="77777777" w:rsidR="00A67D3A" w:rsidRPr="0047462D" w:rsidRDefault="00A67D3A" w:rsidP="00141E57">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119074CD" w14:textId="77777777" w:rsidR="00A67D3A" w:rsidRPr="0047462D" w:rsidRDefault="00A67D3A" w:rsidP="00141E57">
            <w:pPr>
              <w:keepNext/>
              <w:jc w:val="center"/>
            </w:pPr>
            <w:r w:rsidRPr="0047462D">
              <w:t>22</w:t>
            </w:r>
          </w:p>
        </w:tc>
        <w:tc>
          <w:tcPr>
            <w:tcW w:w="3094" w:type="dxa"/>
            <w:tcBorders>
              <w:left w:val="single" w:sz="4" w:space="0" w:color="auto"/>
            </w:tcBorders>
            <w:shd w:val="clear" w:color="auto" w:fill="auto"/>
            <w:vAlign w:val="center"/>
          </w:tcPr>
          <w:p w14:paraId="6DDD8A8D" w14:textId="77777777" w:rsidR="00A67D3A" w:rsidRPr="0047462D" w:rsidRDefault="00A67D3A" w:rsidP="00141E57">
            <w:pPr>
              <w:keepNext/>
              <w:jc w:val="center"/>
            </w:pPr>
            <w:r w:rsidRPr="0047462D">
              <w:t>-0,6 (10,1)</w:t>
            </w:r>
            <w:r w:rsidRPr="0047462D">
              <w:rPr>
                <w:color w:val="1F497D"/>
                <w:position w:val="6"/>
                <w:sz w:val="16"/>
              </w:rPr>
              <w:t>†</w:t>
            </w:r>
          </w:p>
        </w:tc>
      </w:tr>
      <w:tr w:rsidR="00A67D3A" w:rsidRPr="0047462D" w14:paraId="48162A98" w14:textId="77777777">
        <w:tc>
          <w:tcPr>
            <w:tcW w:w="2032" w:type="dxa"/>
            <w:tcBorders>
              <w:bottom w:val="single" w:sz="4" w:space="0" w:color="auto"/>
              <w:right w:val="single" w:sz="4" w:space="0" w:color="auto"/>
            </w:tcBorders>
            <w:shd w:val="clear" w:color="auto" w:fill="auto"/>
          </w:tcPr>
          <w:p w14:paraId="4D9031B0" w14:textId="77777777" w:rsidR="00A67D3A" w:rsidRPr="0047462D" w:rsidRDefault="00A67D3A" w:rsidP="00141E57">
            <w:pPr>
              <w:keepNext/>
              <w:rPr>
                <w:b/>
              </w:rPr>
            </w:pPr>
          </w:p>
        </w:tc>
        <w:tc>
          <w:tcPr>
            <w:tcW w:w="2880" w:type="dxa"/>
            <w:tcBorders>
              <w:left w:val="single" w:sz="4" w:space="0" w:color="auto"/>
              <w:bottom w:val="single" w:sz="4" w:space="0" w:color="auto"/>
              <w:right w:val="single" w:sz="4" w:space="0" w:color="auto"/>
            </w:tcBorders>
            <w:shd w:val="clear" w:color="auto" w:fill="auto"/>
            <w:vAlign w:val="center"/>
          </w:tcPr>
          <w:p w14:paraId="2FCF147D" w14:textId="77777777" w:rsidR="00A67D3A" w:rsidRPr="0047462D" w:rsidRDefault="00A67D3A" w:rsidP="00141E57">
            <w:pPr>
              <w:keepNext/>
              <w:jc w:val="center"/>
            </w:pPr>
            <w:r w:rsidRPr="0047462D">
              <w:t>96</w:t>
            </w:r>
          </w:p>
        </w:tc>
        <w:tc>
          <w:tcPr>
            <w:tcW w:w="1350" w:type="dxa"/>
            <w:tcBorders>
              <w:left w:val="single" w:sz="4" w:space="0" w:color="auto"/>
              <w:bottom w:val="single" w:sz="4" w:space="0" w:color="auto"/>
              <w:right w:val="single" w:sz="4" w:space="0" w:color="auto"/>
            </w:tcBorders>
            <w:shd w:val="clear" w:color="auto" w:fill="auto"/>
            <w:vAlign w:val="center"/>
          </w:tcPr>
          <w:p w14:paraId="3651DA4D" w14:textId="77777777" w:rsidR="00A67D3A" w:rsidRPr="0047462D" w:rsidRDefault="00A67D3A" w:rsidP="00141E57">
            <w:pPr>
              <w:keepNext/>
              <w:jc w:val="center"/>
            </w:pPr>
            <w:r w:rsidRPr="0047462D">
              <w:t>21</w:t>
            </w:r>
          </w:p>
        </w:tc>
        <w:tc>
          <w:tcPr>
            <w:tcW w:w="3094" w:type="dxa"/>
            <w:tcBorders>
              <w:left w:val="single" w:sz="4" w:space="0" w:color="auto"/>
              <w:bottom w:val="single" w:sz="4" w:space="0" w:color="auto"/>
            </w:tcBorders>
            <w:shd w:val="clear" w:color="auto" w:fill="auto"/>
            <w:vAlign w:val="center"/>
          </w:tcPr>
          <w:p w14:paraId="7D307C1C" w14:textId="77777777" w:rsidR="00A67D3A" w:rsidRPr="0047462D" w:rsidRDefault="00A67D3A" w:rsidP="00141E57">
            <w:pPr>
              <w:keepNext/>
              <w:jc w:val="center"/>
            </w:pPr>
            <w:r w:rsidRPr="0047462D">
              <w:t>10,5 (11,5)</w:t>
            </w:r>
          </w:p>
        </w:tc>
      </w:tr>
    </w:tbl>
    <w:p w14:paraId="170411DD" w14:textId="55FC65D1" w:rsidR="00295822" w:rsidRPr="0047462D" w:rsidRDefault="00295822" w:rsidP="00EB5A36">
      <w:pPr>
        <w:keepNext/>
        <w:spacing w:before="120"/>
        <w:ind w:left="288" w:hanging="288"/>
        <w:rPr>
          <w:sz w:val="18"/>
          <w:szCs w:val="18"/>
        </w:rPr>
      </w:pPr>
      <w:r w:rsidRPr="0047462D">
        <w:rPr>
          <w:sz w:val="18"/>
          <w:szCs w:val="18"/>
          <w:vertAlign w:val="superscript"/>
        </w:rPr>
        <w:t>*</w:t>
      </w:r>
      <w:r w:rsidRPr="0047462D">
        <w:rPr>
          <w:sz w:val="18"/>
          <w:szCs w:val="18"/>
        </w:rPr>
        <w:tab/>
        <w:t xml:space="preserve">Η θεραπεία πραγματοποιήθηκε κατά τη διάρκεια της τυφλής, ελεγχόμενης, </w:t>
      </w:r>
      <w:r w:rsidR="00973BAC">
        <w:rPr>
          <w:sz w:val="18"/>
          <w:szCs w:val="18"/>
        </w:rPr>
        <w:t>φ</w:t>
      </w:r>
      <w:r w:rsidRPr="0047462D">
        <w:rPr>
          <w:sz w:val="18"/>
          <w:szCs w:val="18"/>
        </w:rPr>
        <w:t>άσης 3 μελέτης 48 εβδομάδων.</w:t>
      </w:r>
    </w:p>
    <w:p w14:paraId="122E0BF4" w14:textId="77777777" w:rsidR="00295822" w:rsidRPr="0047462D" w:rsidRDefault="00295822" w:rsidP="00295822">
      <w:pPr>
        <w:ind w:left="288" w:hanging="288"/>
        <w:rPr>
          <w:sz w:val="18"/>
          <w:szCs w:val="18"/>
        </w:rPr>
      </w:pPr>
      <w:r w:rsidRPr="0047462D">
        <w:rPr>
          <w:position w:val="6"/>
          <w:sz w:val="18"/>
          <w:szCs w:val="18"/>
          <w:vertAlign w:val="superscript"/>
        </w:rPr>
        <w:t>†</w:t>
      </w:r>
      <w:r w:rsidRPr="0047462D">
        <w:rPr>
          <w:position w:val="6"/>
          <w:sz w:val="18"/>
          <w:szCs w:val="18"/>
        </w:rPr>
        <w:tab/>
      </w:r>
      <w:r w:rsidRPr="0047462D">
        <w:rPr>
          <w:sz w:val="18"/>
          <w:szCs w:val="18"/>
        </w:rPr>
        <w:t>Μεταβολή από την τιμή αναφοράς της προηγούμενης μελέτης μετά από θεραπεία 48 εβδομάδων με εικονικό φάρμακο.</w:t>
      </w:r>
    </w:p>
    <w:p w14:paraId="0B8D39C1" w14:textId="77777777" w:rsidR="00295822" w:rsidRPr="0047462D" w:rsidRDefault="00295822" w:rsidP="00295822">
      <w:pPr>
        <w:ind w:left="288" w:hanging="288"/>
        <w:rPr>
          <w:sz w:val="18"/>
          <w:szCs w:val="18"/>
        </w:rPr>
      </w:pPr>
    </w:p>
    <w:p w14:paraId="034BB11A" w14:textId="400247E1" w:rsidR="00A67D3A" w:rsidRPr="0047462D" w:rsidRDefault="00A67D3A">
      <w:r w:rsidRPr="0047462D">
        <w:rPr>
          <w:bCs/>
        </w:rPr>
        <w:t xml:space="preserve">Όταν η μέση (SD) απόλυτη </w:t>
      </w:r>
      <w:r w:rsidR="005B7C33" w:rsidRPr="0047462D">
        <w:rPr>
          <w:rFonts w:eastAsia="Times New Roman"/>
          <w:szCs w:val="22"/>
        </w:rPr>
        <w:t>μεταβολή</w:t>
      </w:r>
      <w:r w:rsidR="005B7C33" w:rsidRPr="0047462D">
        <w:rPr>
          <w:bCs/>
        </w:rPr>
        <w:t xml:space="preserve"> </w:t>
      </w:r>
      <w:r w:rsidRPr="0047462D">
        <w:rPr>
          <w:bCs/>
        </w:rPr>
        <w:t>στο ποσοστό προβλεπόμενου FEV</w:t>
      </w:r>
      <w:r w:rsidRPr="0047462D">
        <w:rPr>
          <w:bCs/>
          <w:vertAlign w:val="subscript"/>
        </w:rPr>
        <w:t>1</w:t>
      </w:r>
      <w:r w:rsidRPr="0047462D">
        <w:rPr>
          <w:bCs/>
        </w:rPr>
        <w:t xml:space="preserve"> συγκρίνεται με την τιμή αναφοράς από τη μελέτη</w:t>
      </w:r>
      <w:r w:rsidR="00F02E12" w:rsidRPr="0047462D">
        <w:rPr>
          <w:bCs/>
        </w:rPr>
        <w:t> </w:t>
      </w:r>
      <w:r w:rsidRPr="0047462D">
        <w:rPr>
          <w:bCs/>
        </w:rPr>
        <w:t>4 για τους ασθενείς στην ομάδα ivacaftor/ivacaftor (n=72), που μεταφέρθηκαν από τη μελέτη</w:t>
      </w:r>
      <w:r w:rsidR="00F02E12" w:rsidRPr="0047462D">
        <w:rPr>
          <w:bCs/>
          <w:lang w:val="en-US"/>
        </w:rPr>
        <w:t> </w:t>
      </w:r>
      <w:r w:rsidRPr="0047462D">
        <w:rPr>
          <w:bCs/>
        </w:rPr>
        <w:t xml:space="preserve">1, η μέση (SD) απόλυτη </w:t>
      </w:r>
      <w:r w:rsidR="005B7C33" w:rsidRPr="0047462D">
        <w:rPr>
          <w:rFonts w:eastAsia="Times New Roman"/>
          <w:szCs w:val="22"/>
        </w:rPr>
        <w:t>μεταβολή</w:t>
      </w:r>
      <w:r w:rsidR="005B7C33" w:rsidRPr="0047462D" w:rsidDel="005B7C33">
        <w:rPr>
          <w:rFonts w:eastAsia="Times New Roman"/>
          <w:szCs w:val="22"/>
        </w:rPr>
        <w:t xml:space="preserve"> </w:t>
      </w:r>
      <w:r w:rsidRPr="0047462D">
        <w:rPr>
          <w:bCs/>
        </w:rPr>
        <w:t>στο ποσοστό προβλεπόμενου FEV</w:t>
      </w:r>
      <w:r w:rsidRPr="0047462D">
        <w:rPr>
          <w:bCs/>
          <w:vertAlign w:val="subscript"/>
        </w:rPr>
        <w:t>1</w:t>
      </w:r>
      <w:r w:rsidRPr="0047462D">
        <w:rPr>
          <w:bCs/>
        </w:rPr>
        <w:t xml:space="preserve"> ήταν 0,0% (9,05), ενώ για τους ασθενείς στην ομάδα ivacaftor/ivacaftor (n=25), που μεταφέρθηκαν από τη μελέτη</w:t>
      </w:r>
      <w:r w:rsidR="00F02E12" w:rsidRPr="0047462D">
        <w:rPr>
          <w:bCs/>
          <w:lang w:val="en-US"/>
        </w:rPr>
        <w:t> </w:t>
      </w:r>
      <w:r w:rsidRPr="0047462D">
        <w:rPr>
          <w:bCs/>
        </w:rPr>
        <w:t>2, το ποσοστό αυτό ήταν 0,6% (9,1). Αυτό δείχνει ότι οι ασθενείς στην ομάδα ivacaftor/ivacaftor διατήρησαν τη βελτίωση στο ποσοστό προβλεπόμενου FEV</w:t>
      </w:r>
      <w:r w:rsidRPr="0047462D">
        <w:rPr>
          <w:bCs/>
          <w:vertAlign w:val="subscript"/>
        </w:rPr>
        <w:t>1</w:t>
      </w:r>
      <w:r w:rsidRPr="0047462D">
        <w:rPr>
          <w:bCs/>
        </w:rPr>
        <w:t xml:space="preserve"> που παρατηρήθηκε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48 της αρχικής μελέτης</w:t>
      </w:r>
      <w:r w:rsidR="00F02E12" w:rsidRPr="0047462D">
        <w:rPr>
          <w:bCs/>
          <w:lang w:val="en-US"/>
        </w:rPr>
        <w:t> </w:t>
      </w:r>
      <w:r w:rsidRPr="0047462D">
        <w:rPr>
          <w:bCs/>
        </w:rPr>
        <w:t>(</w:t>
      </w:r>
      <w:r w:rsidR="00635505" w:rsidRPr="0047462D">
        <w:rPr>
          <w:bCs/>
        </w:rPr>
        <w:t>η</w:t>
      </w:r>
      <w:r w:rsidR="008300C7" w:rsidRPr="0047462D">
        <w:rPr>
          <w:bCs/>
        </w:rPr>
        <w:t>μέρα</w:t>
      </w:r>
      <w:r w:rsidR="00051715" w:rsidRPr="0047462D">
        <w:rPr>
          <w:rFonts w:eastAsia="Times New Roman"/>
          <w:szCs w:val="22"/>
        </w:rPr>
        <w:t> </w:t>
      </w:r>
      <w:r w:rsidRPr="0047462D">
        <w:rPr>
          <w:bCs/>
        </w:rPr>
        <w:t xml:space="preserve">0 έως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 xml:space="preserve">48) έως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144. Δεν παρατηρήθηκαν επιπρόσθετες βελτιώσεις στη μελέτη</w:t>
      </w:r>
      <w:r w:rsidR="00F02E12" w:rsidRPr="0047462D">
        <w:rPr>
          <w:bCs/>
          <w:lang w:val="en-US"/>
        </w:rPr>
        <w:t> </w:t>
      </w:r>
      <w:r w:rsidRPr="0047462D">
        <w:rPr>
          <w:bCs/>
        </w:rPr>
        <w:t>4 (</w:t>
      </w:r>
      <w:r w:rsidR="00635505" w:rsidRPr="0047462D">
        <w:rPr>
          <w:bCs/>
        </w:rPr>
        <w:t>ε</w:t>
      </w:r>
      <w:r w:rsidR="008300C7" w:rsidRPr="0047462D">
        <w:rPr>
          <w:bCs/>
        </w:rPr>
        <w:t>βδομάδα</w:t>
      </w:r>
      <w:r w:rsidR="00051715" w:rsidRPr="0047462D">
        <w:rPr>
          <w:rFonts w:eastAsia="Times New Roman"/>
          <w:szCs w:val="22"/>
        </w:rPr>
        <w:t> </w:t>
      </w:r>
      <w:r w:rsidRPr="0047462D">
        <w:rPr>
          <w:bCs/>
        </w:rPr>
        <w:t xml:space="preserve">48 έως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144).</w:t>
      </w:r>
    </w:p>
    <w:p w14:paraId="09D5D1D8" w14:textId="77777777" w:rsidR="00A67D3A" w:rsidRPr="0047462D" w:rsidRDefault="00A67D3A">
      <w:pPr>
        <w:rPr>
          <w:bCs/>
        </w:rPr>
      </w:pPr>
    </w:p>
    <w:p w14:paraId="6AE00311" w14:textId="103B3F95" w:rsidR="00A67D3A" w:rsidRPr="0047462D" w:rsidRDefault="00A67D3A">
      <w:pPr>
        <w:rPr>
          <w:bCs/>
        </w:rPr>
      </w:pPr>
      <w:r w:rsidRPr="0047462D">
        <w:rPr>
          <w:bCs/>
        </w:rPr>
        <w:t>Για τους ασθενείς στην ομάδα εικονικού φαρμάκου/ivacaftor από τη μελέτη</w:t>
      </w:r>
      <w:r w:rsidR="00F02E12" w:rsidRPr="0047462D">
        <w:rPr>
          <w:bCs/>
          <w:lang w:val="en-US"/>
        </w:rPr>
        <w:t> </w:t>
      </w:r>
      <w:r w:rsidRPr="0047462D">
        <w:rPr>
          <w:bCs/>
        </w:rPr>
        <w:t>1, η ετησιοποιημένη αναλογία των πνευμονικών παροξύνσεων ήταν υψηλότερη στην αρχική μελέτη όταν οι ασθενείς υποβάλλονταν σε θεραπεία με εικονικό φάρμακο (1,34 συμβάματα/έτος), από ό, τι κατά τη διάρκεια της μεταγενέστερης μελέτης</w:t>
      </w:r>
      <w:r w:rsidR="00F02E12" w:rsidRPr="0047462D">
        <w:rPr>
          <w:bCs/>
          <w:lang w:val="en-US"/>
        </w:rPr>
        <w:t> </w:t>
      </w:r>
      <w:r w:rsidRPr="0047462D">
        <w:rPr>
          <w:bCs/>
        </w:rPr>
        <w:t xml:space="preserve">4 όταν οι ασθενείς μεταφέρθηκαν στο ivacaftor (0,48 συμβάματα/έτος καθ’ όλη τη διάρκεια από την </w:t>
      </w:r>
      <w:r w:rsidR="002261FB" w:rsidRPr="0047462D">
        <w:rPr>
          <w:bCs/>
        </w:rPr>
        <w:t>ημέρα</w:t>
      </w:r>
      <w:r w:rsidR="002261FB" w:rsidRPr="0047462D">
        <w:rPr>
          <w:rFonts w:eastAsia="Times New Roman"/>
          <w:szCs w:val="22"/>
        </w:rPr>
        <w:t> </w:t>
      </w:r>
      <w:r w:rsidRPr="0047462D">
        <w:rPr>
          <w:bCs/>
        </w:rPr>
        <w:t xml:space="preserve">1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 xml:space="preserve">48 και 0,67 συμβάματα/έτος καθ’ όλη τη διάρκεια από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48 έως την 96). Για τους ασθενείς στην ομάδα ivacaftor/ivacaftor από τη μελέτη</w:t>
      </w:r>
      <w:r w:rsidR="00F02E12" w:rsidRPr="0047462D">
        <w:rPr>
          <w:bCs/>
          <w:lang w:val="en-US"/>
        </w:rPr>
        <w:t> </w:t>
      </w:r>
      <w:r w:rsidRPr="0047462D">
        <w:rPr>
          <w:bCs/>
        </w:rPr>
        <w:t xml:space="preserve">1, η ετησιοποιημένη αναλογία των πνευμονικών παροξύνσεων ήταν 0,57 συμβάματα/έτος καθ’ όλη τη διάρκεια από την </w:t>
      </w:r>
      <w:r w:rsidR="002261FB" w:rsidRPr="0047462D">
        <w:rPr>
          <w:bCs/>
        </w:rPr>
        <w:t>η</w:t>
      </w:r>
      <w:r w:rsidR="008300C7" w:rsidRPr="0047462D">
        <w:rPr>
          <w:bCs/>
        </w:rPr>
        <w:t>μέρα</w:t>
      </w:r>
      <w:r w:rsidR="00051715" w:rsidRPr="0047462D">
        <w:rPr>
          <w:rFonts w:eastAsia="Times New Roman"/>
          <w:szCs w:val="22"/>
        </w:rPr>
        <w:t> </w:t>
      </w:r>
      <w:r w:rsidRPr="0047462D">
        <w:rPr>
          <w:bCs/>
        </w:rPr>
        <w:t xml:space="preserve">1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48, όταν οι ασθενείς υποβάλλονταν σε θεραπεία με ivacaftor. Όταν μεταφέρθηκαν στη μελέτη</w:t>
      </w:r>
      <w:r w:rsidR="00F02E12" w:rsidRPr="0047462D">
        <w:rPr>
          <w:bCs/>
          <w:lang w:val="en-US"/>
        </w:rPr>
        <w:t> </w:t>
      </w:r>
      <w:r w:rsidRPr="0047462D">
        <w:rPr>
          <w:bCs/>
        </w:rPr>
        <w:t xml:space="preserve">4, η αναλογία των ετησιοποιημένων πνευμονικών παροξύνσεων ήταν 0,91 συμβάματα/έτος καθ’ όλη τη διάρκεια από την </w:t>
      </w:r>
      <w:r w:rsidR="002261FB" w:rsidRPr="0047462D">
        <w:rPr>
          <w:bCs/>
        </w:rPr>
        <w:t>η</w:t>
      </w:r>
      <w:r w:rsidR="008300C7" w:rsidRPr="0047462D">
        <w:rPr>
          <w:bCs/>
        </w:rPr>
        <w:t>μέρα</w:t>
      </w:r>
      <w:r w:rsidR="00051715" w:rsidRPr="0047462D">
        <w:rPr>
          <w:rFonts w:eastAsia="Times New Roman"/>
          <w:szCs w:val="22"/>
        </w:rPr>
        <w:t> </w:t>
      </w:r>
      <w:r w:rsidRPr="0047462D">
        <w:rPr>
          <w:bCs/>
        </w:rPr>
        <w:t xml:space="preserve">1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 xml:space="preserve">48 και 0,77 συμβάματα/έτος καθ’ όλη τη διάρκεια από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48 έως την 96.</w:t>
      </w:r>
    </w:p>
    <w:p w14:paraId="2EE28B78" w14:textId="77777777" w:rsidR="00A67D3A" w:rsidRPr="0047462D" w:rsidRDefault="00A67D3A">
      <w:pPr>
        <w:rPr>
          <w:bCs/>
        </w:rPr>
      </w:pPr>
    </w:p>
    <w:p w14:paraId="440D3F4E" w14:textId="4C02EDE7" w:rsidR="00A67D3A" w:rsidRPr="0047462D" w:rsidRDefault="00A67D3A">
      <w:pPr>
        <w:rPr>
          <w:bCs/>
        </w:rPr>
      </w:pPr>
      <w:r w:rsidRPr="0047462D">
        <w:rPr>
          <w:bCs/>
        </w:rPr>
        <w:t>Για τους ασθενείς που μεταφέρθηκαν από τη μελέτη</w:t>
      </w:r>
      <w:r w:rsidR="00F02E12" w:rsidRPr="0047462D">
        <w:rPr>
          <w:bCs/>
          <w:lang w:val="en-US"/>
        </w:rPr>
        <w:t> </w:t>
      </w:r>
      <w:r w:rsidRPr="0047462D">
        <w:rPr>
          <w:bCs/>
        </w:rPr>
        <w:t>2 ο αριθμός των συμβαμάτων ήταν, συνολικά, χαμηλός.</w:t>
      </w:r>
    </w:p>
    <w:p w14:paraId="4B425C77" w14:textId="77777777" w:rsidR="00A67D3A" w:rsidRPr="0047462D" w:rsidRDefault="00A67D3A" w:rsidP="00141E57"/>
    <w:p w14:paraId="4BE225DC" w14:textId="276D884B" w:rsidR="00A67D3A" w:rsidRPr="0047462D" w:rsidRDefault="00ED7342" w:rsidP="007307BE">
      <w:pPr>
        <w:keepNext/>
        <w:rPr>
          <w:rFonts w:eastAsia="Times New Roman"/>
          <w:i/>
          <w:iCs/>
          <w:szCs w:val="22"/>
          <w:u w:val="single"/>
        </w:rPr>
      </w:pPr>
      <w:r w:rsidRPr="0047462D">
        <w:rPr>
          <w:rFonts w:eastAsia="Times New Roman"/>
          <w:i/>
          <w:szCs w:val="22"/>
          <w:u w:val="single"/>
        </w:rPr>
        <w:t>Μελέτη 6: μελέτη</w:t>
      </w:r>
      <w:r w:rsidR="00F02E12" w:rsidRPr="0047462D">
        <w:rPr>
          <w:rFonts w:eastAsia="Times New Roman"/>
          <w:i/>
          <w:szCs w:val="22"/>
          <w:u w:val="single"/>
          <w:lang w:val="en-US"/>
        </w:rPr>
        <w:t> </w:t>
      </w:r>
      <w:r w:rsidRPr="0047462D">
        <w:rPr>
          <w:rFonts w:eastAsia="Times New Roman"/>
          <w:i/>
          <w:szCs w:val="22"/>
          <w:u w:val="single"/>
        </w:rPr>
        <w:t xml:space="preserve">σε ασθενείς με ΚΙ με μια μετάλλαξη </w:t>
      </w:r>
      <w:r w:rsidRPr="0047462D">
        <w:rPr>
          <w:i/>
          <w:u w:val="single"/>
          <w:lang w:val="en-US"/>
        </w:rPr>
        <w:t>R</w:t>
      </w:r>
      <w:r w:rsidRPr="0047462D">
        <w:rPr>
          <w:i/>
          <w:u w:val="single"/>
        </w:rPr>
        <w:t>117</w:t>
      </w:r>
      <w:r w:rsidRPr="0047462D">
        <w:rPr>
          <w:i/>
          <w:u w:val="single"/>
          <w:lang w:val="en-US"/>
        </w:rPr>
        <w:t>H</w:t>
      </w:r>
      <w:r w:rsidRPr="0047462D">
        <w:rPr>
          <w:rFonts w:eastAsia="Times New Roman"/>
          <w:i/>
          <w:szCs w:val="22"/>
          <w:u w:val="single"/>
        </w:rPr>
        <w:t xml:space="preserve"> στο γονίδιο </w:t>
      </w:r>
      <w:r w:rsidRPr="0047462D">
        <w:rPr>
          <w:rFonts w:eastAsia="Times New Roman"/>
          <w:i/>
          <w:iCs/>
          <w:szCs w:val="22"/>
          <w:u w:val="single"/>
        </w:rPr>
        <w:t>CFTR</w:t>
      </w:r>
    </w:p>
    <w:p w14:paraId="33954833" w14:textId="77777777" w:rsidR="0043760C" w:rsidRPr="0047462D" w:rsidRDefault="0043760C" w:rsidP="007307BE">
      <w:pPr>
        <w:keepNext/>
        <w:rPr>
          <w:i/>
        </w:rPr>
      </w:pPr>
    </w:p>
    <w:p w14:paraId="3DD34097" w14:textId="7EFFA295" w:rsidR="00A67D3A" w:rsidRPr="0047462D" w:rsidRDefault="00A67D3A" w:rsidP="002C32E8">
      <w:pPr>
        <w:tabs>
          <w:tab w:val="left" w:pos="567"/>
        </w:tabs>
        <w:suppressAutoHyphens w:val="0"/>
        <w:spacing w:line="260" w:lineRule="exact"/>
        <w:rPr>
          <w:bCs/>
        </w:rPr>
      </w:pPr>
      <w:r w:rsidRPr="0047462D">
        <w:rPr>
          <w:bCs/>
        </w:rPr>
        <w:t>Η μελέτη</w:t>
      </w:r>
      <w:r w:rsidR="002C32E8" w:rsidRPr="0047462D">
        <w:rPr>
          <w:bCs/>
          <w:lang w:val="en-GB"/>
        </w:rPr>
        <w:t> </w:t>
      </w:r>
      <w:r w:rsidRPr="0047462D">
        <w:rPr>
          <w:bCs/>
        </w:rPr>
        <w:t>6 αξιολόγησε 69 ασθενείς ηλικίας 6 ετών ή άνω</w:t>
      </w:r>
      <w:r w:rsidR="002261FB" w:rsidRPr="0047462D">
        <w:rPr>
          <w:bCs/>
        </w:rPr>
        <w:t>.</w:t>
      </w:r>
      <w:r w:rsidRPr="0047462D">
        <w:rPr>
          <w:bCs/>
        </w:rPr>
        <w:t xml:space="preserve"> 53 (76,8%) </w:t>
      </w:r>
      <w:r w:rsidR="002261FB" w:rsidRPr="0047462D">
        <w:rPr>
          <w:bCs/>
        </w:rPr>
        <w:t xml:space="preserve">ασθενείς </w:t>
      </w:r>
      <w:r w:rsidRPr="0047462D">
        <w:rPr>
          <w:bCs/>
        </w:rPr>
        <w:t xml:space="preserve">είχαν τη μετάλλαξη </w:t>
      </w:r>
      <w:r w:rsidRPr="0047462D">
        <w:rPr>
          <w:bCs/>
          <w:i/>
        </w:rPr>
        <w:t>F508del</w:t>
      </w:r>
      <w:r w:rsidRPr="0047462D">
        <w:rPr>
          <w:bCs/>
        </w:rPr>
        <w:t xml:space="preserve"> στο δεύτερο αλληλόμορφο. Η επιβεβαιωμένη παραλλαγή </w:t>
      </w:r>
      <w:r w:rsidRPr="0047462D">
        <w:rPr>
          <w:szCs w:val="22"/>
        </w:rPr>
        <w:t>poly</w:t>
      </w:r>
      <w:r w:rsidRPr="0047462D">
        <w:rPr>
          <w:szCs w:val="22"/>
        </w:rPr>
        <w:noBreakHyphen/>
        <w:t>T</w:t>
      </w:r>
      <w:r w:rsidR="0059720C" w:rsidRPr="0047462D">
        <w:rPr>
          <w:bCs/>
        </w:rPr>
        <w:t xml:space="preserve"> </w:t>
      </w:r>
      <w:r w:rsidR="005F0ABA" w:rsidRPr="0047462D">
        <w:rPr>
          <w:bCs/>
        </w:rPr>
        <w:t xml:space="preserve">με τη μετάλλαξη </w:t>
      </w:r>
      <w:r w:rsidR="00877A81" w:rsidRPr="0047462D">
        <w:rPr>
          <w:i/>
          <w:iCs/>
          <w:lang w:val="en-US"/>
        </w:rPr>
        <w:t>R</w:t>
      </w:r>
      <w:r w:rsidR="00877A81" w:rsidRPr="0047462D">
        <w:rPr>
          <w:i/>
          <w:iCs/>
        </w:rPr>
        <w:t>117</w:t>
      </w:r>
      <w:r w:rsidR="00877A81" w:rsidRPr="0047462D">
        <w:rPr>
          <w:i/>
          <w:iCs/>
          <w:lang w:val="en-US"/>
        </w:rPr>
        <w:t>H</w:t>
      </w:r>
      <w:r w:rsidR="00877A81" w:rsidRPr="0047462D">
        <w:rPr>
          <w:szCs w:val="22"/>
        </w:rPr>
        <w:t xml:space="preserve"> </w:t>
      </w:r>
      <w:r w:rsidRPr="0047462D">
        <w:rPr>
          <w:bCs/>
        </w:rPr>
        <w:t xml:space="preserve">ήταν </w:t>
      </w:r>
      <w:r w:rsidRPr="0047462D">
        <w:rPr>
          <w:bCs/>
          <w:i/>
        </w:rPr>
        <w:t>5T</w:t>
      </w:r>
      <w:r w:rsidRPr="0047462D">
        <w:rPr>
          <w:bCs/>
        </w:rPr>
        <w:t xml:space="preserve"> </w:t>
      </w:r>
      <w:r w:rsidR="009E2ACA" w:rsidRPr="0047462D">
        <w:rPr>
          <w:bCs/>
        </w:rPr>
        <w:t xml:space="preserve">σε 38 ασθενείς </w:t>
      </w:r>
      <w:r w:rsidRPr="0047462D">
        <w:rPr>
          <w:bCs/>
        </w:rPr>
        <w:t xml:space="preserve">και </w:t>
      </w:r>
      <w:r w:rsidRPr="0047462D">
        <w:rPr>
          <w:bCs/>
          <w:i/>
        </w:rPr>
        <w:t>7T</w:t>
      </w:r>
      <w:r w:rsidR="009E2ACA" w:rsidRPr="0047462D">
        <w:rPr>
          <w:bCs/>
        </w:rPr>
        <w:t xml:space="preserve"> σε 16 ασθενείς</w:t>
      </w:r>
      <w:r w:rsidRPr="0047462D">
        <w:rPr>
          <w:bCs/>
        </w:rPr>
        <w:t>. Κατά την έναρξη, ο μέσος προβλεπόμενος FEV</w:t>
      </w:r>
      <w:r w:rsidRPr="0047462D">
        <w:rPr>
          <w:bCs/>
          <w:vertAlign w:val="subscript"/>
        </w:rPr>
        <w:t>1</w:t>
      </w:r>
      <w:r w:rsidRPr="0047462D">
        <w:rPr>
          <w:bCs/>
        </w:rPr>
        <w:t xml:space="preserve"> ήταν 73% (εύρος: 32,5% έως 105,5%) και η μέση ηλικία ήταν τα 31 έτη (εύρος: 6 έως 68 έτη). Η μέση απόλυτη </w:t>
      </w:r>
      <w:r w:rsidR="005B7C33" w:rsidRPr="0047462D">
        <w:rPr>
          <w:rFonts w:eastAsia="Times New Roman"/>
          <w:szCs w:val="22"/>
        </w:rPr>
        <w:t>μεταβολή</w:t>
      </w:r>
      <w:r w:rsidR="005B7C33" w:rsidRPr="0047462D" w:rsidDel="005B7C33">
        <w:rPr>
          <w:bCs/>
        </w:rPr>
        <w:t xml:space="preserve"> </w:t>
      </w:r>
      <w:r w:rsidRPr="0047462D">
        <w:rPr>
          <w:bCs/>
        </w:rPr>
        <w:t xml:space="preserve">από την τιμή αναφοράς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24 στο ποσοστό προβλεπόμενου FEV</w:t>
      </w:r>
      <w:r w:rsidRPr="0047462D">
        <w:rPr>
          <w:bCs/>
          <w:vertAlign w:val="subscript"/>
        </w:rPr>
        <w:t>1</w:t>
      </w:r>
      <w:r w:rsidRPr="0047462D">
        <w:rPr>
          <w:bCs/>
        </w:rPr>
        <w:t xml:space="preserve"> (πρωτεύον </w:t>
      </w:r>
      <w:r w:rsidR="006C6EB4" w:rsidRPr="0047462D">
        <w:rPr>
          <w:bCs/>
        </w:rPr>
        <w:t xml:space="preserve">τελικό </w:t>
      </w:r>
      <w:r w:rsidRPr="0047462D">
        <w:rPr>
          <w:bCs/>
        </w:rPr>
        <w:t>σημείο αποτελεσματικότητας) ήταν 2,57 ποσοστιαίες μονάδες στην ομάδα του ivacaftor και 0,46 ποσοστιαίες μονάδες στην ομάδα του εικονικού φαρμάκου. Η εκτιμώμενη διαφορά της θεραπείας για το ivacaftor έναντι του εικονικού φαρμάκου ήταν 2,1 ποσοστιαίες μονάδες (95% CI -1,1, 5,4).</w:t>
      </w:r>
    </w:p>
    <w:p w14:paraId="6C61A842" w14:textId="77777777" w:rsidR="00A67D3A" w:rsidRPr="0047462D" w:rsidRDefault="00A67D3A">
      <w:pPr>
        <w:tabs>
          <w:tab w:val="left" w:pos="567"/>
        </w:tabs>
        <w:suppressAutoHyphens w:val="0"/>
        <w:spacing w:line="260" w:lineRule="exact"/>
        <w:rPr>
          <w:bCs/>
        </w:rPr>
      </w:pPr>
    </w:p>
    <w:p w14:paraId="7980F026" w14:textId="79EAC1AB" w:rsidR="00A67D3A" w:rsidRPr="0047462D" w:rsidRDefault="00A67D3A">
      <w:pPr>
        <w:tabs>
          <w:tab w:val="left" w:pos="567"/>
        </w:tabs>
        <w:suppressAutoHyphens w:val="0"/>
        <w:spacing w:line="260" w:lineRule="exact"/>
        <w:rPr>
          <w:bCs/>
        </w:rPr>
      </w:pPr>
      <w:r w:rsidRPr="0047462D">
        <w:rPr>
          <w:bCs/>
        </w:rPr>
        <w:t xml:space="preserve">Διεξήχθη μια </w:t>
      </w:r>
      <w:r w:rsidR="00877A81" w:rsidRPr="0047462D">
        <w:rPr>
          <w:bCs/>
        </w:rPr>
        <w:t xml:space="preserve">προγραμματισμένη </w:t>
      </w:r>
      <w:r w:rsidRPr="0047462D">
        <w:rPr>
          <w:bCs/>
        </w:rPr>
        <w:t>ανάλυση υποομάδων σε ασθενείς ηλικίας 18 ετών και άνω (26</w:t>
      </w:r>
      <w:r w:rsidR="002C32E8" w:rsidRPr="0047462D">
        <w:rPr>
          <w:bCs/>
          <w:lang w:val="en-GB"/>
        </w:rPr>
        <w:t> </w:t>
      </w:r>
      <w:r w:rsidRPr="0047462D">
        <w:rPr>
          <w:bCs/>
        </w:rPr>
        <w:t xml:space="preserve">ασθενείς υπό αγωγή με εικονικό φάρμακο και 24 υπό αγωγή με ivacaftor). Η θεραπεία με ivacaftor είχε ως αποτέλεσμα μια μέση απόλυτη </w:t>
      </w:r>
      <w:r w:rsidR="005B7C33" w:rsidRPr="0047462D">
        <w:rPr>
          <w:rFonts w:eastAsia="Times New Roman"/>
          <w:szCs w:val="22"/>
        </w:rPr>
        <w:t>μεταβολή</w:t>
      </w:r>
      <w:r w:rsidR="005B7C33" w:rsidRPr="0047462D" w:rsidDel="005B7C33">
        <w:rPr>
          <w:bCs/>
        </w:rPr>
        <w:t xml:space="preserve"> </w:t>
      </w:r>
      <w:r w:rsidRPr="0047462D">
        <w:rPr>
          <w:bCs/>
        </w:rPr>
        <w:t>στο ποσοστό προβλεπόμενου FEV</w:t>
      </w:r>
      <w:r w:rsidRPr="0047462D">
        <w:rPr>
          <w:bCs/>
          <w:vertAlign w:val="subscript"/>
        </w:rPr>
        <w:t>1</w:t>
      </w:r>
      <w:r w:rsidRPr="0047462D">
        <w:rPr>
          <w:bCs/>
        </w:rPr>
        <w:t xml:space="preserve">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24 της τάξης των 4,5 ποσοστιαίων μονάδων στην ομάδα του ivacaftor έναντι -0,46 ποσοστιαίες μονάδες στην ομάδα του εικονικού φαρμάκου. Η εκτιμώμενη διαφορά της θεραπείας για το ivacaftor έναντι του εικονικού φαρμάκου ήταν 5,0 ποσοστιαίες μονάδες (95% CI 1,1, 8,8).</w:t>
      </w:r>
    </w:p>
    <w:p w14:paraId="6289CB87" w14:textId="77777777" w:rsidR="00A67D3A" w:rsidRPr="0047462D" w:rsidRDefault="00A67D3A">
      <w:pPr>
        <w:tabs>
          <w:tab w:val="left" w:pos="567"/>
        </w:tabs>
        <w:suppressAutoHyphens w:val="0"/>
        <w:spacing w:line="260" w:lineRule="exact"/>
        <w:rPr>
          <w:bCs/>
        </w:rPr>
      </w:pPr>
    </w:p>
    <w:p w14:paraId="6BEEA2B3" w14:textId="005A95CE" w:rsidR="00A67D3A" w:rsidRPr="0047462D" w:rsidRDefault="00A67D3A">
      <w:pPr>
        <w:tabs>
          <w:tab w:val="left" w:pos="567"/>
        </w:tabs>
        <w:suppressAutoHyphens w:val="0"/>
        <w:spacing w:line="260" w:lineRule="exact"/>
        <w:rPr>
          <w:bCs/>
        </w:rPr>
      </w:pPr>
      <w:r w:rsidRPr="0047462D">
        <w:rPr>
          <w:bCs/>
        </w:rPr>
        <w:t xml:space="preserve">Σε μια ανάλυση υποομάδων σε ασθενείς με επιβεβαιωμένη γενετική παραλλαγή </w:t>
      </w:r>
      <w:r w:rsidRPr="0047462D">
        <w:rPr>
          <w:i/>
          <w:iCs/>
          <w:lang w:val="en-US"/>
        </w:rPr>
        <w:t>R</w:t>
      </w:r>
      <w:r w:rsidRPr="0047462D">
        <w:rPr>
          <w:i/>
          <w:iCs/>
        </w:rPr>
        <w:t>117</w:t>
      </w:r>
      <w:r w:rsidRPr="0047462D">
        <w:rPr>
          <w:i/>
          <w:iCs/>
          <w:lang w:val="en-US"/>
        </w:rPr>
        <w:t>H</w:t>
      </w:r>
      <w:r w:rsidRPr="0047462D">
        <w:rPr>
          <w:i/>
          <w:iCs/>
        </w:rPr>
        <w:t>-5</w:t>
      </w:r>
      <w:r w:rsidRPr="0047462D">
        <w:rPr>
          <w:i/>
          <w:iCs/>
          <w:lang w:val="en-US"/>
        </w:rPr>
        <w:t>T</w:t>
      </w:r>
      <w:r w:rsidR="00F4458A" w:rsidRPr="0047462D">
        <w:rPr>
          <w:bCs/>
        </w:rPr>
        <w:t xml:space="preserve"> </w:t>
      </w:r>
      <w:r w:rsidR="00CB0302" w:rsidRPr="0047462D">
        <w:rPr>
          <w:bCs/>
        </w:rPr>
        <w:t>η διαφορά στ</w:t>
      </w:r>
      <w:r w:rsidR="00F4458A" w:rsidRPr="0047462D">
        <w:rPr>
          <w:bCs/>
        </w:rPr>
        <w:t xml:space="preserve">η μέση απόλυτη </w:t>
      </w:r>
      <w:r w:rsidR="005B7C33" w:rsidRPr="0047462D">
        <w:rPr>
          <w:rFonts w:eastAsia="Times New Roman"/>
          <w:szCs w:val="22"/>
        </w:rPr>
        <w:t>μεταβολή</w:t>
      </w:r>
      <w:r w:rsidR="005B7C33" w:rsidRPr="0047462D" w:rsidDel="005B7C33">
        <w:rPr>
          <w:bCs/>
        </w:rPr>
        <w:t xml:space="preserve"> </w:t>
      </w:r>
      <w:r w:rsidR="00135AD9" w:rsidRPr="0047462D">
        <w:rPr>
          <w:bCs/>
        </w:rPr>
        <w:t xml:space="preserve">από την </w:t>
      </w:r>
      <w:r w:rsidR="002C02F5" w:rsidRPr="0047462D">
        <w:rPr>
          <w:bCs/>
        </w:rPr>
        <w:t xml:space="preserve">τιμή αναφοράς </w:t>
      </w:r>
      <w:r w:rsidR="00135AD9" w:rsidRPr="0047462D">
        <w:rPr>
          <w:bCs/>
        </w:rPr>
        <w:t xml:space="preserve">έως την </w:t>
      </w:r>
      <w:r w:rsidR="00CB144E" w:rsidRPr="0047462D">
        <w:rPr>
          <w:bCs/>
        </w:rPr>
        <w:t>ε</w:t>
      </w:r>
      <w:r w:rsidR="00135AD9" w:rsidRPr="0047462D">
        <w:rPr>
          <w:bCs/>
        </w:rPr>
        <w:t>βδομάδα</w:t>
      </w:r>
      <w:r w:rsidR="00051715" w:rsidRPr="0047462D">
        <w:rPr>
          <w:rFonts w:eastAsia="Times New Roman"/>
          <w:szCs w:val="22"/>
        </w:rPr>
        <w:t> </w:t>
      </w:r>
      <w:r w:rsidR="00135AD9" w:rsidRPr="0047462D">
        <w:rPr>
          <w:bCs/>
        </w:rPr>
        <w:t xml:space="preserve">24 </w:t>
      </w:r>
      <w:r w:rsidRPr="0047462D">
        <w:rPr>
          <w:bCs/>
        </w:rPr>
        <w:t>στο ποσοστό προβλεπόμενου FEV</w:t>
      </w:r>
      <w:r w:rsidRPr="0047462D">
        <w:rPr>
          <w:bCs/>
          <w:vertAlign w:val="subscript"/>
        </w:rPr>
        <w:t>1</w:t>
      </w:r>
      <w:r w:rsidRPr="0047462D">
        <w:rPr>
          <w:bCs/>
        </w:rPr>
        <w:t xml:space="preserve"> </w:t>
      </w:r>
      <w:r w:rsidR="00273F44" w:rsidRPr="0047462D">
        <w:rPr>
          <w:bCs/>
        </w:rPr>
        <w:t>μεταξύ του ivacaftor και</w:t>
      </w:r>
      <w:r w:rsidRPr="0047462D">
        <w:rPr>
          <w:bCs/>
        </w:rPr>
        <w:t xml:space="preserve"> του εικονικού φαρμάκου ήταν 5,3</w:t>
      </w:r>
      <w:r w:rsidR="00273F44" w:rsidRPr="0047462D">
        <w:rPr>
          <w:bCs/>
        </w:rPr>
        <w:t>%</w:t>
      </w:r>
      <w:r w:rsidRPr="0047462D">
        <w:rPr>
          <w:bCs/>
        </w:rPr>
        <w:t xml:space="preserve"> </w:t>
      </w:r>
      <w:r w:rsidR="009E6B73" w:rsidRPr="0047462D">
        <w:rPr>
          <w:bCs/>
        </w:rPr>
        <w:t>(</w:t>
      </w:r>
      <w:r w:rsidRPr="0047462D">
        <w:rPr>
          <w:bCs/>
        </w:rPr>
        <w:t>95% CI 1,3, 9,3</w:t>
      </w:r>
      <w:r w:rsidR="009E6B73" w:rsidRPr="0047462D">
        <w:rPr>
          <w:bCs/>
        </w:rPr>
        <w:t>)</w:t>
      </w:r>
      <w:r w:rsidRPr="0047462D">
        <w:rPr>
          <w:bCs/>
        </w:rPr>
        <w:t xml:space="preserve">. Σε ασθενείς με επιβεβαιωμένη γενετική παραλλαγή </w:t>
      </w:r>
      <w:r w:rsidRPr="0047462D">
        <w:rPr>
          <w:i/>
          <w:iCs/>
          <w:lang w:val="en-US"/>
        </w:rPr>
        <w:t>R</w:t>
      </w:r>
      <w:r w:rsidRPr="0047462D">
        <w:rPr>
          <w:i/>
          <w:iCs/>
        </w:rPr>
        <w:t>117</w:t>
      </w:r>
      <w:r w:rsidRPr="0047462D">
        <w:rPr>
          <w:i/>
          <w:iCs/>
          <w:lang w:val="en-US"/>
        </w:rPr>
        <w:t>H</w:t>
      </w:r>
      <w:r w:rsidRPr="0047462D">
        <w:rPr>
          <w:i/>
          <w:iCs/>
        </w:rPr>
        <w:t>-7</w:t>
      </w:r>
      <w:r w:rsidRPr="0047462D">
        <w:rPr>
          <w:i/>
          <w:iCs/>
          <w:lang w:val="en-US"/>
        </w:rPr>
        <w:t>T</w:t>
      </w:r>
      <w:r w:rsidRPr="0047462D">
        <w:rPr>
          <w:bCs/>
        </w:rPr>
        <w:t xml:space="preserve">, η διαφορά της θεραπείας </w:t>
      </w:r>
      <w:r w:rsidR="00273F44" w:rsidRPr="0047462D">
        <w:rPr>
          <w:bCs/>
        </w:rPr>
        <w:t>μεταξύ του</w:t>
      </w:r>
      <w:r w:rsidRPr="0047462D">
        <w:rPr>
          <w:bCs/>
        </w:rPr>
        <w:t xml:space="preserve"> ivacaftor </w:t>
      </w:r>
      <w:r w:rsidR="00273F44" w:rsidRPr="0047462D">
        <w:rPr>
          <w:bCs/>
        </w:rPr>
        <w:t>και</w:t>
      </w:r>
      <w:r w:rsidRPr="0047462D">
        <w:rPr>
          <w:bCs/>
        </w:rPr>
        <w:t xml:space="preserve"> του εικονικού φαρμάκου ήταν 0,2</w:t>
      </w:r>
      <w:r w:rsidR="00273F44" w:rsidRPr="0047462D">
        <w:rPr>
          <w:bCs/>
        </w:rPr>
        <w:t>%</w:t>
      </w:r>
      <w:r w:rsidRPr="0047462D">
        <w:rPr>
          <w:bCs/>
        </w:rPr>
        <w:t xml:space="preserve"> (95% CI -8,1, 8,5).</w:t>
      </w:r>
    </w:p>
    <w:p w14:paraId="3CE48DE9" w14:textId="77777777" w:rsidR="00A67D3A" w:rsidRPr="0047462D" w:rsidRDefault="00A67D3A" w:rsidP="00141E57">
      <w:pPr>
        <w:tabs>
          <w:tab w:val="left" w:pos="567"/>
        </w:tabs>
        <w:suppressAutoHyphens w:val="0"/>
        <w:spacing w:line="260" w:lineRule="exact"/>
      </w:pPr>
    </w:p>
    <w:p w14:paraId="2724F83E" w14:textId="4F00D577" w:rsidR="00A67D3A" w:rsidRPr="0047462D" w:rsidRDefault="0043760C" w:rsidP="002C32E8">
      <w:pPr>
        <w:pStyle w:val="16"/>
        <w:rPr>
          <w:lang w:val="el-GR"/>
        </w:rPr>
      </w:pPr>
      <w:r w:rsidRPr="0047462D">
        <w:rPr>
          <w:lang w:val="el-GR"/>
        </w:rPr>
        <w:t xml:space="preserve">Για τις </w:t>
      </w:r>
      <w:r w:rsidR="00A67D3A" w:rsidRPr="0047462D">
        <w:rPr>
          <w:lang w:val="el-GR"/>
        </w:rPr>
        <w:t>δευτερεύουσες μεταβλητές αποτελεσματικότητας</w:t>
      </w:r>
      <w:r w:rsidRPr="0047462D">
        <w:rPr>
          <w:lang w:val="el-GR"/>
        </w:rPr>
        <w:t>,</w:t>
      </w:r>
      <w:r w:rsidR="00A67D3A" w:rsidRPr="0047462D">
        <w:rPr>
          <w:lang w:val="el-GR"/>
        </w:rPr>
        <w:t xml:space="preserve"> </w:t>
      </w:r>
      <w:r w:rsidRPr="0047462D">
        <w:rPr>
          <w:lang w:val="el-GR"/>
        </w:rPr>
        <w:t xml:space="preserve">δεν παρατηρήθηκαν διαφορές της θεραπείας για το ivacaftor έναντι του εικονικού φαρμάκου </w:t>
      </w:r>
      <w:r w:rsidR="008E3A1D" w:rsidRPr="0047462D">
        <w:rPr>
          <w:lang w:val="el-GR"/>
        </w:rPr>
        <w:t>σ</w:t>
      </w:r>
      <w:r w:rsidR="00F4458A" w:rsidRPr="0047462D">
        <w:rPr>
          <w:lang w:val="el-GR"/>
        </w:rPr>
        <w:t xml:space="preserve">την απόλυτη </w:t>
      </w:r>
      <w:r w:rsidR="005B7C33" w:rsidRPr="0047462D">
        <w:rPr>
          <w:rFonts w:eastAsia="Times New Roman"/>
          <w:szCs w:val="22"/>
          <w:lang w:val="el-GR"/>
        </w:rPr>
        <w:t>μεταβολή</w:t>
      </w:r>
      <w:r w:rsidR="005B7C33" w:rsidRPr="0047462D" w:rsidDel="005B7C33">
        <w:rPr>
          <w:bCs/>
          <w:lang w:val="el-GR"/>
        </w:rPr>
        <w:t xml:space="preserve"> </w:t>
      </w:r>
      <w:r w:rsidR="00A67D3A" w:rsidRPr="0047462D">
        <w:rPr>
          <w:lang w:val="el-GR"/>
        </w:rPr>
        <w:t xml:space="preserve">από την τιμή αναφοράς στον ΔΜΣ </w:t>
      </w:r>
      <w:r w:rsidRPr="0047462D">
        <w:rPr>
          <w:lang w:val="el-GR"/>
        </w:rPr>
        <w:t xml:space="preserve">την εβδομάδα 24 ή στον χρόνο έως την πρώτη πνευμονική παρόξυνση. Διαφορές της θεραπείας παρατηρήθηκαν </w:t>
      </w:r>
      <w:r w:rsidR="00A67D3A" w:rsidRPr="0047462D">
        <w:rPr>
          <w:lang w:val="el-GR"/>
        </w:rPr>
        <w:t>στη</w:t>
      </w:r>
      <w:r w:rsidRPr="0047462D">
        <w:rPr>
          <w:lang w:val="el-GR"/>
        </w:rPr>
        <w:t>ν απόλυτη μεταβολή στη</w:t>
      </w:r>
      <w:r w:rsidR="00A67D3A" w:rsidRPr="0047462D">
        <w:rPr>
          <w:lang w:val="el-GR"/>
        </w:rPr>
        <w:t xml:space="preserve"> βαθμολογία του αναπνευστικού τομέα του CFQ-R </w:t>
      </w:r>
      <w:r w:rsidRPr="0047462D">
        <w:rPr>
          <w:lang w:val="el-GR"/>
        </w:rPr>
        <w:t xml:space="preserve">έως την εβδομάδα 24 </w:t>
      </w:r>
      <w:r w:rsidR="00A67D3A" w:rsidRPr="0047462D">
        <w:rPr>
          <w:lang w:val="el-GR"/>
        </w:rPr>
        <w:t xml:space="preserve">(η διαφορά της θεραπείας </w:t>
      </w:r>
      <w:r w:rsidRPr="0047462D">
        <w:rPr>
          <w:lang w:val="el-GR"/>
        </w:rPr>
        <w:t xml:space="preserve">για </w:t>
      </w:r>
      <w:r w:rsidR="00A67D3A" w:rsidRPr="0047462D">
        <w:rPr>
          <w:lang w:val="el-GR"/>
        </w:rPr>
        <w:t>το ivacaftor έναντι του εικονικού φαρμάκου ήταν 8,4 [</w:t>
      </w:r>
      <w:r w:rsidR="00CB144E" w:rsidRPr="0047462D">
        <w:rPr>
          <w:bCs/>
          <w:lang w:val="el-GR"/>
        </w:rPr>
        <w:t xml:space="preserve">95% </w:t>
      </w:r>
      <w:r w:rsidR="00CB144E" w:rsidRPr="0047462D">
        <w:rPr>
          <w:bCs/>
        </w:rPr>
        <w:t>CI </w:t>
      </w:r>
      <w:r w:rsidR="00A67D3A" w:rsidRPr="0047462D">
        <w:rPr>
          <w:lang w:val="el-GR"/>
        </w:rPr>
        <w:t>2,2, 14,6]</w:t>
      </w:r>
      <w:r w:rsidR="00F47842" w:rsidRPr="0047462D">
        <w:rPr>
          <w:lang w:val="el-GR"/>
        </w:rPr>
        <w:t xml:space="preserve"> μονάδες</w:t>
      </w:r>
      <w:r w:rsidR="00A67D3A" w:rsidRPr="0047462D">
        <w:rPr>
          <w:lang w:val="el-GR"/>
        </w:rPr>
        <w:t xml:space="preserve">) και </w:t>
      </w:r>
      <w:r w:rsidRPr="0047462D">
        <w:rPr>
          <w:lang w:val="el-GR"/>
        </w:rPr>
        <w:t xml:space="preserve">για </w:t>
      </w:r>
      <w:r w:rsidR="00A67D3A" w:rsidRPr="0047462D">
        <w:rPr>
          <w:lang w:val="el-GR"/>
        </w:rPr>
        <w:t xml:space="preserve">τη μέση </w:t>
      </w:r>
      <w:r w:rsidR="005B7C33" w:rsidRPr="0047462D">
        <w:rPr>
          <w:rFonts w:eastAsia="Times New Roman"/>
          <w:szCs w:val="22"/>
          <w:lang w:val="el-GR"/>
        </w:rPr>
        <w:t>μεταβολή</w:t>
      </w:r>
      <w:r w:rsidR="005B7C33" w:rsidRPr="0047462D" w:rsidDel="005B7C33">
        <w:rPr>
          <w:bCs/>
          <w:lang w:val="el-GR"/>
        </w:rPr>
        <w:t xml:space="preserve"> </w:t>
      </w:r>
      <w:r w:rsidR="00A67D3A" w:rsidRPr="0047462D">
        <w:rPr>
          <w:lang w:val="el-GR"/>
        </w:rPr>
        <w:t>από την τιμή αναφοράς στο χλώριο ιδρώτα (</w:t>
      </w:r>
      <w:r w:rsidR="00F47842" w:rsidRPr="0047462D">
        <w:rPr>
          <w:lang w:val="el-GR"/>
        </w:rPr>
        <w:t>βλ. Φαρμακοδυναμικές επιδράσεις</w:t>
      </w:r>
      <w:r w:rsidR="00A67D3A" w:rsidRPr="0047462D">
        <w:rPr>
          <w:lang w:val="el-GR"/>
        </w:rPr>
        <w:t>).</w:t>
      </w:r>
    </w:p>
    <w:p w14:paraId="505418C5" w14:textId="77777777" w:rsidR="00A67D3A" w:rsidRPr="0047462D" w:rsidRDefault="00A67D3A">
      <w:pPr>
        <w:tabs>
          <w:tab w:val="left" w:pos="567"/>
        </w:tabs>
        <w:suppressAutoHyphens w:val="0"/>
        <w:spacing w:line="260" w:lineRule="exact"/>
        <w:rPr>
          <w:szCs w:val="22"/>
          <w:u w:val="single"/>
        </w:rPr>
      </w:pPr>
    </w:p>
    <w:p w14:paraId="45472AE3" w14:textId="4C63B18C" w:rsidR="00AC1882" w:rsidRPr="0047462D" w:rsidRDefault="00F02E12" w:rsidP="009A2EEC">
      <w:pPr>
        <w:keepNext/>
        <w:rPr>
          <w:bCs/>
          <w:i/>
        </w:rPr>
      </w:pPr>
      <w:r w:rsidRPr="0047462D">
        <w:rPr>
          <w:i/>
        </w:rPr>
        <w:t>Ivacaftor</w:t>
      </w:r>
      <w:r w:rsidR="00AC1882" w:rsidRPr="0047462D">
        <w:rPr>
          <w:bCs/>
          <w:i/>
        </w:rPr>
        <w:t xml:space="preserve"> σε συνδυαστικό σχήμα με tezacaftor/ivacaftor</w:t>
      </w:r>
      <w:r w:rsidR="00373A54" w:rsidRPr="0047462D">
        <w:rPr>
          <w:bCs/>
          <w:i/>
        </w:rPr>
        <w:t xml:space="preserve"> ή με </w:t>
      </w:r>
      <w:r w:rsidR="00373A54" w:rsidRPr="0047462D">
        <w:rPr>
          <w:i/>
        </w:rPr>
        <w:t>ivacaftor/tezacaftor/elexacaftor</w:t>
      </w:r>
    </w:p>
    <w:p w14:paraId="65E5B434" w14:textId="77777777" w:rsidR="00F02E12" w:rsidRPr="0047462D" w:rsidRDefault="00F02E12" w:rsidP="009A2EEC">
      <w:pPr>
        <w:keepNext/>
        <w:rPr>
          <w:bCs/>
          <w:i/>
        </w:rPr>
      </w:pPr>
    </w:p>
    <w:p w14:paraId="564520D4" w14:textId="2E26B846" w:rsidR="00AC1882" w:rsidRPr="0047462D" w:rsidRDefault="008B652D" w:rsidP="00F67315">
      <w:pPr>
        <w:rPr>
          <w:bCs/>
        </w:rPr>
      </w:pPr>
      <w:r w:rsidRPr="0047462D">
        <w:rPr>
          <w:bCs/>
        </w:rPr>
        <w:t xml:space="preserve">Η αποτελεσματικότητα </w:t>
      </w:r>
      <w:r w:rsidR="00036C57" w:rsidRPr="0047462D">
        <w:rPr>
          <w:bCs/>
        </w:rPr>
        <w:t xml:space="preserve">και η ασφάλεια </w:t>
      </w:r>
      <w:r w:rsidRPr="0047462D">
        <w:rPr>
          <w:bCs/>
        </w:rPr>
        <w:t xml:space="preserve">του </w:t>
      </w:r>
      <w:r w:rsidR="00F02E12" w:rsidRPr="0047462D">
        <w:t xml:space="preserve">ivacaftor </w:t>
      </w:r>
      <w:r w:rsidRPr="0047462D">
        <w:rPr>
          <w:bCs/>
        </w:rPr>
        <w:t xml:space="preserve">σε ένα συνδυαστικό σχήμα με </w:t>
      </w:r>
      <w:r w:rsidR="00AC1882" w:rsidRPr="0047462D">
        <w:rPr>
          <w:bCs/>
        </w:rPr>
        <w:t xml:space="preserve">tezacaftor/ivacaftor </w:t>
      </w:r>
      <w:r w:rsidRPr="0047462D">
        <w:rPr>
          <w:bCs/>
        </w:rPr>
        <w:t xml:space="preserve">σε ασθενείς με ΚΙ </w:t>
      </w:r>
      <w:r w:rsidR="00F02E12" w:rsidRPr="0047462D">
        <w:rPr>
          <w:bCs/>
        </w:rPr>
        <w:t xml:space="preserve">ηλικίας 12 ετών και άνω </w:t>
      </w:r>
      <w:r w:rsidR="00036C57" w:rsidRPr="0047462D">
        <w:rPr>
          <w:bCs/>
        </w:rPr>
        <w:t>αξιολογήθηκαν</w:t>
      </w:r>
      <w:r w:rsidR="00BC296C" w:rsidRPr="0047462D">
        <w:rPr>
          <w:bCs/>
        </w:rPr>
        <w:t xml:space="preserve"> σε </w:t>
      </w:r>
      <w:r w:rsidR="00036C57" w:rsidRPr="0047462D">
        <w:rPr>
          <w:bCs/>
        </w:rPr>
        <w:t xml:space="preserve">δύο κλινικές μελέτες: </w:t>
      </w:r>
      <w:r w:rsidR="00BC296C" w:rsidRPr="0047462D">
        <w:rPr>
          <w:bCs/>
        </w:rPr>
        <w:t xml:space="preserve">μια τυχαιοποιημένη, διπλά τυφλή, ελεγχόμενη με εικονικό φάρμακο μελέτη </w:t>
      </w:r>
      <w:r w:rsidR="00AC1882" w:rsidRPr="0047462D">
        <w:rPr>
          <w:bCs/>
        </w:rPr>
        <w:t>24 </w:t>
      </w:r>
      <w:r w:rsidR="00BC296C" w:rsidRPr="0047462D">
        <w:rPr>
          <w:bCs/>
        </w:rPr>
        <w:t xml:space="preserve">εβδομάδων με </w:t>
      </w:r>
      <w:r w:rsidR="00AC1882" w:rsidRPr="0047462D">
        <w:rPr>
          <w:bCs/>
        </w:rPr>
        <w:t>504 </w:t>
      </w:r>
      <w:r w:rsidR="00BC296C" w:rsidRPr="0047462D">
        <w:rPr>
          <w:bCs/>
        </w:rPr>
        <w:t xml:space="preserve">ασθενείς οι οποίοι ήταν ομόζυγοι για τη μετάλλαξη </w:t>
      </w:r>
      <w:r w:rsidR="00AC1882" w:rsidRPr="0047462D">
        <w:rPr>
          <w:bCs/>
          <w:i/>
        </w:rPr>
        <w:t>F508del</w:t>
      </w:r>
      <w:r w:rsidR="00036C57" w:rsidRPr="0047462D">
        <w:rPr>
          <w:bCs/>
        </w:rPr>
        <w:t xml:space="preserve"> και</w:t>
      </w:r>
      <w:r w:rsidR="00BC296C" w:rsidRPr="0047462D">
        <w:rPr>
          <w:bCs/>
        </w:rPr>
        <w:t xml:space="preserve"> σε μια τυχαιοποιημένη, διπλά τυφλή, ελεγχόµενη µε εικονικό φάρµακο</w:t>
      </w:r>
      <w:r w:rsidR="00036C57" w:rsidRPr="0047462D">
        <w:rPr>
          <w:bCs/>
        </w:rPr>
        <w:t xml:space="preserve"> και με ivacaftor</w:t>
      </w:r>
      <w:r w:rsidR="00BC296C" w:rsidRPr="0047462D">
        <w:rPr>
          <w:bCs/>
        </w:rPr>
        <w:t>, διασταυρούμενη μελέτη 2 περιόδων, 3 θεραπειών, 8</w:t>
      </w:r>
      <w:r w:rsidR="002C32E8" w:rsidRPr="0047462D">
        <w:rPr>
          <w:bCs/>
          <w:lang w:val="en-GB"/>
        </w:rPr>
        <w:t> </w:t>
      </w:r>
      <w:r w:rsidR="00BC296C" w:rsidRPr="0047462D">
        <w:rPr>
          <w:bCs/>
        </w:rPr>
        <w:t xml:space="preserve">εβδομάδων με </w:t>
      </w:r>
      <w:r w:rsidR="00AC1882" w:rsidRPr="0047462D">
        <w:rPr>
          <w:bCs/>
        </w:rPr>
        <w:t>244 </w:t>
      </w:r>
      <w:r w:rsidR="00BC296C" w:rsidRPr="0047462D">
        <w:rPr>
          <w:bCs/>
        </w:rPr>
        <w:t xml:space="preserve">ασθενείς οι οποίοι ήταν ετερόζυγοι για τη μετάλλαξη </w:t>
      </w:r>
      <w:r w:rsidR="00AC1882" w:rsidRPr="0047462D">
        <w:rPr>
          <w:bCs/>
          <w:i/>
        </w:rPr>
        <w:t>F508del</w:t>
      </w:r>
      <w:r w:rsidR="00AC1882" w:rsidRPr="0047462D">
        <w:rPr>
          <w:bCs/>
        </w:rPr>
        <w:t xml:space="preserve"> </w:t>
      </w:r>
      <w:r w:rsidR="00BC296C" w:rsidRPr="0047462D">
        <w:rPr>
          <w:bCs/>
        </w:rPr>
        <w:t>και μια δεύτερη μετάλλαξη σχετιζόμενη με υπολειπόμενη λειτουργία της</w:t>
      </w:r>
      <w:r w:rsidR="00AC1882" w:rsidRPr="0047462D">
        <w:rPr>
          <w:bCs/>
        </w:rPr>
        <w:t xml:space="preserve"> </w:t>
      </w:r>
      <w:r w:rsidR="00F67315" w:rsidRPr="0047462D">
        <w:rPr>
          <w:bCs/>
          <w:i/>
        </w:rPr>
        <w:t>CFTR</w:t>
      </w:r>
      <w:r w:rsidR="00F67315" w:rsidRPr="0047462D">
        <w:rPr>
          <w:bCs/>
        </w:rPr>
        <w:t xml:space="preserve">. </w:t>
      </w:r>
      <w:r w:rsidR="00C8467B" w:rsidRPr="0047462D">
        <w:rPr>
          <w:bCs/>
        </w:rPr>
        <w:t xml:space="preserve">Η μακροχρόνια ασφάλεια και αποτελεσματικότητα του συνδυαστικού σχήματος αξιολογήθηκαν επίσης και στους δύο πληθυσμούς ασθενών, σε μια ανοιχτής επισήμανσης, κυλιόμενη, μακροχρόνια </w:t>
      </w:r>
      <w:r w:rsidR="00F67315" w:rsidRPr="0047462D">
        <w:rPr>
          <w:bCs/>
        </w:rPr>
        <w:t>μελέτη</w:t>
      </w:r>
      <w:r w:rsidR="00C8467B" w:rsidRPr="0047462D">
        <w:rPr>
          <w:bCs/>
        </w:rPr>
        <w:t xml:space="preserve"> επέκτασης 96 εβδομάδων</w:t>
      </w:r>
      <w:r w:rsidR="00AC1882" w:rsidRPr="0047462D">
        <w:rPr>
          <w:bCs/>
        </w:rPr>
        <w:t>.</w:t>
      </w:r>
      <w:r w:rsidR="00FE061B" w:rsidRPr="0047462D">
        <w:rPr>
          <w:bCs/>
        </w:rPr>
        <w:t xml:space="preserve"> Για επιπλέον δεδομένα, ανατρέξτε στην Περίληψη των Χαρακτηριστικών του Προϊόντος για τον συνδυασμό </w:t>
      </w:r>
      <w:r w:rsidR="00AC1882" w:rsidRPr="0047462D">
        <w:rPr>
          <w:bCs/>
        </w:rPr>
        <w:t>tezacaftor/ivacaftor.</w:t>
      </w:r>
    </w:p>
    <w:p w14:paraId="3509411A" w14:textId="4A29A150" w:rsidR="00AC1882" w:rsidRPr="0047462D" w:rsidRDefault="00AC1882" w:rsidP="00AC1882">
      <w:pPr>
        <w:rPr>
          <w:u w:val="single"/>
        </w:rPr>
      </w:pPr>
    </w:p>
    <w:p w14:paraId="77185F6D" w14:textId="781623B7" w:rsidR="00C8467B" w:rsidRPr="0047462D" w:rsidRDefault="006318B5" w:rsidP="00F93ECE">
      <w:pPr>
        <w:rPr>
          <w:bCs/>
        </w:rPr>
      </w:pPr>
      <w:r w:rsidRPr="0047462D">
        <w:rPr>
          <w:bCs/>
        </w:rPr>
        <w:t xml:space="preserve">Η αποτελεσματικότητα και η ασφάλεια του </w:t>
      </w:r>
      <w:r w:rsidRPr="0047462D">
        <w:t xml:space="preserve">ivacaftor </w:t>
      </w:r>
      <w:r w:rsidRPr="0047462D">
        <w:rPr>
          <w:bCs/>
        </w:rPr>
        <w:t xml:space="preserve">σε ένα συνδυαστικό σχήμα με </w:t>
      </w:r>
      <w:r w:rsidR="00C8467B" w:rsidRPr="0047462D">
        <w:rPr>
          <w:bCs/>
        </w:rPr>
        <w:t xml:space="preserve">ivacaftor/tezacaftor/elexacaftor </w:t>
      </w:r>
      <w:r w:rsidRPr="0047462D">
        <w:rPr>
          <w:bCs/>
        </w:rPr>
        <w:t>σε ασθενείς ηλικίας 12 ετών και άνω</w:t>
      </w:r>
      <w:r w:rsidR="00C8467B" w:rsidRPr="0047462D">
        <w:rPr>
          <w:bCs/>
        </w:rPr>
        <w:t xml:space="preserve"> </w:t>
      </w:r>
      <w:r w:rsidRPr="0047462D">
        <w:rPr>
          <w:bCs/>
        </w:rPr>
        <w:t xml:space="preserve">καταδείχθηκαν σε δύο </w:t>
      </w:r>
      <w:r w:rsidR="00373A54" w:rsidRPr="0047462D">
        <w:rPr>
          <w:bCs/>
        </w:rPr>
        <w:t xml:space="preserve">τυχαιοποιημένες, διπλά τυφλές </w:t>
      </w:r>
      <w:r w:rsidRPr="0047462D">
        <w:rPr>
          <w:bCs/>
        </w:rPr>
        <w:t>μελέτες φάσης</w:t>
      </w:r>
      <w:r w:rsidR="00C8467B" w:rsidRPr="0047462D">
        <w:rPr>
          <w:bCs/>
        </w:rPr>
        <w:t> 3</w:t>
      </w:r>
      <w:r w:rsidR="00373A54" w:rsidRPr="0047462D">
        <w:rPr>
          <w:bCs/>
        </w:rPr>
        <w:t xml:space="preserve">, ελεγχόμενες με εικονικό φάρμακο (ετερόζυγοι ασθενείς για </w:t>
      </w:r>
      <w:r w:rsidR="00373A54" w:rsidRPr="0047462D">
        <w:rPr>
          <w:bCs/>
          <w:i/>
          <w:iCs/>
        </w:rPr>
        <w:t>F508del</w:t>
      </w:r>
      <w:r w:rsidR="00373A54" w:rsidRPr="0047462D">
        <w:rPr>
          <w:bCs/>
        </w:rPr>
        <w:t xml:space="preserve">, n=403) και ελεγχόμενες με δραστική ουσία (ασθενείς ομόζυγοι για </w:t>
      </w:r>
      <w:r w:rsidR="00373A54" w:rsidRPr="0047462D">
        <w:rPr>
          <w:bCs/>
          <w:i/>
          <w:iCs/>
        </w:rPr>
        <w:t>F508del</w:t>
      </w:r>
      <w:r w:rsidR="00373A54" w:rsidRPr="0047462D">
        <w:rPr>
          <w:bCs/>
        </w:rPr>
        <w:t xml:space="preserve">, n=107) διάρκειας 24 και 4 εβδομάδων, αντίστοιχα. Οι ετερόζυγοι για </w:t>
      </w:r>
      <w:r w:rsidR="00373A54" w:rsidRPr="0047462D">
        <w:rPr>
          <w:bCs/>
          <w:i/>
          <w:iCs/>
        </w:rPr>
        <w:t>F508del</w:t>
      </w:r>
      <w:r w:rsidR="00373A54" w:rsidRPr="0047462D">
        <w:rPr>
          <w:bCs/>
        </w:rPr>
        <w:t xml:space="preserve"> ασθενείς είχαν μια </w:t>
      </w:r>
      <w:r w:rsidRPr="0047462D">
        <w:rPr>
          <w:rStyle w:val="hps"/>
        </w:rPr>
        <w:t>μετάλλαξη ελάχιστης λειτουργίας στο δεύτερο αλληλόμορφο</w:t>
      </w:r>
      <w:r w:rsidR="00373A54" w:rsidRPr="0047462D">
        <w:rPr>
          <w:bCs/>
        </w:rPr>
        <w:t xml:space="preserve">, η οποία ορίζεται ως </w:t>
      </w:r>
      <w:r w:rsidRPr="0047462D">
        <w:rPr>
          <w:bCs/>
        </w:rPr>
        <w:t>μια μετάλλαξη</w:t>
      </w:r>
      <w:r w:rsidR="00C8467B" w:rsidRPr="0047462D">
        <w:rPr>
          <w:bCs/>
        </w:rPr>
        <w:t xml:space="preserve"> </w:t>
      </w:r>
      <w:r w:rsidR="00373A54" w:rsidRPr="0047462D">
        <w:rPr>
          <w:rStyle w:val="hps"/>
        </w:rPr>
        <w:t>που οδηγεί</w:t>
      </w:r>
      <w:r w:rsidR="00373A54" w:rsidRPr="0047462D">
        <w:rPr>
          <w:rFonts w:eastAsia="Calibri"/>
        </w:rPr>
        <w:t xml:space="preserve"> είτε σε καθόλου παραγωγή πρωτεΐνης CFTR (π.χ. ομάδας Ι) είτε σε πρωτεΐνη CFTR </w:t>
      </w:r>
      <w:r w:rsidR="00373A54" w:rsidRPr="0047462D">
        <w:rPr>
          <w:rStyle w:val="hps"/>
        </w:rPr>
        <w:t xml:space="preserve">που δεν λειτουργεί ώστε να μεταφέρει χλώριο και δεν είναι πιθανό να ανταποκριθεί σε άλλες θεραπείες τροποποίησης της πρωτεΐνης </w:t>
      </w:r>
      <w:r w:rsidR="00373A54" w:rsidRPr="0047462D">
        <w:rPr>
          <w:rStyle w:val="hps"/>
          <w:lang w:val="en-US"/>
        </w:rPr>
        <w:t>CFTR</w:t>
      </w:r>
      <w:r w:rsidR="00373A54" w:rsidRPr="0047462D">
        <w:rPr>
          <w:rStyle w:val="hps"/>
        </w:rPr>
        <w:t xml:space="preserve"> </w:t>
      </w:r>
      <w:r w:rsidR="00373A54" w:rsidRPr="0047462D">
        <w:t>(tezacaftor, ivacaftor ή συνδυασμός των δύο)</w:t>
      </w:r>
      <w:r w:rsidR="00373A54" w:rsidRPr="0047462D">
        <w:rPr>
          <w:bCs/>
        </w:rPr>
        <w:t xml:space="preserve">. </w:t>
      </w:r>
      <w:r w:rsidR="00A96F49" w:rsidRPr="0047462D">
        <w:rPr>
          <w:bCs/>
        </w:rPr>
        <w:t xml:space="preserve">Οι ομόζυγοι για </w:t>
      </w:r>
      <w:r w:rsidR="00373A54" w:rsidRPr="0047462D">
        <w:rPr>
          <w:bCs/>
          <w:i/>
          <w:iCs/>
        </w:rPr>
        <w:t>F508del</w:t>
      </w:r>
      <w:r w:rsidR="00373A54" w:rsidRPr="0047462D">
        <w:rPr>
          <w:bCs/>
        </w:rPr>
        <w:t xml:space="preserve"> </w:t>
      </w:r>
      <w:r w:rsidR="00A96F49" w:rsidRPr="0047462D">
        <w:rPr>
          <w:bCs/>
        </w:rPr>
        <w:t xml:space="preserve">ασθενείς </w:t>
      </w:r>
      <w:r w:rsidR="00075A55" w:rsidRPr="0047462D">
        <w:rPr>
          <w:bCs/>
        </w:rPr>
        <w:t xml:space="preserve">έλαβαν </w:t>
      </w:r>
      <w:r w:rsidR="00CF30A6" w:rsidRPr="0047462D">
        <w:rPr>
          <w:bCs/>
        </w:rPr>
        <w:t xml:space="preserve">σχήμα με </w:t>
      </w:r>
      <w:r w:rsidR="00C8467B" w:rsidRPr="0047462D">
        <w:rPr>
          <w:bCs/>
        </w:rPr>
        <w:t xml:space="preserve">tezacaftor/ivacaftor </w:t>
      </w:r>
      <w:r w:rsidR="00CF30A6" w:rsidRPr="0047462D">
        <w:rPr>
          <w:bCs/>
        </w:rPr>
        <w:t xml:space="preserve">και </w:t>
      </w:r>
      <w:r w:rsidR="00C8467B" w:rsidRPr="0047462D">
        <w:rPr>
          <w:bCs/>
        </w:rPr>
        <w:t xml:space="preserve">ivacaftor </w:t>
      </w:r>
      <w:r w:rsidR="00CF30A6" w:rsidRPr="0047462D">
        <w:rPr>
          <w:rStyle w:val="hps"/>
        </w:rPr>
        <w:t>κατά τη διάρκεια μιας εισαγωγικής (</w:t>
      </w:r>
      <w:r w:rsidR="00CF30A6" w:rsidRPr="0047462D">
        <w:rPr>
          <w:lang w:val="en-US"/>
        </w:rPr>
        <w:t>run</w:t>
      </w:r>
      <w:r w:rsidR="00CF30A6" w:rsidRPr="0047462D">
        <w:rPr>
          <w:rStyle w:val="hps"/>
        </w:rPr>
        <w:t>-</w:t>
      </w:r>
      <w:r w:rsidR="00CF30A6" w:rsidRPr="0047462D">
        <w:rPr>
          <w:lang w:val="en-US"/>
        </w:rPr>
        <w:t>in</w:t>
      </w:r>
      <w:r w:rsidR="00CF30A6" w:rsidRPr="0047462D">
        <w:rPr>
          <w:rStyle w:val="hps"/>
        </w:rPr>
        <w:t>) περιόδου ανοιχτής επισήμανσης, 4 εβδομάδων, και κατόπιν τυχαιοποιήθηκαν και έλαβαν δόση</w:t>
      </w:r>
      <w:r w:rsidR="00CF30A6" w:rsidRPr="0047462D">
        <w:rPr>
          <w:bCs/>
        </w:rPr>
        <w:t xml:space="preserve"> </w:t>
      </w:r>
      <w:r w:rsidR="00C8467B" w:rsidRPr="0047462D">
        <w:rPr>
          <w:bCs/>
        </w:rPr>
        <w:t xml:space="preserve">ivacaftor </w:t>
      </w:r>
      <w:r w:rsidR="00CF30A6" w:rsidRPr="0047462D">
        <w:rPr>
          <w:bCs/>
        </w:rPr>
        <w:t xml:space="preserve">σε συνδυασμό με </w:t>
      </w:r>
      <w:r w:rsidR="00C8467B" w:rsidRPr="0047462D">
        <w:rPr>
          <w:bCs/>
        </w:rPr>
        <w:t xml:space="preserve">ivacaftor/tezacaftor/elexacaftor </w:t>
      </w:r>
      <w:r w:rsidR="00CF30A6" w:rsidRPr="0047462D">
        <w:rPr>
          <w:rStyle w:val="hps"/>
        </w:rPr>
        <w:t>κατά τη διάρκεια μιας διπλά τυφλής περιόδου θεραπείας</w:t>
      </w:r>
      <w:r w:rsidR="00C8467B" w:rsidRPr="0047462D">
        <w:rPr>
          <w:bCs/>
        </w:rPr>
        <w:t xml:space="preserve"> 4</w:t>
      </w:r>
      <w:r w:rsidR="00CF30A6" w:rsidRPr="0047462D">
        <w:rPr>
          <w:bCs/>
        </w:rPr>
        <w:t> εβδομάδων</w:t>
      </w:r>
      <w:r w:rsidR="00C8467B" w:rsidRPr="0047462D">
        <w:rPr>
          <w:bCs/>
        </w:rPr>
        <w:t xml:space="preserve">. </w:t>
      </w:r>
      <w:r w:rsidR="00702004" w:rsidRPr="0047462D">
        <w:rPr>
          <w:bCs/>
        </w:rPr>
        <w:t xml:space="preserve">Ασθενείς και από τις δύο μελέτες ήταν επιλέξιμοι για ένταξη σε μια κυλιόμενη μελέτη ανοιχτής επισήμανσης, </w:t>
      </w:r>
      <w:r w:rsidR="00C8467B" w:rsidRPr="0047462D">
        <w:rPr>
          <w:bCs/>
        </w:rPr>
        <w:t>96</w:t>
      </w:r>
      <w:r w:rsidR="00702004" w:rsidRPr="0047462D">
        <w:rPr>
          <w:bCs/>
        </w:rPr>
        <w:t> εβδομάδων</w:t>
      </w:r>
      <w:r w:rsidR="00A96F49" w:rsidRPr="0047462D">
        <w:rPr>
          <w:bCs/>
        </w:rPr>
        <w:t xml:space="preserve">. </w:t>
      </w:r>
      <w:r w:rsidR="00702004" w:rsidRPr="0047462D">
        <w:rPr>
          <w:bCs/>
        </w:rPr>
        <w:t xml:space="preserve">Για επιπλέον δεδομένα, ανατρέξτε στην Περίληψη των Χαρακτηριστικών του Προϊόντος για τον συνδυασμό </w:t>
      </w:r>
      <w:r w:rsidR="00C8467B" w:rsidRPr="0047462D">
        <w:rPr>
          <w:bCs/>
        </w:rPr>
        <w:t>ivacaftor/tezacaftor/elexacaftor.</w:t>
      </w:r>
    </w:p>
    <w:p w14:paraId="3A1E6450" w14:textId="77777777" w:rsidR="00C8467B" w:rsidRPr="0047462D" w:rsidRDefault="00C8467B" w:rsidP="00AC1882">
      <w:pPr>
        <w:rPr>
          <w:u w:val="single"/>
        </w:rPr>
      </w:pPr>
    </w:p>
    <w:p w14:paraId="3F13655A" w14:textId="77777777" w:rsidR="00A67D3A" w:rsidRPr="0047462D" w:rsidRDefault="00A67D3A" w:rsidP="00A240EC">
      <w:pPr>
        <w:keepNext/>
        <w:keepLines/>
        <w:rPr>
          <w:rFonts w:eastAsia="Times New Roman"/>
          <w:szCs w:val="22"/>
          <w:u w:val="single"/>
        </w:rPr>
      </w:pPr>
      <w:r w:rsidRPr="0047462D">
        <w:rPr>
          <w:rFonts w:eastAsia="Times New Roman"/>
          <w:szCs w:val="22"/>
          <w:u w:val="single"/>
        </w:rPr>
        <w:t>Παιδιατρικός πληθυσμός</w:t>
      </w:r>
    </w:p>
    <w:p w14:paraId="6623FE8A" w14:textId="44C34DB6" w:rsidR="007B2D92" w:rsidRDefault="007B2D92" w:rsidP="00A240EC">
      <w:pPr>
        <w:keepNext/>
        <w:keepLines/>
        <w:rPr>
          <w:szCs w:val="22"/>
        </w:rPr>
      </w:pPr>
    </w:p>
    <w:p w14:paraId="0F864A0C" w14:textId="6F5A4EB0" w:rsidR="00336560" w:rsidRDefault="00211C4C" w:rsidP="00F93ECE">
      <w:pPr>
        <w:keepNext/>
        <w:rPr>
          <w:i/>
          <w:iCs/>
        </w:rPr>
      </w:pPr>
      <w:r>
        <w:rPr>
          <w:i/>
          <w:iCs/>
          <w:lang w:val="en-US"/>
        </w:rPr>
        <w:t>I</w:t>
      </w:r>
      <w:r w:rsidR="001147D0" w:rsidRPr="00475296">
        <w:rPr>
          <w:i/>
          <w:iCs/>
        </w:rPr>
        <w:t>vacaftor</w:t>
      </w:r>
      <w:r w:rsidR="00336560" w:rsidRPr="00475296">
        <w:rPr>
          <w:i/>
          <w:iCs/>
        </w:rPr>
        <w:t xml:space="preserve"> </w:t>
      </w:r>
      <w:r w:rsidR="00336560">
        <w:rPr>
          <w:i/>
          <w:iCs/>
        </w:rPr>
        <w:t xml:space="preserve">σε συνδυαστικό σχήμα με </w:t>
      </w:r>
      <w:r w:rsidR="00336560" w:rsidRPr="00475296">
        <w:rPr>
          <w:i/>
          <w:iCs/>
        </w:rPr>
        <w:t>tezacaftor/ivacaftor</w:t>
      </w:r>
    </w:p>
    <w:p w14:paraId="2DD3691B" w14:textId="77777777" w:rsidR="00336560" w:rsidRPr="00336560" w:rsidRDefault="00336560" w:rsidP="00F93ECE">
      <w:pPr>
        <w:keepNext/>
        <w:rPr>
          <w:i/>
          <w:iCs/>
        </w:rPr>
      </w:pPr>
    </w:p>
    <w:p w14:paraId="2273F3DF" w14:textId="13742D33" w:rsidR="00336560" w:rsidRPr="00475296" w:rsidRDefault="00336560" w:rsidP="00F93ECE">
      <w:r>
        <w:t xml:space="preserve">Η </w:t>
      </w:r>
      <w:r w:rsidRPr="00F324D4">
        <w:t xml:space="preserve">ασφάλεια και η αποτελεσματικότητα </w:t>
      </w:r>
      <w:r>
        <w:t xml:space="preserve">σε ασθενείς ηλικίας </w:t>
      </w:r>
      <w:r w:rsidRPr="00475296">
        <w:t xml:space="preserve">6 </w:t>
      </w:r>
      <w:r>
        <w:t xml:space="preserve">έως κάτω των </w:t>
      </w:r>
      <w:r w:rsidRPr="00475296">
        <w:t>12</w:t>
      </w:r>
      <w:r>
        <w:t xml:space="preserve"> ετών </w:t>
      </w:r>
      <w:r w:rsidRPr="00475296">
        <w:t>(</w:t>
      </w:r>
      <w:r>
        <w:t xml:space="preserve">μέση ηλικία </w:t>
      </w:r>
      <w:r w:rsidRPr="00475296">
        <w:t>8</w:t>
      </w:r>
      <w:r>
        <w:t>,</w:t>
      </w:r>
      <w:r w:rsidRPr="00475296">
        <w:t>6</w:t>
      </w:r>
      <w:r>
        <w:rPr>
          <w:rFonts w:eastAsia="MS Mincho"/>
          <w:lang w:eastAsia="ja-JP"/>
        </w:rPr>
        <w:t> έτη</w:t>
      </w:r>
      <w:r w:rsidRPr="00475296">
        <w:t xml:space="preserve">) </w:t>
      </w:r>
      <w:r>
        <w:t xml:space="preserve">αξιολογήθηκαν σε μια διπλά τυφλή δοκιμή φάσης 3, </w:t>
      </w:r>
      <w:r w:rsidRPr="00475296">
        <w:t>8</w:t>
      </w:r>
      <w:r>
        <w:t> εβδομάδων, με</w:t>
      </w:r>
      <w:r w:rsidRPr="00475296">
        <w:t xml:space="preserve"> 67</w:t>
      </w:r>
      <w:r>
        <w:rPr>
          <w:rFonts w:eastAsia="MS Mincho"/>
          <w:lang w:eastAsia="ja-JP"/>
        </w:rPr>
        <w:t xml:space="preserve"> ασθενείς που τυχαιοποιήθηκαν </w:t>
      </w:r>
      <w:r w:rsidRPr="00475296">
        <w:t xml:space="preserve">4:1 </w:t>
      </w:r>
      <w:r>
        <w:t>είτε στην ομάδα του</w:t>
      </w:r>
      <w:r w:rsidRPr="00475296">
        <w:t xml:space="preserve"> </w:t>
      </w:r>
      <w:r>
        <w:t>ivacaftor</w:t>
      </w:r>
      <w:r w:rsidRPr="00475296">
        <w:t xml:space="preserve"> </w:t>
      </w:r>
      <w:r>
        <w:t xml:space="preserve">σε συνδυαστικό σχήμα με </w:t>
      </w:r>
      <w:r w:rsidRPr="00475296">
        <w:t xml:space="preserve">tezacaftor/ivacaftor </w:t>
      </w:r>
      <w:r>
        <w:t>είτε σε μια τυφλοποιημένη ομάδα</w:t>
      </w:r>
      <w:r w:rsidRPr="00475296">
        <w:t xml:space="preserve">. </w:t>
      </w:r>
      <w:r>
        <w:t>Σαράντα δύο ασθενείς ήταν ομόζυγοι για τη μετάλλαξη</w:t>
      </w:r>
      <w:r w:rsidRPr="00475296">
        <w:t xml:space="preserve"> </w:t>
      </w:r>
      <w:r w:rsidRPr="00475296">
        <w:rPr>
          <w:i/>
          <w:iCs/>
        </w:rPr>
        <w:t>F508del</w:t>
      </w:r>
      <w:r w:rsidRPr="00475296">
        <w:t xml:space="preserve"> (F/F) </w:t>
      </w:r>
      <w:r>
        <w:t>και</w:t>
      </w:r>
      <w:r w:rsidRPr="00475296">
        <w:t xml:space="preserve"> 12 </w:t>
      </w:r>
      <w:r>
        <w:t xml:space="preserve">ήταν </w:t>
      </w:r>
      <w:r w:rsidR="005D7799">
        <w:t xml:space="preserve">ετερόζυγοι </w:t>
      </w:r>
      <w:r>
        <w:t xml:space="preserve">για τη μετάλλαξη </w:t>
      </w:r>
      <w:r w:rsidRPr="00E574E8">
        <w:rPr>
          <w:i/>
          <w:iCs/>
        </w:rPr>
        <w:t xml:space="preserve">F508del </w:t>
      </w:r>
      <w:r>
        <w:t>και μια δεύτερη</w:t>
      </w:r>
      <w:r w:rsidRPr="00E574E8">
        <w:t xml:space="preserve"> </w:t>
      </w:r>
      <w:r>
        <w:t>μετάλλαξη</w:t>
      </w:r>
      <w:r w:rsidRPr="00E574E8">
        <w:t xml:space="preserve"> </w:t>
      </w:r>
      <w:r>
        <w:t>σχετιζόμενη με υπολειπόμενη λειτουργία της</w:t>
      </w:r>
      <w:r w:rsidRPr="00475296">
        <w:t xml:space="preserve"> (F/RF). </w:t>
      </w:r>
      <w:r>
        <w:t xml:space="preserve">Για συμπληρωματικά δεδομένα, ανατρέξτε στην Περίληψη των Χαρακτηριστικών του Προϊόντος για το </w:t>
      </w:r>
      <w:r w:rsidRPr="00475296">
        <w:rPr>
          <w:bCs/>
        </w:rPr>
        <w:t>tezacaftor/ivacaftor.</w:t>
      </w:r>
    </w:p>
    <w:p w14:paraId="13892612" w14:textId="77777777" w:rsidR="00336560" w:rsidRPr="00F93ECE" w:rsidRDefault="00336560" w:rsidP="00F93ECE">
      <w:pPr>
        <w:rPr>
          <w:rFonts w:eastAsia="Times New Roman"/>
          <w:szCs w:val="22"/>
        </w:rPr>
      </w:pPr>
    </w:p>
    <w:p w14:paraId="0DE8F3F7" w14:textId="0465118E" w:rsidR="00A67D3A" w:rsidRPr="0047462D" w:rsidRDefault="00A67D3A" w:rsidP="009A2EEC">
      <w:pPr>
        <w:rPr>
          <w:szCs w:val="22"/>
          <w:lang w:eastAsia="en-US"/>
        </w:rPr>
      </w:pPr>
      <w:r w:rsidRPr="0047462D">
        <w:rPr>
          <w:rFonts w:eastAsia="Times New Roman"/>
          <w:szCs w:val="22"/>
        </w:rPr>
        <w:t xml:space="preserve">Ο Ευρωπαϊκός Οργανισμός Φαρμάκων έχει δώσει αναβολή από την υποχρέωση υποβολής των αποτελεσμάτων των μελετών με το </w:t>
      </w:r>
      <w:r w:rsidR="00B27507" w:rsidRPr="0047462D">
        <w:t>Kalydeco</w:t>
      </w:r>
      <w:r w:rsidR="00D01767" w:rsidRPr="0047462D">
        <w:rPr>
          <w:bCs/>
        </w:rPr>
        <w:t xml:space="preserve"> </w:t>
      </w:r>
      <w:r w:rsidRPr="0047462D">
        <w:rPr>
          <w:rFonts w:eastAsia="Times New Roman"/>
          <w:szCs w:val="22"/>
        </w:rPr>
        <w:t xml:space="preserve">σε </w:t>
      </w:r>
      <w:r w:rsidRPr="0047462D">
        <w:rPr>
          <w:lang w:eastAsia="en-US"/>
        </w:rPr>
        <w:t>μία ή περισσότερες</w:t>
      </w:r>
      <w:r w:rsidRPr="0047462D">
        <w:rPr>
          <w:rFonts w:eastAsia="Times New Roman"/>
          <w:szCs w:val="22"/>
        </w:rPr>
        <w:t xml:space="preserve"> υποκατηγορίες του παιδιατρικού πληθυσμού στην κυστική ίνωση </w:t>
      </w:r>
      <w:r w:rsidR="00231503" w:rsidRPr="0047462D">
        <w:rPr>
          <w:rFonts w:eastAsia="Times New Roman"/>
          <w:szCs w:val="22"/>
        </w:rPr>
        <w:t xml:space="preserve">(βλέπε </w:t>
      </w:r>
      <w:r w:rsidRPr="0047462D">
        <w:rPr>
          <w:rFonts w:eastAsia="Times New Roman"/>
          <w:szCs w:val="22"/>
        </w:rPr>
        <w:t>παράγραφο 4.2 για πληροφορίες σχετικά με την παιδιατρική χρήση</w:t>
      </w:r>
      <w:r w:rsidR="00231503" w:rsidRPr="0047462D">
        <w:rPr>
          <w:rFonts w:eastAsia="Times New Roman"/>
          <w:szCs w:val="22"/>
        </w:rPr>
        <w:t>)</w:t>
      </w:r>
      <w:r w:rsidRPr="0047462D">
        <w:rPr>
          <w:rFonts w:eastAsia="Times New Roman"/>
          <w:szCs w:val="22"/>
        </w:rPr>
        <w:t>.</w:t>
      </w:r>
    </w:p>
    <w:p w14:paraId="5B101330" w14:textId="77777777" w:rsidR="00F324D4" w:rsidRPr="0047462D" w:rsidRDefault="00F324D4" w:rsidP="00141E57">
      <w:pPr>
        <w:ind w:right="-2"/>
        <w:rPr>
          <w:szCs w:val="22"/>
          <w:lang w:eastAsia="en-US"/>
        </w:rPr>
      </w:pPr>
    </w:p>
    <w:p w14:paraId="10E9D0F2" w14:textId="77777777" w:rsidR="00A67D3A" w:rsidRPr="0047462D" w:rsidRDefault="00A67D3A" w:rsidP="00141E57">
      <w:pPr>
        <w:keepNext/>
        <w:ind w:left="567" w:hanging="567"/>
        <w:rPr>
          <w:b/>
          <w:bCs/>
          <w:szCs w:val="22"/>
          <w:lang w:eastAsia="en-US"/>
        </w:rPr>
      </w:pPr>
      <w:r w:rsidRPr="0047462D">
        <w:rPr>
          <w:rFonts w:eastAsia="Times New Roman"/>
          <w:b/>
          <w:bCs/>
          <w:szCs w:val="22"/>
          <w:lang w:eastAsia="en-US"/>
        </w:rPr>
        <w:t>5.2</w:t>
      </w:r>
      <w:r w:rsidRPr="0047462D">
        <w:rPr>
          <w:rFonts w:eastAsia="Times New Roman"/>
          <w:b/>
          <w:bCs/>
          <w:szCs w:val="22"/>
          <w:lang w:eastAsia="en-US"/>
        </w:rPr>
        <w:tab/>
      </w:r>
      <w:r w:rsidRPr="0047462D">
        <w:rPr>
          <w:rFonts w:eastAsia="Times New Roman"/>
          <w:b/>
          <w:bCs/>
          <w:szCs w:val="22"/>
        </w:rPr>
        <w:t>Φαρμακοκινητικές ιδιότητες</w:t>
      </w:r>
    </w:p>
    <w:p w14:paraId="7501A043" w14:textId="77777777" w:rsidR="00A67D3A" w:rsidRPr="0047462D" w:rsidRDefault="00A67D3A" w:rsidP="00141E57">
      <w:pPr>
        <w:keepNext/>
        <w:rPr>
          <w:bCs/>
          <w:szCs w:val="22"/>
          <w:lang w:eastAsia="en-US"/>
        </w:rPr>
      </w:pPr>
    </w:p>
    <w:p w14:paraId="5A6E2E10" w14:textId="77777777" w:rsidR="00A67D3A" w:rsidRPr="0047462D" w:rsidRDefault="00A67D3A" w:rsidP="002331FF">
      <w:r w:rsidRPr="0047462D">
        <w:rPr>
          <w:rFonts w:eastAsia="Times New Roman"/>
          <w:szCs w:val="22"/>
        </w:rPr>
        <w:t xml:space="preserve">Η φαρμακοκινητική του ivacaftor είναι παρόμοια μεταξύ υγιών ενηλίκων εθελοντών και ασθενών με ΚΙ. </w:t>
      </w:r>
    </w:p>
    <w:p w14:paraId="4FEA023D" w14:textId="77777777" w:rsidR="00A67D3A" w:rsidRPr="0047462D" w:rsidRDefault="00A67D3A"/>
    <w:p w14:paraId="5F64C39D" w14:textId="6D00016A" w:rsidR="00A67D3A" w:rsidRPr="0047462D" w:rsidRDefault="00A67D3A">
      <w:pPr>
        <w:rPr>
          <w:szCs w:val="22"/>
          <w:lang w:eastAsia="en-US"/>
        </w:rPr>
      </w:pPr>
      <w:r w:rsidRPr="0047462D">
        <w:rPr>
          <w:rFonts w:eastAsia="Times New Roman"/>
          <w:szCs w:val="22"/>
        </w:rPr>
        <w:t xml:space="preserve">Μετά </w:t>
      </w:r>
      <w:r w:rsidR="007E1EEC" w:rsidRPr="0047462D">
        <w:rPr>
          <w:rFonts w:eastAsia="Times New Roman"/>
          <w:szCs w:val="22"/>
        </w:rPr>
        <w:t xml:space="preserve">την </w:t>
      </w:r>
      <w:r w:rsidRPr="0047462D">
        <w:rPr>
          <w:rFonts w:eastAsia="Times New Roman"/>
          <w:szCs w:val="22"/>
        </w:rPr>
        <w:t>από στόματος χορήγηση εφάπαξ δόσης των 150 mg σε υγιείς εθελοντές σε κατάσταση σίτισης, η μέση τιμή (±SD) για AUC και C</w:t>
      </w:r>
      <w:r w:rsidRPr="0047462D">
        <w:rPr>
          <w:rFonts w:eastAsia="Times New Roman"/>
          <w:szCs w:val="22"/>
          <w:vertAlign w:val="subscript"/>
        </w:rPr>
        <w:t>max</w:t>
      </w:r>
      <w:r w:rsidRPr="0047462D">
        <w:rPr>
          <w:rFonts w:eastAsia="Times New Roman"/>
          <w:szCs w:val="22"/>
        </w:rPr>
        <w:t xml:space="preserve"> ήταν 10600 (5260) ng*hr/ml και 768 (233) ng/ml, αντίστοιχα. Μετά από χορήγηση δόσης κάθε 12 ώρες, οι συγκεντρώσεις πλάσματος του ivacaftor σε σταθερή κατάστασ</w:t>
      </w:r>
      <w:r w:rsidR="007E1EEC" w:rsidRPr="0047462D">
        <w:rPr>
          <w:rFonts w:eastAsia="Times New Roman"/>
          <w:szCs w:val="22"/>
        </w:rPr>
        <w:t>η επιτεύχθηκαν</w:t>
      </w:r>
      <w:r w:rsidRPr="0047462D">
        <w:rPr>
          <w:rFonts w:eastAsia="Times New Roman"/>
          <w:szCs w:val="22"/>
        </w:rPr>
        <w:t xml:space="preserve"> στις </w:t>
      </w:r>
      <w:r w:rsidR="007B2D92" w:rsidRPr="0047462D">
        <w:rPr>
          <w:rFonts w:eastAsia="Times New Roman"/>
          <w:szCs w:val="22"/>
        </w:rPr>
        <w:t>η</w:t>
      </w:r>
      <w:r w:rsidR="008300C7" w:rsidRPr="0047462D">
        <w:rPr>
          <w:rFonts w:eastAsia="Times New Roman"/>
          <w:szCs w:val="22"/>
        </w:rPr>
        <w:t>μέρες </w:t>
      </w:r>
      <w:r w:rsidRPr="0047462D">
        <w:rPr>
          <w:rFonts w:eastAsia="Times New Roman"/>
          <w:szCs w:val="22"/>
        </w:rPr>
        <w:t xml:space="preserve">3 έως 5, με λόγο συσσώρευσης που </w:t>
      </w:r>
      <w:r w:rsidR="007E1EEC" w:rsidRPr="0047462D">
        <w:rPr>
          <w:rFonts w:eastAsia="Times New Roman"/>
          <w:szCs w:val="22"/>
        </w:rPr>
        <w:t xml:space="preserve">κυμαινόταν </w:t>
      </w:r>
      <w:r w:rsidRPr="0047462D">
        <w:rPr>
          <w:rFonts w:eastAsia="Times New Roman"/>
          <w:szCs w:val="22"/>
        </w:rPr>
        <w:t>από 2,2 έως 2,9.</w:t>
      </w:r>
    </w:p>
    <w:p w14:paraId="37B135A1" w14:textId="77777777" w:rsidR="00A67D3A" w:rsidRPr="0047462D" w:rsidRDefault="00A67D3A" w:rsidP="00141E57">
      <w:pPr>
        <w:pStyle w:val="labeltextheading"/>
        <w:keepNext w:val="0"/>
        <w:suppressAutoHyphens w:val="0"/>
        <w:rPr>
          <w:szCs w:val="22"/>
          <w:lang w:val="el-GR"/>
        </w:rPr>
      </w:pPr>
    </w:p>
    <w:p w14:paraId="246321EE" w14:textId="77777777" w:rsidR="00A67D3A" w:rsidRPr="0047462D" w:rsidRDefault="00A67D3A" w:rsidP="002331FF">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Απορρόφηση</w:t>
      </w:r>
    </w:p>
    <w:p w14:paraId="0A196308" w14:textId="77777777" w:rsidR="007B2D92" w:rsidRPr="0047462D" w:rsidRDefault="007B2D92" w:rsidP="002331FF">
      <w:pPr>
        <w:pStyle w:val="labeltextheading"/>
        <w:rPr>
          <w:sz w:val="22"/>
          <w:szCs w:val="22"/>
          <w:lang w:val="el-GR"/>
        </w:rPr>
      </w:pPr>
    </w:p>
    <w:p w14:paraId="0AF8ECE5" w14:textId="65564670" w:rsidR="00A67D3A" w:rsidRPr="0047462D" w:rsidRDefault="00A67D3A">
      <w:pPr>
        <w:pStyle w:val="labeltext"/>
        <w:rPr>
          <w:sz w:val="22"/>
          <w:lang w:val="el-GR"/>
        </w:rPr>
      </w:pPr>
      <w:r w:rsidRPr="0047462D">
        <w:rPr>
          <w:rFonts w:eastAsia="Times New Roman"/>
          <w:sz w:val="22"/>
          <w:szCs w:val="22"/>
          <w:lang w:val="el-GR"/>
        </w:rPr>
        <w:t xml:space="preserve">Μετά από χορήγηση πολλαπλών από στόματος δόσεων του ivacaftor, η έκθεση σε ivacaftor γενικά αυξήθηκε με δόση από 25 mg κάθε 12 ώρες έως 450 mg κάθε 12 ώρες. </w:t>
      </w:r>
      <w:r w:rsidR="00DF6323" w:rsidRPr="0047462D">
        <w:rPr>
          <w:rFonts w:eastAsia="Times New Roman"/>
          <w:sz w:val="22"/>
          <w:szCs w:val="22"/>
          <w:lang w:val="el-GR"/>
        </w:rPr>
        <w:t>Κατά τη χορήγηση με τροφή που περιείχε λίπος, η</w:t>
      </w:r>
      <w:r w:rsidRPr="0047462D">
        <w:rPr>
          <w:rFonts w:eastAsia="Times New Roman"/>
          <w:sz w:val="22"/>
          <w:szCs w:val="22"/>
          <w:lang w:val="el-GR"/>
        </w:rPr>
        <w:t xml:space="preserve"> έκθεση σ</w:t>
      </w:r>
      <w:r w:rsidR="00DF6323" w:rsidRPr="0047462D">
        <w:rPr>
          <w:rFonts w:eastAsia="Times New Roman"/>
          <w:sz w:val="22"/>
          <w:szCs w:val="22"/>
          <w:lang w:val="el-GR"/>
        </w:rPr>
        <w:t>το</w:t>
      </w:r>
      <w:r w:rsidRPr="0047462D">
        <w:rPr>
          <w:rFonts w:eastAsia="Times New Roman"/>
          <w:sz w:val="22"/>
          <w:szCs w:val="22"/>
          <w:lang w:val="el-GR"/>
        </w:rPr>
        <w:t xml:space="preserve"> ivacaftor αυξήθηκε κατά περίπου 2,5 έως 4 φορές. </w:t>
      </w:r>
      <w:r w:rsidR="00DF6323" w:rsidRPr="0047462D">
        <w:rPr>
          <w:sz w:val="22"/>
          <w:szCs w:val="22"/>
          <w:lang w:val="el-GR"/>
        </w:rPr>
        <w:t xml:space="preserve">Κατά τη συγχορήγηση με </w:t>
      </w:r>
      <w:r w:rsidR="006D5718" w:rsidRPr="0047462D">
        <w:rPr>
          <w:sz w:val="22"/>
          <w:szCs w:val="22"/>
          <w:lang w:val="en-GB"/>
        </w:rPr>
        <w:t>tezacaftor</w:t>
      </w:r>
      <w:r w:rsidR="00DF6323" w:rsidRPr="0047462D">
        <w:rPr>
          <w:sz w:val="22"/>
          <w:szCs w:val="22"/>
          <w:lang w:val="el-GR"/>
        </w:rPr>
        <w:t xml:space="preserve"> και </w:t>
      </w:r>
      <w:r w:rsidR="00DF6323" w:rsidRPr="0047462D">
        <w:rPr>
          <w:sz w:val="22"/>
          <w:szCs w:val="22"/>
          <w:lang w:val="en-GB"/>
        </w:rPr>
        <w:t>elexacaftor</w:t>
      </w:r>
      <w:r w:rsidR="00DF6323" w:rsidRPr="0047462D">
        <w:rPr>
          <w:sz w:val="22"/>
          <w:szCs w:val="22"/>
          <w:lang w:val="el-GR"/>
        </w:rPr>
        <w:t xml:space="preserve">, η αύξηση στην </w:t>
      </w:r>
      <w:r w:rsidR="00DF6323" w:rsidRPr="0047462D">
        <w:rPr>
          <w:sz w:val="22"/>
          <w:szCs w:val="22"/>
        </w:rPr>
        <w:t>AUC</w:t>
      </w:r>
      <w:r w:rsidR="00DF6323" w:rsidRPr="00F93ECE">
        <w:rPr>
          <w:sz w:val="22"/>
          <w:szCs w:val="22"/>
          <w:lang w:val="el-GR"/>
        </w:rPr>
        <w:t xml:space="preserve"> </w:t>
      </w:r>
      <w:r w:rsidR="00DF6323" w:rsidRPr="0047462D">
        <w:rPr>
          <w:sz w:val="22"/>
          <w:szCs w:val="22"/>
          <w:lang w:val="el-GR"/>
        </w:rPr>
        <w:t>ήταν παρόμοια</w:t>
      </w:r>
      <w:r w:rsidR="006D5718" w:rsidRPr="0047462D">
        <w:rPr>
          <w:sz w:val="22"/>
          <w:szCs w:val="22"/>
          <w:lang w:val="el-GR"/>
        </w:rPr>
        <w:t xml:space="preserve"> </w:t>
      </w:r>
      <w:r w:rsidR="00DF6323" w:rsidRPr="0047462D">
        <w:rPr>
          <w:sz w:val="22"/>
          <w:szCs w:val="22"/>
          <w:lang w:val="el-GR"/>
        </w:rPr>
        <w:t>(</w:t>
      </w:r>
      <w:r w:rsidR="006D5718" w:rsidRPr="0047462D">
        <w:rPr>
          <w:sz w:val="22"/>
          <w:szCs w:val="22"/>
          <w:lang w:val="el-GR"/>
        </w:rPr>
        <w:t xml:space="preserve">περίπου 3 φορές </w:t>
      </w:r>
      <w:r w:rsidR="00DF6323" w:rsidRPr="0047462D">
        <w:rPr>
          <w:sz w:val="22"/>
          <w:szCs w:val="22"/>
          <w:lang w:val="el-GR"/>
        </w:rPr>
        <w:t xml:space="preserve">και 2,5 έως 4 φορές αντίστοιχα). Συνεπώς, το </w:t>
      </w:r>
      <w:r w:rsidR="006D5718" w:rsidRPr="0047462D">
        <w:rPr>
          <w:sz w:val="22"/>
          <w:szCs w:val="22"/>
        </w:rPr>
        <w:t>i</w:t>
      </w:r>
      <w:r w:rsidR="006D5718" w:rsidRPr="0047462D">
        <w:rPr>
          <w:sz w:val="22"/>
          <w:szCs w:val="22"/>
          <w:lang w:val="en-GB"/>
        </w:rPr>
        <w:t>vacaftor</w:t>
      </w:r>
      <w:r w:rsidR="006D5718" w:rsidRPr="0047462D">
        <w:rPr>
          <w:sz w:val="22"/>
          <w:szCs w:val="22"/>
          <w:lang w:val="el-GR"/>
        </w:rPr>
        <w:t>, χορηγούμενο ως μονοθεραπεία ή σε συνδυασ</w:t>
      </w:r>
      <w:r w:rsidR="00DF6323" w:rsidRPr="0047462D">
        <w:rPr>
          <w:sz w:val="22"/>
          <w:szCs w:val="22"/>
          <w:lang w:val="el-GR"/>
        </w:rPr>
        <w:t xml:space="preserve">τικό σχήμα </w:t>
      </w:r>
      <w:r w:rsidR="006D5718" w:rsidRPr="0047462D">
        <w:rPr>
          <w:sz w:val="22"/>
          <w:szCs w:val="22"/>
          <w:lang w:val="el-GR"/>
        </w:rPr>
        <w:t xml:space="preserve">με </w:t>
      </w:r>
      <w:r w:rsidR="006D5718" w:rsidRPr="0047462D">
        <w:rPr>
          <w:sz w:val="22"/>
          <w:szCs w:val="22"/>
          <w:lang w:val="en-GB"/>
        </w:rPr>
        <w:t>tezacaftor</w:t>
      </w:r>
      <w:r w:rsidR="00DF6323" w:rsidRPr="00F93ECE">
        <w:rPr>
          <w:sz w:val="22"/>
          <w:szCs w:val="22"/>
          <w:lang w:val="el-GR"/>
        </w:rPr>
        <w:t>/</w:t>
      </w:r>
      <w:r w:rsidR="00DF6323" w:rsidRPr="0047462D">
        <w:rPr>
          <w:sz w:val="22"/>
          <w:szCs w:val="22"/>
          <w:lang w:val="en-GB"/>
        </w:rPr>
        <w:t>ivacaftor</w:t>
      </w:r>
      <w:r w:rsidR="00DF6323" w:rsidRPr="00F93ECE">
        <w:rPr>
          <w:sz w:val="22"/>
          <w:szCs w:val="22"/>
          <w:lang w:val="el-GR"/>
        </w:rPr>
        <w:t xml:space="preserve"> </w:t>
      </w:r>
      <w:r w:rsidR="00DF6323" w:rsidRPr="0047462D">
        <w:rPr>
          <w:sz w:val="22"/>
          <w:szCs w:val="22"/>
          <w:lang w:val="el-GR"/>
        </w:rPr>
        <w:t>ή</w:t>
      </w:r>
      <w:r w:rsidR="00DF6323" w:rsidRPr="00F93ECE">
        <w:rPr>
          <w:sz w:val="22"/>
          <w:szCs w:val="22"/>
          <w:lang w:val="el-GR"/>
        </w:rPr>
        <w:t xml:space="preserve"> </w:t>
      </w:r>
      <w:r w:rsidR="00DF6323" w:rsidRPr="0047462D">
        <w:rPr>
          <w:sz w:val="22"/>
          <w:szCs w:val="22"/>
          <w:lang w:val="en-GB"/>
        </w:rPr>
        <w:t>ivacaftor</w:t>
      </w:r>
      <w:r w:rsidR="00DF6323" w:rsidRPr="00F93ECE">
        <w:rPr>
          <w:sz w:val="22"/>
          <w:szCs w:val="22"/>
          <w:lang w:val="el-GR"/>
        </w:rPr>
        <w:t>/</w:t>
      </w:r>
      <w:r w:rsidR="00DF6323" w:rsidRPr="0047462D">
        <w:rPr>
          <w:sz w:val="22"/>
          <w:szCs w:val="22"/>
          <w:lang w:val="en-GB"/>
        </w:rPr>
        <w:t>tezacaftor</w:t>
      </w:r>
      <w:r w:rsidR="00DF6323" w:rsidRPr="00F93ECE">
        <w:rPr>
          <w:sz w:val="22"/>
          <w:szCs w:val="22"/>
          <w:lang w:val="el-GR"/>
        </w:rPr>
        <w:t>/</w:t>
      </w:r>
      <w:r w:rsidR="00DF6323" w:rsidRPr="0047462D">
        <w:rPr>
          <w:sz w:val="22"/>
          <w:szCs w:val="22"/>
          <w:lang w:val="en-GB"/>
        </w:rPr>
        <w:t>elexacaftor</w:t>
      </w:r>
      <w:r w:rsidR="006D5718" w:rsidRPr="0047462D">
        <w:rPr>
          <w:rFonts w:eastAsia="Times New Roman"/>
          <w:sz w:val="22"/>
          <w:szCs w:val="22"/>
          <w:lang w:val="el-GR"/>
        </w:rPr>
        <w:t>,</w:t>
      </w:r>
      <w:r w:rsidRPr="0047462D">
        <w:rPr>
          <w:rFonts w:eastAsia="Times New Roman"/>
          <w:sz w:val="22"/>
          <w:szCs w:val="22"/>
          <w:lang w:val="el-GR"/>
        </w:rPr>
        <w:t xml:space="preserve"> θα πρέπει να χορηγείται μαζί με τροφή που περιέχει λίπος. Ο διάμεσος (εύρος) t</w:t>
      </w:r>
      <w:r w:rsidRPr="0047462D">
        <w:rPr>
          <w:rFonts w:eastAsia="Times New Roman"/>
          <w:sz w:val="22"/>
          <w:szCs w:val="22"/>
          <w:vertAlign w:val="subscript"/>
          <w:lang w:val="el-GR"/>
        </w:rPr>
        <w:t>max</w:t>
      </w:r>
      <w:r w:rsidRPr="0047462D">
        <w:rPr>
          <w:rFonts w:eastAsia="Times New Roman"/>
          <w:sz w:val="22"/>
          <w:szCs w:val="22"/>
          <w:lang w:val="el-GR"/>
        </w:rPr>
        <w:t xml:space="preserve"> είναι περίπου 4,0 (3,0, 6,0)</w:t>
      </w:r>
      <w:r w:rsidRPr="0047462D">
        <w:rPr>
          <w:rFonts w:eastAsia="Times New Roman"/>
          <w:sz w:val="22"/>
          <w:szCs w:val="22"/>
          <w:lang w:val="en-GB"/>
        </w:rPr>
        <w:t> </w:t>
      </w:r>
      <w:r w:rsidRPr="0047462D">
        <w:rPr>
          <w:rFonts w:eastAsia="Times New Roman"/>
          <w:sz w:val="22"/>
          <w:szCs w:val="22"/>
          <w:lang w:val="el-GR"/>
        </w:rPr>
        <w:t>ώρες στη κατάσταση σίτισης.</w:t>
      </w:r>
    </w:p>
    <w:p w14:paraId="0AA4CF82" w14:textId="77777777" w:rsidR="00A67D3A" w:rsidRPr="0047462D" w:rsidRDefault="00A67D3A" w:rsidP="00141E57">
      <w:pPr>
        <w:pStyle w:val="labeltext"/>
        <w:rPr>
          <w:sz w:val="22"/>
          <w:lang w:val="el-GR"/>
        </w:rPr>
      </w:pPr>
    </w:p>
    <w:p w14:paraId="6FB9582F" w14:textId="273424C9" w:rsidR="000D31A2" w:rsidRPr="0047462D" w:rsidRDefault="000D31A2" w:rsidP="002C32E8">
      <w:pPr>
        <w:pStyle w:val="labeltext"/>
        <w:rPr>
          <w:szCs w:val="22"/>
          <w:u w:val="single"/>
          <w:lang w:val="el-GR" w:eastAsia="en-US"/>
        </w:rPr>
      </w:pPr>
      <w:r w:rsidRPr="0047462D">
        <w:rPr>
          <w:rFonts w:eastAsia="Times New Roman"/>
          <w:sz w:val="22"/>
          <w:szCs w:val="22"/>
          <w:lang w:val="el-GR"/>
        </w:rPr>
        <w:t>Τα κοκκία ivacaftor (2</w:t>
      </w:r>
      <w:r w:rsidR="002C32E8" w:rsidRPr="0047462D">
        <w:rPr>
          <w:rFonts w:eastAsia="Times New Roman"/>
          <w:sz w:val="22"/>
          <w:szCs w:val="22"/>
          <w:lang w:val="en-GB"/>
        </w:rPr>
        <w:t> </w:t>
      </w:r>
      <w:r w:rsidRPr="0047462D">
        <w:rPr>
          <w:bCs/>
          <w:iCs/>
        </w:rPr>
        <w:t>x</w:t>
      </w:r>
      <w:r w:rsidR="002C32E8" w:rsidRPr="0047462D">
        <w:rPr>
          <w:bCs/>
          <w:iCs/>
        </w:rPr>
        <w:t> </w:t>
      </w:r>
      <w:r w:rsidRPr="0047462D">
        <w:rPr>
          <w:rFonts w:eastAsia="Times New Roman"/>
          <w:sz w:val="22"/>
          <w:szCs w:val="22"/>
          <w:lang w:val="el-GR"/>
        </w:rPr>
        <w:t>75</w:t>
      </w:r>
      <w:r w:rsidRPr="0047462D">
        <w:rPr>
          <w:rFonts w:eastAsia="Times New Roman"/>
          <w:sz w:val="22"/>
          <w:szCs w:val="22"/>
          <w:lang w:val="en-GB"/>
        </w:rPr>
        <w:t> </w:t>
      </w:r>
      <w:r w:rsidRPr="0047462D">
        <w:rPr>
          <w:rFonts w:eastAsia="Times New Roman"/>
          <w:sz w:val="22"/>
          <w:szCs w:val="22"/>
          <w:lang w:val="el-GR"/>
        </w:rPr>
        <w:t>mg φακελλίσκοι) είχαν παρόμοια βιοδιαθεσιμότητα όπως το δισκίο των 150</w:t>
      </w:r>
      <w:r w:rsidRPr="0047462D">
        <w:rPr>
          <w:rFonts w:eastAsia="Times New Roman"/>
          <w:sz w:val="22"/>
          <w:szCs w:val="22"/>
          <w:lang w:val="en-GB"/>
        </w:rPr>
        <w:t> </w:t>
      </w:r>
      <w:r w:rsidRPr="0047462D">
        <w:rPr>
          <w:rFonts w:eastAsia="Times New Roman"/>
          <w:sz w:val="22"/>
          <w:szCs w:val="22"/>
          <w:lang w:val="el-GR"/>
        </w:rPr>
        <w:t xml:space="preserve">mg όταν </w:t>
      </w:r>
      <w:r w:rsidR="00C034AA" w:rsidRPr="0047462D">
        <w:rPr>
          <w:rFonts w:eastAsia="Times New Roman"/>
          <w:sz w:val="22"/>
          <w:szCs w:val="22"/>
          <w:lang w:val="el-GR"/>
        </w:rPr>
        <w:t xml:space="preserve">χορηγήθηκαν </w:t>
      </w:r>
      <w:r w:rsidRPr="0047462D">
        <w:rPr>
          <w:rFonts w:eastAsia="Times New Roman"/>
          <w:sz w:val="22"/>
          <w:szCs w:val="22"/>
          <w:lang w:val="el-GR"/>
        </w:rPr>
        <w:t xml:space="preserve">με τροφή που </w:t>
      </w:r>
      <w:r w:rsidR="00C034AA" w:rsidRPr="0047462D">
        <w:rPr>
          <w:rFonts w:eastAsia="Times New Roman"/>
          <w:sz w:val="22"/>
          <w:szCs w:val="22"/>
          <w:lang w:val="el-GR"/>
        </w:rPr>
        <w:t xml:space="preserve">περιείχε </w:t>
      </w:r>
      <w:r w:rsidRPr="0047462D">
        <w:rPr>
          <w:rFonts w:eastAsia="Times New Roman"/>
          <w:sz w:val="22"/>
          <w:szCs w:val="22"/>
          <w:lang w:val="el-GR"/>
        </w:rPr>
        <w:t xml:space="preserve">λίπος σε υγιή ενήλικα άτομα. Η γεωμετρική μέση αναλογία των ελαχίστων τετραγώνων (90% CI) για τα κοκκία σε σχέση με τα δισκία ήταν 0,951 (0,839, 1,08) για την </w:t>
      </w:r>
      <w:r w:rsidRPr="0047462D">
        <w:rPr>
          <w:bCs/>
          <w:iCs/>
        </w:rPr>
        <w:t>AUC</w:t>
      </w:r>
      <w:r w:rsidRPr="0047462D">
        <w:rPr>
          <w:bCs/>
          <w:iCs/>
          <w:vertAlign w:val="subscript"/>
          <w:lang w:val="el-GR"/>
        </w:rPr>
        <w:t>0-∞</w:t>
      </w:r>
      <w:r w:rsidRPr="0047462D">
        <w:rPr>
          <w:rFonts w:eastAsia="Times New Roman"/>
          <w:sz w:val="22"/>
          <w:szCs w:val="22"/>
          <w:lang w:val="el-GR"/>
        </w:rPr>
        <w:t xml:space="preserve"> και 0,918 (0,750, 1,12) για τη </w:t>
      </w:r>
      <w:r w:rsidRPr="0047462D">
        <w:rPr>
          <w:bCs/>
          <w:iCs/>
        </w:rPr>
        <w:t>C</w:t>
      </w:r>
      <w:r w:rsidRPr="0047462D">
        <w:rPr>
          <w:bCs/>
          <w:iCs/>
          <w:vertAlign w:val="subscript"/>
        </w:rPr>
        <w:t>max</w:t>
      </w:r>
      <w:r w:rsidRPr="0047462D">
        <w:rPr>
          <w:rFonts w:eastAsia="Times New Roman"/>
          <w:sz w:val="22"/>
          <w:szCs w:val="22"/>
          <w:lang w:val="el-GR"/>
        </w:rPr>
        <w:t>. Η επίδραση της τροφής στην απορρόφηση του ivacaftor είναι παρόμοια για αμφότερες τις φαρμακοτεχνικές μορφές, δηλ. δισκία και κοκκία.</w:t>
      </w:r>
    </w:p>
    <w:p w14:paraId="3478F87D" w14:textId="77777777" w:rsidR="000D31A2" w:rsidRPr="0047462D" w:rsidRDefault="000D31A2" w:rsidP="007307BE">
      <w:pPr>
        <w:ind w:right="-2"/>
        <w:rPr>
          <w:szCs w:val="22"/>
          <w:u w:val="single"/>
          <w:lang w:eastAsia="en-US"/>
        </w:rPr>
      </w:pPr>
    </w:p>
    <w:p w14:paraId="1FE19F2A" w14:textId="77777777" w:rsidR="00A67D3A" w:rsidRPr="0047462D" w:rsidRDefault="00A67D3A" w:rsidP="00141E57">
      <w:pPr>
        <w:keepNext/>
        <w:rPr>
          <w:rFonts w:eastAsia="Times New Roman"/>
          <w:szCs w:val="22"/>
          <w:u w:val="single"/>
        </w:rPr>
      </w:pPr>
      <w:r w:rsidRPr="0047462D">
        <w:rPr>
          <w:rFonts w:eastAsia="Times New Roman"/>
          <w:szCs w:val="22"/>
          <w:u w:val="single"/>
        </w:rPr>
        <w:t>Κατανομή</w:t>
      </w:r>
    </w:p>
    <w:p w14:paraId="2DA3DA3D" w14:textId="77777777" w:rsidR="007B2D92" w:rsidRPr="0047462D" w:rsidRDefault="007B2D92" w:rsidP="00141E57">
      <w:pPr>
        <w:keepNext/>
        <w:rPr>
          <w:szCs w:val="22"/>
          <w:u w:val="single"/>
          <w:lang w:eastAsia="en-US"/>
        </w:rPr>
      </w:pPr>
    </w:p>
    <w:p w14:paraId="01F810AF" w14:textId="39D910D4" w:rsidR="00A67D3A" w:rsidRPr="0047462D" w:rsidRDefault="00A67D3A">
      <w:pPr>
        <w:pStyle w:val="labeltext"/>
        <w:rPr>
          <w:rFonts w:eastAsia="Times New Roman"/>
          <w:sz w:val="22"/>
          <w:szCs w:val="22"/>
          <w:lang w:val="el-GR"/>
        </w:rPr>
      </w:pPr>
      <w:r w:rsidRPr="0047462D">
        <w:rPr>
          <w:rFonts w:eastAsia="Times New Roman"/>
          <w:sz w:val="22"/>
          <w:szCs w:val="22"/>
          <w:lang w:val="el-GR"/>
        </w:rPr>
        <w:t xml:space="preserve">Το ivacaftor δεσμεύεται </w:t>
      </w:r>
      <w:r w:rsidR="00C034AA" w:rsidRPr="0047462D">
        <w:rPr>
          <w:rFonts w:eastAsia="Times New Roman"/>
          <w:sz w:val="22"/>
          <w:szCs w:val="22"/>
          <w:lang w:val="el-GR"/>
        </w:rPr>
        <w:t xml:space="preserve">περίπου </w:t>
      </w:r>
      <w:r w:rsidRPr="0047462D">
        <w:rPr>
          <w:rFonts w:eastAsia="Times New Roman"/>
          <w:sz w:val="22"/>
          <w:szCs w:val="22"/>
          <w:lang w:val="el-GR"/>
        </w:rPr>
        <w:t>κατά 99% σε πρωτεΐνες πλάσματος, κυρίως στην άλφα 1-όξινη γλυκοπρωτεΐνη και την αλβουμίνη. Το ivacaftor δεν δεσμεύεται σε ανθρώπινα ερυθροκύτταρα του αίματος.</w:t>
      </w:r>
      <w:r w:rsidR="006D5718" w:rsidRPr="0047462D">
        <w:rPr>
          <w:rFonts w:eastAsia="Times New Roman"/>
          <w:sz w:val="22"/>
          <w:szCs w:val="22"/>
          <w:lang w:val="el-GR"/>
        </w:rPr>
        <w:t xml:space="preserve"> </w:t>
      </w:r>
      <w:r w:rsidRPr="0047462D">
        <w:rPr>
          <w:rFonts w:eastAsia="Times New Roman"/>
          <w:sz w:val="22"/>
          <w:szCs w:val="22"/>
          <w:lang w:val="el-GR"/>
        </w:rPr>
        <w:t xml:space="preserve">Μετά </w:t>
      </w:r>
      <w:r w:rsidR="00C034AA" w:rsidRPr="0047462D">
        <w:rPr>
          <w:rFonts w:eastAsia="Times New Roman"/>
          <w:sz w:val="22"/>
          <w:szCs w:val="22"/>
          <w:lang w:val="el-GR"/>
        </w:rPr>
        <w:t xml:space="preserve">την </w:t>
      </w:r>
      <w:r w:rsidRPr="0047462D">
        <w:rPr>
          <w:rFonts w:eastAsia="Times New Roman"/>
          <w:sz w:val="22"/>
          <w:szCs w:val="22"/>
          <w:lang w:val="el-GR"/>
        </w:rPr>
        <w:t xml:space="preserve">από στόματος χορήγηση </w:t>
      </w:r>
      <w:r w:rsidR="006D5718" w:rsidRPr="0047462D">
        <w:rPr>
          <w:sz w:val="22"/>
          <w:szCs w:val="22"/>
          <w:lang w:val="en-GB"/>
        </w:rPr>
        <w:t>ivacaftor</w:t>
      </w:r>
      <w:r w:rsidR="006D5718" w:rsidRPr="0047462D">
        <w:rPr>
          <w:rFonts w:eastAsia="Times New Roman"/>
          <w:sz w:val="22"/>
          <w:szCs w:val="22"/>
          <w:lang w:val="el-GR"/>
        </w:rPr>
        <w:t xml:space="preserve"> </w:t>
      </w:r>
      <w:r w:rsidRPr="0047462D">
        <w:rPr>
          <w:rFonts w:eastAsia="Times New Roman"/>
          <w:sz w:val="22"/>
          <w:szCs w:val="22"/>
          <w:lang w:val="el-GR"/>
        </w:rPr>
        <w:t>150 mg κάθε 12 ώρες για 7 ημέρες σε υγιείς εθελοντές σε κατάσταση σίτισης, ο μέσος (±SD) φαινόμενος όγκος κατανομής ήταν 353 </w:t>
      </w:r>
      <w:r w:rsidR="00DF6323" w:rsidRPr="0047462D">
        <w:rPr>
          <w:rFonts w:eastAsia="Times New Roman"/>
          <w:sz w:val="22"/>
          <w:szCs w:val="22"/>
        </w:rPr>
        <w:t>l</w:t>
      </w:r>
      <w:r w:rsidRPr="0047462D">
        <w:rPr>
          <w:rFonts w:eastAsia="Times New Roman"/>
          <w:sz w:val="22"/>
          <w:szCs w:val="22"/>
          <w:lang w:val="el-GR"/>
        </w:rPr>
        <w:t>(122).</w:t>
      </w:r>
    </w:p>
    <w:p w14:paraId="24A4B7BB" w14:textId="77777777" w:rsidR="006D5718" w:rsidRPr="0047462D" w:rsidRDefault="006D5718">
      <w:pPr>
        <w:pStyle w:val="labeltext"/>
        <w:rPr>
          <w:rFonts w:eastAsia="Times New Roman"/>
          <w:sz w:val="22"/>
          <w:szCs w:val="22"/>
          <w:lang w:val="el-GR"/>
        </w:rPr>
      </w:pPr>
    </w:p>
    <w:p w14:paraId="48164EC1" w14:textId="77777777" w:rsidR="00A67D3A" w:rsidRPr="0047462D" w:rsidRDefault="00A67D3A">
      <w:pPr>
        <w:pStyle w:val="labeltext"/>
        <w:keepNext/>
        <w:rPr>
          <w:rFonts w:eastAsia="Times New Roman"/>
          <w:sz w:val="22"/>
          <w:szCs w:val="22"/>
          <w:u w:val="single"/>
          <w:lang w:val="el-GR"/>
        </w:rPr>
      </w:pPr>
      <w:r w:rsidRPr="0047462D">
        <w:rPr>
          <w:rFonts w:eastAsia="Times New Roman"/>
          <w:sz w:val="22"/>
          <w:szCs w:val="22"/>
          <w:u w:val="single"/>
          <w:lang w:val="el-GR"/>
        </w:rPr>
        <w:t>Βιομετασχηματισμός</w:t>
      </w:r>
    </w:p>
    <w:p w14:paraId="1AD8228C" w14:textId="77777777" w:rsidR="007B2D92" w:rsidRPr="0047462D" w:rsidRDefault="007B2D92">
      <w:pPr>
        <w:pStyle w:val="labeltext"/>
        <w:keepNext/>
        <w:rPr>
          <w:szCs w:val="22"/>
          <w:u w:val="single"/>
          <w:lang w:val="el-GR" w:eastAsia="en-US"/>
        </w:rPr>
      </w:pPr>
    </w:p>
    <w:p w14:paraId="70B225EE" w14:textId="77777777" w:rsidR="00A67D3A" w:rsidRPr="0047462D" w:rsidRDefault="00A67D3A">
      <w:pPr>
        <w:pStyle w:val="labeltext"/>
        <w:rPr>
          <w:rFonts w:eastAsia="Times New Roman"/>
          <w:sz w:val="22"/>
          <w:szCs w:val="22"/>
          <w:lang w:val="el-GR"/>
        </w:rPr>
      </w:pPr>
      <w:r w:rsidRPr="0047462D">
        <w:rPr>
          <w:rFonts w:eastAsia="Times New Roman"/>
          <w:sz w:val="22"/>
          <w:szCs w:val="22"/>
          <w:lang w:val="el-GR"/>
        </w:rPr>
        <w:t xml:space="preserve">Το ivacaftor μεταβολίζεται εκτενώς στον άνθρωπο. </w:t>
      </w:r>
      <w:r w:rsidRPr="0047462D">
        <w:rPr>
          <w:rFonts w:eastAsia="Times New Roman"/>
          <w:i/>
          <w:iCs/>
          <w:sz w:val="22"/>
          <w:szCs w:val="22"/>
          <w:lang w:val="el-GR"/>
        </w:rPr>
        <w:t>In vitro</w:t>
      </w:r>
      <w:r w:rsidRPr="0047462D">
        <w:rPr>
          <w:rFonts w:eastAsia="Times New Roman"/>
          <w:sz w:val="22"/>
          <w:szCs w:val="22"/>
          <w:lang w:val="el-GR"/>
        </w:rPr>
        <w:t xml:space="preserve"> και </w:t>
      </w:r>
      <w:r w:rsidRPr="0047462D">
        <w:rPr>
          <w:rFonts w:eastAsia="Times New Roman"/>
          <w:i/>
          <w:iCs/>
          <w:sz w:val="22"/>
          <w:szCs w:val="22"/>
          <w:lang w:val="el-GR"/>
        </w:rPr>
        <w:t>in vivo</w:t>
      </w:r>
      <w:r w:rsidRPr="0047462D">
        <w:rPr>
          <w:rFonts w:eastAsia="Times New Roman"/>
          <w:sz w:val="22"/>
          <w:szCs w:val="22"/>
          <w:lang w:val="el-GR"/>
        </w:rPr>
        <w:t xml:space="preserve"> δεδομένα υποδεικνύουν ότι το ivacaftor μεταβολίζεται κυρίως από το CYP3A. Οι M1 και M6 είναι οι δύο κύριοι μεταβολίτες του ivacaftor στον άνθρωπο. Ο M1 έχει περίπου το ένα έκτο της ισχύος του ivacaftor και θεωρείται φαρμακολογικά ενεργός. Ο M6 έχει λιγότερο από το ένα πεντηκοστό της ισχύος του ivacaftor και δεν θεωρείται φαρμακολογικά ενεργός.</w:t>
      </w:r>
    </w:p>
    <w:p w14:paraId="7D6609D4" w14:textId="77777777" w:rsidR="00B6142B" w:rsidRPr="0081732C" w:rsidRDefault="00B6142B" w:rsidP="006637B6">
      <w:pPr>
        <w:pStyle w:val="labeltext"/>
        <w:rPr>
          <w:sz w:val="22"/>
          <w:szCs w:val="22"/>
          <w:lang w:val="el-GR"/>
        </w:rPr>
      </w:pPr>
    </w:p>
    <w:p w14:paraId="72AFF980" w14:textId="1E1B9CDE" w:rsidR="00E9711B" w:rsidRPr="00F93ECE" w:rsidRDefault="0073005A" w:rsidP="00E9711B">
      <w:pPr>
        <w:pStyle w:val="labeltext"/>
        <w:rPr>
          <w:sz w:val="22"/>
          <w:szCs w:val="22"/>
          <w:lang w:val="el-GR"/>
        </w:rPr>
      </w:pPr>
      <w:r w:rsidRPr="00F93ECE">
        <w:rPr>
          <w:sz w:val="22"/>
          <w:szCs w:val="22"/>
          <w:lang w:val="el-GR"/>
        </w:rPr>
        <w:t xml:space="preserve">Η επίδραση του ετερόζυγου γονότυπου </w:t>
      </w:r>
      <w:r w:rsidR="00E9711B" w:rsidRPr="00F93ECE">
        <w:rPr>
          <w:iCs/>
          <w:sz w:val="22"/>
          <w:szCs w:val="22"/>
          <w:lang w:val="el-GR"/>
        </w:rPr>
        <w:t>CYP3A4*22</w:t>
      </w:r>
      <w:r w:rsidR="00E9711B" w:rsidRPr="00F93ECE">
        <w:rPr>
          <w:sz w:val="22"/>
          <w:szCs w:val="22"/>
          <w:lang w:val="el-GR"/>
        </w:rPr>
        <w:t xml:space="preserve"> </w:t>
      </w:r>
      <w:r w:rsidRPr="00F93ECE">
        <w:rPr>
          <w:sz w:val="22"/>
          <w:szCs w:val="22"/>
          <w:lang w:val="el-GR"/>
        </w:rPr>
        <w:t xml:space="preserve">στην έκθεση στο </w:t>
      </w:r>
      <w:r w:rsidR="00B5000B" w:rsidRPr="00F93ECE">
        <w:rPr>
          <w:sz w:val="22"/>
          <w:szCs w:val="22"/>
          <w:lang w:val="el-GR"/>
        </w:rPr>
        <w:t>ivacaftor</w:t>
      </w:r>
      <w:r w:rsidR="00B5000B" w:rsidRPr="0081732C">
        <w:rPr>
          <w:sz w:val="22"/>
          <w:szCs w:val="22"/>
          <w:lang w:val="el-GR"/>
        </w:rPr>
        <w:t xml:space="preserve">, το </w:t>
      </w:r>
      <w:r w:rsidR="00E9711B" w:rsidRPr="00F93ECE">
        <w:rPr>
          <w:sz w:val="22"/>
          <w:szCs w:val="22"/>
          <w:lang w:val="el-GR"/>
        </w:rPr>
        <w:t xml:space="preserve">tezacaftor </w:t>
      </w:r>
      <w:r w:rsidRPr="0081732C">
        <w:rPr>
          <w:sz w:val="22"/>
          <w:szCs w:val="22"/>
          <w:lang w:val="el-GR"/>
        </w:rPr>
        <w:t>και το</w:t>
      </w:r>
      <w:r w:rsidR="00E9711B" w:rsidRPr="00F93ECE">
        <w:rPr>
          <w:sz w:val="22"/>
          <w:szCs w:val="22"/>
          <w:lang w:val="el-GR"/>
        </w:rPr>
        <w:t xml:space="preserve"> elexacaftor </w:t>
      </w:r>
      <w:r w:rsidRPr="00F93ECE">
        <w:rPr>
          <w:sz w:val="22"/>
          <w:szCs w:val="22"/>
          <w:lang w:val="el-GR"/>
        </w:rPr>
        <w:t xml:space="preserve">είναι συνεπής με την επίδραση συγχορήγησης ασθενούς αναστολέα του </w:t>
      </w:r>
      <w:r w:rsidR="00E9711B" w:rsidRPr="00F93ECE">
        <w:rPr>
          <w:sz w:val="22"/>
          <w:szCs w:val="22"/>
          <w:lang w:val="el-GR"/>
        </w:rPr>
        <w:t xml:space="preserve">CYP3A4, </w:t>
      </w:r>
      <w:r w:rsidRPr="00F93ECE">
        <w:rPr>
          <w:sz w:val="22"/>
          <w:szCs w:val="22"/>
          <w:lang w:val="el-GR"/>
        </w:rPr>
        <w:t xml:space="preserve">γεγονός που δεν είναι κλινικά σημαντικό. Καμία προσαρμογή της δόσης του </w:t>
      </w:r>
      <w:r w:rsidR="00B5000B" w:rsidRPr="00F93ECE">
        <w:rPr>
          <w:sz w:val="22"/>
          <w:szCs w:val="22"/>
          <w:lang w:val="el-GR"/>
        </w:rPr>
        <w:t>ivacaftor</w:t>
      </w:r>
      <w:r w:rsidR="00B5000B" w:rsidRPr="0081732C">
        <w:rPr>
          <w:sz w:val="22"/>
          <w:szCs w:val="22"/>
          <w:lang w:val="el-GR"/>
        </w:rPr>
        <w:t xml:space="preserve">, του </w:t>
      </w:r>
      <w:r w:rsidRPr="00F93ECE">
        <w:rPr>
          <w:sz w:val="22"/>
          <w:szCs w:val="22"/>
          <w:lang w:val="el-GR"/>
        </w:rPr>
        <w:t>tezacaftor ή του elexacaftor δεν θεωρείται απαραίτητη. Η επίδραση σε ασθενείς με ομόζυγο γονότυπο</w:t>
      </w:r>
      <w:r w:rsidR="00E9711B" w:rsidRPr="00F93ECE">
        <w:rPr>
          <w:sz w:val="22"/>
          <w:szCs w:val="22"/>
          <w:lang w:val="el-GR"/>
        </w:rPr>
        <w:t xml:space="preserve"> </w:t>
      </w:r>
      <w:r w:rsidR="00E9711B" w:rsidRPr="00F93ECE">
        <w:rPr>
          <w:iCs/>
          <w:sz w:val="22"/>
          <w:szCs w:val="22"/>
          <w:lang w:val="el-GR"/>
        </w:rPr>
        <w:t>CYP3A4*22</w:t>
      </w:r>
      <w:r w:rsidR="00E9711B" w:rsidRPr="00F93ECE">
        <w:rPr>
          <w:sz w:val="22"/>
          <w:szCs w:val="22"/>
          <w:lang w:val="el-GR"/>
        </w:rPr>
        <w:t xml:space="preserve"> </w:t>
      </w:r>
      <w:r w:rsidRPr="00F93ECE">
        <w:rPr>
          <w:sz w:val="22"/>
          <w:szCs w:val="22"/>
          <w:lang w:val="el-GR"/>
        </w:rPr>
        <w:t>αναμένεται να είναι ισχυρότερη. Ωστόσο δεν υπάρχουν διαθέσιμα δεδομένα για αυτούς τους ασθενείς</w:t>
      </w:r>
      <w:r w:rsidR="00E9711B" w:rsidRPr="00F93ECE">
        <w:rPr>
          <w:sz w:val="22"/>
          <w:szCs w:val="22"/>
          <w:lang w:val="el-GR"/>
        </w:rPr>
        <w:t>.</w:t>
      </w:r>
    </w:p>
    <w:p w14:paraId="1DCF3552" w14:textId="77777777" w:rsidR="00A67D3A" w:rsidRPr="0081732C" w:rsidRDefault="00A67D3A" w:rsidP="00141E57">
      <w:pPr>
        <w:ind w:right="-2"/>
        <w:rPr>
          <w:szCs w:val="22"/>
          <w:u w:val="single"/>
          <w:lang w:eastAsia="en-US"/>
        </w:rPr>
      </w:pPr>
    </w:p>
    <w:p w14:paraId="313D4F6D" w14:textId="77777777" w:rsidR="00A67D3A" w:rsidRPr="0047462D" w:rsidRDefault="00A67D3A" w:rsidP="00141E57">
      <w:pPr>
        <w:keepNext/>
        <w:rPr>
          <w:rFonts w:eastAsia="Times New Roman"/>
          <w:szCs w:val="22"/>
          <w:u w:val="single"/>
        </w:rPr>
      </w:pPr>
      <w:r w:rsidRPr="0047462D">
        <w:rPr>
          <w:rFonts w:eastAsia="Times New Roman"/>
          <w:szCs w:val="22"/>
          <w:u w:val="single"/>
        </w:rPr>
        <w:t>Αποβολή</w:t>
      </w:r>
    </w:p>
    <w:p w14:paraId="181CCAC3" w14:textId="77777777" w:rsidR="007B2D92" w:rsidRPr="0047462D" w:rsidRDefault="007B2D92" w:rsidP="00141E57">
      <w:pPr>
        <w:keepNext/>
        <w:rPr>
          <w:szCs w:val="22"/>
          <w:u w:val="single"/>
          <w:lang w:eastAsia="en-US"/>
        </w:rPr>
      </w:pPr>
    </w:p>
    <w:p w14:paraId="239B5D3A" w14:textId="7A9A428F" w:rsidR="00A67D3A" w:rsidRPr="0047462D" w:rsidRDefault="00A67D3A" w:rsidP="002331FF">
      <w:pPr>
        <w:pStyle w:val="labeltext"/>
        <w:rPr>
          <w:szCs w:val="22"/>
          <w:u w:val="single"/>
          <w:lang w:val="el-GR" w:eastAsia="en-US"/>
        </w:rPr>
      </w:pPr>
      <w:r w:rsidRPr="0047462D">
        <w:rPr>
          <w:rFonts w:eastAsia="Times New Roman"/>
          <w:sz w:val="22"/>
          <w:szCs w:val="22"/>
          <w:lang w:val="el-GR"/>
        </w:rPr>
        <w:t xml:space="preserve">Μετά </w:t>
      </w:r>
      <w:r w:rsidR="00957888" w:rsidRPr="0047462D">
        <w:rPr>
          <w:rFonts w:eastAsia="Times New Roman"/>
          <w:sz w:val="22"/>
          <w:szCs w:val="22"/>
          <w:lang w:val="el-GR"/>
        </w:rPr>
        <w:t xml:space="preserve">την </w:t>
      </w:r>
      <w:r w:rsidRPr="0047462D">
        <w:rPr>
          <w:rFonts w:eastAsia="Times New Roman"/>
          <w:sz w:val="22"/>
          <w:szCs w:val="22"/>
          <w:lang w:val="el-GR"/>
        </w:rPr>
        <w:t>από στόματος χορήγηση</w:t>
      </w:r>
      <w:r w:rsidR="00B51C6C" w:rsidRPr="0047462D">
        <w:rPr>
          <w:rFonts w:eastAsia="Times New Roman"/>
          <w:sz w:val="22"/>
          <w:szCs w:val="22"/>
          <w:lang w:val="el-GR"/>
        </w:rPr>
        <w:t xml:space="preserve"> σε υγιείς εθελοντές</w:t>
      </w:r>
      <w:r w:rsidRPr="0047462D">
        <w:rPr>
          <w:rFonts w:eastAsia="Times New Roman"/>
          <w:sz w:val="22"/>
          <w:szCs w:val="22"/>
          <w:lang w:val="el-GR"/>
        </w:rPr>
        <w:t xml:space="preserve">, η πλειονότητα του ivacaftor (87,8%) </w:t>
      </w:r>
      <w:r w:rsidR="00FB3104" w:rsidRPr="0047462D">
        <w:rPr>
          <w:rFonts w:eastAsia="Times New Roman"/>
          <w:sz w:val="22"/>
          <w:szCs w:val="22"/>
          <w:lang w:val="el-GR"/>
        </w:rPr>
        <w:t xml:space="preserve">αποβλήθηκε </w:t>
      </w:r>
      <w:r w:rsidRPr="0047462D">
        <w:rPr>
          <w:rFonts w:eastAsia="Times New Roman"/>
          <w:sz w:val="22"/>
          <w:szCs w:val="22"/>
          <w:lang w:val="el-GR"/>
        </w:rPr>
        <w:t xml:space="preserve">στα κόπρανα μετά από μεταβολική μετατροπή. Οι κύριοι μεταβολίτες M1 και M6 υπολογίστηκαν περίπου στο 65% της συνολικής δόσης που </w:t>
      </w:r>
      <w:r w:rsidR="00957888" w:rsidRPr="0047462D">
        <w:rPr>
          <w:rFonts w:eastAsia="Times New Roman"/>
          <w:sz w:val="22"/>
          <w:szCs w:val="22"/>
          <w:lang w:val="el-GR"/>
        </w:rPr>
        <w:t xml:space="preserve">αποβλήθηκε </w:t>
      </w:r>
      <w:r w:rsidRPr="0047462D">
        <w:rPr>
          <w:rFonts w:eastAsia="Times New Roman"/>
          <w:sz w:val="22"/>
          <w:szCs w:val="22"/>
          <w:lang w:val="el-GR"/>
        </w:rPr>
        <w:t xml:space="preserve">με το 22% ως M1 και το 43% ως M6. Υπήρχε αμελητέα απέκκριση </w:t>
      </w:r>
      <w:r w:rsidR="00957888" w:rsidRPr="0047462D">
        <w:rPr>
          <w:rFonts w:eastAsia="Times New Roman"/>
          <w:sz w:val="22"/>
          <w:szCs w:val="22"/>
          <w:lang w:val="el-GR"/>
        </w:rPr>
        <w:t xml:space="preserve">του ivacaftor </w:t>
      </w:r>
      <w:r w:rsidRPr="0047462D">
        <w:rPr>
          <w:rFonts w:eastAsia="Times New Roman"/>
          <w:sz w:val="22"/>
          <w:szCs w:val="22"/>
          <w:lang w:val="el-GR"/>
        </w:rPr>
        <w:t>στα ούρα ως αμετάβλητη μητρική ουσία. Ο φαινόμενος τελικός χρόνος ημίσειας ζωής ήταν περίπου 12 ώρες μετά από εφάπαξ δόση στη κατάσταση σίτισης. Η φαινόμενη κάθαρση (CL/F) του ivacaftor ήταν παρόμοια για υγιή άτομα και για ασθενείς με ΚΙ. Η μέση (±SD) CL/F για μια εφάπαξ δόση των 150 mg ήταν 17,3 (8,4) l/hr σε υγιή άτομα.</w:t>
      </w:r>
    </w:p>
    <w:p w14:paraId="1A54515D" w14:textId="77777777" w:rsidR="00A67D3A" w:rsidRPr="0047462D" w:rsidRDefault="00A67D3A">
      <w:pPr>
        <w:pStyle w:val="labeltext"/>
        <w:suppressAutoHyphens w:val="0"/>
        <w:rPr>
          <w:szCs w:val="22"/>
          <w:lang w:val="el-GR" w:eastAsia="en-US"/>
        </w:rPr>
      </w:pPr>
    </w:p>
    <w:p w14:paraId="60494041" w14:textId="77777777" w:rsidR="00A67D3A" w:rsidRPr="0047462D" w:rsidRDefault="00231503" w:rsidP="00141E57">
      <w:pPr>
        <w:keepNext/>
        <w:jc w:val="both"/>
        <w:rPr>
          <w:noProof/>
          <w:szCs w:val="22"/>
          <w:u w:val="single"/>
        </w:rPr>
      </w:pPr>
      <w:r w:rsidRPr="0047462D">
        <w:rPr>
          <w:noProof/>
          <w:szCs w:val="22"/>
          <w:u w:val="single"/>
        </w:rPr>
        <w:t>Γραμμικότητα/μη γραμμικότητα</w:t>
      </w:r>
    </w:p>
    <w:p w14:paraId="7532F45F" w14:textId="77777777" w:rsidR="007B2D92" w:rsidRPr="0047462D" w:rsidRDefault="007B2D92" w:rsidP="00141E57">
      <w:pPr>
        <w:keepNext/>
        <w:jc w:val="both"/>
        <w:rPr>
          <w:rFonts w:eastAsia="Times New Roman"/>
          <w:szCs w:val="22"/>
          <w:u w:val="single"/>
        </w:rPr>
      </w:pPr>
    </w:p>
    <w:p w14:paraId="3ED5DCE5" w14:textId="77777777" w:rsidR="00A67D3A" w:rsidRPr="0047462D" w:rsidRDefault="00A67D3A" w:rsidP="00141E57">
      <w:pPr>
        <w:jc w:val="both"/>
        <w:rPr>
          <w:rFonts w:eastAsia="Times New Roman"/>
          <w:szCs w:val="22"/>
          <w:u w:val="single"/>
        </w:rPr>
      </w:pPr>
      <w:r w:rsidRPr="0047462D">
        <w:rPr>
          <w:rFonts w:eastAsia="Times New Roman"/>
          <w:iCs/>
          <w:szCs w:val="22"/>
          <w:lang w:eastAsia="en-US"/>
        </w:rPr>
        <w:t>Η φαρμακοκινητική του ivacaftor είναι γενικά γραμμική αναφορικά με το</w:t>
      </w:r>
      <w:r w:rsidR="00E93FC5" w:rsidRPr="0047462D">
        <w:rPr>
          <w:rFonts w:eastAsia="Times New Roman"/>
          <w:iCs/>
          <w:szCs w:val="22"/>
          <w:lang w:eastAsia="en-US"/>
        </w:rPr>
        <w:t>ν</w:t>
      </w:r>
      <w:r w:rsidRPr="0047462D">
        <w:rPr>
          <w:rFonts w:eastAsia="Times New Roman"/>
          <w:iCs/>
          <w:szCs w:val="22"/>
          <w:lang w:eastAsia="en-US"/>
        </w:rPr>
        <w:t xml:space="preserve"> χρόνο ή το εύρος της δόσης από 25 mg έως 250 mg.</w:t>
      </w:r>
    </w:p>
    <w:p w14:paraId="2D8804C0" w14:textId="77777777" w:rsidR="00A67D3A" w:rsidRPr="0047462D" w:rsidRDefault="00A67D3A" w:rsidP="00141E57">
      <w:pPr>
        <w:jc w:val="both"/>
        <w:rPr>
          <w:rFonts w:eastAsia="Times New Roman"/>
          <w:szCs w:val="22"/>
          <w:u w:val="single"/>
        </w:rPr>
      </w:pPr>
    </w:p>
    <w:p w14:paraId="562AFF22" w14:textId="77777777" w:rsidR="007B2D92" w:rsidRPr="0047462D" w:rsidRDefault="007B2D92" w:rsidP="00EB5A36">
      <w:pPr>
        <w:keepNext/>
        <w:jc w:val="both"/>
        <w:rPr>
          <w:rFonts w:eastAsia="Times New Roman"/>
          <w:szCs w:val="22"/>
          <w:u w:val="single"/>
        </w:rPr>
      </w:pPr>
      <w:r w:rsidRPr="0047462D">
        <w:rPr>
          <w:rFonts w:eastAsia="Times New Roman"/>
          <w:szCs w:val="22"/>
          <w:u w:val="single"/>
        </w:rPr>
        <w:t>Ειδικοί πληθυσμοί</w:t>
      </w:r>
    </w:p>
    <w:p w14:paraId="4A8A9CD5" w14:textId="77777777" w:rsidR="007B2D92" w:rsidRPr="0047462D" w:rsidRDefault="007B2D92" w:rsidP="00141E57">
      <w:pPr>
        <w:pStyle w:val="labeltext"/>
        <w:keepNext/>
        <w:rPr>
          <w:rFonts w:eastAsia="Times New Roman"/>
          <w:i/>
          <w:iCs/>
          <w:sz w:val="22"/>
          <w:szCs w:val="22"/>
          <w:lang w:val="el-GR" w:eastAsia="en-US"/>
        </w:rPr>
      </w:pPr>
    </w:p>
    <w:p w14:paraId="42AF7D48" w14:textId="3C08F169" w:rsidR="00A67D3A" w:rsidRPr="0047462D" w:rsidRDefault="00A67D3A" w:rsidP="00141E57">
      <w:pPr>
        <w:pStyle w:val="labeltext"/>
        <w:keepNext/>
        <w:rPr>
          <w:rFonts w:eastAsia="Times New Roman"/>
          <w:i/>
          <w:iCs/>
          <w:sz w:val="22"/>
          <w:szCs w:val="22"/>
          <w:lang w:val="el-GR" w:eastAsia="en-US"/>
        </w:rPr>
      </w:pPr>
      <w:r w:rsidRPr="0047462D">
        <w:rPr>
          <w:rFonts w:eastAsia="Times New Roman"/>
          <w:i/>
          <w:iCs/>
          <w:sz w:val="22"/>
          <w:szCs w:val="22"/>
          <w:lang w:val="el-GR" w:eastAsia="en-US"/>
        </w:rPr>
        <w:t>Ηπατική δυσλειτουργία</w:t>
      </w:r>
    </w:p>
    <w:p w14:paraId="3E2222E9" w14:textId="77777777" w:rsidR="003C78D1" w:rsidRPr="0047462D" w:rsidRDefault="003C78D1" w:rsidP="00141E57">
      <w:pPr>
        <w:pStyle w:val="labeltext"/>
        <w:keepNext/>
        <w:rPr>
          <w:rFonts w:eastAsia="Times New Roman"/>
          <w:i/>
          <w:iCs/>
          <w:sz w:val="22"/>
          <w:szCs w:val="22"/>
          <w:lang w:val="el-GR"/>
        </w:rPr>
      </w:pPr>
    </w:p>
    <w:p w14:paraId="61660E31" w14:textId="25DEB3A8" w:rsidR="00EA4540" w:rsidRPr="0047462D" w:rsidRDefault="00A67D3A" w:rsidP="00EA4540">
      <w:pPr>
        <w:pStyle w:val="labeltext"/>
        <w:rPr>
          <w:sz w:val="22"/>
          <w:szCs w:val="22"/>
          <w:lang w:val="el-GR"/>
        </w:rPr>
      </w:pPr>
      <w:r w:rsidRPr="0047462D">
        <w:rPr>
          <w:rFonts w:eastAsia="Times New Roman"/>
          <w:sz w:val="22"/>
          <w:szCs w:val="22"/>
          <w:lang w:val="el-GR"/>
        </w:rPr>
        <w:t xml:space="preserve">Μετά από εφάπαξ δόση των </w:t>
      </w:r>
      <w:r w:rsidRPr="0047462D">
        <w:rPr>
          <w:sz w:val="22"/>
          <w:szCs w:val="22"/>
          <w:lang w:val="el-GR"/>
        </w:rPr>
        <w:t>150</w:t>
      </w:r>
      <w:r w:rsidRPr="0047462D">
        <w:rPr>
          <w:sz w:val="22"/>
          <w:szCs w:val="22"/>
        </w:rPr>
        <w:t> mg</w:t>
      </w:r>
      <w:r w:rsidRPr="0047462D">
        <w:rPr>
          <w:rFonts w:eastAsia="Times New Roman"/>
          <w:sz w:val="22"/>
          <w:szCs w:val="22"/>
          <w:lang w:val="el-GR"/>
        </w:rPr>
        <w:t xml:space="preserve"> </w:t>
      </w:r>
      <w:r w:rsidRPr="0047462D">
        <w:rPr>
          <w:sz w:val="22"/>
          <w:szCs w:val="22"/>
        </w:rPr>
        <w:t>ivacaftor</w:t>
      </w:r>
      <w:r w:rsidRPr="0047462D">
        <w:rPr>
          <w:sz w:val="22"/>
          <w:szCs w:val="22"/>
          <w:lang w:val="el-GR"/>
        </w:rPr>
        <w:t>, οι</w:t>
      </w:r>
      <w:r w:rsidRPr="0047462D">
        <w:rPr>
          <w:rFonts w:eastAsia="Times New Roman"/>
          <w:sz w:val="22"/>
          <w:szCs w:val="22"/>
          <w:lang w:val="el-GR"/>
        </w:rPr>
        <w:t xml:space="preserve"> ενήλικες ασθενείς με μέτρια </w:t>
      </w:r>
      <w:r w:rsidR="001E66E3" w:rsidRPr="0047462D">
        <w:rPr>
          <w:rFonts w:eastAsia="Times New Roman"/>
          <w:sz w:val="22"/>
          <w:szCs w:val="22"/>
          <w:lang w:val="el-GR"/>
        </w:rPr>
        <w:t xml:space="preserve">ηπατική </w:t>
      </w:r>
      <w:r w:rsidRPr="0047462D">
        <w:rPr>
          <w:rFonts w:eastAsia="Times New Roman"/>
          <w:sz w:val="22"/>
          <w:szCs w:val="22"/>
          <w:lang w:val="el-GR"/>
        </w:rPr>
        <w:t>δυσλειτουργία (Τάξη Β κατά Child-Pugh, βαθμός</w:t>
      </w:r>
      <w:r w:rsidRPr="0047462D">
        <w:rPr>
          <w:rFonts w:eastAsia="Times New Roman"/>
          <w:sz w:val="22"/>
          <w:szCs w:val="22"/>
          <w:lang w:val="en-GB"/>
        </w:rPr>
        <w:t> </w:t>
      </w:r>
      <w:r w:rsidRPr="0047462D">
        <w:rPr>
          <w:rFonts w:eastAsia="Times New Roman"/>
          <w:sz w:val="22"/>
          <w:szCs w:val="22"/>
          <w:lang w:val="el-GR"/>
        </w:rPr>
        <w:t>7 έως</w:t>
      </w:r>
      <w:r w:rsidRPr="0047462D">
        <w:rPr>
          <w:rFonts w:eastAsia="Times New Roman"/>
          <w:sz w:val="22"/>
          <w:szCs w:val="22"/>
          <w:lang w:val="en-GB"/>
        </w:rPr>
        <w:t> </w:t>
      </w:r>
      <w:r w:rsidRPr="0047462D">
        <w:rPr>
          <w:rFonts w:eastAsia="Times New Roman"/>
          <w:sz w:val="22"/>
          <w:szCs w:val="22"/>
          <w:lang w:val="el-GR"/>
        </w:rPr>
        <w:t>9) είχαν παρόμοια C</w:t>
      </w:r>
      <w:r w:rsidRPr="0047462D">
        <w:rPr>
          <w:rFonts w:eastAsia="Times New Roman"/>
          <w:sz w:val="22"/>
          <w:szCs w:val="22"/>
          <w:vertAlign w:val="subscript"/>
          <w:lang w:val="el-GR"/>
        </w:rPr>
        <w:t>max</w:t>
      </w:r>
      <w:r w:rsidRPr="0047462D">
        <w:rPr>
          <w:rFonts w:eastAsia="Times New Roman"/>
          <w:sz w:val="22"/>
          <w:szCs w:val="22"/>
          <w:lang w:val="el-GR"/>
        </w:rPr>
        <w:t xml:space="preserve"> του ivacaftor (μέση τιμή </w:t>
      </w:r>
      <w:r w:rsidRPr="0047462D">
        <w:rPr>
          <w:sz w:val="22"/>
          <w:szCs w:val="22"/>
          <w:lang w:val="el-GR"/>
        </w:rPr>
        <w:t>[±</w:t>
      </w:r>
      <w:r w:rsidRPr="0047462D">
        <w:rPr>
          <w:sz w:val="22"/>
          <w:szCs w:val="22"/>
        </w:rPr>
        <w:t>SD</w:t>
      </w:r>
      <w:r w:rsidRPr="0047462D">
        <w:rPr>
          <w:sz w:val="22"/>
          <w:szCs w:val="22"/>
          <w:lang w:val="el-GR"/>
        </w:rPr>
        <w:t>] της τάξης των 735 [331]</w:t>
      </w:r>
      <w:r w:rsidRPr="0047462D">
        <w:rPr>
          <w:sz w:val="22"/>
          <w:szCs w:val="22"/>
          <w:lang w:val="en-GB"/>
        </w:rPr>
        <w:t> </w:t>
      </w:r>
      <w:r w:rsidRPr="0047462D">
        <w:rPr>
          <w:sz w:val="22"/>
          <w:szCs w:val="22"/>
        </w:rPr>
        <w:t>ng</w:t>
      </w:r>
      <w:r w:rsidRPr="0047462D">
        <w:rPr>
          <w:sz w:val="22"/>
          <w:szCs w:val="22"/>
          <w:lang w:val="el-GR"/>
        </w:rPr>
        <w:t>/</w:t>
      </w:r>
      <w:r w:rsidRPr="0047462D">
        <w:rPr>
          <w:sz w:val="22"/>
          <w:szCs w:val="22"/>
        </w:rPr>
        <w:t>ml</w:t>
      </w:r>
      <w:r w:rsidRPr="0047462D">
        <w:rPr>
          <w:sz w:val="22"/>
          <w:szCs w:val="22"/>
          <w:lang w:val="el-GR"/>
        </w:rPr>
        <w:t xml:space="preserve">) </w:t>
      </w:r>
      <w:r w:rsidRPr="0047462D">
        <w:rPr>
          <w:rFonts w:eastAsia="Times New Roman"/>
          <w:sz w:val="22"/>
          <w:szCs w:val="22"/>
          <w:lang w:val="el-GR"/>
        </w:rPr>
        <w:t>αλλά περίπου δύο φορές αύξηση στην AUC</w:t>
      </w:r>
      <w:r w:rsidRPr="0047462D">
        <w:rPr>
          <w:rFonts w:eastAsia="Times New Roman"/>
          <w:sz w:val="22"/>
          <w:szCs w:val="22"/>
          <w:vertAlign w:val="subscript"/>
          <w:lang w:val="el-GR"/>
        </w:rPr>
        <w:t>0-∞</w:t>
      </w:r>
      <w:r w:rsidRPr="0047462D">
        <w:rPr>
          <w:rFonts w:eastAsia="Times New Roman"/>
          <w:sz w:val="22"/>
          <w:szCs w:val="22"/>
          <w:lang w:val="el-GR"/>
        </w:rPr>
        <w:t xml:space="preserve"> του ivacaftor </w:t>
      </w:r>
      <w:r w:rsidRPr="0047462D">
        <w:rPr>
          <w:sz w:val="22"/>
          <w:szCs w:val="22"/>
          <w:lang w:val="el-GR"/>
        </w:rPr>
        <w:t>(μέση τιμή [±</w:t>
      </w:r>
      <w:r w:rsidRPr="0047462D">
        <w:rPr>
          <w:sz w:val="22"/>
          <w:szCs w:val="22"/>
        </w:rPr>
        <w:t>SD</w:t>
      </w:r>
      <w:r w:rsidRPr="0047462D">
        <w:rPr>
          <w:sz w:val="22"/>
          <w:szCs w:val="22"/>
          <w:lang w:val="el-GR"/>
        </w:rPr>
        <w:t>] της τάξης των 16800 [6140]</w:t>
      </w:r>
      <w:r w:rsidRPr="0047462D">
        <w:rPr>
          <w:sz w:val="22"/>
          <w:szCs w:val="22"/>
          <w:lang w:val="en-GB"/>
        </w:rPr>
        <w:t> </w:t>
      </w:r>
      <w:r w:rsidRPr="0047462D">
        <w:rPr>
          <w:sz w:val="22"/>
          <w:szCs w:val="22"/>
        </w:rPr>
        <w:t>ng</w:t>
      </w:r>
      <w:r w:rsidRPr="0047462D">
        <w:rPr>
          <w:sz w:val="22"/>
          <w:szCs w:val="22"/>
          <w:lang w:val="el-GR"/>
        </w:rPr>
        <w:t>*</w:t>
      </w:r>
      <w:r w:rsidRPr="0047462D">
        <w:rPr>
          <w:sz w:val="22"/>
          <w:szCs w:val="22"/>
        </w:rPr>
        <w:t>hr</w:t>
      </w:r>
      <w:r w:rsidRPr="0047462D">
        <w:rPr>
          <w:sz w:val="22"/>
          <w:szCs w:val="22"/>
          <w:lang w:val="el-GR"/>
        </w:rPr>
        <w:t>/</w:t>
      </w:r>
      <w:r w:rsidRPr="0047462D">
        <w:rPr>
          <w:sz w:val="22"/>
          <w:szCs w:val="22"/>
        </w:rPr>
        <w:t>ml</w:t>
      </w:r>
      <w:r w:rsidRPr="0047462D">
        <w:rPr>
          <w:sz w:val="22"/>
          <w:szCs w:val="22"/>
          <w:lang w:val="el-GR"/>
        </w:rPr>
        <w:t xml:space="preserve">) </w:t>
      </w:r>
      <w:r w:rsidRPr="0047462D">
        <w:rPr>
          <w:rFonts w:eastAsia="Times New Roman"/>
          <w:sz w:val="22"/>
          <w:szCs w:val="22"/>
          <w:lang w:val="el-GR"/>
        </w:rPr>
        <w:t xml:space="preserve">σε σύγκριση με υγιή άτομα με </w:t>
      </w:r>
      <w:r w:rsidR="00480AAF" w:rsidRPr="0047462D">
        <w:rPr>
          <w:rFonts w:eastAsia="Times New Roman"/>
          <w:sz w:val="22"/>
          <w:szCs w:val="22"/>
          <w:lang w:val="el-GR"/>
        </w:rPr>
        <w:t>αντίστοιχα</w:t>
      </w:r>
      <w:r w:rsidRPr="0047462D">
        <w:rPr>
          <w:rFonts w:eastAsia="Times New Roman"/>
          <w:sz w:val="22"/>
          <w:szCs w:val="22"/>
          <w:lang w:val="el-GR"/>
        </w:rPr>
        <w:t xml:space="preserve"> δημογραφικά στοιχεία. </w:t>
      </w:r>
      <w:r w:rsidRPr="0047462D">
        <w:rPr>
          <w:bCs/>
          <w:sz w:val="22"/>
          <w:szCs w:val="22"/>
          <w:lang w:val="el-GR"/>
        </w:rPr>
        <w:t xml:space="preserve">Προσομοιώσεις για την πρόβλεψη της έκθεσης </w:t>
      </w:r>
      <w:r w:rsidR="00480AAF" w:rsidRPr="0047462D">
        <w:rPr>
          <w:bCs/>
          <w:sz w:val="22"/>
          <w:szCs w:val="22"/>
          <w:lang w:val="el-GR"/>
        </w:rPr>
        <w:t xml:space="preserve">στο </w:t>
      </w:r>
      <w:r w:rsidR="00480AAF" w:rsidRPr="0047462D">
        <w:rPr>
          <w:bCs/>
          <w:sz w:val="22"/>
          <w:szCs w:val="22"/>
        </w:rPr>
        <w:t>ivacaftor</w:t>
      </w:r>
      <w:r w:rsidR="00480AAF" w:rsidRPr="0047462D">
        <w:rPr>
          <w:bCs/>
          <w:sz w:val="22"/>
          <w:szCs w:val="22"/>
          <w:lang w:val="el-GR"/>
        </w:rPr>
        <w:t xml:space="preserve"> </w:t>
      </w:r>
      <w:r w:rsidRPr="0047462D">
        <w:rPr>
          <w:bCs/>
          <w:sz w:val="22"/>
          <w:szCs w:val="22"/>
          <w:lang w:val="el-GR"/>
        </w:rPr>
        <w:t>σε σταθερή κατάσταση έδειξε ότι μειώνοντας τη δοσολογία από 150</w:t>
      </w:r>
      <w:r w:rsidRPr="0047462D">
        <w:rPr>
          <w:rFonts w:eastAsia="Times New Roman"/>
          <w:sz w:val="22"/>
          <w:szCs w:val="22"/>
          <w:lang w:val="en-GB"/>
        </w:rPr>
        <w:t> </w:t>
      </w:r>
      <w:r w:rsidRPr="0047462D">
        <w:rPr>
          <w:bCs/>
          <w:sz w:val="22"/>
          <w:szCs w:val="22"/>
        </w:rPr>
        <w:t>mg</w:t>
      </w:r>
      <w:r w:rsidR="007B2D92" w:rsidRPr="0047462D">
        <w:rPr>
          <w:bCs/>
          <w:sz w:val="22"/>
          <w:szCs w:val="22"/>
          <w:lang w:val="el-GR"/>
        </w:rPr>
        <w:t> </w:t>
      </w:r>
      <w:r w:rsidRPr="0047462D">
        <w:rPr>
          <w:bCs/>
          <w:sz w:val="22"/>
          <w:szCs w:val="22"/>
          <w:lang w:val="el-GR"/>
        </w:rPr>
        <w:t>κάθε</w:t>
      </w:r>
      <w:r w:rsidR="007B2D92" w:rsidRPr="0047462D">
        <w:rPr>
          <w:bCs/>
          <w:sz w:val="22"/>
          <w:szCs w:val="22"/>
          <w:lang w:val="el-GR"/>
        </w:rPr>
        <w:t> </w:t>
      </w:r>
      <w:r w:rsidRPr="0047462D">
        <w:rPr>
          <w:bCs/>
          <w:sz w:val="22"/>
          <w:szCs w:val="22"/>
          <w:lang w:val="el-GR"/>
        </w:rPr>
        <w:t>12</w:t>
      </w:r>
      <w:r w:rsidRPr="0047462D">
        <w:rPr>
          <w:rFonts w:eastAsia="Times New Roman"/>
          <w:sz w:val="22"/>
          <w:szCs w:val="22"/>
          <w:lang w:val="en-GB"/>
        </w:rPr>
        <w:t> </w:t>
      </w:r>
      <w:r w:rsidRPr="0047462D">
        <w:rPr>
          <w:bCs/>
          <w:sz w:val="22"/>
          <w:szCs w:val="22"/>
          <w:lang w:val="el-GR"/>
        </w:rPr>
        <w:t>ώρες σε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άπαξ ημερησίως, ενήλικες με μέτρια ηπατική δυσλειτουργία θα </w:t>
      </w:r>
      <w:r w:rsidR="00992CCF" w:rsidRPr="0047462D">
        <w:rPr>
          <w:bCs/>
          <w:sz w:val="22"/>
          <w:szCs w:val="22"/>
          <w:lang w:val="el-GR"/>
        </w:rPr>
        <w:t xml:space="preserve">είχαν </w:t>
      </w:r>
      <w:r w:rsidRPr="0047462D">
        <w:rPr>
          <w:bCs/>
          <w:sz w:val="22"/>
          <w:szCs w:val="22"/>
          <w:lang w:val="el-GR"/>
        </w:rPr>
        <w:t xml:space="preserve">συγκρίσιμες τιμές </w:t>
      </w:r>
      <w:r w:rsidRPr="0047462D">
        <w:rPr>
          <w:sz w:val="22"/>
          <w:szCs w:val="22"/>
        </w:rPr>
        <w:t>C</w:t>
      </w:r>
      <w:r w:rsidRPr="0047462D">
        <w:rPr>
          <w:sz w:val="22"/>
          <w:szCs w:val="22"/>
          <w:vertAlign w:val="subscript"/>
        </w:rPr>
        <w:t>min</w:t>
      </w:r>
      <w:r w:rsidRPr="0047462D">
        <w:rPr>
          <w:bCs/>
          <w:sz w:val="22"/>
          <w:szCs w:val="22"/>
          <w:lang w:val="el-GR"/>
        </w:rPr>
        <w:t xml:space="preserve"> σε σταθερή κατάσταση όπως εκείνες που λαμβάνονται με δόση των 150</w:t>
      </w:r>
      <w:r w:rsidRPr="0047462D">
        <w:rPr>
          <w:rFonts w:eastAsia="Times New Roman"/>
          <w:sz w:val="22"/>
          <w:szCs w:val="22"/>
          <w:lang w:val="en-GB"/>
        </w:rPr>
        <w:t> </w:t>
      </w:r>
      <w:r w:rsidRPr="0047462D">
        <w:rPr>
          <w:bCs/>
          <w:sz w:val="22"/>
          <w:szCs w:val="22"/>
        </w:rPr>
        <w:t>mg</w:t>
      </w:r>
      <w:r w:rsidR="007B2D92" w:rsidRPr="0047462D">
        <w:rPr>
          <w:bCs/>
          <w:sz w:val="22"/>
          <w:szCs w:val="22"/>
          <w:lang w:val="el-GR"/>
        </w:rPr>
        <w:t> </w:t>
      </w:r>
      <w:r w:rsidRPr="0047462D">
        <w:rPr>
          <w:bCs/>
          <w:sz w:val="22"/>
          <w:szCs w:val="22"/>
          <w:lang w:val="el-GR"/>
        </w:rPr>
        <w:t>κάθε</w:t>
      </w:r>
      <w:r w:rsidR="007B2D92" w:rsidRPr="0047462D">
        <w:rPr>
          <w:bCs/>
          <w:sz w:val="22"/>
          <w:szCs w:val="22"/>
          <w:lang w:val="el-GR"/>
        </w:rPr>
        <w:t> </w:t>
      </w:r>
      <w:r w:rsidRPr="0047462D">
        <w:rPr>
          <w:bCs/>
          <w:sz w:val="22"/>
          <w:szCs w:val="22"/>
          <w:lang w:val="el-GR"/>
        </w:rPr>
        <w:t>12</w:t>
      </w:r>
      <w:r w:rsidRPr="0047462D">
        <w:rPr>
          <w:rFonts w:eastAsia="Times New Roman"/>
          <w:sz w:val="22"/>
          <w:szCs w:val="22"/>
          <w:lang w:val="en-GB"/>
        </w:rPr>
        <w:t> </w:t>
      </w:r>
      <w:r w:rsidRPr="0047462D">
        <w:rPr>
          <w:bCs/>
          <w:sz w:val="22"/>
          <w:szCs w:val="22"/>
          <w:lang w:val="el-GR"/>
        </w:rPr>
        <w:t>ώρες σε ενήλικες χωρίς ηπατική δυσλειτουργία.</w:t>
      </w:r>
      <w:r w:rsidR="00EA4540" w:rsidRPr="0047462D">
        <w:rPr>
          <w:sz w:val="22"/>
          <w:szCs w:val="22"/>
          <w:lang w:val="el-GR"/>
        </w:rPr>
        <w:t xml:space="preserve"> </w:t>
      </w:r>
    </w:p>
    <w:p w14:paraId="233B623E" w14:textId="77777777" w:rsidR="00A67D3A" w:rsidRPr="0047462D" w:rsidRDefault="00A67D3A">
      <w:pPr>
        <w:pStyle w:val="labeltext"/>
        <w:rPr>
          <w:rFonts w:eastAsia="Times New Roman"/>
          <w:sz w:val="22"/>
          <w:szCs w:val="22"/>
          <w:lang w:val="el-GR"/>
        </w:rPr>
      </w:pPr>
    </w:p>
    <w:p w14:paraId="4312F3C9" w14:textId="2CB63A8A" w:rsidR="000B1E07" w:rsidRPr="0047462D" w:rsidRDefault="00B27507" w:rsidP="002877EB">
      <w:pPr>
        <w:rPr>
          <w:szCs w:val="22"/>
        </w:rPr>
      </w:pPr>
      <w:r w:rsidRPr="0047462D">
        <w:t>Σε</w:t>
      </w:r>
      <w:r w:rsidR="00F13505" w:rsidRPr="0047462D">
        <w:t xml:space="preserve"> άτομα με μέτρια επιβαρυμένη ηπατική λειτουργία (Τάξη Β κατά </w:t>
      </w:r>
      <w:r w:rsidR="00F13505" w:rsidRPr="0047462D">
        <w:rPr>
          <w:lang w:val="en-US"/>
        </w:rPr>
        <w:t>Child</w:t>
      </w:r>
      <w:r w:rsidR="00F13505" w:rsidRPr="0047462D">
        <w:noBreakHyphen/>
      </w:r>
      <w:r w:rsidR="00F13505" w:rsidRPr="0047462D">
        <w:rPr>
          <w:lang w:val="en-US"/>
        </w:rPr>
        <w:t>Pugh</w:t>
      </w:r>
      <w:r w:rsidR="00F13505" w:rsidRPr="0047462D">
        <w:t>, βαθμός 7 έως 9)</w:t>
      </w:r>
      <w:r w:rsidRPr="0047462D">
        <w:t>,</w:t>
      </w:r>
      <w:r w:rsidR="00F13505" w:rsidRPr="0047462D">
        <w:t xml:space="preserve"> </w:t>
      </w:r>
      <w:r w:rsidRPr="0047462D">
        <w:t>η</w:t>
      </w:r>
      <w:r w:rsidR="005A1925" w:rsidRPr="0047462D">
        <w:t xml:space="preserve"> </w:t>
      </w:r>
      <w:r w:rsidR="00F13505" w:rsidRPr="0047462D">
        <w:rPr>
          <w:lang w:val="en-US"/>
        </w:rPr>
        <w:t>AUC</w:t>
      </w:r>
      <w:r w:rsidR="005A1925" w:rsidRPr="0047462D">
        <w:t xml:space="preserve"> του </w:t>
      </w:r>
      <w:r w:rsidR="005A1925" w:rsidRPr="0047462D">
        <w:rPr>
          <w:lang w:val="en-US"/>
        </w:rPr>
        <w:t>ivacaftor</w:t>
      </w:r>
      <w:r w:rsidR="006C0EAC" w:rsidRPr="0047462D">
        <w:t xml:space="preserve"> </w:t>
      </w:r>
      <w:r w:rsidRPr="0047462D">
        <w:t>αυξήθηκε κατά περίπου 50%</w:t>
      </w:r>
      <w:r w:rsidR="000B1E07" w:rsidRPr="0047462D">
        <w:rPr>
          <w:szCs w:val="22"/>
        </w:rPr>
        <w:t xml:space="preserve"> </w:t>
      </w:r>
      <w:r w:rsidRPr="0047462D">
        <w:rPr>
          <w:szCs w:val="22"/>
        </w:rPr>
        <w:t xml:space="preserve">μετά από </w:t>
      </w:r>
      <w:r w:rsidR="000B1E07" w:rsidRPr="0047462D">
        <w:rPr>
          <w:szCs w:val="22"/>
        </w:rPr>
        <w:t xml:space="preserve">πολλαπλές δόσεις </w:t>
      </w:r>
      <w:r w:rsidRPr="0047462D">
        <w:rPr>
          <w:szCs w:val="22"/>
        </w:rPr>
        <w:t xml:space="preserve">επί 10 ημέρες είτε με </w:t>
      </w:r>
      <w:r w:rsidR="000B1E07" w:rsidRPr="0047462D">
        <w:rPr>
          <w:szCs w:val="22"/>
        </w:rPr>
        <w:t xml:space="preserve">tezacaftor </w:t>
      </w:r>
      <w:r w:rsidRPr="0047462D">
        <w:rPr>
          <w:szCs w:val="22"/>
        </w:rPr>
        <w:t xml:space="preserve">και </w:t>
      </w:r>
      <w:r w:rsidRPr="0047462D">
        <w:rPr>
          <w:lang w:val="en-US"/>
        </w:rPr>
        <w:t>ivacaftor</w:t>
      </w:r>
      <w:r w:rsidRPr="00F93ECE">
        <w:t xml:space="preserve"> </w:t>
      </w:r>
      <w:r w:rsidRPr="0047462D">
        <w:rPr>
          <w:szCs w:val="22"/>
        </w:rPr>
        <w:t xml:space="preserve">είτε με </w:t>
      </w:r>
      <w:r w:rsidRPr="0047462D">
        <w:rPr>
          <w:lang w:val="en-US"/>
        </w:rPr>
        <w:t>ivacaftor</w:t>
      </w:r>
      <w:r w:rsidRPr="00F93ECE">
        <w:t xml:space="preserve">, </w:t>
      </w:r>
      <w:r w:rsidRPr="0047462D">
        <w:rPr>
          <w:lang w:val="en-US"/>
        </w:rPr>
        <w:t>tezacaftor</w:t>
      </w:r>
      <w:r w:rsidRPr="00F93ECE">
        <w:t xml:space="preserve"> </w:t>
      </w:r>
      <w:r w:rsidRPr="0047462D">
        <w:t>και</w:t>
      </w:r>
      <w:r w:rsidRPr="00F93ECE">
        <w:t xml:space="preserve"> </w:t>
      </w:r>
      <w:r w:rsidRPr="0047462D">
        <w:rPr>
          <w:lang w:val="en-US"/>
        </w:rPr>
        <w:t>elexacaftor</w:t>
      </w:r>
      <w:r w:rsidR="000B1E07" w:rsidRPr="0047462D">
        <w:rPr>
          <w:szCs w:val="22"/>
        </w:rPr>
        <w:t>.</w:t>
      </w:r>
    </w:p>
    <w:p w14:paraId="71C2972E" w14:textId="77777777" w:rsidR="000B1E07" w:rsidRPr="0047462D" w:rsidRDefault="000B1E07" w:rsidP="00F13505">
      <w:pPr>
        <w:pStyle w:val="labeltext"/>
        <w:rPr>
          <w:sz w:val="22"/>
          <w:szCs w:val="22"/>
          <w:lang w:val="el-GR"/>
        </w:rPr>
      </w:pPr>
    </w:p>
    <w:p w14:paraId="254CF9CA" w14:textId="49AACA9C" w:rsidR="00A67D3A" w:rsidRPr="0047462D" w:rsidRDefault="005A1925" w:rsidP="00F13505">
      <w:pPr>
        <w:pStyle w:val="labeltext"/>
        <w:rPr>
          <w:rFonts w:eastAsia="Times New Roman"/>
          <w:sz w:val="22"/>
          <w:szCs w:val="22"/>
          <w:lang w:val="el-GR"/>
        </w:rPr>
      </w:pPr>
      <w:r w:rsidRPr="0047462D">
        <w:rPr>
          <w:sz w:val="22"/>
          <w:szCs w:val="22"/>
          <w:lang w:val="el-GR"/>
        </w:rPr>
        <w:t xml:space="preserve">Η επίδραση της </w:t>
      </w:r>
      <w:r w:rsidR="00DD4DDC" w:rsidRPr="0047462D">
        <w:rPr>
          <w:sz w:val="22"/>
          <w:szCs w:val="22"/>
          <w:lang w:val="el-GR"/>
        </w:rPr>
        <w:t>σοβαρής</w:t>
      </w:r>
      <w:r w:rsidR="00DD4DDC" w:rsidRPr="0047462D">
        <w:rPr>
          <w:rFonts w:eastAsia="Times New Roman"/>
          <w:sz w:val="22"/>
          <w:szCs w:val="22"/>
          <w:lang w:val="el-GR"/>
        </w:rPr>
        <w:t xml:space="preserve"> </w:t>
      </w:r>
      <w:r w:rsidR="00A67D3A" w:rsidRPr="0047462D">
        <w:rPr>
          <w:rFonts w:eastAsia="Times New Roman"/>
          <w:sz w:val="22"/>
          <w:szCs w:val="22"/>
          <w:lang w:val="el-GR"/>
        </w:rPr>
        <w:t>ηπατική</w:t>
      </w:r>
      <w:r w:rsidRPr="0047462D">
        <w:rPr>
          <w:rFonts w:eastAsia="Times New Roman"/>
          <w:sz w:val="22"/>
          <w:szCs w:val="22"/>
          <w:lang w:val="el-GR"/>
        </w:rPr>
        <w:t>ς</w:t>
      </w:r>
      <w:r w:rsidR="00A67D3A" w:rsidRPr="0047462D">
        <w:rPr>
          <w:rFonts w:eastAsia="Times New Roman"/>
          <w:sz w:val="22"/>
          <w:szCs w:val="22"/>
          <w:lang w:val="el-GR"/>
        </w:rPr>
        <w:t xml:space="preserve"> δυσλειτουργία</w:t>
      </w:r>
      <w:r w:rsidRPr="0047462D">
        <w:rPr>
          <w:rFonts w:eastAsia="Times New Roman"/>
          <w:sz w:val="22"/>
          <w:szCs w:val="22"/>
          <w:lang w:val="el-GR"/>
        </w:rPr>
        <w:t>ς</w:t>
      </w:r>
      <w:r w:rsidR="00A67D3A" w:rsidRPr="0047462D">
        <w:rPr>
          <w:rFonts w:eastAsia="Times New Roman"/>
          <w:sz w:val="22"/>
          <w:szCs w:val="22"/>
          <w:lang w:val="el-GR"/>
        </w:rPr>
        <w:t xml:space="preserve"> (Τάξη Γ κατά Child-Pugh, βαθμός</w:t>
      </w:r>
      <w:r w:rsidRPr="0047462D">
        <w:rPr>
          <w:rFonts w:eastAsia="Times New Roman"/>
          <w:sz w:val="22"/>
          <w:szCs w:val="22"/>
          <w:lang w:val="el-GR"/>
        </w:rPr>
        <w:t xml:space="preserve"> </w:t>
      </w:r>
      <w:r w:rsidR="00A67D3A" w:rsidRPr="0047462D">
        <w:rPr>
          <w:rFonts w:eastAsia="Times New Roman"/>
          <w:sz w:val="22"/>
          <w:szCs w:val="22"/>
          <w:lang w:val="el-GR"/>
        </w:rPr>
        <w:t>10 έως</w:t>
      </w:r>
      <w:r w:rsidRPr="0047462D">
        <w:rPr>
          <w:rFonts w:eastAsia="Times New Roman"/>
          <w:sz w:val="22"/>
          <w:szCs w:val="22"/>
          <w:lang w:val="el-GR"/>
        </w:rPr>
        <w:t xml:space="preserve"> </w:t>
      </w:r>
      <w:r w:rsidR="00A67D3A" w:rsidRPr="0047462D">
        <w:rPr>
          <w:rFonts w:eastAsia="Times New Roman"/>
          <w:sz w:val="22"/>
          <w:szCs w:val="22"/>
          <w:lang w:val="el-GR"/>
        </w:rPr>
        <w:t xml:space="preserve">15) </w:t>
      </w:r>
      <w:r w:rsidRPr="0047462D">
        <w:rPr>
          <w:sz w:val="22"/>
          <w:szCs w:val="22"/>
          <w:lang w:val="el-GR"/>
        </w:rPr>
        <w:t xml:space="preserve">στη φαρμακοκινητική του </w:t>
      </w:r>
      <w:r w:rsidRPr="0047462D">
        <w:rPr>
          <w:sz w:val="22"/>
          <w:szCs w:val="22"/>
        </w:rPr>
        <w:t>ivacaftor</w:t>
      </w:r>
      <w:r w:rsidRPr="0047462D">
        <w:rPr>
          <w:sz w:val="22"/>
          <w:szCs w:val="22"/>
          <w:lang w:val="el-GR"/>
        </w:rPr>
        <w:t xml:space="preserve"> ως μονοθεραπεία ή σε συνδυασ</w:t>
      </w:r>
      <w:r w:rsidR="00E77ED8" w:rsidRPr="0047462D">
        <w:rPr>
          <w:sz w:val="22"/>
          <w:szCs w:val="22"/>
          <w:lang w:val="el-GR"/>
        </w:rPr>
        <w:t xml:space="preserve">τικό σχήμα </w:t>
      </w:r>
      <w:r w:rsidRPr="0047462D">
        <w:rPr>
          <w:sz w:val="22"/>
          <w:szCs w:val="22"/>
          <w:lang w:val="el-GR"/>
        </w:rPr>
        <w:t xml:space="preserve">με </w:t>
      </w:r>
      <w:r w:rsidRPr="0047462D">
        <w:rPr>
          <w:sz w:val="22"/>
          <w:szCs w:val="22"/>
        </w:rPr>
        <w:t>tezacaftor</w:t>
      </w:r>
      <w:r w:rsidRPr="0047462D">
        <w:rPr>
          <w:sz w:val="22"/>
          <w:szCs w:val="22"/>
          <w:lang w:val="el-GR"/>
        </w:rPr>
        <w:t>/</w:t>
      </w:r>
      <w:r w:rsidRPr="0047462D">
        <w:rPr>
          <w:sz w:val="22"/>
          <w:szCs w:val="22"/>
        </w:rPr>
        <w:t>ivacaftor</w:t>
      </w:r>
      <w:r w:rsidRPr="0047462D">
        <w:rPr>
          <w:sz w:val="22"/>
          <w:szCs w:val="22"/>
          <w:lang w:val="el-GR"/>
        </w:rPr>
        <w:t xml:space="preserve"> </w:t>
      </w:r>
      <w:r w:rsidR="00E77ED8" w:rsidRPr="0047462D">
        <w:rPr>
          <w:sz w:val="22"/>
          <w:szCs w:val="22"/>
          <w:lang w:val="el-GR"/>
        </w:rPr>
        <w:t xml:space="preserve">ή ivacaftor/tezacaftor/elexacaftor </w:t>
      </w:r>
      <w:r w:rsidRPr="0047462D">
        <w:rPr>
          <w:sz w:val="22"/>
          <w:szCs w:val="22"/>
          <w:lang w:val="el-GR"/>
        </w:rPr>
        <w:t>δεν έχει μελετηθ</w:t>
      </w:r>
      <w:r w:rsidR="00A80FD7" w:rsidRPr="0047462D">
        <w:rPr>
          <w:sz w:val="22"/>
          <w:szCs w:val="22"/>
          <w:lang w:val="el-GR"/>
        </w:rPr>
        <w:t>ε</w:t>
      </w:r>
      <w:r w:rsidRPr="0047462D">
        <w:rPr>
          <w:sz w:val="22"/>
          <w:szCs w:val="22"/>
          <w:lang w:val="el-GR"/>
        </w:rPr>
        <w:t>ί</w:t>
      </w:r>
      <w:r w:rsidRPr="0047462D">
        <w:rPr>
          <w:rFonts w:eastAsia="Times New Roman"/>
          <w:sz w:val="22"/>
          <w:szCs w:val="22"/>
          <w:lang w:val="el-GR"/>
        </w:rPr>
        <w:t xml:space="preserve">. Το μέγεθος της αύξησης </w:t>
      </w:r>
      <w:r w:rsidRPr="0047462D">
        <w:rPr>
          <w:sz w:val="22"/>
          <w:szCs w:val="22"/>
          <w:lang w:val="el-GR"/>
        </w:rPr>
        <w:t xml:space="preserve">στην </w:t>
      </w:r>
      <w:r w:rsidR="00A67D3A" w:rsidRPr="0047462D">
        <w:rPr>
          <w:rFonts w:eastAsia="Times New Roman"/>
          <w:sz w:val="22"/>
          <w:szCs w:val="22"/>
          <w:lang w:val="el-GR"/>
        </w:rPr>
        <w:t xml:space="preserve">έκθεση </w:t>
      </w:r>
      <w:r w:rsidRPr="0047462D">
        <w:rPr>
          <w:rFonts w:eastAsia="Times New Roman"/>
          <w:sz w:val="22"/>
          <w:szCs w:val="22"/>
          <w:lang w:val="el-GR"/>
        </w:rPr>
        <w:t xml:space="preserve">σε αυτούς τους ασθενείς είναι άγνωστο, </w:t>
      </w:r>
      <w:r w:rsidRPr="0047462D">
        <w:rPr>
          <w:sz w:val="22"/>
          <w:szCs w:val="22"/>
          <w:lang w:val="el-GR"/>
        </w:rPr>
        <w:t xml:space="preserve">αλλά </w:t>
      </w:r>
      <w:r w:rsidR="00A67D3A" w:rsidRPr="0047462D">
        <w:rPr>
          <w:rFonts w:eastAsia="Times New Roman"/>
          <w:sz w:val="22"/>
          <w:szCs w:val="22"/>
          <w:lang w:val="el-GR"/>
        </w:rPr>
        <w:t>αναμένεται να είναι μεγαλύτερ</w:t>
      </w:r>
      <w:r w:rsidRPr="0047462D">
        <w:rPr>
          <w:rFonts w:eastAsia="Times New Roman"/>
          <w:sz w:val="22"/>
          <w:szCs w:val="22"/>
          <w:lang w:val="el-GR"/>
        </w:rPr>
        <w:t xml:space="preserve">ο από αυτό που παρατηρήθηκε </w:t>
      </w:r>
      <w:r w:rsidR="00A67D3A" w:rsidRPr="0047462D">
        <w:rPr>
          <w:rFonts w:eastAsia="Times New Roman"/>
          <w:sz w:val="22"/>
          <w:szCs w:val="22"/>
          <w:lang w:val="el-GR"/>
        </w:rPr>
        <w:t>σε ασθενείς με μέτρια ηπατική δυσλειτουργία.</w:t>
      </w:r>
    </w:p>
    <w:p w14:paraId="15176F96" w14:textId="77777777" w:rsidR="00862FF6" w:rsidRPr="0047462D" w:rsidRDefault="00862FF6" w:rsidP="00F13505">
      <w:pPr>
        <w:pStyle w:val="labeltext"/>
        <w:rPr>
          <w:rFonts w:eastAsia="Times New Roman"/>
          <w:sz w:val="22"/>
          <w:szCs w:val="22"/>
          <w:lang w:val="el-GR"/>
        </w:rPr>
      </w:pPr>
    </w:p>
    <w:p w14:paraId="517A8645" w14:textId="70BBC8D7" w:rsidR="00E77ED8" w:rsidRPr="00F93ECE" w:rsidRDefault="006309A6" w:rsidP="00E77ED8">
      <w:pPr>
        <w:pStyle w:val="labeltext"/>
        <w:rPr>
          <w:sz w:val="22"/>
          <w:szCs w:val="22"/>
          <w:lang w:val="el-GR"/>
        </w:rPr>
      </w:pPr>
      <w:r w:rsidRPr="0047462D">
        <w:rPr>
          <w:sz w:val="22"/>
          <w:szCs w:val="22"/>
          <w:lang w:val="el-GR"/>
        </w:rPr>
        <w:t xml:space="preserve">Για καθοδήγηση σχετικά </w:t>
      </w:r>
      <w:r w:rsidR="00182004" w:rsidRPr="0047462D">
        <w:rPr>
          <w:sz w:val="22"/>
          <w:szCs w:val="22"/>
          <w:lang w:val="el-GR"/>
        </w:rPr>
        <w:t>με την κατάλληλη χρήση και την τροποποίηση της δόσης</w:t>
      </w:r>
      <w:r w:rsidRPr="0047462D">
        <w:rPr>
          <w:sz w:val="22"/>
          <w:szCs w:val="22"/>
          <w:lang w:val="el-GR"/>
        </w:rPr>
        <w:t>, βλ. Πίνακα </w:t>
      </w:r>
      <w:r w:rsidR="00E77ED8" w:rsidRPr="00F93ECE">
        <w:rPr>
          <w:sz w:val="22"/>
          <w:szCs w:val="22"/>
          <w:lang w:val="el-GR"/>
        </w:rPr>
        <w:t xml:space="preserve">3 </w:t>
      </w:r>
      <w:r w:rsidRPr="0047462D">
        <w:rPr>
          <w:sz w:val="22"/>
          <w:szCs w:val="22"/>
          <w:lang w:val="el-GR"/>
        </w:rPr>
        <w:t>στην παράγραφο </w:t>
      </w:r>
      <w:r w:rsidR="00E77ED8" w:rsidRPr="00F93ECE">
        <w:rPr>
          <w:sz w:val="22"/>
          <w:szCs w:val="22"/>
          <w:lang w:val="el-GR"/>
        </w:rPr>
        <w:t>4.2.</w:t>
      </w:r>
    </w:p>
    <w:p w14:paraId="5CCCBE18" w14:textId="77777777" w:rsidR="00A67D3A" w:rsidRPr="0047462D" w:rsidRDefault="00A67D3A">
      <w:pPr>
        <w:pStyle w:val="labeltext"/>
        <w:rPr>
          <w:sz w:val="22"/>
          <w:szCs w:val="22"/>
          <w:lang w:val="el-GR"/>
        </w:rPr>
      </w:pPr>
    </w:p>
    <w:p w14:paraId="35A57590" w14:textId="3EA20F59" w:rsidR="00A67D3A" w:rsidRPr="0047462D" w:rsidRDefault="00A67D3A" w:rsidP="00141E57">
      <w:pPr>
        <w:pStyle w:val="labeltext"/>
        <w:keepNext/>
        <w:rPr>
          <w:rFonts w:eastAsia="Times New Roman"/>
          <w:i/>
          <w:iCs/>
          <w:sz w:val="22"/>
          <w:szCs w:val="22"/>
          <w:lang w:val="el-GR" w:eastAsia="en-US"/>
        </w:rPr>
      </w:pPr>
      <w:r w:rsidRPr="0047462D">
        <w:rPr>
          <w:rFonts w:eastAsia="Times New Roman"/>
          <w:i/>
          <w:iCs/>
          <w:sz w:val="22"/>
          <w:szCs w:val="22"/>
          <w:lang w:val="el-GR" w:eastAsia="en-US"/>
        </w:rPr>
        <w:t>Νεφρική δυσλειτουργία</w:t>
      </w:r>
    </w:p>
    <w:p w14:paraId="6A33A6D7" w14:textId="77777777" w:rsidR="003C78D1" w:rsidRPr="0047462D" w:rsidRDefault="003C78D1" w:rsidP="00141E57">
      <w:pPr>
        <w:pStyle w:val="labeltext"/>
        <w:keepNext/>
        <w:rPr>
          <w:rFonts w:eastAsia="Times New Roman"/>
          <w:i/>
          <w:iCs/>
          <w:sz w:val="22"/>
          <w:szCs w:val="22"/>
          <w:lang w:val="el-GR"/>
        </w:rPr>
      </w:pPr>
    </w:p>
    <w:p w14:paraId="279BDCCC" w14:textId="4FC8EB35" w:rsidR="00597786" w:rsidRPr="0047462D" w:rsidRDefault="00A67D3A" w:rsidP="002331FF">
      <w:pPr>
        <w:pStyle w:val="labeltext"/>
        <w:rPr>
          <w:rFonts w:eastAsia="Times New Roman"/>
          <w:sz w:val="22"/>
          <w:szCs w:val="22"/>
          <w:lang w:val="el-GR"/>
        </w:rPr>
      </w:pPr>
      <w:r w:rsidRPr="0047462D">
        <w:rPr>
          <w:rFonts w:eastAsia="Times New Roman"/>
          <w:sz w:val="22"/>
          <w:szCs w:val="22"/>
          <w:lang w:val="el-GR"/>
        </w:rPr>
        <w:t>Δεν έχουν πραγματοποιηθεί φαρμακοκινητικές μελέτες με το ivacaftor</w:t>
      </w:r>
      <w:r w:rsidR="00BE3AE4" w:rsidRPr="0047462D">
        <w:rPr>
          <w:rFonts w:eastAsia="Times New Roman"/>
          <w:sz w:val="22"/>
          <w:szCs w:val="22"/>
          <w:lang w:val="el-GR"/>
        </w:rPr>
        <w:t xml:space="preserve">, </w:t>
      </w:r>
      <w:r w:rsidR="00BE3AE4" w:rsidRPr="0047462D">
        <w:rPr>
          <w:sz w:val="22"/>
          <w:szCs w:val="22"/>
          <w:lang w:val="el-GR"/>
        </w:rPr>
        <w:t xml:space="preserve">είτε ως μονοθεραπεία είτε σε συνδυαστικό σχήμα με </w:t>
      </w:r>
      <w:r w:rsidR="00BE3AE4" w:rsidRPr="0047462D">
        <w:rPr>
          <w:sz w:val="22"/>
          <w:szCs w:val="22"/>
          <w:lang w:val="en-GB"/>
        </w:rPr>
        <w:t>tezacaftor</w:t>
      </w:r>
      <w:r w:rsidR="00BE3AE4" w:rsidRPr="0047462D">
        <w:rPr>
          <w:sz w:val="22"/>
          <w:szCs w:val="22"/>
          <w:lang w:val="el-GR"/>
        </w:rPr>
        <w:t>/</w:t>
      </w:r>
      <w:r w:rsidR="00BE3AE4" w:rsidRPr="0047462D">
        <w:rPr>
          <w:sz w:val="22"/>
          <w:szCs w:val="22"/>
          <w:lang w:val="en-GB"/>
        </w:rPr>
        <w:t>ivacaftor</w:t>
      </w:r>
      <w:r w:rsidR="00083867" w:rsidRPr="0047462D">
        <w:rPr>
          <w:sz w:val="22"/>
          <w:szCs w:val="22"/>
          <w:lang w:val="el-GR"/>
        </w:rPr>
        <w:t xml:space="preserve"> ή με </w:t>
      </w:r>
      <w:r w:rsidR="00083867" w:rsidRPr="0047462D">
        <w:rPr>
          <w:sz w:val="22"/>
          <w:szCs w:val="22"/>
          <w:lang w:val="en-GB"/>
        </w:rPr>
        <w:t>ivacaftor</w:t>
      </w:r>
      <w:r w:rsidR="00083867" w:rsidRPr="00F93ECE">
        <w:rPr>
          <w:sz w:val="22"/>
          <w:szCs w:val="22"/>
          <w:lang w:val="el-GR"/>
        </w:rPr>
        <w:t>/</w:t>
      </w:r>
      <w:r w:rsidR="00083867" w:rsidRPr="0047462D">
        <w:rPr>
          <w:sz w:val="22"/>
          <w:szCs w:val="22"/>
          <w:lang w:val="en-GB"/>
        </w:rPr>
        <w:t>tezacaftor</w:t>
      </w:r>
      <w:r w:rsidR="00083867" w:rsidRPr="00F93ECE">
        <w:rPr>
          <w:sz w:val="22"/>
          <w:szCs w:val="22"/>
          <w:lang w:val="el-GR"/>
        </w:rPr>
        <w:t>/</w:t>
      </w:r>
      <w:r w:rsidR="00083867" w:rsidRPr="0047462D">
        <w:rPr>
          <w:sz w:val="22"/>
          <w:szCs w:val="22"/>
          <w:lang w:val="en-GB"/>
        </w:rPr>
        <w:t>elexacaftor</w:t>
      </w:r>
      <w:r w:rsidR="00BE3AE4" w:rsidRPr="0047462D">
        <w:rPr>
          <w:sz w:val="22"/>
          <w:szCs w:val="22"/>
          <w:lang w:val="el-GR"/>
        </w:rPr>
        <w:t>,</w:t>
      </w:r>
      <w:r w:rsidRPr="0047462D">
        <w:rPr>
          <w:rFonts w:eastAsia="Times New Roman"/>
          <w:sz w:val="22"/>
          <w:szCs w:val="22"/>
          <w:lang w:val="el-GR"/>
        </w:rPr>
        <w:t xml:space="preserve"> σε ασθενείς με νεφρική δυσλειτουργία. Σε μια φαρμακοκινητική μελέτη στον άνθρωπο</w:t>
      </w:r>
      <w:r w:rsidR="00B918A7" w:rsidRPr="0047462D">
        <w:rPr>
          <w:rFonts w:eastAsia="Times New Roman"/>
          <w:sz w:val="22"/>
          <w:szCs w:val="22"/>
          <w:lang w:val="el-GR"/>
        </w:rPr>
        <w:t xml:space="preserve"> με το ivacaftor</w:t>
      </w:r>
      <w:r w:rsidR="00B918A7" w:rsidRPr="0047462D">
        <w:rPr>
          <w:sz w:val="22"/>
          <w:szCs w:val="22"/>
          <w:lang w:val="el-GR"/>
        </w:rPr>
        <w:t xml:space="preserve"> ως μονοθεραπεία</w:t>
      </w:r>
      <w:r w:rsidRPr="0047462D">
        <w:rPr>
          <w:rFonts w:eastAsia="Times New Roman"/>
          <w:sz w:val="22"/>
          <w:szCs w:val="22"/>
          <w:lang w:val="el-GR"/>
        </w:rPr>
        <w:t xml:space="preserve">, υπήρχε ελάχιστη αποβολή του ivacaftor και των μεταβολιτών του στα ούρα (μόνο το 6,6% της ολικής ραδιενέργειας ανακτήθηκε στα ούρα). Υπήρχε αμελητέα απέκκριση </w:t>
      </w:r>
      <w:r w:rsidR="00D8422D" w:rsidRPr="0047462D">
        <w:rPr>
          <w:rFonts w:eastAsia="Times New Roman"/>
          <w:sz w:val="22"/>
          <w:szCs w:val="22"/>
          <w:lang w:val="el-GR"/>
        </w:rPr>
        <w:t xml:space="preserve">του ivacaftor </w:t>
      </w:r>
      <w:r w:rsidRPr="0047462D">
        <w:rPr>
          <w:rFonts w:eastAsia="Times New Roman"/>
          <w:sz w:val="22"/>
          <w:szCs w:val="22"/>
          <w:lang w:val="el-GR"/>
        </w:rPr>
        <w:t xml:space="preserve">στα ούρα ως αμετάβλητη μητρική ουσία (κάτω από το 0,01% μετά από εφάπαξ από στόματος δόση των 500 mg). </w:t>
      </w:r>
    </w:p>
    <w:p w14:paraId="21723C87" w14:textId="77777777" w:rsidR="00597786" w:rsidRPr="0047462D" w:rsidRDefault="00597786" w:rsidP="002331FF">
      <w:pPr>
        <w:pStyle w:val="labeltext"/>
        <w:rPr>
          <w:rFonts w:eastAsia="Times New Roman"/>
          <w:sz w:val="22"/>
          <w:szCs w:val="22"/>
          <w:lang w:val="el-GR"/>
        </w:rPr>
      </w:pPr>
    </w:p>
    <w:p w14:paraId="3688C649" w14:textId="38704B78" w:rsidR="00A67D3A" w:rsidRPr="0047462D" w:rsidRDefault="00597786" w:rsidP="002331FF">
      <w:pPr>
        <w:pStyle w:val="labeltext"/>
        <w:rPr>
          <w:sz w:val="22"/>
          <w:szCs w:val="22"/>
          <w:lang w:val="el-GR"/>
        </w:rPr>
      </w:pPr>
      <w:r w:rsidRPr="0047462D">
        <w:rPr>
          <w:rFonts w:eastAsia="Times New Roman"/>
          <w:sz w:val="22"/>
          <w:szCs w:val="22"/>
          <w:lang w:val="el-GR"/>
        </w:rPr>
        <w:t>Δ</w:t>
      </w:r>
      <w:r w:rsidR="00A67D3A" w:rsidRPr="0047462D">
        <w:rPr>
          <w:rFonts w:eastAsia="Times New Roman"/>
          <w:sz w:val="22"/>
          <w:szCs w:val="22"/>
          <w:lang w:val="el-GR"/>
        </w:rPr>
        <w:t xml:space="preserve">εν συνιστάται ρύθμιση της δόσης για ήπια και μέτρια νεφρική δυσλειτουργία. </w:t>
      </w:r>
      <w:r w:rsidRPr="0047462D">
        <w:rPr>
          <w:rFonts w:eastAsia="Times New Roman"/>
          <w:sz w:val="22"/>
          <w:szCs w:val="22"/>
          <w:lang w:val="el-GR"/>
        </w:rPr>
        <w:t>Σ</w:t>
      </w:r>
      <w:r w:rsidR="00A67D3A" w:rsidRPr="0047462D">
        <w:rPr>
          <w:rFonts w:eastAsia="Times New Roman"/>
          <w:sz w:val="22"/>
          <w:szCs w:val="22"/>
          <w:lang w:val="el-GR"/>
        </w:rPr>
        <w:t>υνιστάται προσοχή κατά τη χορήγηση του ivacaftor</w:t>
      </w:r>
      <w:r w:rsidRPr="0047462D">
        <w:rPr>
          <w:rFonts w:eastAsia="Times New Roman"/>
          <w:sz w:val="22"/>
          <w:szCs w:val="22"/>
          <w:lang w:val="el-GR"/>
        </w:rPr>
        <w:t>,</w:t>
      </w:r>
      <w:r w:rsidRPr="0047462D">
        <w:rPr>
          <w:sz w:val="22"/>
          <w:szCs w:val="22"/>
          <w:lang w:val="el-GR"/>
        </w:rPr>
        <w:t xml:space="preserve"> είτε ως μονοθεραπεία είτε σε συνδυαστικό σχήμα με </w:t>
      </w:r>
      <w:r w:rsidRPr="0047462D">
        <w:rPr>
          <w:sz w:val="22"/>
          <w:szCs w:val="22"/>
          <w:lang w:val="en-GB"/>
        </w:rPr>
        <w:t>tezacaftor</w:t>
      </w:r>
      <w:r w:rsidRPr="0047462D">
        <w:rPr>
          <w:sz w:val="22"/>
          <w:szCs w:val="22"/>
          <w:lang w:val="el-GR"/>
        </w:rPr>
        <w:t>/</w:t>
      </w:r>
      <w:r w:rsidRPr="0047462D">
        <w:rPr>
          <w:sz w:val="22"/>
          <w:szCs w:val="22"/>
          <w:lang w:val="en-GB"/>
        </w:rPr>
        <w:t>ivacaftor</w:t>
      </w:r>
      <w:r w:rsidR="00083867" w:rsidRPr="0047462D">
        <w:rPr>
          <w:sz w:val="22"/>
          <w:szCs w:val="22"/>
          <w:lang w:val="el-GR"/>
        </w:rPr>
        <w:t xml:space="preserve"> ή με </w:t>
      </w:r>
      <w:r w:rsidR="00083867" w:rsidRPr="0047462D">
        <w:rPr>
          <w:sz w:val="22"/>
          <w:szCs w:val="22"/>
          <w:lang w:val="en-GB"/>
        </w:rPr>
        <w:t>ivacaftor</w:t>
      </w:r>
      <w:r w:rsidR="00083867" w:rsidRPr="00F93ECE">
        <w:rPr>
          <w:sz w:val="22"/>
          <w:szCs w:val="22"/>
          <w:lang w:val="el-GR"/>
        </w:rPr>
        <w:t>/</w:t>
      </w:r>
      <w:r w:rsidR="00083867" w:rsidRPr="0047462D">
        <w:rPr>
          <w:sz w:val="22"/>
          <w:szCs w:val="22"/>
          <w:lang w:val="en-GB"/>
        </w:rPr>
        <w:t>tezacaftor</w:t>
      </w:r>
      <w:r w:rsidR="00083867" w:rsidRPr="00F93ECE">
        <w:rPr>
          <w:sz w:val="22"/>
          <w:szCs w:val="22"/>
          <w:lang w:val="el-GR"/>
        </w:rPr>
        <w:t>/</w:t>
      </w:r>
      <w:r w:rsidR="00083867" w:rsidRPr="0047462D">
        <w:rPr>
          <w:sz w:val="22"/>
          <w:szCs w:val="22"/>
          <w:lang w:val="en-GB"/>
        </w:rPr>
        <w:t>elexacaftor</w:t>
      </w:r>
      <w:r w:rsidRPr="0047462D">
        <w:rPr>
          <w:sz w:val="22"/>
          <w:szCs w:val="22"/>
          <w:lang w:val="el-GR"/>
        </w:rPr>
        <w:t xml:space="preserve">, </w:t>
      </w:r>
      <w:r w:rsidR="00A67D3A" w:rsidRPr="0047462D">
        <w:rPr>
          <w:rFonts w:eastAsia="Times New Roman"/>
          <w:sz w:val="22"/>
          <w:szCs w:val="22"/>
          <w:lang w:val="el-GR"/>
        </w:rPr>
        <w:t xml:space="preserve">σε ασθενείς με </w:t>
      </w:r>
      <w:r w:rsidR="00AA7C2D" w:rsidRPr="0047462D">
        <w:rPr>
          <w:rFonts w:eastAsia="Times New Roman"/>
          <w:sz w:val="22"/>
          <w:szCs w:val="22"/>
          <w:lang w:val="el-GR"/>
        </w:rPr>
        <w:t xml:space="preserve">σοβαρή </w:t>
      </w:r>
      <w:r w:rsidR="00A67D3A" w:rsidRPr="0047462D">
        <w:rPr>
          <w:rFonts w:eastAsia="Times New Roman"/>
          <w:sz w:val="22"/>
          <w:szCs w:val="22"/>
          <w:lang w:val="el-GR"/>
        </w:rPr>
        <w:t>νεφρική δυσλειτουργία (κάθαρση κρεατινίνης μικρότερη ή ίση των 30 ml/min) ή νεφρική νόσο τελικού σταδίου (βλ. παραγράφους</w:t>
      </w:r>
      <w:r w:rsidR="00A67D3A" w:rsidRPr="0047462D">
        <w:rPr>
          <w:rFonts w:eastAsia="Times New Roman"/>
          <w:sz w:val="22"/>
          <w:szCs w:val="22"/>
          <w:lang w:val="en-GB"/>
        </w:rPr>
        <w:t> </w:t>
      </w:r>
      <w:r w:rsidR="00A67D3A" w:rsidRPr="0047462D">
        <w:rPr>
          <w:rFonts w:eastAsia="Times New Roman"/>
          <w:sz w:val="22"/>
          <w:szCs w:val="22"/>
          <w:lang w:val="el-GR"/>
        </w:rPr>
        <w:t>4.2 και</w:t>
      </w:r>
      <w:r w:rsidR="00A67D3A" w:rsidRPr="0047462D">
        <w:rPr>
          <w:rFonts w:eastAsia="Times New Roman"/>
          <w:sz w:val="22"/>
          <w:szCs w:val="22"/>
          <w:lang w:val="en-GB"/>
        </w:rPr>
        <w:t> </w:t>
      </w:r>
      <w:r w:rsidR="00A67D3A" w:rsidRPr="0047462D">
        <w:rPr>
          <w:rFonts w:eastAsia="Times New Roman"/>
          <w:sz w:val="22"/>
          <w:szCs w:val="22"/>
          <w:lang w:val="el-GR"/>
        </w:rPr>
        <w:t xml:space="preserve">4.4). </w:t>
      </w:r>
    </w:p>
    <w:p w14:paraId="382B9DAF" w14:textId="77777777" w:rsidR="00A67D3A" w:rsidRPr="0047462D" w:rsidRDefault="00A67D3A">
      <w:pPr>
        <w:pStyle w:val="labeltext"/>
        <w:rPr>
          <w:sz w:val="22"/>
          <w:szCs w:val="22"/>
          <w:lang w:val="el-GR"/>
        </w:rPr>
      </w:pPr>
    </w:p>
    <w:p w14:paraId="7C4D2121" w14:textId="5A947A51" w:rsidR="007F1A84" w:rsidRPr="0047462D" w:rsidRDefault="007F1A84" w:rsidP="009A2EEC">
      <w:pPr>
        <w:pStyle w:val="labeltext"/>
        <w:keepNext/>
        <w:rPr>
          <w:i/>
          <w:sz w:val="22"/>
          <w:szCs w:val="22"/>
          <w:lang w:val="el-GR"/>
        </w:rPr>
      </w:pPr>
      <w:r w:rsidRPr="0047462D">
        <w:rPr>
          <w:i/>
          <w:sz w:val="22"/>
          <w:szCs w:val="22"/>
          <w:lang w:val="el-GR"/>
        </w:rPr>
        <w:t>Φυλή</w:t>
      </w:r>
    </w:p>
    <w:p w14:paraId="0D256B11" w14:textId="77777777" w:rsidR="003C78D1" w:rsidRPr="0047462D" w:rsidRDefault="003C78D1" w:rsidP="009A2EEC">
      <w:pPr>
        <w:pStyle w:val="labeltext"/>
        <w:keepNext/>
        <w:rPr>
          <w:i/>
          <w:sz w:val="22"/>
          <w:szCs w:val="22"/>
          <w:lang w:val="el-GR"/>
        </w:rPr>
      </w:pPr>
    </w:p>
    <w:p w14:paraId="35FCF808" w14:textId="77777777" w:rsidR="007F1A84" w:rsidRPr="0047462D" w:rsidRDefault="007F1A84" w:rsidP="007F1A84">
      <w:pPr>
        <w:pStyle w:val="labeltext"/>
        <w:rPr>
          <w:iCs/>
          <w:sz w:val="22"/>
          <w:szCs w:val="22"/>
          <w:lang w:val="el-GR"/>
        </w:rPr>
      </w:pPr>
      <w:r w:rsidRPr="0047462D">
        <w:rPr>
          <w:iCs/>
          <w:sz w:val="22"/>
          <w:szCs w:val="22"/>
          <w:lang w:val="el-GR"/>
        </w:rPr>
        <w:t xml:space="preserve">Η φυλή δεν είχε κλινικά σημαντική επίδραση στη φαρμακοκινητική του </w:t>
      </w:r>
      <w:r w:rsidRPr="0047462D">
        <w:rPr>
          <w:iCs/>
          <w:sz w:val="22"/>
          <w:szCs w:val="22"/>
          <w:lang w:val="en-GB"/>
        </w:rPr>
        <w:t>ivacaftor</w:t>
      </w:r>
      <w:r w:rsidRPr="0047462D">
        <w:rPr>
          <w:iCs/>
          <w:sz w:val="22"/>
          <w:szCs w:val="22"/>
          <w:lang w:val="el-GR"/>
        </w:rPr>
        <w:t xml:space="preserve"> σε λευκούς (</w:t>
      </w:r>
      <w:r w:rsidRPr="0047462D">
        <w:rPr>
          <w:iCs/>
          <w:sz w:val="22"/>
          <w:szCs w:val="22"/>
          <w:lang w:val="en-GB"/>
        </w:rPr>
        <w:t>n</w:t>
      </w:r>
      <w:r w:rsidRPr="0047462D">
        <w:rPr>
          <w:iCs/>
          <w:sz w:val="22"/>
          <w:szCs w:val="22"/>
          <w:lang w:val="el-GR"/>
        </w:rPr>
        <w:t>=379) και μη λευκούς ασθενείς (</w:t>
      </w:r>
      <w:r w:rsidRPr="0047462D">
        <w:rPr>
          <w:iCs/>
          <w:sz w:val="22"/>
          <w:szCs w:val="22"/>
          <w:lang w:val="en-GB"/>
        </w:rPr>
        <w:t>n</w:t>
      </w:r>
      <w:r w:rsidRPr="0047462D">
        <w:rPr>
          <w:iCs/>
          <w:sz w:val="22"/>
          <w:szCs w:val="22"/>
          <w:lang w:val="el-GR"/>
        </w:rPr>
        <w:t>=29) με βάση μια ανάλυση φαρμακοκινητικής πληθυσμού.</w:t>
      </w:r>
    </w:p>
    <w:p w14:paraId="44C42D4A" w14:textId="77777777" w:rsidR="007F1A84" w:rsidRPr="0047462D" w:rsidRDefault="007F1A84" w:rsidP="007F1A84">
      <w:pPr>
        <w:pStyle w:val="labeltext"/>
        <w:rPr>
          <w:iCs/>
          <w:sz w:val="22"/>
          <w:szCs w:val="22"/>
          <w:lang w:val="el-GR"/>
        </w:rPr>
      </w:pPr>
    </w:p>
    <w:p w14:paraId="350A3651" w14:textId="6F892564" w:rsidR="007F1A84" w:rsidRPr="0047462D" w:rsidRDefault="007F1A84" w:rsidP="009A2EEC">
      <w:pPr>
        <w:pStyle w:val="labeltext"/>
        <w:keepNext/>
        <w:rPr>
          <w:i/>
          <w:sz w:val="22"/>
          <w:szCs w:val="22"/>
          <w:lang w:val="el-GR"/>
        </w:rPr>
      </w:pPr>
      <w:r w:rsidRPr="0047462D">
        <w:rPr>
          <w:i/>
          <w:sz w:val="22"/>
          <w:szCs w:val="22"/>
          <w:lang w:val="el-GR"/>
        </w:rPr>
        <w:t>Φύλο</w:t>
      </w:r>
    </w:p>
    <w:p w14:paraId="7B6C72B2" w14:textId="77777777" w:rsidR="003C78D1" w:rsidRPr="0047462D" w:rsidRDefault="003C78D1" w:rsidP="009A2EEC">
      <w:pPr>
        <w:pStyle w:val="labeltext"/>
        <w:keepNext/>
        <w:rPr>
          <w:i/>
          <w:sz w:val="22"/>
          <w:szCs w:val="22"/>
          <w:lang w:val="el-GR"/>
        </w:rPr>
      </w:pPr>
    </w:p>
    <w:p w14:paraId="63D2915F" w14:textId="470C0778" w:rsidR="007F1A84" w:rsidRPr="0047462D" w:rsidRDefault="007F1A84" w:rsidP="007F1A84">
      <w:pPr>
        <w:pStyle w:val="labeltext"/>
        <w:rPr>
          <w:iCs/>
          <w:sz w:val="22"/>
          <w:szCs w:val="22"/>
          <w:lang w:val="el-GR"/>
        </w:rPr>
      </w:pPr>
      <w:r w:rsidRPr="0047462D">
        <w:rPr>
          <w:iCs/>
          <w:sz w:val="22"/>
          <w:szCs w:val="22"/>
          <w:lang w:val="el-GR"/>
        </w:rPr>
        <w:t xml:space="preserve">Οι φαρμακοκινητικές παράμετροι του </w:t>
      </w:r>
      <w:r w:rsidRPr="0047462D">
        <w:rPr>
          <w:iCs/>
          <w:sz w:val="22"/>
          <w:szCs w:val="22"/>
          <w:lang w:val="en-GB"/>
        </w:rPr>
        <w:t>ivacaftor</w:t>
      </w:r>
      <w:r w:rsidRPr="0047462D">
        <w:rPr>
          <w:iCs/>
          <w:sz w:val="22"/>
          <w:szCs w:val="22"/>
          <w:lang w:val="el-GR"/>
        </w:rPr>
        <w:t xml:space="preserve">, είτε ως μονοθεραπεία είτε σε συνδυασμό με </w:t>
      </w:r>
      <w:r w:rsidRPr="0047462D">
        <w:rPr>
          <w:iCs/>
          <w:sz w:val="22"/>
          <w:szCs w:val="22"/>
          <w:lang w:val="en-GB"/>
        </w:rPr>
        <w:t>tezacaftor</w:t>
      </w:r>
      <w:r w:rsidR="00083867" w:rsidRPr="0047462D">
        <w:rPr>
          <w:iCs/>
          <w:sz w:val="22"/>
          <w:szCs w:val="22"/>
          <w:lang w:val="el-GR"/>
        </w:rPr>
        <w:t>/</w:t>
      </w:r>
      <w:r w:rsidR="00083867" w:rsidRPr="0047462D">
        <w:rPr>
          <w:iCs/>
          <w:sz w:val="22"/>
          <w:szCs w:val="22"/>
          <w:lang w:val="en-GB"/>
        </w:rPr>
        <w:t>ivacaftor</w:t>
      </w:r>
      <w:r w:rsidR="00083867" w:rsidRPr="00F93ECE">
        <w:rPr>
          <w:iCs/>
          <w:sz w:val="22"/>
          <w:szCs w:val="22"/>
          <w:lang w:val="el-GR"/>
        </w:rPr>
        <w:t xml:space="preserve"> </w:t>
      </w:r>
      <w:r w:rsidR="00083867" w:rsidRPr="0047462D">
        <w:rPr>
          <w:iCs/>
          <w:sz w:val="22"/>
          <w:szCs w:val="22"/>
          <w:lang w:val="el-GR"/>
        </w:rPr>
        <w:t>ή</w:t>
      </w:r>
      <w:r w:rsidR="00083867" w:rsidRPr="00F93ECE">
        <w:rPr>
          <w:iCs/>
          <w:sz w:val="22"/>
          <w:szCs w:val="22"/>
          <w:lang w:val="el-GR"/>
        </w:rPr>
        <w:t xml:space="preserve"> </w:t>
      </w:r>
      <w:r w:rsidR="00083867" w:rsidRPr="0047462D">
        <w:rPr>
          <w:iCs/>
          <w:sz w:val="22"/>
          <w:szCs w:val="22"/>
          <w:lang w:val="en-GB"/>
        </w:rPr>
        <w:t>ivacaftor</w:t>
      </w:r>
      <w:r w:rsidR="00083867" w:rsidRPr="00F93ECE">
        <w:rPr>
          <w:iCs/>
          <w:sz w:val="22"/>
          <w:szCs w:val="22"/>
          <w:lang w:val="el-GR"/>
        </w:rPr>
        <w:t>/</w:t>
      </w:r>
      <w:r w:rsidR="00083867" w:rsidRPr="0047462D">
        <w:rPr>
          <w:iCs/>
          <w:sz w:val="22"/>
          <w:szCs w:val="22"/>
          <w:lang w:val="en-GB"/>
        </w:rPr>
        <w:t>tezacaftor</w:t>
      </w:r>
      <w:r w:rsidR="00083867" w:rsidRPr="00F93ECE">
        <w:rPr>
          <w:iCs/>
          <w:sz w:val="22"/>
          <w:szCs w:val="22"/>
          <w:lang w:val="el-GR"/>
        </w:rPr>
        <w:t>/</w:t>
      </w:r>
      <w:r w:rsidR="00083867" w:rsidRPr="0047462D">
        <w:rPr>
          <w:iCs/>
          <w:sz w:val="22"/>
          <w:szCs w:val="22"/>
          <w:lang w:val="en-GB"/>
        </w:rPr>
        <w:t>elexacaftor</w:t>
      </w:r>
      <w:r w:rsidRPr="0047462D">
        <w:rPr>
          <w:iCs/>
          <w:sz w:val="22"/>
          <w:szCs w:val="22"/>
          <w:lang w:val="el-GR"/>
        </w:rPr>
        <w:t>, είναι παρόμοιες σε άρρενες και θήλεις.</w:t>
      </w:r>
    </w:p>
    <w:p w14:paraId="201FE273" w14:textId="77777777" w:rsidR="007F1A84" w:rsidRPr="0047462D" w:rsidRDefault="007F1A84" w:rsidP="007F1A84">
      <w:pPr>
        <w:pStyle w:val="labeltext"/>
        <w:rPr>
          <w:iCs/>
          <w:sz w:val="22"/>
          <w:szCs w:val="22"/>
          <w:lang w:val="el-GR"/>
        </w:rPr>
      </w:pPr>
    </w:p>
    <w:p w14:paraId="023F0FB3" w14:textId="0A792329" w:rsidR="007F1A84" w:rsidRPr="0047462D" w:rsidRDefault="00CA3450" w:rsidP="009A2EEC">
      <w:pPr>
        <w:pStyle w:val="labeltext"/>
        <w:keepNext/>
        <w:rPr>
          <w:i/>
          <w:sz w:val="22"/>
          <w:szCs w:val="22"/>
          <w:lang w:val="el-GR"/>
        </w:rPr>
      </w:pPr>
      <w:r w:rsidRPr="0047462D">
        <w:rPr>
          <w:i/>
          <w:sz w:val="22"/>
          <w:szCs w:val="22"/>
          <w:lang w:val="el-GR"/>
        </w:rPr>
        <w:t>Ηλικιωμένο</w:t>
      </w:r>
      <w:r w:rsidR="00391909" w:rsidRPr="0047462D">
        <w:rPr>
          <w:i/>
          <w:sz w:val="22"/>
          <w:szCs w:val="22"/>
          <w:lang w:val="el-GR"/>
        </w:rPr>
        <w:t>ι</w:t>
      </w:r>
    </w:p>
    <w:p w14:paraId="64467F2F" w14:textId="77777777" w:rsidR="003C78D1" w:rsidRPr="0047462D" w:rsidRDefault="003C78D1" w:rsidP="009A2EEC">
      <w:pPr>
        <w:pStyle w:val="labeltext"/>
        <w:keepNext/>
        <w:rPr>
          <w:i/>
          <w:sz w:val="22"/>
          <w:szCs w:val="22"/>
          <w:lang w:val="el-GR"/>
        </w:rPr>
      </w:pPr>
    </w:p>
    <w:p w14:paraId="484A092A" w14:textId="3BACC06A" w:rsidR="007F1A84" w:rsidRPr="0047462D" w:rsidRDefault="007C0A66" w:rsidP="007F1A84">
      <w:pPr>
        <w:pStyle w:val="labeltext"/>
        <w:rPr>
          <w:iCs/>
          <w:sz w:val="22"/>
          <w:szCs w:val="22"/>
          <w:lang w:val="el-GR"/>
        </w:rPr>
      </w:pPr>
      <w:r w:rsidRPr="0047462D">
        <w:rPr>
          <w:iCs/>
          <w:sz w:val="22"/>
          <w:szCs w:val="22"/>
          <w:lang w:val="el-GR"/>
        </w:rPr>
        <w:t>Σε κλινικές μελέτες για τ</w:t>
      </w:r>
      <w:r w:rsidR="006C52A5">
        <w:rPr>
          <w:iCs/>
          <w:sz w:val="22"/>
          <w:szCs w:val="22"/>
          <w:lang w:val="el-GR"/>
        </w:rPr>
        <w:t>ο</w:t>
      </w:r>
      <w:r w:rsidRPr="0047462D">
        <w:rPr>
          <w:iCs/>
          <w:sz w:val="22"/>
          <w:szCs w:val="22"/>
          <w:lang w:val="el-GR"/>
        </w:rPr>
        <w:t xml:space="preserve"> </w:t>
      </w:r>
      <w:r w:rsidR="00391909" w:rsidRPr="0047462D">
        <w:rPr>
          <w:iCs/>
          <w:sz w:val="22"/>
          <w:szCs w:val="22"/>
          <w:lang w:val="en-GB"/>
        </w:rPr>
        <w:t>ivacaftor</w:t>
      </w:r>
      <w:r w:rsidR="00391909" w:rsidRPr="0047462D">
        <w:rPr>
          <w:iCs/>
          <w:sz w:val="22"/>
          <w:szCs w:val="22"/>
          <w:lang w:val="el-GR"/>
        </w:rPr>
        <w:t xml:space="preserve"> </w:t>
      </w:r>
      <w:r w:rsidR="006C52A5">
        <w:rPr>
          <w:iCs/>
          <w:sz w:val="22"/>
          <w:szCs w:val="22"/>
          <w:lang w:val="el-GR"/>
        </w:rPr>
        <w:t xml:space="preserve">ως </w:t>
      </w:r>
      <w:r w:rsidR="006C52A5" w:rsidRPr="0047462D">
        <w:rPr>
          <w:iCs/>
          <w:sz w:val="22"/>
          <w:szCs w:val="22"/>
          <w:lang w:val="el-GR"/>
        </w:rPr>
        <w:t xml:space="preserve">μονοθεραπεία </w:t>
      </w:r>
      <w:r w:rsidRPr="0047462D">
        <w:rPr>
          <w:iCs/>
          <w:sz w:val="22"/>
          <w:szCs w:val="22"/>
          <w:lang w:val="el-GR"/>
        </w:rPr>
        <w:t xml:space="preserve">δεν συμπεριλήφθηκαν επαρκείς αριθμοί ασθενών ηλικίας </w:t>
      </w:r>
      <w:r w:rsidR="007F1A84" w:rsidRPr="0047462D">
        <w:rPr>
          <w:iCs/>
          <w:sz w:val="22"/>
          <w:szCs w:val="22"/>
          <w:lang w:val="el-GR"/>
        </w:rPr>
        <w:t>65</w:t>
      </w:r>
      <w:r w:rsidR="007F1A84" w:rsidRPr="0047462D">
        <w:rPr>
          <w:iCs/>
          <w:sz w:val="22"/>
          <w:szCs w:val="22"/>
          <w:lang w:val="en-GB"/>
        </w:rPr>
        <w:t> </w:t>
      </w:r>
      <w:r w:rsidRPr="0047462D">
        <w:rPr>
          <w:iCs/>
          <w:sz w:val="22"/>
          <w:szCs w:val="22"/>
          <w:lang w:val="el-GR"/>
        </w:rPr>
        <w:t xml:space="preserve">ετών και άνω ώστε να προσδιοριστεί αν </w:t>
      </w:r>
      <w:r w:rsidR="006C0EAC" w:rsidRPr="0047462D">
        <w:rPr>
          <w:iCs/>
          <w:sz w:val="22"/>
          <w:szCs w:val="22"/>
          <w:lang w:val="el-GR"/>
        </w:rPr>
        <w:t>οι φαρμακοκινητικές παράμετροι είναι ή δεν είναι παρόμοιες με εκείνες νεότερων ενηλίκων</w:t>
      </w:r>
      <w:r w:rsidR="007F1A84" w:rsidRPr="0047462D">
        <w:rPr>
          <w:iCs/>
          <w:sz w:val="22"/>
          <w:szCs w:val="22"/>
          <w:lang w:val="el-GR"/>
        </w:rPr>
        <w:t>.</w:t>
      </w:r>
    </w:p>
    <w:p w14:paraId="5B4E6082" w14:textId="77777777" w:rsidR="006A0651" w:rsidRPr="0047462D" w:rsidRDefault="006A0651" w:rsidP="007F1A84">
      <w:pPr>
        <w:pStyle w:val="labeltext"/>
        <w:rPr>
          <w:iCs/>
          <w:sz w:val="22"/>
          <w:szCs w:val="22"/>
          <w:lang w:val="el-GR"/>
        </w:rPr>
      </w:pPr>
    </w:p>
    <w:p w14:paraId="10457FBE" w14:textId="1A09A205" w:rsidR="00083867" w:rsidRPr="0047462D" w:rsidRDefault="007C0A66" w:rsidP="002877EB">
      <w:pPr>
        <w:pStyle w:val="labeltext"/>
        <w:rPr>
          <w:iCs/>
          <w:szCs w:val="22"/>
          <w:lang w:val="el-GR"/>
        </w:rPr>
      </w:pPr>
      <w:r w:rsidRPr="0047462D">
        <w:rPr>
          <w:iCs/>
          <w:sz w:val="22"/>
          <w:szCs w:val="22"/>
          <w:lang w:val="el-GR"/>
        </w:rPr>
        <w:t xml:space="preserve">Οι φαρμακοκινητικές παράμετροι του </w:t>
      </w:r>
      <w:r w:rsidR="007F1A84" w:rsidRPr="0047462D">
        <w:rPr>
          <w:iCs/>
          <w:sz w:val="22"/>
          <w:szCs w:val="22"/>
          <w:lang w:val="en-GB"/>
        </w:rPr>
        <w:t>ivacaftor</w:t>
      </w:r>
      <w:r w:rsidR="007F1A84" w:rsidRPr="0047462D">
        <w:rPr>
          <w:iCs/>
          <w:sz w:val="22"/>
          <w:szCs w:val="22"/>
          <w:lang w:val="el-GR"/>
        </w:rPr>
        <w:t xml:space="preserve"> </w:t>
      </w:r>
      <w:r w:rsidRPr="0047462D">
        <w:rPr>
          <w:iCs/>
          <w:sz w:val="22"/>
          <w:szCs w:val="22"/>
          <w:lang w:val="el-GR"/>
        </w:rPr>
        <w:t xml:space="preserve">σε συνδυασμό με το </w:t>
      </w:r>
      <w:r w:rsidR="007F1A84" w:rsidRPr="0047462D">
        <w:rPr>
          <w:iCs/>
          <w:sz w:val="22"/>
          <w:szCs w:val="22"/>
          <w:lang w:val="en-GB"/>
        </w:rPr>
        <w:t>tezacaftor</w:t>
      </w:r>
      <w:r w:rsidR="007F1A84" w:rsidRPr="0047462D">
        <w:rPr>
          <w:iCs/>
          <w:sz w:val="22"/>
          <w:szCs w:val="22"/>
          <w:lang w:val="el-GR"/>
        </w:rPr>
        <w:t xml:space="preserve"> </w:t>
      </w:r>
      <w:r w:rsidRPr="0047462D">
        <w:rPr>
          <w:iCs/>
          <w:sz w:val="22"/>
          <w:szCs w:val="22"/>
          <w:lang w:val="el-GR"/>
        </w:rPr>
        <w:t xml:space="preserve">στους ηλικιωμένους ασθενείς </w:t>
      </w:r>
      <w:r w:rsidR="007F1A84" w:rsidRPr="0047462D">
        <w:rPr>
          <w:iCs/>
          <w:sz w:val="22"/>
          <w:szCs w:val="22"/>
          <w:lang w:val="el-GR"/>
        </w:rPr>
        <w:t>(65</w:t>
      </w:r>
      <w:r w:rsidR="007F1A84" w:rsidRPr="0047462D">
        <w:rPr>
          <w:iCs/>
          <w:sz w:val="22"/>
          <w:szCs w:val="22"/>
          <w:lang w:val="el-GR"/>
        </w:rPr>
        <w:noBreakHyphen/>
        <w:t>72</w:t>
      </w:r>
      <w:r w:rsidR="007F1A84" w:rsidRPr="0047462D">
        <w:rPr>
          <w:iCs/>
          <w:sz w:val="22"/>
          <w:szCs w:val="22"/>
          <w:lang w:val="en-GB"/>
        </w:rPr>
        <w:t> </w:t>
      </w:r>
      <w:r w:rsidRPr="0047462D">
        <w:rPr>
          <w:iCs/>
          <w:sz w:val="22"/>
          <w:szCs w:val="22"/>
          <w:lang w:val="el-GR"/>
        </w:rPr>
        <w:t>ετών</w:t>
      </w:r>
      <w:r w:rsidR="007F1A84" w:rsidRPr="0047462D">
        <w:rPr>
          <w:iCs/>
          <w:sz w:val="22"/>
          <w:szCs w:val="22"/>
          <w:lang w:val="el-GR"/>
        </w:rPr>
        <w:t xml:space="preserve">) </w:t>
      </w:r>
      <w:r w:rsidRPr="0047462D">
        <w:rPr>
          <w:iCs/>
          <w:sz w:val="22"/>
          <w:szCs w:val="22"/>
          <w:lang w:val="el-GR"/>
        </w:rPr>
        <w:t>είναι συγκρίσιμες με εκείνες νεότερων ενηλίκων</w:t>
      </w:r>
      <w:r w:rsidR="007F1A84" w:rsidRPr="0047462D">
        <w:rPr>
          <w:iCs/>
          <w:sz w:val="22"/>
          <w:szCs w:val="22"/>
          <w:lang w:val="el-GR"/>
        </w:rPr>
        <w:t xml:space="preserve">. </w:t>
      </w:r>
      <w:r w:rsidR="00B27507" w:rsidRPr="0047462D">
        <w:rPr>
          <w:iCs/>
          <w:sz w:val="22"/>
          <w:szCs w:val="22"/>
          <w:lang w:val="el-GR"/>
        </w:rPr>
        <w:t>Κανένας ασθεν</w:t>
      </w:r>
      <w:r w:rsidR="00075A55" w:rsidRPr="0047462D">
        <w:rPr>
          <w:iCs/>
          <w:sz w:val="22"/>
          <w:szCs w:val="22"/>
          <w:lang w:val="el-GR"/>
        </w:rPr>
        <w:t>ής</w:t>
      </w:r>
      <w:r w:rsidR="00B27507" w:rsidRPr="0047462D">
        <w:rPr>
          <w:iCs/>
          <w:sz w:val="22"/>
          <w:szCs w:val="22"/>
          <w:lang w:val="el-GR"/>
        </w:rPr>
        <w:t xml:space="preserve"> ηλικίας 65 ετών και άνω δεν συμπεριλήφθηκε στις κλινικές </w:t>
      </w:r>
      <w:r w:rsidR="00083867" w:rsidRPr="0047462D">
        <w:rPr>
          <w:iCs/>
          <w:sz w:val="22"/>
          <w:szCs w:val="22"/>
          <w:lang w:val="el-GR"/>
        </w:rPr>
        <w:t xml:space="preserve">μελέτες για το ivacaftor/tezacaftor/elexacaftor </w:t>
      </w:r>
      <w:r w:rsidR="00B27507" w:rsidRPr="0047462D">
        <w:rPr>
          <w:iCs/>
          <w:sz w:val="22"/>
          <w:szCs w:val="22"/>
          <w:lang w:val="el-GR"/>
        </w:rPr>
        <w:t xml:space="preserve">και συνεπώς δεν μπορεί </w:t>
      </w:r>
      <w:r w:rsidR="00083867" w:rsidRPr="0047462D">
        <w:rPr>
          <w:iCs/>
          <w:sz w:val="22"/>
          <w:szCs w:val="22"/>
          <w:lang w:val="el-GR"/>
        </w:rPr>
        <w:t>να προσδιοριστεί αν οι φαρμακοκινητικές παράμετροι είναι ή δεν είναι παρόμοιες με εκείνες νεότερων ενηλίκων.</w:t>
      </w:r>
    </w:p>
    <w:p w14:paraId="479F4DCC" w14:textId="77777777" w:rsidR="00083867" w:rsidRPr="0047462D" w:rsidRDefault="00083867">
      <w:pPr>
        <w:pStyle w:val="labeltext"/>
        <w:rPr>
          <w:sz w:val="22"/>
          <w:szCs w:val="22"/>
          <w:lang w:val="el-GR"/>
        </w:rPr>
      </w:pPr>
    </w:p>
    <w:p w14:paraId="187CB892" w14:textId="77777777" w:rsidR="00A67D3A" w:rsidRPr="0047462D" w:rsidRDefault="00A67D3A">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Παιδιατρικός πληθυσμός</w:t>
      </w:r>
    </w:p>
    <w:p w14:paraId="03C17B34" w14:textId="77777777" w:rsidR="007B2D92" w:rsidRPr="0047462D" w:rsidRDefault="007B2D92">
      <w:pPr>
        <w:pStyle w:val="labeltextheading"/>
        <w:rPr>
          <w:i w:val="0"/>
          <w:sz w:val="22"/>
          <w:u w:val="single"/>
          <w:lang w:val="el-GR"/>
        </w:rPr>
      </w:pPr>
    </w:p>
    <w:p w14:paraId="30A03C47" w14:textId="6D5E64AB" w:rsidR="00A67D3A" w:rsidRPr="0047462D" w:rsidRDefault="00A67D3A" w:rsidP="007307BE">
      <w:pPr>
        <w:pStyle w:val="labeltextheading"/>
        <w:keepNext w:val="0"/>
        <w:rPr>
          <w:rFonts w:eastAsia="Times New Roman"/>
          <w:i w:val="0"/>
          <w:iCs w:val="0"/>
          <w:sz w:val="22"/>
          <w:szCs w:val="22"/>
          <w:lang w:val="el-GR" w:eastAsia="zh-CN"/>
        </w:rPr>
      </w:pPr>
      <w:r w:rsidRPr="0047462D">
        <w:rPr>
          <w:rFonts w:eastAsia="Times New Roman"/>
          <w:i w:val="0"/>
          <w:iCs w:val="0"/>
          <w:sz w:val="22"/>
          <w:szCs w:val="22"/>
          <w:lang w:val="el-GR" w:eastAsia="zh-CN"/>
        </w:rPr>
        <w:t>Η προβλεπόμενη έκθεση στο ivacaftor</w:t>
      </w:r>
      <w:r w:rsidR="004C28F9" w:rsidRPr="0047462D">
        <w:rPr>
          <w:rFonts w:eastAsia="Times New Roman"/>
          <w:i w:val="0"/>
          <w:iCs w:val="0"/>
          <w:sz w:val="22"/>
          <w:szCs w:val="22"/>
          <w:lang w:val="el-GR" w:eastAsia="zh-CN"/>
        </w:rPr>
        <w:t xml:space="preserve"> </w:t>
      </w:r>
      <w:r w:rsidRPr="0047462D">
        <w:rPr>
          <w:rFonts w:eastAsia="Times New Roman"/>
          <w:i w:val="0"/>
          <w:iCs w:val="0"/>
          <w:sz w:val="22"/>
          <w:szCs w:val="22"/>
          <w:lang w:val="el-GR" w:eastAsia="zh-CN"/>
        </w:rPr>
        <w:t xml:space="preserve">με βάση τις παρατηρηθείσες συγκεντρώσεις του ivacaftor σε </w:t>
      </w:r>
      <w:r w:rsidR="00973BAC">
        <w:rPr>
          <w:rFonts w:eastAsia="Times New Roman"/>
          <w:i w:val="0"/>
          <w:iCs w:val="0"/>
          <w:sz w:val="22"/>
          <w:szCs w:val="22"/>
          <w:lang w:val="el-GR" w:eastAsia="zh-CN"/>
        </w:rPr>
        <w:t>φ</w:t>
      </w:r>
      <w:r w:rsidRPr="0047462D">
        <w:rPr>
          <w:rFonts w:eastAsia="Times New Roman"/>
          <w:i w:val="0"/>
          <w:iCs w:val="0"/>
          <w:sz w:val="22"/>
          <w:szCs w:val="22"/>
          <w:lang w:val="el-GR" w:eastAsia="zh-CN"/>
        </w:rPr>
        <w:t>άσης</w:t>
      </w:r>
      <w:r w:rsidR="002C32E8" w:rsidRPr="0047462D">
        <w:rPr>
          <w:rFonts w:eastAsia="Times New Roman"/>
          <w:i w:val="0"/>
          <w:iCs w:val="0"/>
          <w:sz w:val="22"/>
          <w:szCs w:val="22"/>
          <w:lang w:val="en-GB" w:eastAsia="zh-CN"/>
        </w:rPr>
        <w:t> </w:t>
      </w:r>
      <w:r w:rsidRPr="0047462D">
        <w:rPr>
          <w:rFonts w:eastAsia="Times New Roman"/>
          <w:i w:val="0"/>
          <w:iCs w:val="0"/>
          <w:sz w:val="22"/>
          <w:szCs w:val="22"/>
          <w:lang w:val="el-GR" w:eastAsia="zh-CN"/>
        </w:rPr>
        <w:t>2 και 3 μελέτες</w:t>
      </w:r>
      <w:r w:rsidR="00563C4A" w:rsidRPr="0047462D">
        <w:rPr>
          <w:rFonts w:eastAsia="Times New Roman"/>
          <w:i w:val="0"/>
          <w:iCs w:val="0"/>
          <w:sz w:val="22"/>
          <w:szCs w:val="22"/>
          <w:lang w:val="el-GR" w:eastAsia="zh-CN"/>
        </w:rPr>
        <w:t xml:space="preserve">, όπως καθορίστηκε </w:t>
      </w:r>
      <w:r w:rsidR="00563C4A" w:rsidRPr="0047462D">
        <w:rPr>
          <w:i w:val="0"/>
          <w:sz w:val="22"/>
          <w:szCs w:val="22"/>
          <w:lang w:val="el-GR"/>
        </w:rPr>
        <w:t>χρησιμοποιώντας ανάλυση φαρµακοκινητικής πληθυσμού,</w:t>
      </w:r>
      <w:r w:rsidRPr="0047462D">
        <w:rPr>
          <w:rFonts w:eastAsia="Times New Roman"/>
          <w:i w:val="0"/>
          <w:iCs w:val="0"/>
          <w:sz w:val="22"/>
          <w:szCs w:val="22"/>
          <w:lang w:val="el-GR" w:eastAsia="zh-CN"/>
        </w:rPr>
        <w:t xml:space="preserve"> παρουσιάζεται ανά ηλικιακή ομάδα στον Πίνακα</w:t>
      </w:r>
      <w:r w:rsidRPr="0047462D">
        <w:rPr>
          <w:rFonts w:eastAsia="Times New Roman"/>
          <w:i w:val="0"/>
          <w:iCs w:val="0"/>
          <w:sz w:val="22"/>
          <w:szCs w:val="22"/>
          <w:lang w:val="en-GB" w:eastAsia="zh-CN"/>
        </w:rPr>
        <w:t> </w:t>
      </w:r>
      <w:r w:rsidR="00B438AD" w:rsidRPr="0047462D">
        <w:rPr>
          <w:rFonts w:eastAsia="Times New Roman"/>
          <w:i w:val="0"/>
          <w:iCs w:val="0"/>
          <w:sz w:val="22"/>
          <w:szCs w:val="22"/>
          <w:lang w:val="el-GR" w:eastAsia="zh-CN"/>
        </w:rPr>
        <w:t>9</w:t>
      </w:r>
      <w:r w:rsidRPr="0047462D">
        <w:rPr>
          <w:rFonts w:eastAsia="Times New Roman"/>
          <w:i w:val="0"/>
          <w:iCs w:val="0"/>
          <w:sz w:val="22"/>
          <w:szCs w:val="22"/>
          <w:lang w:val="el-GR" w:eastAsia="zh-CN"/>
        </w:rPr>
        <w:t>.</w:t>
      </w:r>
    </w:p>
    <w:p w14:paraId="0E354716" w14:textId="77777777" w:rsidR="00F5198E" w:rsidRPr="0047462D" w:rsidRDefault="00F5198E" w:rsidP="007307BE">
      <w:pPr>
        <w:pStyle w:val="labeltextheading"/>
        <w:keepNext w:val="0"/>
        <w:rPr>
          <w:rFonts w:eastAsia="Times New Roman"/>
          <w:i w:val="0"/>
          <w:iCs w:val="0"/>
          <w:sz w:val="22"/>
          <w:szCs w:val="22"/>
          <w:u w:val="single"/>
          <w:lang w:val="el-GR"/>
        </w:rPr>
      </w:pPr>
    </w:p>
    <w:p w14:paraId="2CF4E1EC" w14:textId="5C78CDEC" w:rsidR="00BE77C8" w:rsidRPr="0047462D" w:rsidRDefault="00BE77C8" w:rsidP="00EB5A36">
      <w:pPr>
        <w:pStyle w:val="labeltext"/>
        <w:keepNext/>
        <w:spacing w:after="120"/>
        <w:rPr>
          <w:b/>
          <w:sz w:val="22"/>
          <w:szCs w:val="22"/>
          <w:lang w:val="el-GR"/>
        </w:rPr>
      </w:pPr>
      <w:r w:rsidRPr="0047462D">
        <w:rPr>
          <w:b/>
          <w:sz w:val="22"/>
          <w:szCs w:val="22"/>
          <w:lang w:val="el-GR"/>
        </w:rPr>
        <w:t>Πίνακας</w:t>
      </w:r>
      <w:r w:rsidRPr="0047462D">
        <w:rPr>
          <w:b/>
          <w:sz w:val="22"/>
          <w:szCs w:val="22"/>
        </w:rPr>
        <w:t> </w:t>
      </w:r>
      <w:r w:rsidR="00B438AD" w:rsidRPr="0047462D">
        <w:rPr>
          <w:b/>
          <w:sz w:val="22"/>
          <w:szCs w:val="22"/>
          <w:lang w:val="el-GR"/>
        </w:rPr>
        <w:t>9</w:t>
      </w:r>
      <w:r w:rsidRPr="0047462D">
        <w:rPr>
          <w:b/>
          <w:sz w:val="22"/>
          <w:szCs w:val="22"/>
          <w:lang w:val="el-GR"/>
        </w:rPr>
        <w:t>. Μέση (</w:t>
      </w:r>
      <w:r w:rsidRPr="0047462D">
        <w:rPr>
          <w:b/>
          <w:sz w:val="22"/>
          <w:szCs w:val="22"/>
        </w:rPr>
        <w:t>SD</w:t>
      </w:r>
      <w:r w:rsidRPr="0047462D">
        <w:rPr>
          <w:b/>
          <w:sz w:val="22"/>
          <w:szCs w:val="22"/>
          <w:lang w:val="el-GR"/>
        </w:rPr>
        <w:t xml:space="preserve">) έκθεση στο </w:t>
      </w:r>
      <w:r w:rsidRPr="0047462D">
        <w:rPr>
          <w:b/>
          <w:sz w:val="22"/>
          <w:szCs w:val="22"/>
        </w:rPr>
        <w:t>ivacaftor</w:t>
      </w:r>
      <w:r w:rsidRPr="0047462D">
        <w:rPr>
          <w:b/>
          <w:sz w:val="22"/>
          <w:szCs w:val="22"/>
          <w:lang w:val="el-GR"/>
        </w:rPr>
        <w:t xml:space="preserve"> ανά ηλικιακή ομάδα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7"/>
        <w:gridCol w:w="2410"/>
        <w:gridCol w:w="1559"/>
        <w:gridCol w:w="1683"/>
      </w:tblGrid>
      <w:tr w:rsidR="007F7380" w:rsidRPr="00604911" w14:paraId="16C17213" w14:textId="77777777" w:rsidTr="00EB5A36">
        <w:trPr>
          <w:cantSplit/>
          <w:trHeight w:val="478"/>
          <w:tblHeader/>
        </w:trPr>
        <w:tc>
          <w:tcPr>
            <w:tcW w:w="3397" w:type="dxa"/>
            <w:tcMar>
              <w:top w:w="0" w:type="dxa"/>
              <w:left w:w="108" w:type="dxa"/>
              <w:bottom w:w="0" w:type="dxa"/>
              <w:right w:w="108" w:type="dxa"/>
            </w:tcMar>
          </w:tcPr>
          <w:p w14:paraId="5B4353D0" w14:textId="77777777" w:rsidR="007F7380" w:rsidRPr="0047462D" w:rsidRDefault="007F7380" w:rsidP="000C3BD8">
            <w:pPr>
              <w:keepNext/>
              <w:jc w:val="center"/>
              <w:rPr>
                <w:b/>
              </w:rPr>
            </w:pPr>
            <w:r w:rsidRPr="0047462D">
              <w:rPr>
                <w:b/>
              </w:rPr>
              <w:t>Ηλικιακή ομάδα</w:t>
            </w:r>
          </w:p>
        </w:tc>
        <w:tc>
          <w:tcPr>
            <w:tcW w:w="2410" w:type="dxa"/>
            <w:tcMar>
              <w:top w:w="0" w:type="dxa"/>
              <w:left w:w="108" w:type="dxa"/>
              <w:bottom w:w="0" w:type="dxa"/>
              <w:right w:w="108" w:type="dxa"/>
            </w:tcMar>
          </w:tcPr>
          <w:p w14:paraId="40F33E4F" w14:textId="77777777" w:rsidR="007F7380" w:rsidRPr="0047462D" w:rsidRDefault="007F7380" w:rsidP="000C3BD8">
            <w:pPr>
              <w:keepNext/>
              <w:jc w:val="center"/>
              <w:rPr>
                <w:b/>
              </w:rPr>
            </w:pPr>
            <w:r w:rsidRPr="0047462D">
              <w:rPr>
                <w:b/>
              </w:rPr>
              <w:t>Δόση</w:t>
            </w:r>
          </w:p>
        </w:tc>
        <w:tc>
          <w:tcPr>
            <w:tcW w:w="1559" w:type="dxa"/>
            <w:tcMar>
              <w:top w:w="0" w:type="dxa"/>
              <w:left w:w="108" w:type="dxa"/>
              <w:bottom w:w="0" w:type="dxa"/>
              <w:right w:w="108" w:type="dxa"/>
            </w:tcMar>
          </w:tcPr>
          <w:p w14:paraId="4EAA3E2E" w14:textId="77777777" w:rsidR="007F7380" w:rsidRPr="0047462D" w:rsidRDefault="007F7380" w:rsidP="000C3BD8">
            <w:pPr>
              <w:keepNext/>
              <w:jc w:val="center"/>
              <w:rPr>
                <w:b/>
                <w:lang w:val="en-US"/>
              </w:rPr>
            </w:pPr>
            <w:r w:rsidRPr="0047462D">
              <w:rPr>
                <w:b/>
                <w:lang w:val="en-US"/>
              </w:rPr>
              <w:t>C</w:t>
            </w:r>
            <w:r w:rsidRPr="0047462D">
              <w:rPr>
                <w:b/>
                <w:vertAlign w:val="subscript"/>
                <w:lang w:val="en-US"/>
              </w:rPr>
              <w:t>min, ss</w:t>
            </w:r>
            <w:r w:rsidRPr="0047462D">
              <w:rPr>
                <w:b/>
                <w:lang w:val="en-US"/>
              </w:rPr>
              <w:t xml:space="preserve"> (ng/ml)</w:t>
            </w:r>
          </w:p>
        </w:tc>
        <w:tc>
          <w:tcPr>
            <w:tcW w:w="1683" w:type="dxa"/>
            <w:tcMar>
              <w:top w:w="0" w:type="dxa"/>
              <w:left w:w="108" w:type="dxa"/>
              <w:bottom w:w="0" w:type="dxa"/>
              <w:right w:w="108" w:type="dxa"/>
            </w:tcMar>
          </w:tcPr>
          <w:p w14:paraId="7420509C" w14:textId="08B0E765" w:rsidR="007F7380" w:rsidRPr="0047462D" w:rsidRDefault="007F7380" w:rsidP="000C3BD8">
            <w:pPr>
              <w:keepNext/>
              <w:jc w:val="center"/>
              <w:rPr>
                <w:b/>
                <w:vertAlign w:val="subscript"/>
                <w:lang w:val="en-US"/>
              </w:rPr>
            </w:pPr>
            <w:r w:rsidRPr="0047462D">
              <w:rPr>
                <w:b/>
                <w:szCs w:val="22"/>
                <w:lang w:val="en-US"/>
              </w:rPr>
              <w:t>AUC</w:t>
            </w:r>
            <w:r w:rsidRPr="0047462D">
              <w:rPr>
                <w:b/>
                <w:szCs w:val="22"/>
                <w:vertAlign w:val="subscript"/>
              </w:rPr>
              <w:t>τ</w:t>
            </w:r>
            <w:r w:rsidRPr="0047462D">
              <w:rPr>
                <w:b/>
                <w:lang w:val="en-US"/>
              </w:rPr>
              <w:t xml:space="preserve">, </w:t>
            </w:r>
            <w:r w:rsidRPr="0047462D">
              <w:rPr>
                <w:b/>
                <w:vertAlign w:val="subscript"/>
                <w:lang w:val="en-US"/>
              </w:rPr>
              <w:t>ss</w:t>
            </w:r>
            <w:r w:rsidRPr="0047462D">
              <w:rPr>
                <w:b/>
                <w:lang w:val="en-US"/>
              </w:rPr>
              <w:t xml:space="preserve"> (ng</w:t>
            </w:r>
            <w:r w:rsidR="00E10B9B" w:rsidRPr="0047462D">
              <w:rPr>
                <w:b/>
                <w:lang w:val="de-DE"/>
              </w:rPr>
              <w:t>*</w:t>
            </w:r>
            <w:r w:rsidRPr="0047462D">
              <w:rPr>
                <w:b/>
                <w:lang w:val="en-US"/>
              </w:rPr>
              <w:t>h/ml)</w:t>
            </w:r>
          </w:p>
        </w:tc>
      </w:tr>
      <w:tr w:rsidR="00BE77C8" w:rsidRPr="0047462D" w14:paraId="229DDA20" w14:textId="77777777" w:rsidTr="00EB5A36">
        <w:trPr>
          <w:cantSplit/>
          <w:trHeight w:val="478"/>
        </w:trPr>
        <w:tc>
          <w:tcPr>
            <w:tcW w:w="3397" w:type="dxa"/>
            <w:tcMar>
              <w:top w:w="0" w:type="dxa"/>
              <w:left w:w="108" w:type="dxa"/>
              <w:bottom w:w="0" w:type="dxa"/>
              <w:right w:w="108" w:type="dxa"/>
            </w:tcMar>
            <w:vAlign w:val="center"/>
          </w:tcPr>
          <w:p w14:paraId="1642110E" w14:textId="77777777" w:rsidR="00BE77C8" w:rsidRPr="0047462D" w:rsidRDefault="00BE77C8" w:rsidP="00BE77C8">
            <w:pPr>
              <w:pStyle w:val="labeltext"/>
              <w:keepNext/>
              <w:rPr>
                <w:sz w:val="22"/>
                <w:szCs w:val="22"/>
                <w:lang w:val="el-GR"/>
              </w:rPr>
            </w:pPr>
            <w:r w:rsidRPr="0047462D">
              <w:rPr>
                <w:sz w:val="22"/>
                <w:szCs w:val="22"/>
                <w:lang w:val="el-GR"/>
              </w:rPr>
              <w:t>6 μηνών έως κάτω των 12 μηνών (5 kg έως &lt;</w:t>
            </w:r>
            <w:r w:rsidR="00D8422D" w:rsidRPr="0047462D">
              <w:rPr>
                <w:sz w:val="22"/>
                <w:szCs w:val="22"/>
              </w:rPr>
              <w:t> </w:t>
            </w:r>
            <w:r w:rsidRPr="0047462D">
              <w:rPr>
                <w:sz w:val="22"/>
                <w:szCs w:val="22"/>
                <w:lang w:val="el-GR"/>
              </w:rPr>
              <w:t>7 kg) </w:t>
            </w:r>
            <w:r w:rsidRPr="0047462D">
              <w:rPr>
                <w:sz w:val="22"/>
                <w:szCs w:val="22"/>
                <w:vertAlign w:val="superscript"/>
                <w:lang w:val="el-GR"/>
              </w:rPr>
              <w:t>*</w:t>
            </w:r>
          </w:p>
        </w:tc>
        <w:tc>
          <w:tcPr>
            <w:tcW w:w="2410" w:type="dxa"/>
            <w:tcMar>
              <w:top w:w="0" w:type="dxa"/>
              <w:left w:w="108" w:type="dxa"/>
              <w:bottom w:w="0" w:type="dxa"/>
              <w:right w:w="108" w:type="dxa"/>
            </w:tcMar>
          </w:tcPr>
          <w:p w14:paraId="7F950ADE" w14:textId="77777777" w:rsidR="00BE77C8" w:rsidRPr="0047462D" w:rsidRDefault="00BE77C8" w:rsidP="006A0651">
            <w:pPr>
              <w:keepNext/>
              <w:rPr>
                <w:szCs w:val="22"/>
              </w:rPr>
            </w:pPr>
            <w:r w:rsidRPr="0047462D">
              <w:rPr>
                <w:lang w:val="en-US"/>
              </w:rPr>
              <w:t xml:space="preserve">25 mg </w:t>
            </w:r>
            <w:r w:rsidRPr="0047462D">
              <w:rPr>
                <w:szCs w:val="22"/>
              </w:rPr>
              <w:t>κάθε 12 ώρες</w:t>
            </w:r>
          </w:p>
        </w:tc>
        <w:tc>
          <w:tcPr>
            <w:tcW w:w="1559" w:type="dxa"/>
            <w:tcMar>
              <w:top w:w="0" w:type="dxa"/>
              <w:left w:w="108" w:type="dxa"/>
              <w:bottom w:w="0" w:type="dxa"/>
              <w:right w:w="108" w:type="dxa"/>
            </w:tcMar>
          </w:tcPr>
          <w:p w14:paraId="13CEDD1D" w14:textId="05A9BAE1" w:rsidR="00BE77C8" w:rsidRPr="0047462D" w:rsidRDefault="004A1C23" w:rsidP="002C32E8">
            <w:pPr>
              <w:keepNext/>
              <w:rPr>
                <w:szCs w:val="22"/>
              </w:rPr>
            </w:pPr>
            <w:r w:rsidRPr="0047462D">
              <w:t>336</w:t>
            </w:r>
          </w:p>
        </w:tc>
        <w:tc>
          <w:tcPr>
            <w:tcW w:w="1683" w:type="dxa"/>
            <w:tcMar>
              <w:top w:w="0" w:type="dxa"/>
              <w:left w:w="108" w:type="dxa"/>
              <w:bottom w:w="0" w:type="dxa"/>
              <w:right w:w="108" w:type="dxa"/>
            </w:tcMar>
          </w:tcPr>
          <w:p w14:paraId="02055BC2" w14:textId="5B72EB28" w:rsidR="00BE77C8" w:rsidRPr="0047462D" w:rsidRDefault="00BE77C8">
            <w:pPr>
              <w:keepNext/>
              <w:rPr>
                <w:szCs w:val="22"/>
              </w:rPr>
            </w:pPr>
            <w:r w:rsidRPr="0047462D">
              <w:rPr>
                <w:lang w:val="en-US"/>
              </w:rPr>
              <w:t>5</w:t>
            </w:r>
            <w:r w:rsidR="004A1C23" w:rsidRPr="0047462D">
              <w:t>41</w:t>
            </w:r>
            <w:r w:rsidRPr="0047462D">
              <w:rPr>
                <w:lang w:val="en-US"/>
              </w:rPr>
              <w:t>0</w:t>
            </w:r>
          </w:p>
        </w:tc>
      </w:tr>
      <w:tr w:rsidR="00BE77C8" w:rsidRPr="0047462D" w14:paraId="7BC981B0" w14:textId="77777777" w:rsidTr="00EB5A36">
        <w:trPr>
          <w:cantSplit/>
          <w:trHeight w:val="478"/>
        </w:trPr>
        <w:tc>
          <w:tcPr>
            <w:tcW w:w="3397" w:type="dxa"/>
            <w:tcMar>
              <w:top w:w="0" w:type="dxa"/>
              <w:left w:w="108" w:type="dxa"/>
              <w:bottom w:w="0" w:type="dxa"/>
              <w:right w:w="108" w:type="dxa"/>
            </w:tcMar>
            <w:vAlign w:val="center"/>
          </w:tcPr>
          <w:p w14:paraId="1CC5BD65" w14:textId="77777777" w:rsidR="00BE77C8" w:rsidRPr="0047462D" w:rsidRDefault="00BE77C8" w:rsidP="00BE77C8">
            <w:pPr>
              <w:pStyle w:val="labeltext"/>
              <w:keepNext/>
              <w:rPr>
                <w:sz w:val="22"/>
                <w:szCs w:val="22"/>
                <w:lang w:val="el-GR"/>
              </w:rPr>
            </w:pPr>
            <w:r w:rsidRPr="0047462D">
              <w:rPr>
                <w:sz w:val="22"/>
                <w:szCs w:val="22"/>
                <w:lang w:val="el-GR"/>
              </w:rPr>
              <w:t>6 μηνών έως κάτω των 12 μηνών (7 kg έως &lt;</w:t>
            </w:r>
            <w:r w:rsidR="00D8422D" w:rsidRPr="0047462D">
              <w:rPr>
                <w:sz w:val="22"/>
                <w:szCs w:val="22"/>
              </w:rPr>
              <w:t> </w:t>
            </w:r>
            <w:r w:rsidRPr="0047462D">
              <w:rPr>
                <w:sz w:val="22"/>
                <w:szCs w:val="22"/>
                <w:lang w:val="el-GR"/>
              </w:rPr>
              <w:t>14 kg)</w:t>
            </w:r>
          </w:p>
        </w:tc>
        <w:tc>
          <w:tcPr>
            <w:tcW w:w="2410" w:type="dxa"/>
            <w:tcMar>
              <w:top w:w="0" w:type="dxa"/>
              <w:left w:w="108" w:type="dxa"/>
              <w:bottom w:w="0" w:type="dxa"/>
              <w:right w:w="108" w:type="dxa"/>
            </w:tcMar>
          </w:tcPr>
          <w:p w14:paraId="68FF85E9" w14:textId="77777777" w:rsidR="00BE77C8" w:rsidRPr="0047462D" w:rsidRDefault="00BE77C8" w:rsidP="006A0651">
            <w:pPr>
              <w:keepNext/>
              <w:rPr>
                <w:szCs w:val="22"/>
              </w:rPr>
            </w:pPr>
            <w:r w:rsidRPr="0047462D">
              <w:rPr>
                <w:lang w:val="en-US"/>
              </w:rPr>
              <w:t xml:space="preserve">50 mg </w:t>
            </w:r>
            <w:r w:rsidRPr="0047462D">
              <w:rPr>
                <w:szCs w:val="22"/>
              </w:rPr>
              <w:t>κάθε 12 ώρες</w:t>
            </w:r>
          </w:p>
        </w:tc>
        <w:tc>
          <w:tcPr>
            <w:tcW w:w="1559" w:type="dxa"/>
            <w:tcMar>
              <w:top w:w="0" w:type="dxa"/>
              <w:left w:w="108" w:type="dxa"/>
              <w:bottom w:w="0" w:type="dxa"/>
              <w:right w:w="108" w:type="dxa"/>
            </w:tcMar>
          </w:tcPr>
          <w:p w14:paraId="2DC11AA8" w14:textId="62B437D1" w:rsidR="00BE77C8" w:rsidRPr="0047462D" w:rsidRDefault="00146B38" w:rsidP="002C32E8">
            <w:pPr>
              <w:keepNext/>
              <w:rPr>
                <w:szCs w:val="22"/>
              </w:rPr>
            </w:pPr>
            <w:r w:rsidRPr="0047462D">
              <w:t>508 (252</w:t>
            </w:r>
            <w:r w:rsidR="00BE77C8" w:rsidRPr="0047462D">
              <w:rPr>
                <w:lang w:val="en-US"/>
              </w:rPr>
              <w:t>)</w:t>
            </w:r>
          </w:p>
        </w:tc>
        <w:tc>
          <w:tcPr>
            <w:tcW w:w="1683" w:type="dxa"/>
            <w:tcMar>
              <w:top w:w="0" w:type="dxa"/>
              <w:left w:w="108" w:type="dxa"/>
              <w:bottom w:w="0" w:type="dxa"/>
              <w:right w:w="108" w:type="dxa"/>
            </w:tcMar>
          </w:tcPr>
          <w:p w14:paraId="64285ECB" w14:textId="36CE4869" w:rsidR="00BE77C8" w:rsidRPr="0047462D" w:rsidRDefault="00146B38">
            <w:pPr>
              <w:keepNext/>
              <w:rPr>
                <w:szCs w:val="22"/>
              </w:rPr>
            </w:pPr>
            <w:r w:rsidRPr="0047462D">
              <w:t>9140 (4200</w:t>
            </w:r>
            <w:r w:rsidR="00BE77C8" w:rsidRPr="0047462D">
              <w:rPr>
                <w:lang w:val="en-US"/>
              </w:rPr>
              <w:t>)</w:t>
            </w:r>
          </w:p>
        </w:tc>
      </w:tr>
      <w:tr w:rsidR="003C65D0" w:rsidRPr="0047462D" w14:paraId="37663B2E" w14:textId="77777777" w:rsidTr="00EB5A36">
        <w:trPr>
          <w:cantSplit/>
          <w:trHeight w:val="478"/>
        </w:trPr>
        <w:tc>
          <w:tcPr>
            <w:tcW w:w="3397" w:type="dxa"/>
            <w:tcMar>
              <w:top w:w="0" w:type="dxa"/>
              <w:left w:w="108" w:type="dxa"/>
              <w:bottom w:w="0" w:type="dxa"/>
              <w:right w:w="108" w:type="dxa"/>
            </w:tcMar>
          </w:tcPr>
          <w:p w14:paraId="0175C979" w14:textId="5948DCDF" w:rsidR="003C65D0" w:rsidRPr="00604911" w:rsidRDefault="003C65D0" w:rsidP="00F93ECE">
            <w:pPr>
              <w:pStyle w:val="labeltext"/>
              <w:keepNext/>
            </w:pPr>
            <w:r w:rsidRPr="0047462D">
              <w:rPr>
                <w:sz w:val="22"/>
                <w:szCs w:val="22"/>
                <w:lang w:val="el-GR"/>
              </w:rPr>
              <w:t>12</w:t>
            </w:r>
            <w:r w:rsidRPr="0047462D">
              <w:rPr>
                <w:sz w:val="22"/>
                <w:szCs w:val="22"/>
              </w:rPr>
              <w:t> </w:t>
            </w:r>
            <w:r w:rsidRPr="0047462D">
              <w:rPr>
                <w:sz w:val="22"/>
                <w:szCs w:val="22"/>
                <w:lang w:val="el-GR"/>
              </w:rPr>
              <w:t>μηνών έως κάτω των 24</w:t>
            </w:r>
            <w:r w:rsidRPr="0047462D">
              <w:rPr>
                <w:sz w:val="22"/>
                <w:szCs w:val="22"/>
              </w:rPr>
              <w:t> </w:t>
            </w:r>
            <w:r w:rsidRPr="0047462D">
              <w:rPr>
                <w:sz w:val="22"/>
                <w:szCs w:val="22"/>
                <w:lang w:val="el-GR"/>
              </w:rPr>
              <w:t>μηνών</w:t>
            </w:r>
            <w:r w:rsidR="00973BAC">
              <w:rPr>
                <w:szCs w:val="22"/>
                <w:lang w:val="el-GR"/>
              </w:rPr>
              <w:t xml:space="preserve"> </w:t>
            </w:r>
            <w:r w:rsidRPr="00F93ECE">
              <w:rPr>
                <w:szCs w:val="22"/>
                <w:lang w:val="el-GR"/>
              </w:rPr>
              <w:t>(7</w:t>
            </w:r>
            <w:r w:rsidRPr="0047462D">
              <w:rPr>
                <w:szCs w:val="22"/>
              </w:rPr>
              <w:t> kg</w:t>
            </w:r>
            <w:r w:rsidRPr="00F93ECE">
              <w:rPr>
                <w:szCs w:val="22"/>
                <w:lang w:val="el-GR"/>
              </w:rPr>
              <w:t xml:space="preserve"> έως &lt;</w:t>
            </w:r>
            <w:r w:rsidR="00D8422D" w:rsidRPr="0047462D">
              <w:rPr>
                <w:szCs w:val="22"/>
              </w:rPr>
              <w:t> </w:t>
            </w:r>
            <w:r w:rsidRPr="00F93ECE">
              <w:rPr>
                <w:szCs w:val="22"/>
                <w:lang w:val="el-GR"/>
              </w:rPr>
              <w:t>14</w:t>
            </w:r>
            <w:r w:rsidRPr="0047462D">
              <w:rPr>
                <w:szCs w:val="22"/>
              </w:rPr>
              <w:t> kg</w:t>
            </w:r>
            <w:r w:rsidRPr="00F93ECE">
              <w:rPr>
                <w:szCs w:val="22"/>
                <w:lang w:val="el-GR"/>
              </w:rPr>
              <w:t>)</w:t>
            </w:r>
          </w:p>
        </w:tc>
        <w:tc>
          <w:tcPr>
            <w:tcW w:w="2410" w:type="dxa"/>
            <w:tcMar>
              <w:top w:w="0" w:type="dxa"/>
              <w:left w:w="108" w:type="dxa"/>
              <w:bottom w:w="0" w:type="dxa"/>
              <w:right w:w="108" w:type="dxa"/>
            </w:tcMar>
          </w:tcPr>
          <w:p w14:paraId="1EBED14B" w14:textId="77777777" w:rsidR="003C65D0" w:rsidRPr="0047462D" w:rsidRDefault="003C65D0" w:rsidP="003C65D0">
            <w:pPr>
              <w:keepNext/>
              <w:rPr>
                <w:lang w:val="en-US"/>
              </w:rPr>
            </w:pPr>
            <w:r w:rsidRPr="0047462D">
              <w:rPr>
                <w:szCs w:val="22"/>
              </w:rPr>
              <w:t>50 mg κάθε 12 ώρες</w:t>
            </w:r>
          </w:p>
        </w:tc>
        <w:tc>
          <w:tcPr>
            <w:tcW w:w="1559" w:type="dxa"/>
            <w:tcMar>
              <w:top w:w="0" w:type="dxa"/>
              <w:left w:w="108" w:type="dxa"/>
              <w:bottom w:w="0" w:type="dxa"/>
              <w:right w:w="108" w:type="dxa"/>
            </w:tcMar>
          </w:tcPr>
          <w:p w14:paraId="196FF5C7" w14:textId="77777777" w:rsidR="003C65D0" w:rsidRPr="0047462D" w:rsidRDefault="003C65D0" w:rsidP="003C65D0">
            <w:pPr>
              <w:keepNext/>
              <w:rPr>
                <w:lang w:val="en-US"/>
              </w:rPr>
            </w:pPr>
            <w:r w:rsidRPr="0047462D">
              <w:rPr>
                <w:szCs w:val="22"/>
              </w:rPr>
              <w:t>440 (212)</w:t>
            </w:r>
          </w:p>
        </w:tc>
        <w:tc>
          <w:tcPr>
            <w:tcW w:w="1683" w:type="dxa"/>
            <w:tcMar>
              <w:top w:w="0" w:type="dxa"/>
              <w:left w:w="108" w:type="dxa"/>
              <w:bottom w:w="0" w:type="dxa"/>
              <w:right w:w="108" w:type="dxa"/>
            </w:tcMar>
          </w:tcPr>
          <w:p w14:paraId="773495DD" w14:textId="77777777" w:rsidR="003C65D0" w:rsidRPr="0047462D" w:rsidRDefault="003C65D0" w:rsidP="003C65D0">
            <w:pPr>
              <w:keepNext/>
              <w:rPr>
                <w:lang w:val="en-US"/>
              </w:rPr>
            </w:pPr>
            <w:r w:rsidRPr="0047462D">
              <w:rPr>
                <w:szCs w:val="22"/>
              </w:rPr>
              <w:t>9050 (3050)</w:t>
            </w:r>
          </w:p>
        </w:tc>
      </w:tr>
      <w:tr w:rsidR="003C65D0" w:rsidRPr="0047462D" w14:paraId="3F5FC406" w14:textId="77777777" w:rsidTr="00EB5A36">
        <w:trPr>
          <w:cantSplit/>
          <w:trHeight w:val="478"/>
        </w:trPr>
        <w:tc>
          <w:tcPr>
            <w:tcW w:w="3397" w:type="dxa"/>
            <w:tcMar>
              <w:top w:w="0" w:type="dxa"/>
              <w:left w:w="108" w:type="dxa"/>
              <w:bottom w:w="0" w:type="dxa"/>
              <w:right w:w="108" w:type="dxa"/>
            </w:tcMar>
          </w:tcPr>
          <w:p w14:paraId="5C6F563D" w14:textId="5B4E2E74" w:rsidR="003C65D0" w:rsidRPr="00604911" w:rsidRDefault="003C65D0" w:rsidP="00F93ECE">
            <w:pPr>
              <w:pStyle w:val="labeltext"/>
              <w:keepNext/>
            </w:pPr>
            <w:r w:rsidRPr="0047462D">
              <w:rPr>
                <w:sz w:val="22"/>
                <w:szCs w:val="22"/>
                <w:lang w:val="el-GR"/>
              </w:rPr>
              <w:t>12</w:t>
            </w:r>
            <w:r w:rsidRPr="0047462D">
              <w:rPr>
                <w:sz w:val="22"/>
                <w:szCs w:val="22"/>
              </w:rPr>
              <w:t> </w:t>
            </w:r>
            <w:r w:rsidRPr="0047462D">
              <w:rPr>
                <w:sz w:val="22"/>
                <w:szCs w:val="22"/>
                <w:lang w:val="el-GR"/>
              </w:rPr>
              <w:t>μηνών έως κάτω των 24</w:t>
            </w:r>
            <w:r w:rsidRPr="0047462D">
              <w:rPr>
                <w:sz w:val="22"/>
                <w:szCs w:val="22"/>
              </w:rPr>
              <w:t> </w:t>
            </w:r>
            <w:r w:rsidRPr="0047462D">
              <w:rPr>
                <w:sz w:val="22"/>
                <w:szCs w:val="22"/>
                <w:lang w:val="el-GR"/>
              </w:rPr>
              <w:t>μηνώ</w:t>
            </w:r>
            <w:r w:rsidR="00176AF0" w:rsidRPr="0047462D">
              <w:rPr>
                <w:lang w:val="el-GR"/>
              </w:rPr>
              <w:t>ν</w:t>
            </w:r>
            <w:r w:rsidR="00973BAC">
              <w:rPr>
                <w:szCs w:val="22"/>
                <w:lang w:val="el-GR"/>
              </w:rPr>
              <w:t xml:space="preserve"> </w:t>
            </w:r>
            <w:r w:rsidRPr="00F93ECE">
              <w:rPr>
                <w:szCs w:val="22"/>
                <w:lang w:val="el-GR"/>
              </w:rPr>
              <w:t>(</w:t>
            </w:r>
            <w:r w:rsidR="00D85450" w:rsidRPr="00F93ECE">
              <w:rPr>
                <w:rFonts w:hint="eastAsia"/>
                <w:lang w:val="el-GR"/>
              </w:rPr>
              <w:t>≥</w:t>
            </w:r>
            <w:r w:rsidR="00D8422D" w:rsidRPr="0047462D">
              <w:t> </w:t>
            </w:r>
            <w:r w:rsidRPr="00F93ECE">
              <w:rPr>
                <w:szCs w:val="22"/>
                <w:lang w:val="el-GR"/>
              </w:rPr>
              <w:t>14</w:t>
            </w:r>
            <w:r w:rsidR="00176AF0" w:rsidRPr="0047462D">
              <w:rPr>
                <w:szCs w:val="22"/>
                <w:lang w:val="en-GB"/>
              </w:rPr>
              <w:t> </w:t>
            </w:r>
            <w:r w:rsidRPr="0047462D">
              <w:rPr>
                <w:rFonts w:hint="eastAsia"/>
                <w:szCs w:val="22"/>
              </w:rPr>
              <w:t>kg</w:t>
            </w:r>
            <w:r w:rsidRPr="00F93ECE">
              <w:rPr>
                <w:szCs w:val="22"/>
                <w:lang w:val="el-GR"/>
              </w:rPr>
              <w:t xml:space="preserve"> </w:t>
            </w:r>
            <w:r w:rsidRPr="00F93ECE">
              <w:rPr>
                <w:rFonts w:ascii="Cambria" w:eastAsia="Cambria" w:hAnsi="Cambria"/>
                <w:szCs w:val="22"/>
                <w:lang w:val="el-GR"/>
              </w:rPr>
              <w:t>έ</w:t>
            </w:r>
            <w:r w:rsidRPr="00F93ECE">
              <w:rPr>
                <w:rFonts w:ascii="Cambria" w:hAnsi="Cambria"/>
                <w:szCs w:val="22"/>
                <w:lang w:val="el-GR"/>
              </w:rPr>
              <w:t>ως</w:t>
            </w:r>
            <w:r w:rsidRPr="00F93ECE">
              <w:rPr>
                <w:szCs w:val="22"/>
                <w:lang w:val="el-GR"/>
              </w:rPr>
              <w:t xml:space="preserve"> &lt;</w:t>
            </w:r>
            <w:r w:rsidR="00D8422D" w:rsidRPr="0047462D">
              <w:rPr>
                <w:szCs w:val="22"/>
              </w:rPr>
              <w:t> </w:t>
            </w:r>
            <w:r w:rsidRPr="00F93ECE">
              <w:rPr>
                <w:szCs w:val="22"/>
                <w:lang w:val="el-GR"/>
              </w:rPr>
              <w:t>25</w:t>
            </w:r>
            <w:r w:rsidR="00176AF0" w:rsidRPr="0047462D">
              <w:rPr>
                <w:szCs w:val="22"/>
                <w:lang w:val="en-GB"/>
              </w:rPr>
              <w:t> </w:t>
            </w:r>
            <w:r w:rsidRPr="0047462D">
              <w:rPr>
                <w:rFonts w:hint="eastAsia"/>
                <w:szCs w:val="22"/>
              </w:rPr>
              <w:t>kg</w:t>
            </w:r>
            <w:r w:rsidRPr="00F93ECE">
              <w:rPr>
                <w:szCs w:val="22"/>
                <w:lang w:val="el-GR"/>
              </w:rPr>
              <w:t>)</w:t>
            </w:r>
          </w:p>
        </w:tc>
        <w:tc>
          <w:tcPr>
            <w:tcW w:w="2410" w:type="dxa"/>
            <w:tcMar>
              <w:top w:w="0" w:type="dxa"/>
              <w:left w:w="108" w:type="dxa"/>
              <w:bottom w:w="0" w:type="dxa"/>
              <w:right w:w="108" w:type="dxa"/>
            </w:tcMar>
          </w:tcPr>
          <w:p w14:paraId="364C5254" w14:textId="77777777" w:rsidR="003C65D0" w:rsidRPr="0047462D" w:rsidRDefault="003C65D0" w:rsidP="003C65D0">
            <w:pPr>
              <w:keepNext/>
              <w:rPr>
                <w:lang w:val="en-US"/>
              </w:rPr>
            </w:pPr>
            <w:r w:rsidRPr="0047462D">
              <w:rPr>
                <w:szCs w:val="22"/>
              </w:rPr>
              <w:t>75 mg κάθε 12 ώρες</w:t>
            </w:r>
          </w:p>
        </w:tc>
        <w:tc>
          <w:tcPr>
            <w:tcW w:w="1559" w:type="dxa"/>
            <w:tcMar>
              <w:top w:w="0" w:type="dxa"/>
              <w:left w:w="108" w:type="dxa"/>
              <w:bottom w:w="0" w:type="dxa"/>
              <w:right w:w="108" w:type="dxa"/>
            </w:tcMar>
          </w:tcPr>
          <w:p w14:paraId="28FF3722" w14:textId="77777777" w:rsidR="003C65D0" w:rsidRPr="0047462D" w:rsidRDefault="003C65D0" w:rsidP="003C65D0">
            <w:pPr>
              <w:keepNext/>
              <w:rPr>
                <w:lang w:val="en-US"/>
              </w:rPr>
            </w:pPr>
            <w:r w:rsidRPr="0047462D">
              <w:rPr>
                <w:szCs w:val="22"/>
              </w:rPr>
              <w:t>451 (125)</w:t>
            </w:r>
          </w:p>
        </w:tc>
        <w:tc>
          <w:tcPr>
            <w:tcW w:w="1683" w:type="dxa"/>
            <w:tcMar>
              <w:top w:w="0" w:type="dxa"/>
              <w:left w:w="108" w:type="dxa"/>
              <w:bottom w:w="0" w:type="dxa"/>
              <w:right w:w="108" w:type="dxa"/>
            </w:tcMar>
          </w:tcPr>
          <w:p w14:paraId="61F2EC4A" w14:textId="77777777" w:rsidR="003C65D0" w:rsidRPr="0047462D" w:rsidRDefault="003C65D0" w:rsidP="003C65D0">
            <w:pPr>
              <w:keepNext/>
              <w:rPr>
                <w:lang w:val="en-US"/>
              </w:rPr>
            </w:pPr>
            <w:r w:rsidRPr="0047462D">
              <w:rPr>
                <w:szCs w:val="22"/>
              </w:rPr>
              <w:t>9600 (1800)</w:t>
            </w:r>
          </w:p>
        </w:tc>
      </w:tr>
      <w:tr w:rsidR="007F7380" w:rsidRPr="0047462D" w14:paraId="46D3A659" w14:textId="77777777" w:rsidTr="00EB5A36">
        <w:trPr>
          <w:cantSplit/>
          <w:trHeight w:val="478"/>
        </w:trPr>
        <w:tc>
          <w:tcPr>
            <w:tcW w:w="3397" w:type="dxa"/>
            <w:tcMar>
              <w:top w:w="0" w:type="dxa"/>
              <w:left w:w="108" w:type="dxa"/>
              <w:bottom w:w="0" w:type="dxa"/>
              <w:right w:w="108" w:type="dxa"/>
            </w:tcMar>
          </w:tcPr>
          <w:p w14:paraId="2D096320" w14:textId="6158F101" w:rsidR="007F7380" w:rsidRPr="0047462D" w:rsidRDefault="007F7380" w:rsidP="00973BAC">
            <w:pPr>
              <w:keepNext/>
              <w:rPr>
                <w:lang w:val="en-US"/>
              </w:rPr>
            </w:pPr>
            <w:r w:rsidRPr="0047462D">
              <w:rPr>
                <w:lang w:val="en-US"/>
              </w:rPr>
              <w:t xml:space="preserve">2 </w:t>
            </w:r>
            <w:r w:rsidRPr="0047462D">
              <w:t>έως</w:t>
            </w:r>
            <w:r w:rsidRPr="0047462D">
              <w:rPr>
                <w:lang w:val="en-US"/>
              </w:rPr>
              <w:t xml:space="preserve"> 5</w:t>
            </w:r>
            <w:r w:rsidR="0073704C" w:rsidRPr="0047462D">
              <w:rPr>
                <w:lang w:val="en-US"/>
              </w:rPr>
              <w:t> </w:t>
            </w:r>
            <w:r w:rsidRPr="0047462D">
              <w:t>ετών</w:t>
            </w:r>
            <w:r w:rsidR="00973BAC">
              <w:t xml:space="preserve"> </w:t>
            </w:r>
            <w:r w:rsidRPr="0047462D">
              <w:rPr>
                <w:lang w:val="en-US"/>
              </w:rPr>
              <w:t>(&lt;</w:t>
            </w:r>
            <w:r w:rsidR="00D8422D" w:rsidRPr="0047462D">
              <w:rPr>
                <w:lang w:val="en-US"/>
              </w:rPr>
              <w:t> </w:t>
            </w:r>
            <w:r w:rsidRPr="0047462D">
              <w:rPr>
                <w:lang w:val="en-US"/>
              </w:rPr>
              <w:t>14 kg)</w:t>
            </w:r>
          </w:p>
        </w:tc>
        <w:tc>
          <w:tcPr>
            <w:tcW w:w="2410" w:type="dxa"/>
            <w:tcMar>
              <w:top w:w="0" w:type="dxa"/>
              <w:left w:w="108" w:type="dxa"/>
              <w:bottom w:w="0" w:type="dxa"/>
              <w:right w:w="108" w:type="dxa"/>
            </w:tcMar>
          </w:tcPr>
          <w:p w14:paraId="5C2C9246" w14:textId="77777777" w:rsidR="007F7380" w:rsidRPr="0047462D" w:rsidRDefault="007F7380" w:rsidP="000C3BD8">
            <w:pPr>
              <w:keepNext/>
              <w:rPr>
                <w:lang w:val="en-US"/>
              </w:rPr>
            </w:pPr>
            <w:r w:rsidRPr="0047462D">
              <w:rPr>
                <w:lang w:val="en-US"/>
              </w:rPr>
              <w:t xml:space="preserve">50 mg </w:t>
            </w:r>
            <w:r w:rsidRPr="0047462D">
              <w:t>κάθε</w:t>
            </w:r>
            <w:r w:rsidRPr="0047462D">
              <w:rPr>
                <w:lang w:val="en-US"/>
              </w:rPr>
              <w:t xml:space="preserve"> 12 </w:t>
            </w:r>
            <w:r w:rsidRPr="0047462D">
              <w:t>ώρες</w:t>
            </w:r>
          </w:p>
        </w:tc>
        <w:tc>
          <w:tcPr>
            <w:tcW w:w="1559" w:type="dxa"/>
            <w:tcMar>
              <w:top w:w="0" w:type="dxa"/>
              <w:left w:w="108" w:type="dxa"/>
              <w:bottom w:w="0" w:type="dxa"/>
              <w:right w:w="108" w:type="dxa"/>
            </w:tcMar>
          </w:tcPr>
          <w:p w14:paraId="34F4647E" w14:textId="77777777" w:rsidR="007F7380" w:rsidRPr="0047462D" w:rsidRDefault="007F7380" w:rsidP="000C3BD8">
            <w:pPr>
              <w:keepNext/>
              <w:rPr>
                <w:lang w:val="en-US"/>
              </w:rPr>
            </w:pPr>
            <w:r w:rsidRPr="0047462D">
              <w:rPr>
                <w:lang w:val="en-US"/>
              </w:rPr>
              <w:t>577 (317)</w:t>
            </w:r>
          </w:p>
        </w:tc>
        <w:tc>
          <w:tcPr>
            <w:tcW w:w="1683" w:type="dxa"/>
            <w:tcMar>
              <w:top w:w="0" w:type="dxa"/>
              <w:left w:w="108" w:type="dxa"/>
              <w:bottom w:w="0" w:type="dxa"/>
              <w:right w:w="108" w:type="dxa"/>
            </w:tcMar>
          </w:tcPr>
          <w:p w14:paraId="1EC0002E" w14:textId="77777777" w:rsidR="007F7380" w:rsidRPr="0047462D" w:rsidRDefault="007F7380" w:rsidP="000C3BD8">
            <w:pPr>
              <w:keepNext/>
              <w:rPr>
                <w:lang w:val="en-US"/>
              </w:rPr>
            </w:pPr>
            <w:r w:rsidRPr="0047462D">
              <w:rPr>
                <w:lang w:val="en-US"/>
              </w:rPr>
              <w:t>10500 (4260)</w:t>
            </w:r>
          </w:p>
        </w:tc>
      </w:tr>
      <w:tr w:rsidR="007F7380" w:rsidRPr="0047462D" w14:paraId="3165C220" w14:textId="77777777" w:rsidTr="00EB5A36">
        <w:trPr>
          <w:cantSplit/>
          <w:trHeight w:val="478"/>
        </w:trPr>
        <w:tc>
          <w:tcPr>
            <w:tcW w:w="3397" w:type="dxa"/>
            <w:tcMar>
              <w:top w:w="0" w:type="dxa"/>
              <w:left w:w="108" w:type="dxa"/>
              <w:bottom w:w="0" w:type="dxa"/>
              <w:right w:w="108" w:type="dxa"/>
            </w:tcMar>
          </w:tcPr>
          <w:p w14:paraId="0F1EA7E6" w14:textId="2C229D8A" w:rsidR="007F7380" w:rsidRPr="0047462D" w:rsidRDefault="007F7380" w:rsidP="00973BAC">
            <w:pPr>
              <w:keepNext/>
            </w:pPr>
            <w:r w:rsidRPr="0047462D">
              <w:t>2 έως 5</w:t>
            </w:r>
            <w:r w:rsidR="0073704C" w:rsidRPr="0047462D">
              <w:rPr>
                <w:lang w:val="en-GB"/>
              </w:rPr>
              <w:t> </w:t>
            </w:r>
            <w:r w:rsidRPr="0047462D">
              <w:t>ετών</w:t>
            </w:r>
            <w:r w:rsidR="00973BAC">
              <w:t xml:space="preserve"> </w:t>
            </w:r>
            <w:r w:rsidRPr="0047462D">
              <w:t>(</w:t>
            </w:r>
            <w:r w:rsidR="00061497" w:rsidRPr="0047462D">
              <w:t>≥</w:t>
            </w:r>
            <w:r w:rsidR="00D8422D" w:rsidRPr="0047462D">
              <w:rPr>
                <w:lang w:val="en-US"/>
              </w:rPr>
              <w:t> </w:t>
            </w:r>
            <w:r w:rsidRPr="0047462D">
              <w:t>14</w:t>
            </w:r>
            <w:r w:rsidRPr="0047462D">
              <w:rPr>
                <w:rFonts w:hint="eastAsia"/>
                <w:lang w:val="en-US"/>
              </w:rPr>
              <w:t> </w:t>
            </w:r>
            <w:r w:rsidRPr="0047462D">
              <w:rPr>
                <w:lang w:val="en-US"/>
              </w:rPr>
              <w:t>kg</w:t>
            </w:r>
            <w:r w:rsidRPr="0047462D">
              <w:t xml:space="preserve"> έως &lt;</w:t>
            </w:r>
            <w:r w:rsidR="00D8422D" w:rsidRPr="0047462D">
              <w:rPr>
                <w:lang w:val="en-US"/>
              </w:rPr>
              <w:t> </w:t>
            </w:r>
            <w:r w:rsidRPr="0047462D">
              <w:t>25</w:t>
            </w:r>
            <w:r w:rsidRPr="0047462D">
              <w:rPr>
                <w:lang w:val="en-US"/>
              </w:rPr>
              <w:t> kg</w:t>
            </w:r>
            <w:r w:rsidRPr="0047462D">
              <w:t>)</w:t>
            </w:r>
          </w:p>
        </w:tc>
        <w:tc>
          <w:tcPr>
            <w:tcW w:w="2410" w:type="dxa"/>
            <w:tcMar>
              <w:top w:w="0" w:type="dxa"/>
              <w:left w:w="108" w:type="dxa"/>
              <w:bottom w:w="0" w:type="dxa"/>
              <w:right w:w="108" w:type="dxa"/>
            </w:tcMar>
          </w:tcPr>
          <w:p w14:paraId="261BEADD" w14:textId="77777777" w:rsidR="007F7380" w:rsidRPr="0047462D" w:rsidRDefault="007F7380" w:rsidP="000C3BD8">
            <w:pPr>
              <w:keepNext/>
              <w:rPr>
                <w:lang w:val="en-US"/>
              </w:rPr>
            </w:pPr>
            <w:r w:rsidRPr="0047462D">
              <w:rPr>
                <w:lang w:val="en-US"/>
              </w:rPr>
              <w:t xml:space="preserve">75 mg </w:t>
            </w:r>
            <w:r w:rsidRPr="0047462D">
              <w:t>κάθε</w:t>
            </w:r>
            <w:r w:rsidRPr="0047462D">
              <w:rPr>
                <w:lang w:val="en-US"/>
              </w:rPr>
              <w:t xml:space="preserve"> 12</w:t>
            </w:r>
            <w:r w:rsidRPr="0047462D">
              <w:t xml:space="preserve"> ώρες</w:t>
            </w:r>
          </w:p>
        </w:tc>
        <w:tc>
          <w:tcPr>
            <w:tcW w:w="1559" w:type="dxa"/>
            <w:tcMar>
              <w:top w:w="0" w:type="dxa"/>
              <w:left w:w="108" w:type="dxa"/>
              <w:bottom w:w="0" w:type="dxa"/>
              <w:right w:w="108" w:type="dxa"/>
            </w:tcMar>
          </w:tcPr>
          <w:p w14:paraId="180DDEA1" w14:textId="77777777" w:rsidR="007F7380" w:rsidRPr="0047462D" w:rsidRDefault="007F7380" w:rsidP="000C3BD8">
            <w:pPr>
              <w:keepNext/>
              <w:rPr>
                <w:lang w:val="en-US"/>
              </w:rPr>
            </w:pPr>
            <w:r w:rsidRPr="0047462D">
              <w:rPr>
                <w:lang w:val="en-US"/>
              </w:rPr>
              <w:t>629 (296)</w:t>
            </w:r>
          </w:p>
        </w:tc>
        <w:tc>
          <w:tcPr>
            <w:tcW w:w="1683" w:type="dxa"/>
            <w:tcMar>
              <w:top w:w="0" w:type="dxa"/>
              <w:left w:w="108" w:type="dxa"/>
              <w:bottom w:w="0" w:type="dxa"/>
              <w:right w:w="108" w:type="dxa"/>
            </w:tcMar>
          </w:tcPr>
          <w:p w14:paraId="67227EC2" w14:textId="77777777" w:rsidR="007F7380" w:rsidRPr="0047462D" w:rsidRDefault="007F7380" w:rsidP="000C3BD8">
            <w:pPr>
              <w:keepNext/>
              <w:rPr>
                <w:lang w:val="en-US"/>
              </w:rPr>
            </w:pPr>
            <w:r w:rsidRPr="0047462D">
              <w:rPr>
                <w:lang w:val="en-US"/>
              </w:rPr>
              <w:t>11300 (3820)</w:t>
            </w:r>
          </w:p>
        </w:tc>
      </w:tr>
      <w:tr w:rsidR="007F7380" w:rsidRPr="0047462D" w14:paraId="41D2A2BF" w14:textId="77777777" w:rsidTr="00EB5A36">
        <w:trPr>
          <w:cantSplit/>
          <w:trHeight w:val="478"/>
        </w:trPr>
        <w:tc>
          <w:tcPr>
            <w:tcW w:w="3397" w:type="dxa"/>
            <w:tcMar>
              <w:top w:w="0" w:type="dxa"/>
              <w:left w:w="108" w:type="dxa"/>
              <w:bottom w:w="0" w:type="dxa"/>
              <w:right w:w="108" w:type="dxa"/>
            </w:tcMar>
          </w:tcPr>
          <w:p w14:paraId="36CBA267" w14:textId="4702795F" w:rsidR="007F7380" w:rsidRPr="0047462D" w:rsidRDefault="007F7380" w:rsidP="00973BAC">
            <w:pPr>
              <w:keepNext/>
            </w:pPr>
            <w:r w:rsidRPr="0047462D">
              <w:t>6 έως 11</w:t>
            </w:r>
            <w:r w:rsidR="0073704C" w:rsidRPr="0047462D">
              <w:rPr>
                <w:lang w:val="en-GB"/>
              </w:rPr>
              <w:t> </w:t>
            </w:r>
            <w:r w:rsidRPr="0047462D">
              <w:t>ετών</w:t>
            </w:r>
            <w:r w:rsidR="00FE4E65" w:rsidRPr="0047462D">
              <w:rPr>
                <w:lang w:val="en-US"/>
              </w:rPr>
              <w:t> </w:t>
            </w:r>
            <w:r w:rsidR="00E10B9B" w:rsidRPr="0047462D">
              <w:rPr>
                <w:position w:val="6"/>
                <w:vertAlign w:val="superscript"/>
              </w:rPr>
              <w:t>†</w:t>
            </w:r>
            <w:r w:rsidR="00973BAC">
              <w:t xml:space="preserve"> </w:t>
            </w:r>
            <w:r w:rsidRPr="0047462D">
              <w:t>(</w:t>
            </w:r>
            <w:r w:rsidR="00061497" w:rsidRPr="0047462D">
              <w:t>≥</w:t>
            </w:r>
            <w:r w:rsidR="00D8422D" w:rsidRPr="0047462D">
              <w:rPr>
                <w:lang w:val="en-US"/>
              </w:rPr>
              <w:t> </w:t>
            </w:r>
            <w:r w:rsidRPr="0047462D">
              <w:t>14</w:t>
            </w:r>
            <w:r w:rsidRPr="0047462D">
              <w:rPr>
                <w:lang w:val="en-US"/>
              </w:rPr>
              <w:t> kg</w:t>
            </w:r>
            <w:r w:rsidRPr="0047462D">
              <w:t xml:space="preserve"> έως &lt;</w:t>
            </w:r>
            <w:r w:rsidR="00D8422D" w:rsidRPr="0047462D">
              <w:rPr>
                <w:lang w:val="en-US"/>
              </w:rPr>
              <w:t> </w:t>
            </w:r>
            <w:r w:rsidRPr="0047462D">
              <w:t>25</w:t>
            </w:r>
            <w:r w:rsidRPr="0047462D">
              <w:rPr>
                <w:lang w:val="en-US"/>
              </w:rPr>
              <w:t> kg</w:t>
            </w:r>
            <w:r w:rsidRPr="0047462D">
              <w:t>)</w:t>
            </w:r>
            <w:r w:rsidR="00F35AC8" w:rsidRPr="0047462D" w:rsidDel="00F35AC8">
              <w:t xml:space="preserve"> </w:t>
            </w:r>
          </w:p>
        </w:tc>
        <w:tc>
          <w:tcPr>
            <w:tcW w:w="2410" w:type="dxa"/>
            <w:tcMar>
              <w:top w:w="0" w:type="dxa"/>
              <w:left w:w="108" w:type="dxa"/>
              <w:bottom w:w="0" w:type="dxa"/>
              <w:right w:w="108" w:type="dxa"/>
            </w:tcMar>
          </w:tcPr>
          <w:p w14:paraId="3D2219F7" w14:textId="77777777" w:rsidR="007F7380" w:rsidRPr="0047462D" w:rsidRDefault="007F7380" w:rsidP="000C3BD8">
            <w:pPr>
              <w:keepNext/>
            </w:pPr>
            <w:r w:rsidRPr="0047462D">
              <w:rPr>
                <w:lang w:val="en-US"/>
              </w:rPr>
              <w:t xml:space="preserve">75 mg </w:t>
            </w:r>
            <w:r w:rsidRPr="0047462D">
              <w:t>κάθε 12 ώρες</w:t>
            </w:r>
          </w:p>
        </w:tc>
        <w:tc>
          <w:tcPr>
            <w:tcW w:w="1559" w:type="dxa"/>
            <w:tcMar>
              <w:top w:w="0" w:type="dxa"/>
              <w:left w:w="108" w:type="dxa"/>
              <w:bottom w:w="0" w:type="dxa"/>
              <w:right w:w="108" w:type="dxa"/>
            </w:tcMar>
          </w:tcPr>
          <w:p w14:paraId="604AFCAF" w14:textId="77777777" w:rsidR="007F7380" w:rsidRPr="0047462D" w:rsidRDefault="007F7380" w:rsidP="000C3BD8">
            <w:pPr>
              <w:keepNext/>
              <w:rPr>
                <w:lang w:val="en-US"/>
              </w:rPr>
            </w:pPr>
            <w:r w:rsidRPr="0047462D">
              <w:rPr>
                <w:lang w:val="en-US"/>
              </w:rPr>
              <w:t>641 (329)</w:t>
            </w:r>
          </w:p>
        </w:tc>
        <w:tc>
          <w:tcPr>
            <w:tcW w:w="1683" w:type="dxa"/>
            <w:tcMar>
              <w:top w:w="0" w:type="dxa"/>
              <w:left w:w="108" w:type="dxa"/>
              <w:bottom w:w="0" w:type="dxa"/>
              <w:right w:w="108" w:type="dxa"/>
            </w:tcMar>
          </w:tcPr>
          <w:p w14:paraId="37CCAB41" w14:textId="77777777" w:rsidR="007F7380" w:rsidRPr="0047462D" w:rsidRDefault="007F7380" w:rsidP="000C3BD8">
            <w:pPr>
              <w:keepNext/>
              <w:rPr>
                <w:lang w:val="en-US"/>
              </w:rPr>
            </w:pPr>
            <w:r w:rsidRPr="0047462D">
              <w:rPr>
                <w:lang w:val="en-US"/>
              </w:rPr>
              <w:t>10760 (4470)</w:t>
            </w:r>
          </w:p>
        </w:tc>
      </w:tr>
      <w:tr w:rsidR="007F7380" w:rsidRPr="0047462D" w14:paraId="1597B0F4" w14:textId="77777777" w:rsidTr="00EB5A36">
        <w:trPr>
          <w:cantSplit/>
          <w:trHeight w:val="463"/>
        </w:trPr>
        <w:tc>
          <w:tcPr>
            <w:tcW w:w="3397" w:type="dxa"/>
            <w:tcMar>
              <w:top w:w="0" w:type="dxa"/>
              <w:left w:w="108" w:type="dxa"/>
              <w:bottom w:w="0" w:type="dxa"/>
              <w:right w:w="108" w:type="dxa"/>
            </w:tcMar>
          </w:tcPr>
          <w:p w14:paraId="2F2EA8B5" w14:textId="44F6FADE" w:rsidR="007F7380" w:rsidRPr="0047462D" w:rsidRDefault="007F7380" w:rsidP="00973BAC">
            <w:pPr>
              <w:keepNext/>
              <w:rPr>
                <w:lang w:val="en-US"/>
              </w:rPr>
            </w:pPr>
            <w:r w:rsidRPr="0047462D">
              <w:t>6 έως 11</w:t>
            </w:r>
            <w:r w:rsidR="0073704C" w:rsidRPr="0047462D">
              <w:rPr>
                <w:lang w:val="en-GB"/>
              </w:rPr>
              <w:t> </w:t>
            </w:r>
            <w:r w:rsidRPr="0047462D">
              <w:t>ετών</w:t>
            </w:r>
            <w:r w:rsidR="00F35AC8" w:rsidRPr="0047462D">
              <w:rPr>
                <w:lang w:val="en-US"/>
              </w:rPr>
              <w:t> </w:t>
            </w:r>
            <w:r w:rsidR="00E10B9B" w:rsidRPr="0047462D">
              <w:rPr>
                <w:position w:val="6"/>
                <w:vertAlign w:val="superscript"/>
              </w:rPr>
              <w:t>†</w:t>
            </w:r>
            <w:r w:rsidR="00973BAC">
              <w:t xml:space="preserve"> </w:t>
            </w:r>
            <w:r w:rsidRPr="0047462D">
              <w:rPr>
                <w:lang w:val="en-US"/>
              </w:rPr>
              <w:t>(</w:t>
            </w:r>
            <w:r w:rsidR="00061497" w:rsidRPr="0047462D">
              <w:rPr>
                <w:lang w:val="en-US"/>
              </w:rPr>
              <w:t>≥</w:t>
            </w:r>
            <w:r w:rsidR="00D8422D" w:rsidRPr="0047462D">
              <w:rPr>
                <w:lang w:val="en-US"/>
              </w:rPr>
              <w:t> </w:t>
            </w:r>
            <w:r w:rsidRPr="0047462D">
              <w:rPr>
                <w:lang w:val="en-US"/>
              </w:rPr>
              <w:t>25 kg)</w:t>
            </w:r>
          </w:p>
        </w:tc>
        <w:tc>
          <w:tcPr>
            <w:tcW w:w="2410" w:type="dxa"/>
            <w:tcMar>
              <w:top w:w="0" w:type="dxa"/>
              <w:left w:w="108" w:type="dxa"/>
              <w:bottom w:w="0" w:type="dxa"/>
              <w:right w:w="108" w:type="dxa"/>
            </w:tcMar>
          </w:tcPr>
          <w:p w14:paraId="2C0B068A" w14:textId="77777777" w:rsidR="007F7380" w:rsidRPr="0047462D" w:rsidRDefault="007F7380" w:rsidP="000C3BD8">
            <w:pPr>
              <w:keepNext/>
            </w:pPr>
            <w:r w:rsidRPr="0047462D">
              <w:rPr>
                <w:lang w:val="en-US"/>
              </w:rPr>
              <w:t xml:space="preserve">150 mg </w:t>
            </w:r>
            <w:r w:rsidRPr="0047462D">
              <w:t>κάθε 12</w:t>
            </w:r>
            <w:r w:rsidR="00AB2762" w:rsidRPr="0047462D">
              <w:t xml:space="preserve"> </w:t>
            </w:r>
            <w:r w:rsidRPr="0047462D">
              <w:t>ώρες</w:t>
            </w:r>
          </w:p>
        </w:tc>
        <w:tc>
          <w:tcPr>
            <w:tcW w:w="1559" w:type="dxa"/>
            <w:tcMar>
              <w:top w:w="0" w:type="dxa"/>
              <w:left w:w="108" w:type="dxa"/>
              <w:bottom w:w="0" w:type="dxa"/>
              <w:right w:w="108" w:type="dxa"/>
            </w:tcMar>
          </w:tcPr>
          <w:p w14:paraId="3E06AD5B" w14:textId="77777777" w:rsidR="007F7380" w:rsidRPr="0047462D" w:rsidRDefault="007F7380" w:rsidP="000C3BD8">
            <w:pPr>
              <w:keepNext/>
              <w:rPr>
                <w:lang w:val="en-US"/>
              </w:rPr>
            </w:pPr>
            <w:r w:rsidRPr="0047462D">
              <w:rPr>
                <w:lang w:val="en-US"/>
              </w:rPr>
              <w:t>958 (546)</w:t>
            </w:r>
          </w:p>
        </w:tc>
        <w:tc>
          <w:tcPr>
            <w:tcW w:w="1683" w:type="dxa"/>
            <w:tcMar>
              <w:top w:w="0" w:type="dxa"/>
              <w:left w:w="108" w:type="dxa"/>
              <w:bottom w:w="0" w:type="dxa"/>
              <w:right w:w="108" w:type="dxa"/>
            </w:tcMar>
          </w:tcPr>
          <w:p w14:paraId="21355201" w14:textId="77777777" w:rsidR="007F7380" w:rsidRPr="0047462D" w:rsidRDefault="007F7380" w:rsidP="000C3BD8">
            <w:pPr>
              <w:keepNext/>
              <w:rPr>
                <w:lang w:val="en-US"/>
              </w:rPr>
            </w:pPr>
            <w:r w:rsidRPr="0047462D">
              <w:rPr>
                <w:lang w:val="en-US"/>
              </w:rPr>
              <w:t>15300 (7340)</w:t>
            </w:r>
          </w:p>
        </w:tc>
      </w:tr>
      <w:tr w:rsidR="007F7380" w:rsidRPr="0047462D" w14:paraId="281A43AD" w14:textId="77777777" w:rsidTr="00EB5A36">
        <w:trPr>
          <w:cantSplit/>
          <w:trHeight w:val="495"/>
        </w:trPr>
        <w:tc>
          <w:tcPr>
            <w:tcW w:w="3397" w:type="dxa"/>
            <w:tcMar>
              <w:top w:w="0" w:type="dxa"/>
              <w:left w:w="108" w:type="dxa"/>
              <w:bottom w:w="0" w:type="dxa"/>
              <w:right w:w="108" w:type="dxa"/>
            </w:tcMar>
          </w:tcPr>
          <w:p w14:paraId="776C4A24" w14:textId="634E21F5" w:rsidR="007F7380" w:rsidRPr="0047462D" w:rsidRDefault="007F7380" w:rsidP="000C3BD8">
            <w:pPr>
              <w:keepNext/>
            </w:pPr>
            <w:r w:rsidRPr="0047462D">
              <w:rPr>
                <w:lang w:val="en-US"/>
              </w:rPr>
              <w:t xml:space="preserve">12 </w:t>
            </w:r>
            <w:r w:rsidRPr="0047462D">
              <w:t>έως</w:t>
            </w:r>
            <w:r w:rsidRPr="0047462D">
              <w:rPr>
                <w:lang w:val="en-US"/>
              </w:rPr>
              <w:t xml:space="preserve"> 17</w:t>
            </w:r>
            <w:r w:rsidR="0073704C" w:rsidRPr="0047462D">
              <w:rPr>
                <w:lang w:val="en-GB"/>
              </w:rPr>
              <w:t> </w:t>
            </w:r>
            <w:r w:rsidRPr="0047462D">
              <w:t>ετών</w:t>
            </w:r>
          </w:p>
        </w:tc>
        <w:tc>
          <w:tcPr>
            <w:tcW w:w="2410" w:type="dxa"/>
            <w:tcMar>
              <w:top w:w="0" w:type="dxa"/>
              <w:left w:w="108" w:type="dxa"/>
              <w:bottom w:w="0" w:type="dxa"/>
              <w:right w:w="108" w:type="dxa"/>
            </w:tcMar>
          </w:tcPr>
          <w:p w14:paraId="10654E8D" w14:textId="77777777" w:rsidR="007F7380" w:rsidRPr="0047462D" w:rsidRDefault="007F7380" w:rsidP="000C3BD8">
            <w:pPr>
              <w:keepNext/>
            </w:pPr>
            <w:r w:rsidRPr="0047462D">
              <w:rPr>
                <w:lang w:val="en-US"/>
              </w:rPr>
              <w:t xml:space="preserve">150 mg </w:t>
            </w:r>
            <w:r w:rsidRPr="0047462D">
              <w:t>κάθε 12 ώρες</w:t>
            </w:r>
          </w:p>
        </w:tc>
        <w:tc>
          <w:tcPr>
            <w:tcW w:w="1559" w:type="dxa"/>
            <w:tcMar>
              <w:top w:w="0" w:type="dxa"/>
              <w:left w:w="108" w:type="dxa"/>
              <w:bottom w:w="0" w:type="dxa"/>
              <w:right w:w="108" w:type="dxa"/>
            </w:tcMar>
          </w:tcPr>
          <w:p w14:paraId="19833A49" w14:textId="77777777" w:rsidR="007F7380" w:rsidRPr="0047462D" w:rsidRDefault="007F7380" w:rsidP="000C3BD8">
            <w:pPr>
              <w:keepNext/>
              <w:rPr>
                <w:lang w:val="en-US"/>
              </w:rPr>
            </w:pPr>
            <w:r w:rsidRPr="0047462D">
              <w:rPr>
                <w:lang w:val="en-US"/>
              </w:rPr>
              <w:t>564 (242)</w:t>
            </w:r>
          </w:p>
        </w:tc>
        <w:tc>
          <w:tcPr>
            <w:tcW w:w="1683" w:type="dxa"/>
            <w:tcMar>
              <w:top w:w="0" w:type="dxa"/>
              <w:left w:w="108" w:type="dxa"/>
              <w:bottom w:w="0" w:type="dxa"/>
              <w:right w:w="108" w:type="dxa"/>
            </w:tcMar>
          </w:tcPr>
          <w:p w14:paraId="5A5FCBCC" w14:textId="77777777" w:rsidR="007F7380" w:rsidRPr="0047462D" w:rsidRDefault="007F7380" w:rsidP="000C3BD8">
            <w:pPr>
              <w:keepNext/>
              <w:rPr>
                <w:lang w:val="en-US"/>
              </w:rPr>
            </w:pPr>
            <w:r w:rsidRPr="0047462D">
              <w:rPr>
                <w:lang w:val="en-US"/>
              </w:rPr>
              <w:t>9240 (3420)</w:t>
            </w:r>
          </w:p>
        </w:tc>
      </w:tr>
      <w:tr w:rsidR="007F7380" w:rsidRPr="0047462D" w14:paraId="6D1C6B18" w14:textId="77777777" w:rsidTr="00EB5A36">
        <w:trPr>
          <w:cantSplit/>
          <w:trHeight w:val="463"/>
        </w:trPr>
        <w:tc>
          <w:tcPr>
            <w:tcW w:w="3397" w:type="dxa"/>
            <w:tcMar>
              <w:top w:w="0" w:type="dxa"/>
              <w:left w:w="108" w:type="dxa"/>
              <w:bottom w:w="0" w:type="dxa"/>
              <w:right w:w="108" w:type="dxa"/>
            </w:tcMar>
          </w:tcPr>
          <w:p w14:paraId="12A31346" w14:textId="77777777" w:rsidR="007F7380" w:rsidRPr="0047462D" w:rsidRDefault="007F7380" w:rsidP="00EB5A36">
            <w:pPr>
              <w:keepNext/>
              <w:rPr>
                <w:lang w:val="en-US"/>
              </w:rPr>
            </w:pPr>
            <w:r w:rsidRPr="0047462D">
              <w:t>Ενήλικες</w:t>
            </w:r>
            <w:r w:rsidRPr="0047462D">
              <w:rPr>
                <w:lang w:val="en-US"/>
              </w:rPr>
              <w:t xml:space="preserve"> (</w:t>
            </w:r>
            <w:r w:rsidR="00061497" w:rsidRPr="0047462D">
              <w:rPr>
                <w:lang w:val="en-US"/>
              </w:rPr>
              <w:t>≥</w:t>
            </w:r>
            <w:r w:rsidR="00D8422D" w:rsidRPr="0047462D">
              <w:rPr>
                <w:lang w:val="en-US"/>
              </w:rPr>
              <w:t> </w:t>
            </w:r>
            <w:r w:rsidRPr="0047462D">
              <w:rPr>
                <w:lang w:val="en-US"/>
              </w:rPr>
              <w:t>18 </w:t>
            </w:r>
            <w:r w:rsidRPr="0047462D">
              <w:t>ετών</w:t>
            </w:r>
            <w:r w:rsidRPr="0047462D">
              <w:rPr>
                <w:lang w:val="en-US"/>
              </w:rPr>
              <w:t>)</w:t>
            </w:r>
          </w:p>
        </w:tc>
        <w:tc>
          <w:tcPr>
            <w:tcW w:w="2410" w:type="dxa"/>
            <w:tcMar>
              <w:top w:w="0" w:type="dxa"/>
              <w:left w:w="108" w:type="dxa"/>
              <w:bottom w:w="0" w:type="dxa"/>
              <w:right w:w="108" w:type="dxa"/>
            </w:tcMar>
          </w:tcPr>
          <w:p w14:paraId="15272C97" w14:textId="77777777" w:rsidR="007F7380" w:rsidRPr="0047462D" w:rsidRDefault="007F7380" w:rsidP="00EB5A36">
            <w:pPr>
              <w:keepNext/>
            </w:pPr>
            <w:r w:rsidRPr="0047462D">
              <w:rPr>
                <w:lang w:val="en-US"/>
              </w:rPr>
              <w:t xml:space="preserve">150 mg </w:t>
            </w:r>
            <w:r w:rsidRPr="0047462D">
              <w:t>κάθε 12 ώρες</w:t>
            </w:r>
          </w:p>
        </w:tc>
        <w:tc>
          <w:tcPr>
            <w:tcW w:w="1559" w:type="dxa"/>
            <w:tcMar>
              <w:top w:w="0" w:type="dxa"/>
              <w:left w:w="108" w:type="dxa"/>
              <w:bottom w:w="0" w:type="dxa"/>
              <w:right w:w="108" w:type="dxa"/>
            </w:tcMar>
          </w:tcPr>
          <w:p w14:paraId="1AE64D43" w14:textId="77777777" w:rsidR="007F7380" w:rsidRPr="0047462D" w:rsidRDefault="007F7380" w:rsidP="00EB5A36">
            <w:pPr>
              <w:keepNext/>
              <w:rPr>
                <w:lang w:val="en-US"/>
              </w:rPr>
            </w:pPr>
            <w:r w:rsidRPr="0047462D">
              <w:rPr>
                <w:lang w:val="en-US"/>
              </w:rPr>
              <w:t>701 (317)</w:t>
            </w:r>
          </w:p>
        </w:tc>
        <w:tc>
          <w:tcPr>
            <w:tcW w:w="1683" w:type="dxa"/>
            <w:tcMar>
              <w:top w:w="0" w:type="dxa"/>
              <w:left w:w="108" w:type="dxa"/>
              <w:bottom w:w="0" w:type="dxa"/>
              <w:right w:w="108" w:type="dxa"/>
            </w:tcMar>
          </w:tcPr>
          <w:p w14:paraId="102EC3DB" w14:textId="77777777" w:rsidR="007F7380" w:rsidRPr="0047462D" w:rsidRDefault="007F7380" w:rsidP="00EB5A36">
            <w:pPr>
              <w:keepNext/>
              <w:rPr>
                <w:lang w:val="en-US"/>
              </w:rPr>
            </w:pPr>
            <w:r w:rsidRPr="0047462D">
              <w:rPr>
                <w:lang w:val="en-US"/>
              </w:rPr>
              <w:t>10700 (4100)</w:t>
            </w:r>
          </w:p>
        </w:tc>
      </w:tr>
    </w:tbl>
    <w:p w14:paraId="7DFAE879" w14:textId="1DB943D7" w:rsidR="00E10B9B" w:rsidRPr="0047462D" w:rsidRDefault="00E10B9B" w:rsidP="00EB5A36">
      <w:pPr>
        <w:keepNext/>
        <w:spacing w:before="120"/>
        <w:ind w:left="288" w:hanging="288"/>
        <w:rPr>
          <w:bCs/>
          <w:sz w:val="18"/>
          <w:szCs w:val="18"/>
        </w:rPr>
      </w:pPr>
      <w:r w:rsidRPr="0047462D">
        <w:rPr>
          <w:bCs/>
          <w:sz w:val="18"/>
          <w:szCs w:val="18"/>
          <w:vertAlign w:val="superscript"/>
        </w:rPr>
        <w:t>*</w:t>
      </w:r>
      <w:r w:rsidRPr="0047462D">
        <w:rPr>
          <w:bCs/>
          <w:sz w:val="18"/>
          <w:szCs w:val="18"/>
        </w:rPr>
        <w:tab/>
        <w:t>Τιμές που βασίζονται σε δεδομένα από έναν μεμονωμένο ασθενή</w:t>
      </w:r>
      <w:r w:rsidR="00D8422D" w:rsidRPr="0047462D">
        <w:rPr>
          <w:bCs/>
          <w:sz w:val="18"/>
          <w:szCs w:val="18"/>
        </w:rPr>
        <w:t>,</w:t>
      </w:r>
      <w:r w:rsidRPr="0047462D">
        <w:rPr>
          <w:bCs/>
          <w:sz w:val="18"/>
          <w:szCs w:val="18"/>
        </w:rPr>
        <w:t xml:space="preserve"> </w:t>
      </w:r>
      <w:r w:rsidR="00D8422D" w:rsidRPr="0047462D">
        <w:rPr>
          <w:bCs/>
          <w:sz w:val="18"/>
          <w:szCs w:val="18"/>
        </w:rPr>
        <w:t>δ</w:t>
      </w:r>
      <w:r w:rsidRPr="0047462D">
        <w:rPr>
          <w:bCs/>
          <w:sz w:val="18"/>
          <w:szCs w:val="18"/>
        </w:rPr>
        <w:t>εν αναφέρθηκε τυπική απόκλιση.</w:t>
      </w:r>
    </w:p>
    <w:p w14:paraId="1DB573FA" w14:textId="77777777" w:rsidR="00E10B9B" w:rsidRPr="0047462D" w:rsidRDefault="00E10B9B" w:rsidP="00E10B9B">
      <w:pPr>
        <w:ind w:left="288" w:hanging="288"/>
        <w:rPr>
          <w:bCs/>
          <w:sz w:val="18"/>
          <w:szCs w:val="18"/>
        </w:rPr>
      </w:pPr>
      <w:r w:rsidRPr="0047462D">
        <w:rPr>
          <w:position w:val="6"/>
          <w:sz w:val="18"/>
          <w:szCs w:val="18"/>
          <w:vertAlign w:val="superscript"/>
        </w:rPr>
        <w:t>†</w:t>
      </w:r>
      <w:r w:rsidRPr="0047462D">
        <w:rPr>
          <w:bCs/>
          <w:sz w:val="18"/>
          <w:szCs w:val="18"/>
        </w:rPr>
        <w:tab/>
        <w:t>Οι εκθέσεις σε άτομα 6 έως 11 ετών είναι προβλέψεις που βασίζονται σε προσομοιώσεις από το μοντέλο φαρμακοκινητικής πληθυσμού με χρήση δεδομένων που ελήφθησαν γι' αυτή την ηλικιακή ομάδα.</w:t>
      </w:r>
    </w:p>
    <w:p w14:paraId="552F07C6" w14:textId="77777777" w:rsidR="00A67D3A" w:rsidRPr="0047462D" w:rsidRDefault="00A67D3A" w:rsidP="00141E57">
      <w:pPr>
        <w:numPr>
          <w:ilvl w:val="12"/>
          <w:numId w:val="0"/>
        </w:numPr>
        <w:tabs>
          <w:tab w:val="left" w:pos="567"/>
        </w:tabs>
        <w:suppressAutoHyphens w:val="0"/>
        <w:spacing w:line="260" w:lineRule="exact"/>
        <w:ind w:right="-2"/>
        <w:rPr>
          <w:bCs/>
          <w:szCs w:val="22"/>
          <w:lang w:eastAsia="en-US"/>
        </w:rPr>
      </w:pPr>
    </w:p>
    <w:p w14:paraId="084A1B7D" w14:textId="2AC36C86" w:rsidR="00D00663" w:rsidRPr="0047462D" w:rsidRDefault="00EF02BD" w:rsidP="00D00663">
      <w:r>
        <w:t>Η έκθεση στο</w:t>
      </w:r>
      <w:r w:rsidR="00D00663" w:rsidRPr="0047462D">
        <w:t xml:space="preserve"> ivacaftor σε συνδυασμό με το tezacaftor</w:t>
      </w:r>
      <w:r w:rsidR="00B438AD" w:rsidRPr="0047462D">
        <w:t xml:space="preserve"> και με tezacaftor/elexacaftor</w:t>
      </w:r>
      <w:r w:rsidR="00D00663" w:rsidRPr="0047462D">
        <w:t xml:space="preserve"> </w:t>
      </w:r>
      <w:r>
        <w:t>παρουσιάζεται</w:t>
      </w:r>
      <w:r w:rsidR="006C52A5">
        <w:t xml:space="preserve"> στον Πίνακα 10</w:t>
      </w:r>
      <w:r w:rsidR="00D00663" w:rsidRPr="0047462D">
        <w:t>.</w:t>
      </w:r>
    </w:p>
    <w:p w14:paraId="1E0D34BF" w14:textId="77777777" w:rsidR="00406B6E" w:rsidRPr="0047462D" w:rsidRDefault="00406B6E" w:rsidP="00EB5A36">
      <w:pPr>
        <w:pStyle w:val="labeltext"/>
        <w:spacing w:after="120"/>
        <w:rPr>
          <w:b/>
          <w:sz w:val="22"/>
          <w:szCs w:val="22"/>
          <w:lang w:val="el-GR"/>
        </w:rPr>
      </w:pPr>
    </w:p>
    <w:p w14:paraId="7BAD4EE9" w14:textId="268A7796" w:rsidR="00406B6E" w:rsidRPr="0047462D" w:rsidRDefault="00406B6E" w:rsidP="00EB5A36">
      <w:pPr>
        <w:keepNext/>
        <w:keepLines/>
        <w:spacing w:after="120" w:line="260" w:lineRule="exact"/>
        <w:ind w:left="1080" w:hanging="1080"/>
        <w:rPr>
          <w:rFonts w:eastAsia="Calibri"/>
          <w:b/>
          <w:bCs/>
          <w:lang w:eastAsia="nl-NL"/>
        </w:rPr>
      </w:pPr>
      <w:r w:rsidRPr="0047462D">
        <w:rPr>
          <w:rFonts w:eastAsia="Calibri"/>
          <w:b/>
          <w:bCs/>
          <w:lang w:eastAsia="nl-NL"/>
        </w:rPr>
        <w:t>Πίνακας </w:t>
      </w:r>
      <w:r w:rsidR="00B438AD" w:rsidRPr="0047462D">
        <w:rPr>
          <w:rFonts w:eastAsia="Calibri"/>
          <w:b/>
          <w:bCs/>
          <w:lang w:eastAsia="nl-NL"/>
        </w:rPr>
        <w:t>10</w:t>
      </w:r>
      <w:r w:rsidRPr="0047462D">
        <w:rPr>
          <w:rFonts w:eastAsia="Calibri"/>
          <w:b/>
          <w:bCs/>
          <w:lang w:eastAsia="nl-NL"/>
        </w:rPr>
        <w:t xml:space="preserve">: </w:t>
      </w:r>
      <w:r w:rsidRPr="0047462D">
        <w:rPr>
          <w:b/>
          <w:szCs w:val="22"/>
        </w:rPr>
        <w:t>Μέση (SD) έκθεση στο ivacaftor όταν χρησιμοποιείται σε συνδυασμό, ανά ηλικιακή ομάδα</w:t>
      </w:r>
    </w:p>
    <w:tbl>
      <w:tblPr>
        <w:tblW w:w="8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700"/>
        <w:gridCol w:w="2790"/>
      </w:tblGrid>
      <w:tr w:rsidR="00B438AD" w:rsidRPr="0047462D" w14:paraId="2C46E709" w14:textId="77777777" w:rsidTr="002877EB">
        <w:trPr>
          <w:cantSplit/>
          <w:trHeight w:val="531"/>
          <w:tblHeader/>
        </w:trPr>
        <w:tc>
          <w:tcPr>
            <w:tcW w:w="2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E57B77" w14:textId="77777777" w:rsidR="00B438AD" w:rsidRPr="0047462D" w:rsidRDefault="00B438AD" w:rsidP="00EB5A36">
            <w:pPr>
              <w:keepNext/>
              <w:tabs>
                <w:tab w:val="left" w:pos="720"/>
              </w:tabs>
              <w:jc w:val="center"/>
              <w:rPr>
                <w:rFonts w:eastAsia="Calibri"/>
                <w:b/>
                <w:bCs/>
                <w:lang w:eastAsia="nl-NL"/>
              </w:rPr>
            </w:pPr>
            <w:r w:rsidRPr="0047462D">
              <w:rPr>
                <w:rFonts w:eastAsia="Calibri"/>
                <w:b/>
                <w:bCs/>
                <w:lang w:eastAsia="nl-NL"/>
              </w:rPr>
              <w:t>Ηλικιακή ομάδα</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3BE40C6" w14:textId="77777777" w:rsidR="00B438AD" w:rsidRPr="0047462D" w:rsidRDefault="00B438AD" w:rsidP="00EB5A36">
            <w:pPr>
              <w:keepNext/>
              <w:tabs>
                <w:tab w:val="left" w:pos="720"/>
              </w:tabs>
              <w:jc w:val="center"/>
              <w:rPr>
                <w:rFonts w:eastAsia="Calibri"/>
                <w:b/>
                <w:bCs/>
                <w:lang w:eastAsia="nl-NL"/>
              </w:rPr>
            </w:pPr>
            <w:r w:rsidRPr="0047462D">
              <w:rPr>
                <w:rFonts w:eastAsia="Calibri"/>
                <w:b/>
                <w:bCs/>
                <w:lang w:eastAsia="nl-NL"/>
              </w:rPr>
              <w:t>Δόση</w:t>
            </w:r>
          </w:p>
        </w:tc>
        <w:tc>
          <w:tcPr>
            <w:tcW w:w="2790" w:type="dxa"/>
            <w:tcBorders>
              <w:top w:val="single" w:sz="4" w:space="0" w:color="auto"/>
              <w:left w:val="single" w:sz="4" w:space="0" w:color="auto"/>
              <w:bottom w:val="single" w:sz="4" w:space="0" w:color="auto"/>
              <w:right w:val="single" w:sz="4" w:space="0" w:color="auto"/>
            </w:tcBorders>
            <w:vAlign w:val="center"/>
          </w:tcPr>
          <w:p w14:paraId="39AAA2D2" w14:textId="77777777" w:rsidR="00B438AD" w:rsidRPr="0047462D" w:rsidRDefault="00B438AD" w:rsidP="00EB5A36">
            <w:pPr>
              <w:keepNext/>
              <w:tabs>
                <w:tab w:val="left" w:pos="720"/>
              </w:tabs>
              <w:jc w:val="center"/>
              <w:rPr>
                <w:rFonts w:eastAsia="Calibri"/>
                <w:b/>
                <w:bCs/>
                <w:lang w:eastAsia="nl-NL"/>
              </w:rPr>
            </w:pPr>
            <w:r w:rsidRPr="0047462D">
              <w:rPr>
                <w:rFonts w:eastAsia="Calibri"/>
                <w:b/>
                <w:bCs/>
                <w:lang w:eastAsia="nl-NL"/>
              </w:rPr>
              <w:t>Μέση (SD)</w:t>
            </w:r>
          </w:p>
          <w:p w14:paraId="623527DB" w14:textId="2D7B3AFC" w:rsidR="00B438AD" w:rsidRPr="0047462D" w:rsidRDefault="00B438AD" w:rsidP="00FE1D32">
            <w:pPr>
              <w:keepNext/>
              <w:tabs>
                <w:tab w:val="left" w:pos="720"/>
              </w:tabs>
              <w:jc w:val="center"/>
              <w:rPr>
                <w:rFonts w:eastAsia="Calibri"/>
                <w:b/>
                <w:bCs/>
                <w:lang w:eastAsia="nl-NL"/>
              </w:rPr>
            </w:pPr>
            <w:r w:rsidRPr="0047462D">
              <w:rPr>
                <w:rFonts w:eastAsia="Calibri"/>
                <w:b/>
                <w:bCs/>
                <w:lang w:eastAsia="nl-NL"/>
              </w:rPr>
              <w:t>AUC</w:t>
            </w:r>
            <w:r w:rsidRPr="0047462D">
              <w:rPr>
                <w:rFonts w:eastAsia="Calibri"/>
                <w:b/>
                <w:bCs/>
                <w:vertAlign w:val="subscript"/>
                <w:lang w:eastAsia="nl-NL"/>
              </w:rPr>
              <w:t>0-12h</w:t>
            </w:r>
            <w:r w:rsidRPr="0047462D">
              <w:rPr>
                <w:rFonts w:eastAsia="Calibri"/>
                <w:b/>
                <w:bCs/>
                <w:lang w:eastAsia="nl-NL"/>
              </w:rPr>
              <w:t>,ss (ng*h/m</w:t>
            </w:r>
            <w:r w:rsidRPr="0047462D">
              <w:rPr>
                <w:rFonts w:eastAsia="Calibri"/>
                <w:b/>
                <w:bCs/>
                <w:lang w:val="en-GB" w:eastAsia="nl-NL"/>
              </w:rPr>
              <w:t>l</w:t>
            </w:r>
            <w:r w:rsidRPr="0047462D">
              <w:rPr>
                <w:rFonts w:eastAsia="Calibri"/>
                <w:b/>
                <w:bCs/>
                <w:lang w:eastAsia="nl-NL"/>
              </w:rPr>
              <w:t>) του ivacaftor</w:t>
            </w:r>
          </w:p>
        </w:tc>
      </w:tr>
      <w:tr w:rsidR="006C52A5" w:rsidRPr="0047462D" w14:paraId="66479FD3" w14:textId="77777777" w:rsidTr="002877EB">
        <w:trPr>
          <w:cantSplit/>
          <w:trHeight w:val="531"/>
          <w:tblHeader/>
        </w:trPr>
        <w:tc>
          <w:tcPr>
            <w:tcW w:w="2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B69C4C" w14:textId="259CE8C4" w:rsidR="006C52A5" w:rsidRPr="00F93ECE" w:rsidRDefault="006C52A5" w:rsidP="00F93ECE">
            <w:pPr>
              <w:keepNext/>
              <w:tabs>
                <w:tab w:val="left" w:pos="720"/>
              </w:tabs>
              <w:rPr>
                <w:rFonts w:eastAsia="Calibri"/>
                <w:lang w:eastAsia="nl-NL"/>
              </w:rPr>
            </w:pPr>
            <w:r>
              <w:rPr>
                <w:rFonts w:eastAsia="Calibri"/>
                <w:lang w:eastAsia="nl-NL"/>
              </w:rPr>
              <w:t>Παιδιά (6 ετών έως κάτω των 12 ετών, &lt; 30 kg)</w:t>
            </w:r>
            <w:r>
              <w:rPr>
                <w:rFonts w:eastAsia="Calibri"/>
                <w:lang w:eastAsia="nl-NL"/>
              </w:rPr>
              <w:br/>
              <w:t>n=71</w:t>
            </w:r>
          </w:p>
        </w:tc>
        <w:tc>
          <w:tcPr>
            <w:tcW w:w="2700" w:type="dxa"/>
            <w:tcBorders>
              <w:top w:val="single" w:sz="4" w:space="0" w:color="auto"/>
              <w:left w:val="single" w:sz="4" w:space="0" w:color="auto"/>
              <w:bottom w:val="single" w:sz="4" w:space="0" w:color="auto"/>
              <w:right w:val="single" w:sz="4" w:space="0" w:color="auto"/>
            </w:tcBorders>
            <w:vAlign w:val="center"/>
          </w:tcPr>
          <w:p w14:paraId="4996D1B2" w14:textId="567A4A59" w:rsidR="006C52A5" w:rsidRPr="00F93ECE" w:rsidRDefault="006C52A5" w:rsidP="00F93ECE">
            <w:pPr>
              <w:keepNext/>
              <w:tabs>
                <w:tab w:val="left" w:pos="720"/>
              </w:tabs>
              <w:rPr>
                <w:rFonts w:eastAsia="Calibri"/>
                <w:lang w:eastAsia="nl-NL"/>
              </w:rPr>
            </w:pPr>
            <w:r>
              <w:rPr>
                <w:rFonts w:eastAsia="Calibri"/>
                <w:lang w:val="pt-PT" w:eastAsia="nl-NL"/>
              </w:rPr>
              <w:t>tezacaftor 50 mg </w:t>
            </w:r>
            <w:r w:rsidRPr="0047462D">
              <w:rPr>
                <w:rFonts w:eastAsia="Calibri"/>
                <w:lang w:eastAsia="nl-NL"/>
              </w:rPr>
              <w:t>άπαξ ημερησίως</w:t>
            </w:r>
            <w:r>
              <w:rPr>
                <w:rFonts w:eastAsia="Calibri"/>
                <w:lang w:val="pt-PT" w:eastAsia="nl-NL"/>
              </w:rPr>
              <w:t xml:space="preserve">/ ivacaftor 75 mg </w:t>
            </w:r>
            <w:r w:rsidRPr="0047462D">
              <w:rPr>
                <w:rFonts w:eastAsia="Calibri"/>
                <w:lang w:eastAsia="nl-NL"/>
              </w:rPr>
              <w:t>κάθε 12 ώρες</w:t>
            </w:r>
          </w:p>
        </w:tc>
        <w:tc>
          <w:tcPr>
            <w:tcW w:w="2790" w:type="dxa"/>
            <w:tcBorders>
              <w:top w:val="single" w:sz="4" w:space="0" w:color="auto"/>
              <w:left w:val="single" w:sz="4" w:space="0" w:color="auto"/>
              <w:bottom w:val="single" w:sz="4" w:space="0" w:color="auto"/>
              <w:right w:val="single" w:sz="4" w:space="0" w:color="auto"/>
            </w:tcBorders>
            <w:vAlign w:val="center"/>
          </w:tcPr>
          <w:p w14:paraId="39F77B72" w14:textId="56CC125D" w:rsidR="006C52A5" w:rsidRPr="00F93ECE" w:rsidRDefault="006C52A5">
            <w:pPr>
              <w:keepNext/>
              <w:tabs>
                <w:tab w:val="left" w:pos="720"/>
              </w:tabs>
              <w:jc w:val="center"/>
              <w:rPr>
                <w:rFonts w:eastAsia="Calibri"/>
                <w:lang w:eastAsia="nl-NL"/>
              </w:rPr>
            </w:pPr>
            <w:r w:rsidRPr="00376EF2">
              <w:rPr>
                <w:rFonts w:eastAsia="Calibri"/>
                <w:lang w:eastAsia="nl-NL"/>
              </w:rPr>
              <w:t>7100 (1950)</w:t>
            </w:r>
          </w:p>
        </w:tc>
      </w:tr>
      <w:tr w:rsidR="006C52A5" w:rsidRPr="0047462D" w14:paraId="5E2CFEA5" w14:textId="77777777" w:rsidTr="002877EB">
        <w:trPr>
          <w:cantSplit/>
          <w:trHeight w:val="531"/>
          <w:tblHeader/>
        </w:trPr>
        <w:tc>
          <w:tcPr>
            <w:tcW w:w="2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181E83" w14:textId="3DA440C9" w:rsidR="006C52A5" w:rsidRDefault="006C52A5" w:rsidP="006C52A5">
            <w:pPr>
              <w:keepNext/>
              <w:tabs>
                <w:tab w:val="left" w:pos="720"/>
              </w:tabs>
              <w:rPr>
                <w:rFonts w:eastAsia="Calibri"/>
              </w:rPr>
            </w:pPr>
            <w:r>
              <w:rPr>
                <w:rFonts w:eastAsia="Calibri"/>
                <w:lang w:eastAsia="nl-NL"/>
              </w:rPr>
              <w:t xml:space="preserve">Παιδιά (6 ετών έως κάτω των 12 ετών, </w:t>
            </w:r>
            <w:r w:rsidRPr="00475296">
              <w:rPr>
                <w:rFonts w:eastAsia="Calibri"/>
              </w:rPr>
              <w:t>≥</w:t>
            </w:r>
            <w:r>
              <w:rPr>
                <w:rFonts w:eastAsia="Calibri"/>
              </w:rPr>
              <w:t> 30 kg)</w:t>
            </w:r>
            <w:r w:rsidRPr="00376EF2">
              <w:rPr>
                <w:rFonts w:eastAsia="Calibri"/>
                <w:vertAlign w:val="superscript"/>
              </w:rPr>
              <w:t>*</w:t>
            </w:r>
          </w:p>
          <w:p w14:paraId="1E018397" w14:textId="14E7A74C" w:rsidR="006C52A5" w:rsidRDefault="006C52A5" w:rsidP="006C52A5">
            <w:pPr>
              <w:keepNext/>
              <w:tabs>
                <w:tab w:val="left" w:pos="720"/>
              </w:tabs>
              <w:rPr>
                <w:rFonts w:eastAsia="Calibri"/>
                <w:lang w:eastAsia="nl-NL"/>
              </w:rPr>
            </w:pPr>
            <w:r>
              <w:rPr>
                <w:rFonts w:eastAsia="Calibri"/>
              </w:rPr>
              <w:t>n=</w:t>
            </w:r>
            <w:r w:rsidRPr="00376EF2">
              <w:rPr>
                <w:rFonts w:eastAsia="Calibri"/>
              </w:rPr>
              <w:t>51</w:t>
            </w:r>
          </w:p>
        </w:tc>
        <w:tc>
          <w:tcPr>
            <w:tcW w:w="2700" w:type="dxa"/>
            <w:tcBorders>
              <w:top w:val="single" w:sz="4" w:space="0" w:color="auto"/>
              <w:left w:val="single" w:sz="4" w:space="0" w:color="auto"/>
              <w:bottom w:val="single" w:sz="4" w:space="0" w:color="auto"/>
              <w:right w:val="single" w:sz="4" w:space="0" w:color="auto"/>
            </w:tcBorders>
            <w:vAlign w:val="center"/>
          </w:tcPr>
          <w:p w14:paraId="3B21F17A" w14:textId="6518CA0A" w:rsidR="006C52A5" w:rsidRDefault="006C52A5" w:rsidP="006C52A5">
            <w:pPr>
              <w:keepNext/>
              <w:tabs>
                <w:tab w:val="left" w:pos="720"/>
              </w:tabs>
              <w:rPr>
                <w:rFonts w:eastAsia="Calibri"/>
                <w:lang w:val="pt-PT" w:eastAsia="nl-NL"/>
              </w:rPr>
            </w:pPr>
            <w:r>
              <w:rPr>
                <w:rFonts w:eastAsia="Calibri"/>
                <w:lang w:val="pt-PT" w:eastAsia="nl-NL"/>
              </w:rPr>
              <w:t>tez</w:t>
            </w:r>
            <w:r w:rsidR="00C0389D">
              <w:rPr>
                <w:rFonts w:eastAsia="Calibri"/>
                <w:lang w:val="pt-PT" w:eastAsia="nl-NL"/>
              </w:rPr>
              <w:t>a</w:t>
            </w:r>
            <w:r>
              <w:rPr>
                <w:rFonts w:eastAsia="Calibri"/>
                <w:lang w:val="pt-PT" w:eastAsia="nl-NL"/>
              </w:rPr>
              <w:t xml:space="preserve">caftor 100 mg </w:t>
            </w:r>
            <w:r w:rsidRPr="0047462D">
              <w:rPr>
                <w:rFonts w:eastAsia="Calibri"/>
                <w:lang w:eastAsia="nl-NL"/>
              </w:rPr>
              <w:t>άπαξ ημερησίως</w:t>
            </w:r>
            <w:r>
              <w:rPr>
                <w:rFonts w:eastAsia="Calibri"/>
                <w:lang w:val="pt-PT" w:eastAsia="nl-NL"/>
              </w:rPr>
              <w:t>/ ivacaftor 150 mg </w:t>
            </w:r>
            <w:r w:rsidRPr="0047462D">
              <w:rPr>
                <w:rFonts w:eastAsia="Calibri"/>
                <w:lang w:eastAsia="nl-NL"/>
              </w:rPr>
              <w:t>κάθε 12 ώρες</w:t>
            </w:r>
          </w:p>
        </w:tc>
        <w:tc>
          <w:tcPr>
            <w:tcW w:w="2790" w:type="dxa"/>
            <w:tcBorders>
              <w:top w:val="single" w:sz="4" w:space="0" w:color="auto"/>
              <w:left w:val="single" w:sz="4" w:space="0" w:color="auto"/>
              <w:bottom w:val="single" w:sz="4" w:space="0" w:color="auto"/>
              <w:right w:val="single" w:sz="4" w:space="0" w:color="auto"/>
            </w:tcBorders>
            <w:vAlign w:val="center"/>
          </w:tcPr>
          <w:p w14:paraId="2039A2F3" w14:textId="263B5198" w:rsidR="006C52A5" w:rsidRPr="00376EF2" w:rsidRDefault="006C52A5" w:rsidP="006C52A5">
            <w:pPr>
              <w:keepNext/>
              <w:tabs>
                <w:tab w:val="left" w:pos="720"/>
              </w:tabs>
              <w:jc w:val="center"/>
              <w:rPr>
                <w:rFonts w:eastAsia="Calibri"/>
                <w:lang w:eastAsia="nl-NL"/>
              </w:rPr>
            </w:pPr>
            <w:r w:rsidRPr="00376EF2">
              <w:rPr>
                <w:rFonts w:eastAsia="Calibri"/>
                <w:lang w:eastAsia="nl-NL"/>
              </w:rPr>
              <w:t>11800 (3890)</w:t>
            </w:r>
          </w:p>
        </w:tc>
      </w:tr>
      <w:tr w:rsidR="00A64CB3" w:rsidRPr="0047462D" w14:paraId="507A4E47" w14:textId="77777777" w:rsidTr="002877EB">
        <w:trPr>
          <w:cantSplit/>
          <w:trHeight w:val="360"/>
        </w:trPr>
        <w:tc>
          <w:tcPr>
            <w:tcW w:w="2972" w:type="dxa"/>
            <w:tcBorders>
              <w:top w:val="single" w:sz="4" w:space="0" w:color="auto"/>
              <w:left w:val="single" w:sz="4" w:space="0" w:color="auto"/>
              <w:right w:val="single" w:sz="4" w:space="0" w:color="auto"/>
            </w:tcBorders>
            <w:tcMar>
              <w:top w:w="0" w:type="dxa"/>
              <w:left w:w="108" w:type="dxa"/>
              <w:bottom w:w="0" w:type="dxa"/>
              <w:right w:w="108" w:type="dxa"/>
            </w:tcMar>
            <w:hideMark/>
          </w:tcPr>
          <w:p w14:paraId="3719FC04" w14:textId="291A75B5" w:rsidR="00A64CB3" w:rsidRPr="0047462D" w:rsidRDefault="00A64CB3" w:rsidP="009B437C">
            <w:pPr>
              <w:tabs>
                <w:tab w:val="left" w:pos="720"/>
              </w:tabs>
              <w:rPr>
                <w:rFonts w:eastAsia="Calibri"/>
                <w:lang w:eastAsia="nl-NL"/>
              </w:rPr>
            </w:pPr>
            <w:r w:rsidRPr="0047462D">
              <w:rPr>
                <w:rFonts w:eastAsia="Calibri"/>
                <w:lang w:eastAsia="nl-NL"/>
              </w:rPr>
              <w:t xml:space="preserve">Έφηβοι ασθενείς (12 έως </w:t>
            </w:r>
            <w:r w:rsidR="00B27117">
              <w:rPr>
                <w:rFonts w:eastAsia="Calibri"/>
                <w:lang w:eastAsia="nl-NL"/>
              </w:rPr>
              <w:t xml:space="preserve">κάτω των </w:t>
            </w:r>
            <w:r w:rsidRPr="0047462D">
              <w:rPr>
                <w:rFonts w:eastAsia="Calibri"/>
                <w:lang w:eastAsia="nl-NL"/>
              </w:rPr>
              <w:t>18 ετών)</w:t>
            </w:r>
          </w:p>
          <w:p w14:paraId="7AE604AF" w14:textId="77777777" w:rsidR="00A64CB3" w:rsidRPr="0047462D" w:rsidRDefault="00A64CB3" w:rsidP="009B437C">
            <w:pPr>
              <w:tabs>
                <w:tab w:val="left" w:pos="720"/>
              </w:tabs>
              <w:rPr>
                <w:rFonts w:eastAsia="Calibri"/>
                <w:lang w:eastAsia="nl-NL"/>
              </w:rPr>
            </w:pPr>
            <w:r w:rsidRPr="0047462D">
              <w:rPr>
                <w:rFonts w:eastAsia="Calibri"/>
                <w:lang w:eastAsia="nl-NL"/>
              </w:rPr>
              <w:t>n=97</w:t>
            </w:r>
          </w:p>
        </w:tc>
        <w:tc>
          <w:tcPr>
            <w:tcW w:w="2700" w:type="dxa"/>
            <w:vMerge w:val="restart"/>
            <w:tcBorders>
              <w:top w:val="single" w:sz="4" w:space="0" w:color="auto"/>
              <w:left w:val="single" w:sz="4" w:space="0" w:color="auto"/>
              <w:right w:val="single" w:sz="4" w:space="0" w:color="auto"/>
            </w:tcBorders>
            <w:hideMark/>
          </w:tcPr>
          <w:p w14:paraId="654EA89B" w14:textId="2F1AD794" w:rsidR="00A64CB3" w:rsidRPr="0047462D" w:rsidRDefault="00A64CB3" w:rsidP="009B437C">
            <w:pPr>
              <w:tabs>
                <w:tab w:val="left" w:pos="720"/>
              </w:tabs>
              <w:rPr>
                <w:rFonts w:eastAsia="Calibri"/>
                <w:lang w:eastAsia="nl-NL"/>
              </w:rPr>
            </w:pPr>
            <w:r w:rsidRPr="0047462D">
              <w:rPr>
                <w:rFonts w:eastAsia="Calibri"/>
                <w:lang w:eastAsia="nl-NL"/>
              </w:rPr>
              <w:t xml:space="preserve">tezacaftor 100 mg άπαξ ημερησίως/ </w:t>
            </w:r>
            <w:r w:rsidRPr="0047462D">
              <w:rPr>
                <w:rFonts w:eastAsia="Calibri"/>
                <w:lang w:val="pt-PT" w:eastAsia="nl-NL"/>
              </w:rPr>
              <w:br/>
            </w:r>
            <w:r w:rsidRPr="0047462D">
              <w:rPr>
                <w:rFonts w:eastAsia="Calibri"/>
                <w:lang w:eastAsia="nl-NL"/>
              </w:rPr>
              <w:t>ivacaftor 150 mg κάθε 12 ώρες</w:t>
            </w:r>
          </w:p>
        </w:tc>
        <w:tc>
          <w:tcPr>
            <w:tcW w:w="2790" w:type="dxa"/>
            <w:tcBorders>
              <w:top w:val="single" w:sz="4" w:space="0" w:color="auto"/>
              <w:left w:val="single" w:sz="4" w:space="0" w:color="auto"/>
              <w:bottom w:val="single" w:sz="4" w:space="0" w:color="auto"/>
              <w:right w:val="single" w:sz="4" w:space="0" w:color="auto"/>
            </w:tcBorders>
          </w:tcPr>
          <w:p w14:paraId="486B1E68" w14:textId="77777777" w:rsidR="00A64CB3" w:rsidRPr="0047462D" w:rsidRDefault="00A64CB3" w:rsidP="00EB5A36">
            <w:pPr>
              <w:tabs>
                <w:tab w:val="left" w:pos="720"/>
              </w:tabs>
              <w:jc w:val="center"/>
              <w:rPr>
                <w:rFonts w:eastAsia="Calibri"/>
                <w:lang w:eastAsia="nl-NL"/>
              </w:rPr>
            </w:pPr>
            <w:r w:rsidRPr="0047462D">
              <w:rPr>
                <w:rFonts w:eastAsia="Calibri"/>
                <w:lang w:eastAsia="nl-NL"/>
              </w:rPr>
              <w:t>11400 (5500)</w:t>
            </w:r>
          </w:p>
        </w:tc>
      </w:tr>
      <w:tr w:rsidR="00A64CB3" w:rsidRPr="0047462D" w14:paraId="55DED823" w14:textId="77777777" w:rsidTr="002877EB">
        <w:trPr>
          <w:cantSplit/>
          <w:trHeight w:val="360"/>
        </w:trPr>
        <w:tc>
          <w:tcPr>
            <w:tcW w:w="2972" w:type="dxa"/>
            <w:tcBorders>
              <w:left w:val="single" w:sz="4" w:space="0" w:color="auto"/>
              <w:bottom w:val="single" w:sz="4" w:space="0" w:color="auto"/>
              <w:right w:val="single" w:sz="4" w:space="0" w:color="auto"/>
            </w:tcBorders>
            <w:tcMar>
              <w:top w:w="0" w:type="dxa"/>
              <w:left w:w="108" w:type="dxa"/>
              <w:bottom w:w="0" w:type="dxa"/>
              <w:right w:w="108" w:type="dxa"/>
            </w:tcMar>
          </w:tcPr>
          <w:p w14:paraId="0E55910A" w14:textId="00939D28" w:rsidR="00A64CB3" w:rsidRPr="0047462D" w:rsidRDefault="00A64CB3" w:rsidP="002877EB">
            <w:pPr>
              <w:tabs>
                <w:tab w:val="left" w:pos="720"/>
              </w:tabs>
              <w:rPr>
                <w:rFonts w:eastAsia="Calibri"/>
                <w:lang w:eastAsia="nl-NL"/>
              </w:rPr>
            </w:pPr>
            <w:r w:rsidRPr="0047462D">
              <w:rPr>
                <w:rFonts w:eastAsia="Calibri"/>
                <w:lang w:eastAsia="nl-NL"/>
              </w:rPr>
              <w:t>Ενήλικες ασθενείς (18 ετών</w:t>
            </w:r>
            <w:r w:rsidR="00B27117">
              <w:rPr>
                <w:rFonts w:eastAsia="Calibri"/>
                <w:lang w:eastAsia="nl-NL"/>
              </w:rPr>
              <w:t xml:space="preserve"> και άνω</w:t>
            </w:r>
            <w:r w:rsidRPr="0047462D">
              <w:rPr>
                <w:rFonts w:eastAsia="Calibri"/>
                <w:lang w:eastAsia="nl-NL"/>
              </w:rPr>
              <w:t>)</w:t>
            </w:r>
          </w:p>
          <w:p w14:paraId="447FFF43" w14:textId="2217BE3D" w:rsidR="00A64CB3" w:rsidRPr="0047462D" w:rsidRDefault="00A64CB3" w:rsidP="00A64CB3">
            <w:pPr>
              <w:tabs>
                <w:tab w:val="left" w:pos="720"/>
              </w:tabs>
              <w:rPr>
                <w:rFonts w:eastAsia="Calibri"/>
                <w:lang w:eastAsia="nl-NL"/>
              </w:rPr>
            </w:pPr>
            <w:r w:rsidRPr="0047462D">
              <w:rPr>
                <w:rFonts w:eastAsia="Calibri"/>
                <w:lang w:eastAsia="nl-NL"/>
              </w:rPr>
              <w:t>n=389</w:t>
            </w:r>
          </w:p>
        </w:tc>
        <w:tc>
          <w:tcPr>
            <w:tcW w:w="2700" w:type="dxa"/>
            <w:vMerge/>
            <w:tcBorders>
              <w:left w:val="single" w:sz="4" w:space="0" w:color="auto"/>
              <w:bottom w:val="single" w:sz="4" w:space="0" w:color="auto"/>
              <w:right w:val="single" w:sz="4" w:space="0" w:color="auto"/>
            </w:tcBorders>
          </w:tcPr>
          <w:p w14:paraId="7D707C29" w14:textId="77777777" w:rsidR="00A64CB3" w:rsidRPr="0047462D" w:rsidRDefault="00A64CB3" w:rsidP="009B437C">
            <w:pPr>
              <w:tabs>
                <w:tab w:val="left" w:pos="720"/>
              </w:tabs>
              <w:rPr>
                <w:rFonts w:eastAsia="Calibri"/>
                <w:lang w:eastAsia="nl-NL"/>
              </w:rPr>
            </w:pPr>
          </w:p>
        </w:tc>
        <w:tc>
          <w:tcPr>
            <w:tcW w:w="2790" w:type="dxa"/>
            <w:tcBorders>
              <w:top w:val="single" w:sz="4" w:space="0" w:color="auto"/>
              <w:left w:val="single" w:sz="4" w:space="0" w:color="auto"/>
              <w:bottom w:val="single" w:sz="4" w:space="0" w:color="auto"/>
              <w:right w:val="single" w:sz="4" w:space="0" w:color="auto"/>
            </w:tcBorders>
          </w:tcPr>
          <w:p w14:paraId="5F583464" w14:textId="2B8F3A7F" w:rsidR="00A64CB3" w:rsidRPr="0047462D" w:rsidRDefault="00A64CB3" w:rsidP="00EB5A36">
            <w:pPr>
              <w:tabs>
                <w:tab w:val="left" w:pos="720"/>
              </w:tabs>
              <w:jc w:val="center"/>
              <w:rPr>
                <w:rFonts w:eastAsia="Calibri"/>
                <w:lang w:eastAsia="nl-NL"/>
              </w:rPr>
            </w:pPr>
            <w:r w:rsidRPr="0047462D">
              <w:rPr>
                <w:rFonts w:eastAsia="Calibri"/>
                <w:lang w:eastAsia="nl-NL"/>
              </w:rPr>
              <w:t>11400 (4140)</w:t>
            </w:r>
          </w:p>
        </w:tc>
      </w:tr>
      <w:tr w:rsidR="00A64CB3" w:rsidRPr="0047462D" w14:paraId="024C55EB" w14:textId="77777777" w:rsidTr="002877EB">
        <w:trPr>
          <w:cantSplit/>
          <w:trHeight w:val="271"/>
        </w:trPr>
        <w:tc>
          <w:tcPr>
            <w:tcW w:w="2972" w:type="dxa"/>
            <w:tcBorders>
              <w:top w:val="single" w:sz="4" w:space="0" w:color="auto"/>
              <w:left w:val="single" w:sz="4" w:space="0" w:color="auto"/>
              <w:right w:val="single" w:sz="4" w:space="0" w:color="auto"/>
            </w:tcBorders>
            <w:tcMar>
              <w:top w:w="0" w:type="dxa"/>
              <w:left w:w="108" w:type="dxa"/>
              <w:bottom w:w="0" w:type="dxa"/>
              <w:right w:w="108" w:type="dxa"/>
            </w:tcMar>
            <w:hideMark/>
          </w:tcPr>
          <w:p w14:paraId="7F19D31B" w14:textId="4B3534D4" w:rsidR="00A64CB3" w:rsidRPr="0047462D" w:rsidRDefault="00A64CB3" w:rsidP="009B437C">
            <w:pPr>
              <w:tabs>
                <w:tab w:val="left" w:pos="720"/>
              </w:tabs>
            </w:pPr>
            <w:r w:rsidRPr="0047462D">
              <w:rPr>
                <w:rFonts w:eastAsia="Calibri"/>
                <w:lang w:eastAsia="nl-NL"/>
              </w:rPr>
              <w:t xml:space="preserve">Έφηβοι ασθενείς </w:t>
            </w:r>
            <w:r w:rsidRPr="00F93ECE">
              <w:rPr>
                <w:rFonts w:eastAsia="Calibri"/>
              </w:rPr>
              <w:t xml:space="preserve">(12 </w:t>
            </w:r>
            <w:r w:rsidRPr="0047462D">
              <w:rPr>
                <w:rFonts w:eastAsia="Calibri"/>
              </w:rPr>
              <w:t>έως</w:t>
            </w:r>
            <w:r w:rsidRPr="00F93ECE">
              <w:rPr>
                <w:rFonts w:eastAsia="Calibri"/>
              </w:rPr>
              <w:t xml:space="preserve"> </w:t>
            </w:r>
            <w:r w:rsidR="00B27117">
              <w:rPr>
                <w:rFonts w:eastAsia="Calibri"/>
              </w:rPr>
              <w:t xml:space="preserve">κάτω των </w:t>
            </w:r>
            <w:r w:rsidRPr="0047462D">
              <w:t>18 ετών)</w:t>
            </w:r>
          </w:p>
          <w:p w14:paraId="1CC4A06E" w14:textId="6E80DF0A" w:rsidR="00A64CB3" w:rsidRPr="0047462D" w:rsidRDefault="00A64CB3" w:rsidP="009B437C">
            <w:pPr>
              <w:tabs>
                <w:tab w:val="left" w:pos="720"/>
              </w:tabs>
              <w:rPr>
                <w:rFonts w:eastAsia="Calibri"/>
                <w:lang w:eastAsia="nl-NL"/>
              </w:rPr>
            </w:pPr>
            <w:r w:rsidRPr="0047462D">
              <w:rPr>
                <w:rFonts w:eastAsia="Calibri"/>
                <w:lang w:eastAsia="nl-NL"/>
              </w:rPr>
              <w:t>n=69</w:t>
            </w:r>
          </w:p>
        </w:tc>
        <w:tc>
          <w:tcPr>
            <w:tcW w:w="2700" w:type="dxa"/>
            <w:vMerge w:val="restart"/>
            <w:tcBorders>
              <w:top w:val="single" w:sz="4" w:space="0" w:color="auto"/>
              <w:left w:val="single" w:sz="4" w:space="0" w:color="auto"/>
              <w:right w:val="single" w:sz="4" w:space="0" w:color="auto"/>
            </w:tcBorders>
            <w:hideMark/>
          </w:tcPr>
          <w:p w14:paraId="3E4B6BE9" w14:textId="5A96B188" w:rsidR="00A64CB3" w:rsidRPr="0047462D" w:rsidRDefault="00A64CB3" w:rsidP="00F93ECE">
            <w:pPr>
              <w:keepNext/>
              <w:tabs>
                <w:tab w:val="left" w:pos="720"/>
              </w:tabs>
              <w:rPr>
                <w:rFonts w:eastAsia="Calibri"/>
                <w:lang w:eastAsia="nl-NL"/>
              </w:rPr>
            </w:pPr>
            <w:r w:rsidRPr="0047462D">
              <w:rPr>
                <w:rFonts w:eastAsia="Calibri"/>
                <w:lang w:val="en-US"/>
              </w:rPr>
              <w:t>elexacaftor</w:t>
            </w:r>
            <w:r w:rsidRPr="00F93ECE">
              <w:rPr>
                <w:rFonts w:eastAsia="Calibri"/>
              </w:rPr>
              <w:t xml:space="preserve"> 200</w:t>
            </w:r>
            <w:r w:rsidRPr="0047462D">
              <w:rPr>
                <w:rFonts w:eastAsia="Calibri"/>
                <w:lang w:val="en-US"/>
              </w:rPr>
              <w:t> mg</w:t>
            </w:r>
            <w:r w:rsidRPr="00F93ECE">
              <w:rPr>
                <w:rFonts w:eastAsia="Calibri"/>
              </w:rPr>
              <w:t xml:space="preserve"> </w:t>
            </w:r>
            <w:r w:rsidRPr="0047462D">
              <w:rPr>
                <w:rFonts w:eastAsia="Calibri"/>
                <w:lang w:eastAsia="nl-NL"/>
              </w:rPr>
              <w:t>άπαξ ημερησίως</w:t>
            </w:r>
            <w:r w:rsidRPr="00F93ECE">
              <w:rPr>
                <w:rFonts w:eastAsia="Calibri"/>
              </w:rPr>
              <w:t>/</w:t>
            </w:r>
            <w:r w:rsidRPr="00F93ECE">
              <w:rPr>
                <w:rFonts w:eastAsia="Calibri"/>
              </w:rPr>
              <w:br/>
            </w:r>
            <w:r w:rsidRPr="0047462D">
              <w:rPr>
                <w:rFonts w:eastAsia="Calibri"/>
                <w:lang w:eastAsia="nl-NL"/>
              </w:rPr>
              <w:t>tezacaftor 100 mg άπαξ ημερησίως/</w:t>
            </w:r>
            <w:r w:rsidRPr="00F93ECE">
              <w:rPr>
                <w:rFonts w:eastAsia="Calibri"/>
              </w:rPr>
              <w:br/>
            </w:r>
            <w:r w:rsidRPr="0047462D">
              <w:rPr>
                <w:rFonts w:eastAsia="Calibri"/>
                <w:lang w:eastAsia="nl-NL"/>
              </w:rPr>
              <w:t>ivacaftor 150 mg κάθε 12 ώρες</w:t>
            </w:r>
          </w:p>
        </w:tc>
        <w:tc>
          <w:tcPr>
            <w:tcW w:w="2790" w:type="dxa"/>
            <w:tcBorders>
              <w:top w:val="single" w:sz="4" w:space="0" w:color="auto"/>
              <w:left w:val="single" w:sz="4" w:space="0" w:color="auto"/>
              <w:bottom w:val="single" w:sz="4" w:space="0" w:color="auto"/>
              <w:right w:val="single" w:sz="4" w:space="0" w:color="auto"/>
            </w:tcBorders>
          </w:tcPr>
          <w:p w14:paraId="2FC034FC" w14:textId="622592F5" w:rsidR="00A64CB3" w:rsidRPr="0047462D" w:rsidRDefault="00A64CB3" w:rsidP="00A64CB3">
            <w:pPr>
              <w:keepNext/>
              <w:tabs>
                <w:tab w:val="left" w:pos="720"/>
              </w:tabs>
              <w:jc w:val="center"/>
              <w:rPr>
                <w:rFonts w:eastAsia="Calibri"/>
                <w:lang w:eastAsia="nl-NL"/>
              </w:rPr>
            </w:pPr>
            <w:r w:rsidRPr="0047462D">
              <w:rPr>
                <w:bCs/>
                <w:lang w:val="en-US"/>
              </w:rPr>
              <w:t>10600 (3350</w:t>
            </w:r>
            <w:r w:rsidRPr="0047462D">
              <w:rPr>
                <w:lang w:val="en-US"/>
              </w:rPr>
              <w:t>)</w:t>
            </w:r>
          </w:p>
          <w:p w14:paraId="7DB0CA43" w14:textId="5683B810" w:rsidR="00A64CB3" w:rsidRPr="0047462D" w:rsidRDefault="00A64CB3" w:rsidP="00EB5A36">
            <w:pPr>
              <w:tabs>
                <w:tab w:val="left" w:pos="720"/>
              </w:tabs>
              <w:jc w:val="center"/>
              <w:rPr>
                <w:rFonts w:eastAsia="Calibri"/>
                <w:lang w:eastAsia="nl-NL"/>
              </w:rPr>
            </w:pPr>
          </w:p>
        </w:tc>
      </w:tr>
      <w:tr w:rsidR="00A64CB3" w:rsidRPr="0047462D" w14:paraId="607D9DE1" w14:textId="77777777" w:rsidTr="002877EB">
        <w:trPr>
          <w:cantSplit/>
          <w:trHeight w:val="271"/>
        </w:trPr>
        <w:tc>
          <w:tcPr>
            <w:tcW w:w="2972" w:type="dxa"/>
            <w:tcBorders>
              <w:left w:val="single" w:sz="4" w:space="0" w:color="auto"/>
              <w:bottom w:val="single" w:sz="4" w:space="0" w:color="auto"/>
              <w:right w:val="single" w:sz="4" w:space="0" w:color="auto"/>
            </w:tcBorders>
            <w:tcMar>
              <w:top w:w="0" w:type="dxa"/>
              <w:left w:w="108" w:type="dxa"/>
              <w:bottom w:w="0" w:type="dxa"/>
              <w:right w:w="108" w:type="dxa"/>
            </w:tcMar>
          </w:tcPr>
          <w:p w14:paraId="15D98586" w14:textId="53387E22" w:rsidR="00A64CB3" w:rsidRPr="0047462D" w:rsidRDefault="00A64CB3" w:rsidP="00F93ECE">
            <w:pPr>
              <w:keepNext/>
              <w:tabs>
                <w:tab w:val="left" w:pos="720"/>
              </w:tabs>
              <w:rPr>
                <w:rFonts w:eastAsia="Calibri"/>
                <w:lang w:eastAsia="nl-NL"/>
              </w:rPr>
            </w:pPr>
            <w:r w:rsidRPr="0047462D">
              <w:rPr>
                <w:rFonts w:eastAsia="Calibri"/>
                <w:lang w:eastAsia="nl-NL"/>
              </w:rPr>
              <w:t>Ενήλικες ασθενείς (18 ετών</w:t>
            </w:r>
            <w:r w:rsidR="00B27117">
              <w:rPr>
                <w:rFonts w:eastAsia="Calibri"/>
                <w:lang w:eastAsia="nl-NL"/>
              </w:rPr>
              <w:t xml:space="preserve"> και άνω</w:t>
            </w:r>
            <w:r w:rsidRPr="0047462D">
              <w:rPr>
                <w:rFonts w:eastAsia="Calibri"/>
                <w:lang w:eastAsia="nl-NL"/>
              </w:rPr>
              <w:t>)</w:t>
            </w:r>
          </w:p>
          <w:p w14:paraId="5392BE6E" w14:textId="533E2535" w:rsidR="00A64CB3" w:rsidRPr="0047462D" w:rsidRDefault="00A64CB3" w:rsidP="00F93ECE">
            <w:pPr>
              <w:keepNext/>
              <w:tabs>
                <w:tab w:val="left" w:pos="720"/>
              </w:tabs>
            </w:pPr>
            <w:r w:rsidRPr="0047462D">
              <w:rPr>
                <w:rFonts w:eastAsia="Calibri"/>
                <w:lang w:eastAsia="nl-NL"/>
              </w:rPr>
              <w:t>n=186</w:t>
            </w:r>
          </w:p>
        </w:tc>
        <w:tc>
          <w:tcPr>
            <w:tcW w:w="2700" w:type="dxa"/>
            <w:vMerge/>
            <w:tcBorders>
              <w:left w:val="single" w:sz="4" w:space="0" w:color="auto"/>
              <w:bottom w:val="single" w:sz="4" w:space="0" w:color="auto"/>
              <w:right w:val="single" w:sz="4" w:space="0" w:color="auto"/>
            </w:tcBorders>
          </w:tcPr>
          <w:p w14:paraId="3FA0629E" w14:textId="77777777" w:rsidR="00A64CB3" w:rsidRPr="0047462D" w:rsidRDefault="00A64CB3" w:rsidP="00F93ECE">
            <w:pPr>
              <w:keepNext/>
              <w:tabs>
                <w:tab w:val="left" w:pos="720"/>
              </w:tabs>
              <w:rPr>
                <w:rFonts w:eastAsia="Calibri"/>
                <w:lang w:eastAsia="nl-NL"/>
              </w:rPr>
            </w:pPr>
          </w:p>
        </w:tc>
        <w:tc>
          <w:tcPr>
            <w:tcW w:w="2790" w:type="dxa"/>
            <w:tcBorders>
              <w:top w:val="single" w:sz="4" w:space="0" w:color="auto"/>
              <w:left w:val="single" w:sz="4" w:space="0" w:color="auto"/>
              <w:bottom w:val="single" w:sz="4" w:space="0" w:color="auto"/>
              <w:right w:val="single" w:sz="4" w:space="0" w:color="auto"/>
            </w:tcBorders>
          </w:tcPr>
          <w:p w14:paraId="06F42D61" w14:textId="6BF5AA7F" w:rsidR="00A64CB3" w:rsidRPr="0047462D" w:rsidRDefault="00A64CB3" w:rsidP="00F93ECE">
            <w:pPr>
              <w:keepNext/>
              <w:tabs>
                <w:tab w:val="left" w:pos="720"/>
              </w:tabs>
              <w:jc w:val="center"/>
              <w:rPr>
                <w:rFonts w:eastAsia="Calibri"/>
                <w:lang w:eastAsia="nl-NL"/>
              </w:rPr>
            </w:pPr>
            <w:r w:rsidRPr="0047462D">
              <w:rPr>
                <w:bCs/>
                <w:lang w:val="en-US"/>
              </w:rPr>
              <w:t>12100 (4170)</w:t>
            </w:r>
          </w:p>
        </w:tc>
      </w:tr>
    </w:tbl>
    <w:p w14:paraId="4A5A8A08" w14:textId="394BC561" w:rsidR="00B27117" w:rsidRPr="00241C62" w:rsidRDefault="00B27117" w:rsidP="00B27117">
      <w:pPr>
        <w:rPr>
          <w:sz w:val="20"/>
          <w:lang w:eastAsia="nl-NL"/>
        </w:rPr>
      </w:pPr>
      <w:bookmarkStart w:id="4" w:name="_Hlk46931421"/>
      <w:r w:rsidRPr="00241C62">
        <w:rPr>
          <w:sz w:val="20"/>
          <w:vertAlign w:val="superscript"/>
          <w:lang w:eastAsia="nl-NL"/>
        </w:rPr>
        <w:t xml:space="preserve">* </w:t>
      </w:r>
      <w:r>
        <w:rPr>
          <w:sz w:val="20"/>
        </w:rPr>
        <w:t xml:space="preserve">Οι τιμές έκθεσης στο εύρος </w:t>
      </w:r>
      <w:r w:rsidR="001102DD">
        <w:rPr>
          <w:sz w:val="20"/>
        </w:rPr>
        <w:t>βάρους</w:t>
      </w:r>
      <w:r>
        <w:rPr>
          <w:sz w:val="20"/>
        </w:rPr>
        <w:t xml:space="preserve"> από </w:t>
      </w:r>
      <w:r w:rsidRPr="008752F4">
        <w:rPr>
          <w:sz w:val="20"/>
          <w:lang w:eastAsia="nl-NL"/>
        </w:rPr>
        <w:t>≥30</w:t>
      </w:r>
      <w:r w:rsidRPr="008752F4">
        <w:rPr>
          <w:rFonts w:eastAsia="MS Mincho"/>
          <w:sz w:val="20"/>
          <w:lang w:eastAsia="ja-JP"/>
        </w:rPr>
        <w:t> </w:t>
      </w:r>
      <w:r w:rsidRPr="008752F4">
        <w:rPr>
          <w:sz w:val="20"/>
          <w:lang w:eastAsia="nl-NL"/>
        </w:rPr>
        <w:t xml:space="preserve">kg </w:t>
      </w:r>
      <w:r>
        <w:rPr>
          <w:sz w:val="20"/>
          <w:lang w:eastAsia="nl-NL"/>
        </w:rPr>
        <w:t>έως</w:t>
      </w:r>
      <w:r w:rsidRPr="008752F4">
        <w:rPr>
          <w:sz w:val="20"/>
          <w:lang w:eastAsia="nl-NL"/>
        </w:rPr>
        <w:t xml:space="preserve"> &lt;40</w:t>
      </w:r>
      <w:r w:rsidRPr="008752F4">
        <w:rPr>
          <w:rFonts w:eastAsia="MS Mincho"/>
          <w:sz w:val="20"/>
          <w:lang w:eastAsia="ja-JP"/>
        </w:rPr>
        <w:t> </w:t>
      </w:r>
      <w:r w:rsidRPr="008752F4">
        <w:rPr>
          <w:sz w:val="20"/>
          <w:lang w:eastAsia="nl-NL"/>
        </w:rPr>
        <w:t xml:space="preserve">kg </w:t>
      </w:r>
      <w:r>
        <w:rPr>
          <w:rFonts w:eastAsia="Calibri"/>
          <w:sz w:val="20"/>
        </w:rPr>
        <w:t>είναι προβλέψεις που προέρχονται από το μοντέλο φαρμακοκινητικής πληθυσμού</w:t>
      </w:r>
      <w:r w:rsidRPr="00241C62">
        <w:rPr>
          <w:sz w:val="20"/>
          <w:lang w:eastAsia="nl-NL"/>
        </w:rPr>
        <w:t>.</w:t>
      </w:r>
    </w:p>
    <w:bookmarkEnd w:id="4"/>
    <w:p w14:paraId="066D3796" w14:textId="77777777" w:rsidR="00083867" w:rsidRPr="0047462D" w:rsidRDefault="00083867" w:rsidP="00141E57">
      <w:pPr>
        <w:numPr>
          <w:ilvl w:val="12"/>
          <w:numId w:val="0"/>
        </w:numPr>
        <w:tabs>
          <w:tab w:val="left" w:pos="567"/>
        </w:tabs>
        <w:suppressAutoHyphens w:val="0"/>
        <w:spacing w:line="260" w:lineRule="exact"/>
        <w:ind w:right="-2"/>
        <w:rPr>
          <w:bCs/>
          <w:szCs w:val="22"/>
          <w:lang w:eastAsia="en-US"/>
        </w:rPr>
      </w:pPr>
    </w:p>
    <w:p w14:paraId="2B9F59E8" w14:textId="77777777" w:rsidR="00A67D3A" w:rsidRPr="0047462D" w:rsidRDefault="00A67D3A" w:rsidP="00141E57">
      <w:pPr>
        <w:keepNext/>
        <w:tabs>
          <w:tab w:val="left" w:pos="567"/>
        </w:tabs>
        <w:suppressAutoHyphens w:val="0"/>
        <w:spacing w:line="260" w:lineRule="exact"/>
        <w:outlineLvl w:val="0"/>
        <w:rPr>
          <w:b/>
          <w:bCs/>
          <w:noProof/>
          <w:szCs w:val="22"/>
          <w:lang w:eastAsia="en-US"/>
        </w:rPr>
      </w:pPr>
      <w:r w:rsidRPr="0047462D">
        <w:rPr>
          <w:b/>
          <w:bCs/>
          <w:noProof/>
          <w:szCs w:val="22"/>
          <w:lang w:eastAsia="en-US"/>
        </w:rPr>
        <w:t>5.3</w:t>
      </w:r>
      <w:r w:rsidRPr="0047462D">
        <w:rPr>
          <w:b/>
          <w:bCs/>
          <w:noProof/>
          <w:szCs w:val="22"/>
          <w:lang w:eastAsia="en-US"/>
        </w:rPr>
        <w:tab/>
        <w:t>Προκλινικά δεδομένα για την ασφάλεια</w:t>
      </w:r>
    </w:p>
    <w:p w14:paraId="1B48D5FA" w14:textId="77777777" w:rsidR="00A67D3A" w:rsidRPr="0047462D" w:rsidRDefault="00A67D3A" w:rsidP="00141E57">
      <w:pPr>
        <w:keepNext/>
        <w:rPr>
          <w:szCs w:val="22"/>
          <w:lang w:eastAsia="en-US"/>
        </w:rPr>
      </w:pPr>
    </w:p>
    <w:p w14:paraId="5445903E" w14:textId="77777777" w:rsidR="00A67D3A" w:rsidRPr="0047462D" w:rsidRDefault="00C46092" w:rsidP="002331FF">
      <w:pPr>
        <w:rPr>
          <w:szCs w:val="22"/>
          <w:lang w:eastAsia="en-US"/>
        </w:rPr>
      </w:pPr>
      <w:r w:rsidRPr="0047462D">
        <w:rPr>
          <w:rFonts w:eastAsia="Times New Roman"/>
          <w:szCs w:val="22"/>
        </w:rPr>
        <w:t xml:space="preserve">Τα </w:t>
      </w:r>
      <w:r w:rsidR="00A67D3A" w:rsidRPr="0047462D">
        <w:rPr>
          <w:rFonts w:eastAsia="Times New Roman"/>
          <w:szCs w:val="22"/>
        </w:rPr>
        <w:t>μη κλινικ</w:t>
      </w:r>
      <w:r w:rsidRPr="0047462D">
        <w:rPr>
          <w:rFonts w:eastAsia="Times New Roman"/>
          <w:szCs w:val="22"/>
        </w:rPr>
        <w:t>ά</w:t>
      </w:r>
      <w:r w:rsidR="00A67D3A" w:rsidRPr="0047462D">
        <w:rPr>
          <w:rFonts w:eastAsia="Times New Roman"/>
          <w:szCs w:val="22"/>
        </w:rPr>
        <w:t xml:space="preserve"> </w:t>
      </w:r>
      <w:r w:rsidRPr="0047462D">
        <w:rPr>
          <w:rFonts w:eastAsia="Times New Roman"/>
          <w:szCs w:val="22"/>
        </w:rPr>
        <w:t xml:space="preserve">δεδομένα δεν αποκαλύπτουν ιδιαίτερο κίνδυνο για τον άνθρωπο με βάση </w:t>
      </w:r>
      <w:r w:rsidR="00A06A70" w:rsidRPr="0047462D">
        <w:rPr>
          <w:rFonts w:eastAsia="Times New Roman"/>
          <w:szCs w:val="22"/>
        </w:rPr>
        <w:t xml:space="preserve">τις </w:t>
      </w:r>
      <w:r w:rsidRPr="0047462D">
        <w:rPr>
          <w:rFonts w:eastAsia="Times New Roman"/>
          <w:szCs w:val="22"/>
        </w:rPr>
        <w:t xml:space="preserve">συμβατικές </w:t>
      </w:r>
      <w:r w:rsidR="00A67D3A" w:rsidRPr="0047462D">
        <w:rPr>
          <w:rFonts w:eastAsia="Times New Roman"/>
          <w:szCs w:val="22"/>
        </w:rPr>
        <w:t xml:space="preserve">μελέτες </w:t>
      </w:r>
      <w:r w:rsidRPr="0047462D">
        <w:t xml:space="preserve">φαρμακολογικής ασφάλειας, τοξικότητας επαναλαμβανόμενων δόσεων, γονοτοξικότητας </w:t>
      </w:r>
      <w:r w:rsidR="008B465C" w:rsidRPr="0047462D">
        <w:t xml:space="preserve">και </w:t>
      </w:r>
      <w:r w:rsidRPr="0047462D">
        <w:t>ενδεχόμενης καρκινογόνου δράσης.</w:t>
      </w:r>
    </w:p>
    <w:p w14:paraId="0BBB6BC0" w14:textId="77777777" w:rsidR="00A67D3A" w:rsidRPr="0047462D" w:rsidRDefault="00A67D3A">
      <w:pPr>
        <w:rPr>
          <w:rFonts w:eastAsia="Times New Roman"/>
          <w:szCs w:val="22"/>
        </w:rPr>
      </w:pPr>
    </w:p>
    <w:p w14:paraId="30215455" w14:textId="77777777" w:rsidR="009C65C2" w:rsidRPr="0047462D" w:rsidRDefault="009C65C2" w:rsidP="009C65C2">
      <w:pPr>
        <w:keepNext/>
        <w:rPr>
          <w:u w:val="single"/>
        </w:rPr>
      </w:pPr>
      <w:r w:rsidRPr="0047462D">
        <w:rPr>
          <w:u w:val="single"/>
        </w:rPr>
        <w:t>Κύηση και γονιμότητα</w:t>
      </w:r>
    </w:p>
    <w:p w14:paraId="09AD0179" w14:textId="77777777" w:rsidR="009C65C2" w:rsidRPr="0047462D" w:rsidRDefault="009C65C2" w:rsidP="00EB5A36">
      <w:pPr>
        <w:keepNext/>
        <w:rPr>
          <w:rFonts w:eastAsia="Times New Roman"/>
          <w:szCs w:val="22"/>
        </w:rPr>
      </w:pPr>
    </w:p>
    <w:p w14:paraId="180EFA31" w14:textId="263F9D24" w:rsidR="00E87B42" w:rsidRPr="0047462D" w:rsidRDefault="00A67D3A" w:rsidP="00E87B42">
      <w:r w:rsidRPr="0047462D">
        <w:rPr>
          <w:rFonts w:eastAsia="Times New Roman"/>
          <w:szCs w:val="22"/>
        </w:rPr>
        <w:t>Το ivacaftor σχετίστηκ</w:t>
      </w:r>
      <w:r w:rsidR="00C46092" w:rsidRPr="0047462D">
        <w:rPr>
          <w:rFonts w:eastAsia="Times New Roman"/>
          <w:szCs w:val="22"/>
        </w:rPr>
        <w:t>ε</w:t>
      </w:r>
      <w:r w:rsidRPr="0047462D">
        <w:rPr>
          <w:rFonts w:eastAsia="Times New Roman"/>
          <w:szCs w:val="22"/>
        </w:rPr>
        <w:t xml:space="preserve"> με </w:t>
      </w:r>
      <w:r w:rsidR="00C46092" w:rsidRPr="0047462D">
        <w:rPr>
          <w:rFonts w:eastAsia="Times New Roman"/>
          <w:szCs w:val="22"/>
        </w:rPr>
        <w:t xml:space="preserve">ελαφρές μειώσεις των βαρών των σπερματοδόχων κύστεων, μια μείωση του </w:t>
      </w:r>
      <w:r w:rsidRPr="0047462D">
        <w:rPr>
          <w:rFonts w:eastAsia="Times New Roman"/>
          <w:szCs w:val="22"/>
        </w:rPr>
        <w:t>συνολικ</w:t>
      </w:r>
      <w:r w:rsidR="00C46092" w:rsidRPr="0047462D">
        <w:rPr>
          <w:rFonts w:eastAsia="Times New Roman"/>
          <w:szCs w:val="22"/>
        </w:rPr>
        <w:t>ού</w:t>
      </w:r>
      <w:r w:rsidRPr="0047462D">
        <w:rPr>
          <w:rFonts w:eastAsia="Times New Roman"/>
          <w:szCs w:val="22"/>
        </w:rPr>
        <w:t xml:space="preserve"> δείκτη γονιμότητας</w:t>
      </w:r>
      <w:r w:rsidR="00C46092" w:rsidRPr="0047462D">
        <w:rPr>
          <w:rFonts w:eastAsia="Times New Roman"/>
          <w:szCs w:val="22"/>
        </w:rPr>
        <w:t xml:space="preserve"> και του </w:t>
      </w:r>
      <w:r w:rsidRPr="0047462D">
        <w:rPr>
          <w:rFonts w:eastAsia="Times New Roman"/>
          <w:szCs w:val="22"/>
        </w:rPr>
        <w:t>αριθμ</w:t>
      </w:r>
      <w:r w:rsidR="00C46092" w:rsidRPr="0047462D">
        <w:rPr>
          <w:rFonts w:eastAsia="Times New Roman"/>
          <w:szCs w:val="22"/>
        </w:rPr>
        <w:t>ού</w:t>
      </w:r>
      <w:r w:rsidRPr="0047462D">
        <w:rPr>
          <w:rFonts w:eastAsia="Times New Roman"/>
          <w:szCs w:val="22"/>
        </w:rPr>
        <w:t xml:space="preserve"> κυήσεων</w:t>
      </w:r>
      <w:r w:rsidR="00C46092" w:rsidRPr="0047462D">
        <w:rPr>
          <w:rFonts w:eastAsia="Times New Roman"/>
          <w:szCs w:val="22"/>
        </w:rPr>
        <w:t xml:space="preserve"> σε θήλεις που ζευγάρωσαν με άρρεν</w:t>
      </w:r>
      <w:r w:rsidR="00224449" w:rsidRPr="0047462D">
        <w:rPr>
          <w:rFonts w:eastAsia="Times New Roman"/>
          <w:szCs w:val="22"/>
        </w:rPr>
        <w:t xml:space="preserve">ες υπό αγωγή και με σημαντικές μειώσεις στον </w:t>
      </w:r>
      <w:r w:rsidRPr="0047462D">
        <w:rPr>
          <w:rFonts w:eastAsia="Times New Roman"/>
          <w:szCs w:val="22"/>
        </w:rPr>
        <w:t>αριθμό ωχρών σωματίων και θέσεων εμφύτευσης</w:t>
      </w:r>
      <w:r w:rsidR="00224449" w:rsidRPr="0047462D">
        <w:rPr>
          <w:rFonts w:eastAsia="Times New Roman"/>
          <w:szCs w:val="22"/>
        </w:rPr>
        <w:t xml:space="preserve"> με επακόλουθες μειώσεις </w:t>
      </w:r>
      <w:r w:rsidR="00224449" w:rsidRPr="0047462D">
        <w:t>στον μέσο αριθμό νεογνών και στον μέσο αριθμό βιώσιµων εμβρύων ανά νεογνό σε θήλεις υπό αγωγή</w:t>
      </w:r>
      <w:r w:rsidR="00224449" w:rsidRPr="0047462D">
        <w:rPr>
          <w:rFonts w:eastAsia="Times New Roman"/>
          <w:szCs w:val="22"/>
        </w:rPr>
        <w:t>.</w:t>
      </w:r>
      <w:r w:rsidRPr="0047462D">
        <w:rPr>
          <w:rFonts w:eastAsia="Times New Roman"/>
          <w:szCs w:val="22"/>
        </w:rPr>
        <w:t xml:space="preserve"> </w:t>
      </w:r>
      <w:r w:rsidR="0013001B" w:rsidRPr="0047462D">
        <w:t xml:space="preserve">Το ανώτατο </w:t>
      </w:r>
      <w:r w:rsidR="00A937F2" w:rsidRPr="0047462D">
        <w:t xml:space="preserve">επίπεδο </w:t>
      </w:r>
      <w:r w:rsidR="0013001B" w:rsidRPr="0047462D">
        <w:t>μη παρατηρήσιμων ανεπιθύμητων ενεργειών</w:t>
      </w:r>
      <w:r w:rsidR="005851F3" w:rsidRPr="0047462D">
        <w:t xml:space="preserve"> (NOAEL</w:t>
      </w:r>
      <w:r w:rsidR="0013001B" w:rsidRPr="0047462D">
        <w:t>) για τα ευρήματα γονιμότητας παρέχει ένα επίπεδο έκθεσης</w:t>
      </w:r>
      <w:r w:rsidR="00224449" w:rsidRPr="0047462D">
        <w:t xml:space="preserve"> </w:t>
      </w:r>
      <w:r w:rsidR="00300B42" w:rsidRPr="0047462D">
        <w:t xml:space="preserve">περίπου </w:t>
      </w:r>
      <w:r w:rsidR="005851F3" w:rsidRPr="0047462D">
        <w:t>4</w:t>
      </w:r>
      <w:r w:rsidR="007A4B3C" w:rsidRPr="0047462D">
        <w:t xml:space="preserve"> φορές </w:t>
      </w:r>
      <w:r w:rsidR="0013001B" w:rsidRPr="0047462D">
        <w:t xml:space="preserve">τη συστηματική έκθεση στο </w:t>
      </w:r>
      <w:r w:rsidR="00224449" w:rsidRPr="0047462D">
        <w:t xml:space="preserve">ivacaftor </w:t>
      </w:r>
      <w:r w:rsidR="0013001B" w:rsidRPr="0047462D">
        <w:t xml:space="preserve">και τους μεταβολίτες του </w:t>
      </w:r>
      <w:r w:rsidR="005851F3" w:rsidRPr="0047462D">
        <w:t xml:space="preserve">όταν χορηγείται ως </w:t>
      </w:r>
      <w:r w:rsidR="00234020" w:rsidRPr="0047462D">
        <w:t xml:space="preserve">μονοθεραπεία </w:t>
      </w:r>
      <w:r w:rsidR="005851F3" w:rsidRPr="0047462D">
        <w:t>ivacaftor</w:t>
      </w:r>
      <w:r w:rsidR="005F46C4" w:rsidRPr="0047462D">
        <w:t xml:space="preserve"> </w:t>
      </w:r>
      <w:r w:rsidR="005851F3" w:rsidRPr="0047462D">
        <w:t>σε</w:t>
      </w:r>
      <w:r w:rsidR="0013001B" w:rsidRPr="0047462D">
        <w:t xml:space="preserve"> ενήλικ</w:t>
      </w:r>
      <w:r w:rsidR="005F46C4" w:rsidRPr="0047462D">
        <w:t>ες</w:t>
      </w:r>
      <w:r w:rsidR="0013001B" w:rsidRPr="0047462D">
        <w:t xml:space="preserve"> </w:t>
      </w:r>
      <w:r w:rsidR="005F46C4" w:rsidRPr="0047462D">
        <w:t>α</w:t>
      </w:r>
      <w:r w:rsidR="0013001B" w:rsidRPr="0047462D">
        <w:t>νθρ</w:t>
      </w:r>
      <w:r w:rsidR="005F46C4" w:rsidRPr="0047462D">
        <w:t>ώ</w:t>
      </w:r>
      <w:r w:rsidR="0013001B" w:rsidRPr="0047462D">
        <w:t>πο</w:t>
      </w:r>
      <w:r w:rsidR="005F46C4" w:rsidRPr="0047462D">
        <w:t>υς</w:t>
      </w:r>
      <w:r w:rsidR="0013001B" w:rsidRPr="0047462D">
        <w:t xml:space="preserve"> στη μέγιστη συνιστώμενη δόση για τον άνθρωπο</w:t>
      </w:r>
      <w:r w:rsidR="00224449" w:rsidRPr="0047462D">
        <w:t xml:space="preserve"> (MRHD).</w:t>
      </w:r>
      <w:r w:rsidR="003E0B49" w:rsidRPr="0047462D">
        <w:t xml:space="preserve"> </w:t>
      </w:r>
      <w:r w:rsidR="00F77E6B" w:rsidRPr="0047462D">
        <w:t>Σε εγκύους επίμυες και κονίκλους παρατηρήθηκε μεταφορά του ivacaftor μέσω του πλακούντα</w:t>
      </w:r>
      <w:r w:rsidR="00E87B42" w:rsidRPr="0047462D">
        <w:t>.</w:t>
      </w:r>
    </w:p>
    <w:p w14:paraId="11A0ECDD" w14:textId="77777777" w:rsidR="00E87B42" w:rsidRPr="0047462D" w:rsidRDefault="00E87B42" w:rsidP="00E87B42"/>
    <w:p w14:paraId="65ABA390" w14:textId="77777777" w:rsidR="00E87B42" w:rsidRPr="0047462D" w:rsidRDefault="00F77E6B" w:rsidP="00E87B42">
      <w:pPr>
        <w:keepNext/>
        <w:rPr>
          <w:u w:val="single"/>
        </w:rPr>
      </w:pPr>
      <w:r w:rsidRPr="0047462D">
        <w:rPr>
          <w:u w:val="single"/>
        </w:rPr>
        <w:t>Περιγεννητική και μεταγεννητική ανάπτυξη</w:t>
      </w:r>
    </w:p>
    <w:p w14:paraId="04AEBDE2" w14:textId="77777777" w:rsidR="00A67D3A" w:rsidRPr="0047462D" w:rsidRDefault="00A67D3A" w:rsidP="00EB5A36">
      <w:pPr>
        <w:keepNext/>
        <w:rPr>
          <w:szCs w:val="22"/>
        </w:rPr>
      </w:pPr>
    </w:p>
    <w:p w14:paraId="3EB7302A" w14:textId="664FD527" w:rsidR="00A67D3A" w:rsidRPr="0047462D" w:rsidRDefault="00F77E6B">
      <w:pPr>
        <w:rPr>
          <w:rFonts w:eastAsia="Times New Roman"/>
          <w:szCs w:val="22"/>
        </w:rPr>
      </w:pPr>
      <w:r w:rsidRPr="0047462D">
        <w:t>Τ</w:t>
      </w:r>
      <w:r w:rsidR="007A4B3C" w:rsidRPr="0047462D">
        <w:t xml:space="preserve">ο ivacaftor μείωσε τους </w:t>
      </w:r>
      <w:r w:rsidR="00A67D3A" w:rsidRPr="0047462D">
        <w:rPr>
          <w:rFonts w:eastAsia="Times New Roman"/>
          <w:szCs w:val="22"/>
        </w:rPr>
        <w:t>δείκτες επιβίωσης και θηλασμού</w:t>
      </w:r>
      <w:r w:rsidR="007A4B3C" w:rsidRPr="0047462D">
        <w:rPr>
          <w:rFonts w:eastAsia="Times New Roman"/>
          <w:szCs w:val="22"/>
        </w:rPr>
        <w:t xml:space="preserve"> και προκάλεσε μια μείωση </w:t>
      </w:r>
      <w:r w:rsidR="00A67D3A" w:rsidRPr="0047462D">
        <w:rPr>
          <w:rFonts w:eastAsia="Times New Roman"/>
          <w:szCs w:val="22"/>
        </w:rPr>
        <w:t>στο σωματικό βάρος των νεογνών.</w:t>
      </w:r>
      <w:r w:rsidR="007A4B3C" w:rsidRPr="0047462D">
        <w:rPr>
          <w:rFonts w:eastAsia="Times New Roman"/>
          <w:szCs w:val="22"/>
        </w:rPr>
        <w:t xml:space="preserve"> </w:t>
      </w:r>
      <w:r w:rsidR="007A4B3C" w:rsidRPr="0047462D">
        <w:t xml:space="preserve">Το NOAEL για τη βιωσιμότητα και ανάπτυξη στα νεογνά παρέχει ένα επίπεδο έκθεσης </w:t>
      </w:r>
      <w:r w:rsidR="005851F3" w:rsidRPr="0047462D">
        <w:t xml:space="preserve">περίπου </w:t>
      </w:r>
      <w:r w:rsidR="007A4B3C" w:rsidRPr="0047462D">
        <w:t>3 φορές τη συστηματική έκθεση στο ivacaftor</w:t>
      </w:r>
      <w:r w:rsidR="005851F3" w:rsidRPr="0047462D">
        <w:t xml:space="preserve"> και τους μεταβολίτες του</w:t>
      </w:r>
      <w:r w:rsidR="007A4B3C" w:rsidRPr="0047462D">
        <w:t xml:space="preserve"> </w:t>
      </w:r>
      <w:r w:rsidR="005851F3" w:rsidRPr="0047462D">
        <w:t xml:space="preserve">όταν χορηγείται ως </w:t>
      </w:r>
      <w:r w:rsidR="00234020" w:rsidRPr="0047462D">
        <w:t xml:space="preserve">μονοθεραπεία </w:t>
      </w:r>
      <w:r w:rsidR="005851F3" w:rsidRPr="0047462D">
        <w:t>ivacaftor</w:t>
      </w:r>
      <w:r w:rsidR="005F46C4" w:rsidRPr="0047462D">
        <w:t xml:space="preserve"> </w:t>
      </w:r>
      <w:r w:rsidR="005851F3" w:rsidRPr="0047462D">
        <w:t>σε</w:t>
      </w:r>
      <w:r w:rsidR="007A4B3C" w:rsidRPr="0047462D">
        <w:t xml:space="preserve"> ενήλικ</w:t>
      </w:r>
      <w:r w:rsidR="005F46C4" w:rsidRPr="0047462D">
        <w:t>ες</w:t>
      </w:r>
      <w:r w:rsidR="007A4B3C" w:rsidRPr="0047462D">
        <w:t xml:space="preserve"> </w:t>
      </w:r>
      <w:r w:rsidR="005F46C4" w:rsidRPr="0047462D">
        <w:t>α</w:t>
      </w:r>
      <w:r w:rsidR="007A4B3C" w:rsidRPr="0047462D">
        <w:t>νθρ</w:t>
      </w:r>
      <w:r w:rsidR="005F46C4" w:rsidRPr="0047462D">
        <w:t>ώ</w:t>
      </w:r>
      <w:r w:rsidR="007A4B3C" w:rsidRPr="0047462D">
        <w:t>πο</w:t>
      </w:r>
      <w:r w:rsidR="005F46C4" w:rsidRPr="0047462D">
        <w:t>υς</w:t>
      </w:r>
      <w:r w:rsidR="007A4B3C" w:rsidRPr="0047462D">
        <w:t xml:space="preserve"> στη MRHD.</w:t>
      </w:r>
    </w:p>
    <w:p w14:paraId="14BF836B" w14:textId="77777777" w:rsidR="00A67D3A" w:rsidRPr="0047462D" w:rsidRDefault="00A67D3A">
      <w:pPr>
        <w:rPr>
          <w:rFonts w:eastAsia="Times New Roman"/>
          <w:szCs w:val="22"/>
        </w:rPr>
      </w:pPr>
    </w:p>
    <w:p w14:paraId="12215047" w14:textId="77777777" w:rsidR="00F77E6B" w:rsidRPr="0047462D" w:rsidRDefault="00F77E6B" w:rsidP="00F77E6B">
      <w:pPr>
        <w:keepNext/>
        <w:rPr>
          <w:u w:val="single"/>
        </w:rPr>
      </w:pPr>
      <w:r w:rsidRPr="0047462D">
        <w:rPr>
          <w:u w:val="single"/>
        </w:rPr>
        <w:t>Μελέτες σε νεαρά ζώα</w:t>
      </w:r>
    </w:p>
    <w:p w14:paraId="2311744F" w14:textId="77777777" w:rsidR="00F77E6B" w:rsidRPr="0047462D" w:rsidRDefault="00F77E6B" w:rsidP="00EB5A36">
      <w:pPr>
        <w:keepNext/>
        <w:rPr>
          <w:rFonts w:eastAsia="Times New Roman"/>
          <w:szCs w:val="22"/>
        </w:rPr>
      </w:pPr>
    </w:p>
    <w:p w14:paraId="6FA7BD3C" w14:textId="0B1B1CD8" w:rsidR="00A67D3A" w:rsidRPr="0047462D" w:rsidRDefault="00A67D3A">
      <w:pPr>
        <w:rPr>
          <w:szCs w:val="22"/>
        </w:rPr>
      </w:pPr>
      <w:r w:rsidRPr="0047462D">
        <w:rPr>
          <w:szCs w:val="22"/>
        </w:rPr>
        <w:t xml:space="preserve">Ευρήματα καταρρακτών παρατηρήθηκαν σε </w:t>
      </w:r>
      <w:r w:rsidR="00D070CA" w:rsidRPr="0047462D">
        <w:rPr>
          <w:szCs w:val="22"/>
        </w:rPr>
        <w:t xml:space="preserve">νεαρούς </w:t>
      </w:r>
      <w:r w:rsidRPr="0047462D">
        <w:rPr>
          <w:szCs w:val="22"/>
        </w:rPr>
        <w:t xml:space="preserve">επίμυες που έλαβαν δόση από την </w:t>
      </w:r>
      <w:r w:rsidR="00F77E6B" w:rsidRPr="0047462D">
        <w:rPr>
          <w:szCs w:val="22"/>
        </w:rPr>
        <w:t>η</w:t>
      </w:r>
      <w:r w:rsidR="00A70233" w:rsidRPr="0047462D">
        <w:rPr>
          <w:szCs w:val="22"/>
        </w:rPr>
        <w:t>μέρα</w:t>
      </w:r>
      <w:r w:rsidR="00051715" w:rsidRPr="0047462D">
        <w:rPr>
          <w:rFonts w:eastAsia="Times New Roman"/>
          <w:szCs w:val="22"/>
        </w:rPr>
        <w:t> </w:t>
      </w:r>
      <w:r w:rsidRPr="0047462D">
        <w:rPr>
          <w:szCs w:val="22"/>
        </w:rPr>
        <w:t xml:space="preserve">7 μετά τη γέννηση έως την ημέρα 35 </w:t>
      </w:r>
      <w:r w:rsidR="005851F3" w:rsidRPr="0047462D">
        <w:rPr>
          <w:szCs w:val="22"/>
        </w:rPr>
        <w:t>σ</w:t>
      </w:r>
      <w:r w:rsidRPr="0047462D">
        <w:rPr>
          <w:szCs w:val="22"/>
        </w:rPr>
        <w:t>ε επίπεδα</w:t>
      </w:r>
      <w:r w:rsidR="003B7703" w:rsidRPr="0047462D">
        <w:rPr>
          <w:szCs w:val="22"/>
        </w:rPr>
        <w:t xml:space="preserve"> έκθεσης στο</w:t>
      </w:r>
      <w:r w:rsidRPr="0047462D">
        <w:rPr>
          <w:szCs w:val="22"/>
        </w:rPr>
        <w:t xml:space="preserve"> </w:t>
      </w:r>
      <w:r w:rsidR="00731C43" w:rsidRPr="0047462D">
        <w:rPr>
          <w:szCs w:val="22"/>
          <w:lang w:val="en-US"/>
        </w:rPr>
        <w:t>ivacaftor</w:t>
      </w:r>
      <w:r w:rsidR="00731C43" w:rsidRPr="0047462D">
        <w:rPr>
          <w:szCs w:val="22"/>
        </w:rPr>
        <w:t xml:space="preserve"> </w:t>
      </w:r>
      <w:r w:rsidRPr="0047462D">
        <w:rPr>
          <w:szCs w:val="22"/>
        </w:rPr>
        <w:t>0,22</w:t>
      </w:r>
      <w:r w:rsidR="00496D1A" w:rsidRPr="0047462D">
        <w:rPr>
          <w:rFonts w:eastAsia="Times New Roman"/>
          <w:szCs w:val="22"/>
        </w:rPr>
        <w:t> </w:t>
      </w:r>
      <w:r w:rsidRPr="0047462D">
        <w:rPr>
          <w:szCs w:val="22"/>
        </w:rPr>
        <w:t xml:space="preserve">φορές </w:t>
      </w:r>
      <w:r w:rsidR="00731C43" w:rsidRPr="0047462D">
        <w:rPr>
          <w:szCs w:val="22"/>
        </w:rPr>
        <w:t xml:space="preserve">τη </w:t>
      </w:r>
      <w:r w:rsidR="00A70233" w:rsidRPr="0047462D">
        <w:t>MRHD</w:t>
      </w:r>
      <w:r w:rsidRPr="0047462D">
        <w:rPr>
          <w:szCs w:val="22"/>
        </w:rPr>
        <w:t xml:space="preserve"> με βάση τη συστηματική έκθεση σε ivacaftor και τους μεταβολίτες του</w:t>
      </w:r>
      <w:r w:rsidR="005851F3" w:rsidRPr="0047462D">
        <w:rPr>
          <w:szCs w:val="22"/>
        </w:rPr>
        <w:t xml:space="preserve"> </w:t>
      </w:r>
      <w:r w:rsidR="005851F3" w:rsidRPr="0047462D">
        <w:t xml:space="preserve">όταν χορηγείται ως </w:t>
      </w:r>
      <w:r w:rsidR="00234020" w:rsidRPr="0047462D">
        <w:t>μονοθεραπεία</w:t>
      </w:r>
      <w:r w:rsidR="00234020" w:rsidRPr="0047462D" w:rsidDel="005F46C4">
        <w:t xml:space="preserve"> </w:t>
      </w:r>
      <w:r w:rsidR="005851F3" w:rsidRPr="0047462D">
        <w:t>ivacaftor</w:t>
      </w:r>
      <w:r w:rsidRPr="0047462D">
        <w:rPr>
          <w:szCs w:val="22"/>
        </w:rPr>
        <w:t xml:space="preserve">. </w:t>
      </w:r>
      <w:r w:rsidR="00CA40F5" w:rsidRPr="0047462D">
        <w:rPr>
          <w:szCs w:val="22"/>
        </w:rPr>
        <w:t xml:space="preserve">Αυτό το εύρημα </w:t>
      </w:r>
      <w:r w:rsidRPr="0047462D">
        <w:rPr>
          <w:szCs w:val="22"/>
        </w:rPr>
        <w:t xml:space="preserve">δεν </w:t>
      </w:r>
      <w:r w:rsidR="00CA40F5" w:rsidRPr="0047462D">
        <w:rPr>
          <w:szCs w:val="22"/>
        </w:rPr>
        <w:t xml:space="preserve">παρατηρήθηκε </w:t>
      </w:r>
      <w:r w:rsidRPr="0047462D">
        <w:rPr>
          <w:szCs w:val="22"/>
        </w:rPr>
        <w:t xml:space="preserve">σε έμβρυα που προκύπτουν από μητέρες επίμυων που υποβλήθηκαν σε θεραπεία </w:t>
      </w:r>
      <w:r w:rsidR="00731C43" w:rsidRPr="0047462D">
        <w:rPr>
          <w:szCs w:val="22"/>
        </w:rPr>
        <w:t xml:space="preserve">με </w:t>
      </w:r>
      <w:r w:rsidR="00731C43" w:rsidRPr="0047462D">
        <w:t xml:space="preserve">ivacaftor </w:t>
      </w:r>
      <w:r w:rsidRPr="0047462D">
        <w:rPr>
          <w:szCs w:val="22"/>
        </w:rPr>
        <w:t xml:space="preserve">κατά την κύηση, </w:t>
      </w:r>
      <w:r w:rsidR="00731C43" w:rsidRPr="0047462D">
        <w:rPr>
          <w:szCs w:val="22"/>
        </w:rPr>
        <w:t xml:space="preserve">τις </w:t>
      </w:r>
      <w:r w:rsidR="00F77E6B" w:rsidRPr="0047462D">
        <w:rPr>
          <w:szCs w:val="22"/>
        </w:rPr>
        <w:t>η</w:t>
      </w:r>
      <w:r w:rsidR="00731C43" w:rsidRPr="0047462D">
        <w:rPr>
          <w:szCs w:val="22"/>
        </w:rPr>
        <w:t>μέρες</w:t>
      </w:r>
      <w:r w:rsidR="00051715" w:rsidRPr="0047462D">
        <w:rPr>
          <w:rFonts w:eastAsia="Times New Roman"/>
          <w:szCs w:val="22"/>
        </w:rPr>
        <w:t> </w:t>
      </w:r>
      <w:r w:rsidRPr="0047462D">
        <w:rPr>
          <w:szCs w:val="22"/>
        </w:rPr>
        <w:t xml:space="preserve">7 έως 17, σε νεογνά επίμυων που εκτέθηκαν </w:t>
      </w:r>
      <w:r w:rsidR="00731C43" w:rsidRPr="0047462D">
        <w:rPr>
          <w:szCs w:val="22"/>
        </w:rPr>
        <w:t xml:space="preserve">στο </w:t>
      </w:r>
      <w:r w:rsidR="00731C43" w:rsidRPr="0047462D">
        <w:t>ivacaftor</w:t>
      </w:r>
      <w:r w:rsidRPr="0047462D">
        <w:rPr>
          <w:szCs w:val="22"/>
        </w:rPr>
        <w:t xml:space="preserve"> μέσω της πρόσληψης γάλακτος έως την </w:t>
      </w:r>
      <w:r w:rsidR="00F77E6B" w:rsidRPr="0047462D">
        <w:rPr>
          <w:szCs w:val="22"/>
        </w:rPr>
        <w:t>η</w:t>
      </w:r>
      <w:r w:rsidRPr="0047462D">
        <w:rPr>
          <w:szCs w:val="22"/>
        </w:rPr>
        <w:t>μέρα</w:t>
      </w:r>
      <w:r w:rsidR="00051715" w:rsidRPr="0047462D">
        <w:rPr>
          <w:rFonts w:eastAsia="Times New Roman"/>
          <w:szCs w:val="22"/>
        </w:rPr>
        <w:t> </w:t>
      </w:r>
      <w:r w:rsidRPr="0047462D">
        <w:rPr>
          <w:szCs w:val="22"/>
        </w:rPr>
        <w:t>20 μετά την κύηση, σε επίμυες ηλικίας 7</w:t>
      </w:r>
      <w:r w:rsidR="002C32E8" w:rsidRPr="0047462D">
        <w:rPr>
          <w:szCs w:val="22"/>
          <w:lang w:val="en-GB"/>
        </w:rPr>
        <w:t> </w:t>
      </w:r>
      <w:r w:rsidRPr="0047462D">
        <w:rPr>
          <w:szCs w:val="22"/>
        </w:rPr>
        <w:t xml:space="preserve">εβδομάδων, </w:t>
      </w:r>
      <w:r w:rsidR="00E23F8E" w:rsidRPr="0047462D">
        <w:rPr>
          <w:szCs w:val="22"/>
        </w:rPr>
        <w:t xml:space="preserve">ούτε </w:t>
      </w:r>
      <w:r w:rsidRPr="0047462D">
        <w:rPr>
          <w:szCs w:val="22"/>
        </w:rPr>
        <w:t xml:space="preserve">σε σκύλους ηλικίας </w:t>
      </w:r>
      <w:r w:rsidR="00731C43" w:rsidRPr="0047462D">
        <w:rPr>
          <w:szCs w:val="22"/>
        </w:rPr>
        <w:t>3,5</w:t>
      </w:r>
      <w:r w:rsidRPr="0047462D">
        <w:rPr>
          <w:szCs w:val="22"/>
        </w:rPr>
        <w:t xml:space="preserve"> έως 5 μηνών</w:t>
      </w:r>
      <w:r w:rsidR="00731C43" w:rsidRPr="0047462D">
        <w:rPr>
          <w:szCs w:val="22"/>
        </w:rPr>
        <w:t xml:space="preserve"> που υποβλήθηκαν σε θεραπεία με </w:t>
      </w:r>
      <w:r w:rsidR="00731C43" w:rsidRPr="0047462D">
        <w:t>ivacaftor</w:t>
      </w:r>
      <w:r w:rsidRPr="0047462D">
        <w:rPr>
          <w:szCs w:val="22"/>
        </w:rPr>
        <w:t>. Η δυνητική σημασία αυτών των ευρημάτων για τον άνθρωπο δεν είναι γνωστή.</w:t>
      </w:r>
    </w:p>
    <w:p w14:paraId="11138C07" w14:textId="77777777" w:rsidR="00A67D3A" w:rsidRPr="0047462D" w:rsidRDefault="00A67D3A">
      <w:pPr>
        <w:rPr>
          <w:szCs w:val="22"/>
        </w:rPr>
      </w:pPr>
    </w:p>
    <w:p w14:paraId="35EFAB4E" w14:textId="77777777" w:rsidR="00A67D3A" w:rsidRPr="0047462D" w:rsidRDefault="00A67D3A" w:rsidP="00141E57">
      <w:pPr>
        <w:rPr>
          <w:szCs w:val="22"/>
          <w:lang w:eastAsia="en-US"/>
        </w:rPr>
      </w:pPr>
    </w:p>
    <w:p w14:paraId="468BA31B" w14:textId="77777777" w:rsidR="00A67D3A" w:rsidRPr="0047462D" w:rsidRDefault="00A67D3A" w:rsidP="00141E57">
      <w:pPr>
        <w:keepNext/>
        <w:tabs>
          <w:tab w:val="left" w:pos="567"/>
        </w:tabs>
        <w:suppressAutoHyphens w:val="0"/>
        <w:spacing w:line="260" w:lineRule="exact"/>
        <w:rPr>
          <w:b/>
          <w:bCs/>
          <w:noProof/>
          <w:szCs w:val="22"/>
          <w:lang w:eastAsia="en-US"/>
        </w:rPr>
      </w:pPr>
      <w:r w:rsidRPr="0047462D">
        <w:rPr>
          <w:b/>
          <w:bCs/>
          <w:noProof/>
          <w:szCs w:val="22"/>
          <w:lang w:eastAsia="en-US"/>
        </w:rPr>
        <w:t>6.</w:t>
      </w:r>
      <w:r w:rsidRPr="0047462D">
        <w:rPr>
          <w:b/>
          <w:bCs/>
          <w:noProof/>
          <w:szCs w:val="22"/>
          <w:lang w:eastAsia="en-US"/>
        </w:rPr>
        <w:tab/>
        <w:t>ΦΑΡΜΑΚΕΥΤΙΚΕΣ ΠΛΗΡΟΦΟΡΙΕΣ</w:t>
      </w:r>
    </w:p>
    <w:p w14:paraId="75FD1F7E" w14:textId="77777777" w:rsidR="00A67D3A" w:rsidRPr="0047462D" w:rsidRDefault="00A67D3A" w:rsidP="00141E57">
      <w:pPr>
        <w:keepNext/>
        <w:rPr>
          <w:szCs w:val="22"/>
          <w:lang w:eastAsia="en-US"/>
        </w:rPr>
      </w:pPr>
    </w:p>
    <w:p w14:paraId="0AAE1911" w14:textId="77777777" w:rsidR="00A67D3A" w:rsidRPr="0047462D" w:rsidRDefault="00A67D3A" w:rsidP="00141E57">
      <w:pPr>
        <w:keepNext/>
        <w:ind w:left="567" w:hanging="567"/>
        <w:rPr>
          <w:i/>
          <w:iCs/>
          <w:szCs w:val="22"/>
          <w:lang w:eastAsia="en-US"/>
        </w:rPr>
      </w:pPr>
      <w:r w:rsidRPr="0047462D">
        <w:rPr>
          <w:rFonts w:eastAsia="Times New Roman"/>
          <w:b/>
          <w:bCs/>
          <w:szCs w:val="22"/>
          <w:lang w:eastAsia="en-US"/>
        </w:rPr>
        <w:t>6.1</w:t>
      </w:r>
      <w:r w:rsidRPr="0047462D">
        <w:rPr>
          <w:rFonts w:eastAsia="Times New Roman"/>
          <w:b/>
          <w:bCs/>
          <w:szCs w:val="22"/>
          <w:lang w:eastAsia="en-US"/>
        </w:rPr>
        <w:tab/>
      </w:r>
      <w:r w:rsidRPr="0047462D">
        <w:rPr>
          <w:rFonts w:eastAsia="Times New Roman"/>
          <w:b/>
          <w:bCs/>
          <w:szCs w:val="22"/>
        </w:rPr>
        <w:t>Κατάλογος εκδόχων</w:t>
      </w:r>
    </w:p>
    <w:p w14:paraId="5404510E" w14:textId="77777777" w:rsidR="00A67D3A" w:rsidRPr="0047462D" w:rsidRDefault="00A67D3A" w:rsidP="00141E57">
      <w:pPr>
        <w:keepNext/>
        <w:rPr>
          <w:i/>
          <w:iCs/>
          <w:szCs w:val="22"/>
          <w:lang w:eastAsia="en-US"/>
        </w:rPr>
      </w:pPr>
    </w:p>
    <w:p w14:paraId="44A6628C" w14:textId="77777777" w:rsidR="00A67D3A" w:rsidRPr="0047462D" w:rsidRDefault="00A67D3A" w:rsidP="00141E57">
      <w:pPr>
        <w:keepNext/>
        <w:rPr>
          <w:rFonts w:eastAsia="Times New Roman"/>
          <w:szCs w:val="22"/>
          <w:u w:val="single"/>
        </w:rPr>
      </w:pPr>
      <w:r w:rsidRPr="0047462D">
        <w:rPr>
          <w:rFonts w:eastAsia="Times New Roman"/>
          <w:szCs w:val="22"/>
          <w:u w:val="single"/>
        </w:rPr>
        <w:t>Πυρήνας δισκίου</w:t>
      </w:r>
    </w:p>
    <w:p w14:paraId="3E1F743E" w14:textId="77777777" w:rsidR="00F77E6B" w:rsidRPr="0047462D" w:rsidRDefault="00F77E6B" w:rsidP="00EB5A36">
      <w:pPr>
        <w:keepNext/>
        <w:rPr>
          <w:rFonts w:eastAsia="Times New Roman"/>
          <w:szCs w:val="22"/>
        </w:rPr>
      </w:pPr>
    </w:p>
    <w:p w14:paraId="57BB5121" w14:textId="77777777" w:rsidR="00A67D3A" w:rsidRPr="0047462D" w:rsidRDefault="00A67D3A" w:rsidP="002331FF">
      <w:pPr>
        <w:rPr>
          <w:rFonts w:eastAsia="Times New Roman"/>
          <w:szCs w:val="22"/>
        </w:rPr>
      </w:pPr>
      <w:r w:rsidRPr="0047462D">
        <w:rPr>
          <w:rFonts w:eastAsia="Times New Roman"/>
          <w:szCs w:val="22"/>
        </w:rPr>
        <w:t>Κυτταρίνη, μικροκρυσταλλική</w:t>
      </w:r>
    </w:p>
    <w:p w14:paraId="48243A53" w14:textId="77777777" w:rsidR="00A67D3A" w:rsidRPr="0047462D" w:rsidRDefault="00A67D3A" w:rsidP="002331FF">
      <w:pPr>
        <w:rPr>
          <w:rFonts w:eastAsia="Times New Roman"/>
          <w:szCs w:val="22"/>
        </w:rPr>
      </w:pPr>
      <w:r w:rsidRPr="0047462D">
        <w:rPr>
          <w:rFonts w:eastAsia="Times New Roman"/>
          <w:szCs w:val="22"/>
        </w:rPr>
        <w:t>Μονοϋδρική λακτόζη</w:t>
      </w:r>
    </w:p>
    <w:p w14:paraId="30DE6C1A" w14:textId="77777777" w:rsidR="00A67D3A" w:rsidRPr="0047462D" w:rsidRDefault="00A67D3A">
      <w:pPr>
        <w:rPr>
          <w:rFonts w:eastAsia="Times New Roman"/>
          <w:szCs w:val="22"/>
        </w:rPr>
      </w:pPr>
      <w:r w:rsidRPr="0047462D">
        <w:rPr>
          <w:rFonts w:eastAsia="Times New Roman"/>
          <w:szCs w:val="22"/>
        </w:rPr>
        <w:t>Υπρομελλόζη οξική ηλεκτρική</w:t>
      </w:r>
    </w:p>
    <w:p w14:paraId="5FE5F523" w14:textId="77777777" w:rsidR="00A67D3A" w:rsidRPr="0047462D" w:rsidRDefault="00A67D3A">
      <w:pPr>
        <w:rPr>
          <w:rFonts w:eastAsia="Times New Roman"/>
          <w:szCs w:val="22"/>
        </w:rPr>
      </w:pPr>
      <w:r w:rsidRPr="0047462D">
        <w:rPr>
          <w:rFonts w:eastAsia="Times New Roman"/>
          <w:szCs w:val="22"/>
        </w:rPr>
        <w:t>Νατριούχος καρμελλόζη διασταυρούμενη</w:t>
      </w:r>
    </w:p>
    <w:p w14:paraId="13FA3BCD" w14:textId="77777777" w:rsidR="00A67D3A" w:rsidRPr="0047462D" w:rsidRDefault="00A67D3A">
      <w:pPr>
        <w:rPr>
          <w:rFonts w:eastAsia="Times New Roman"/>
          <w:szCs w:val="22"/>
        </w:rPr>
      </w:pPr>
      <w:r w:rsidRPr="0047462D">
        <w:rPr>
          <w:rFonts w:eastAsia="Times New Roman"/>
          <w:szCs w:val="22"/>
        </w:rPr>
        <w:t>Λαουρυλοθειικό νάτριο</w:t>
      </w:r>
      <w:r w:rsidR="006C0EAC" w:rsidRPr="0047462D">
        <w:rPr>
          <w:rFonts w:eastAsia="Times New Roman"/>
          <w:szCs w:val="22"/>
        </w:rPr>
        <w:t xml:space="preserve"> </w:t>
      </w:r>
      <w:r w:rsidR="006C0EAC" w:rsidRPr="0047462D">
        <w:rPr>
          <w:rFonts w:eastAsia="MS Mincho"/>
          <w:lang w:eastAsia="ja-JP"/>
        </w:rPr>
        <w:t>(E487)</w:t>
      </w:r>
    </w:p>
    <w:p w14:paraId="01D4D329" w14:textId="4CD729E5" w:rsidR="00A67D3A" w:rsidRPr="0047462D" w:rsidRDefault="008C7489">
      <w:pPr>
        <w:rPr>
          <w:rFonts w:eastAsia="Times New Roman"/>
          <w:szCs w:val="22"/>
        </w:rPr>
      </w:pPr>
      <w:r w:rsidRPr="0047462D">
        <w:rPr>
          <w:rFonts w:eastAsia="Times New Roman"/>
          <w:szCs w:val="22"/>
        </w:rPr>
        <w:t>Διοξείδιο πυριτίου</w:t>
      </w:r>
      <w:r w:rsidR="00F77E6B" w:rsidRPr="0047462D">
        <w:rPr>
          <w:rFonts w:eastAsia="Times New Roman"/>
          <w:szCs w:val="22"/>
        </w:rPr>
        <w:t>, κολλοειδές άνυδρο</w:t>
      </w:r>
    </w:p>
    <w:p w14:paraId="5CB57B66" w14:textId="77777777" w:rsidR="00A67D3A" w:rsidRPr="0047462D" w:rsidRDefault="00A67D3A">
      <w:pPr>
        <w:rPr>
          <w:rFonts w:eastAsia="MS Mincho"/>
          <w:i/>
          <w:iCs/>
          <w:szCs w:val="22"/>
          <w:lang w:eastAsia="ja-JP"/>
        </w:rPr>
      </w:pPr>
      <w:r w:rsidRPr="0047462D">
        <w:rPr>
          <w:rFonts w:eastAsia="Times New Roman"/>
          <w:szCs w:val="22"/>
        </w:rPr>
        <w:t>Στεατικό μαγνήσιο</w:t>
      </w:r>
    </w:p>
    <w:p w14:paraId="394BD80A" w14:textId="77777777" w:rsidR="00A67D3A" w:rsidRPr="0047462D" w:rsidRDefault="00A67D3A">
      <w:pPr>
        <w:rPr>
          <w:rFonts w:eastAsia="MS Mincho"/>
          <w:i/>
          <w:iCs/>
          <w:szCs w:val="22"/>
          <w:lang w:eastAsia="ja-JP"/>
        </w:rPr>
      </w:pPr>
    </w:p>
    <w:p w14:paraId="2DABDC43" w14:textId="77777777" w:rsidR="00A67D3A" w:rsidRPr="0047462D" w:rsidRDefault="00A67D3A" w:rsidP="00141E57">
      <w:pPr>
        <w:keepNext/>
        <w:rPr>
          <w:rFonts w:eastAsia="Times New Roman"/>
          <w:szCs w:val="22"/>
          <w:u w:val="single"/>
        </w:rPr>
      </w:pPr>
      <w:r w:rsidRPr="0047462D">
        <w:rPr>
          <w:rFonts w:eastAsia="Times New Roman"/>
          <w:szCs w:val="22"/>
          <w:u w:val="single"/>
        </w:rPr>
        <w:t>Λεπτή επικάλυψη δισκίου</w:t>
      </w:r>
    </w:p>
    <w:p w14:paraId="352DCE02" w14:textId="77777777" w:rsidR="00F77E6B" w:rsidRPr="0047462D" w:rsidRDefault="00F77E6B" w:rsidP="00EB5A36">
      <w:pPr>
        <w:keepNext/>
        <w:rPr>
          <w:rFonts w:eastAsia="Times New Roman"/>
          <w:szCs w:val="22"/>
        </w:rPr>
      </w:pPr>
    </w:p>
    <w:p w14:paraId="3944EA22" w14:textId="77777777" w:rsidR="00A67D3A" w:rsidRPr="0047462D" w:rsidRDefault="00A67D3A" w:rsidP="002331FF">
      <w:pPr>
        <w:rPr>
          <w:rFonts w:eastAsia="Times New Roman"/>
          <w:szCs w:val="22"/>
        </w:rPr>
      </w:pPr>
      <w:r w:rsidRPr="0047462D">
        <w:rPr>
          <w:rFonts w:eastAsia="Times New Roman"/>
          <w:szCs w:val="22"/>
        </w:rPr>
        <w:t>Πολυβινυλική αλκοόλη</w:t>
      </w:r>
    </w:p>
    <w:p w14:paraId="23D6F82A" w14:textId="77777777" w:rsidR="00A67D3A" w:rsidRPr="0047462D" w:rsidRDefault="00A67D3A" w:rsidP="002331FF">
      <w:pPr>
        <w:rPr>
          <w:rFonts w:eastAsia="Times New Roman"/>
          <w:szCs w:val="22"/>
        </w:rPr>
      </w:pPr>
      <w:r w:rsidRPr="0047462D">
        <w:rPr>
          <w:rFonts w:eastAsia="Times New Roman"/>
          <w:szCs w:val="22"/>
        </w:rPr>
        <w:t xml:space="preserve">Διοξείδιο του τιτανίου </w:t>
      </w:r>
      <w:r w:rsidRPr="0047462D">
        <w:rPr>
          <w:rFonts w:eastAsia="MS Mincho"/>
          <w:lang w:eastAsia="ja-JP"/>
        </w:rPr>
        <w:t>(</w:t>
      </w:r>
      <w:r w:rsidRPr="0047462D">
        <w:rPr>
          <w:rFonts w:eastAsia="MS Mincho"/>
          <w:lang w:val="it-IT" w:eastAsia="ja-JP"/>
        </w:rPr>
        <w:t>E</w:t>
      </w:r>
      <w:r w:rsidRPr="0047462D">
        <w:rPr>
          <w:rFonts w:eastAsia="MS Mincho"/>
          <w:lang w:eastAsia="ja-JP"/>
        </w:rPr>
        <w:t>171)</w:t>
      </w:r>
    </w:p>
    <w:p w14:paraId="08FB269F" w14:textId="77777777" w:rsidR="00A67D3A" w:rsidRPr="0047462D" w:rsidRDefault="00A67D3A">
      <w:pPr>
        <w:rPr>
          <w:rFonts w:eastAsia="Times New Roman"/>
          <w:szCs w:val="22"/>
        </w:rPr>
      </w:pPr>
      <w:r w:rsidRPr="0047462D">
        <w:rPr>
          <w:rFonts w:eastAsia="Times New Roman"/>
          <w:szCs w:val="22"/>
        </w:rPr>
        <w:t>Πολυαιθυλενογλυκόλη</w:t>
      </w:r>
      <w:r w:rsidR="003F5C65" w:rsidRPr="0047462D">
        <w:rPr>
          <w:rFonts w:eastAsia="MS Mincho"/>
          <w:lang w:eastAsia="ja-JP"/>
        </w:rPr>
        <w:t xml:space="preserve"> (PEG 3350)</w:t>
      </w:r>
    </w:p>
    <w:p w14:paraId="2605608E" w14:textId="77777777" w:rsidR="00A67D3A" w:rsidRPr="0047462D" w:rsidRDefault="00A67D3A">
      <w:pPr>
        <w:rPr>
          <w:rFonts w:eastAsia="Times New Roman"/>
          <w:szCs w:val="22"/>
        </w:rPr>
      </w:pPr>
      <w:r w:rsidRPr="0047462D">
        <w:rPr>
          <w:rFonts w:eastAsia="Times New Roman"/>
          <w:szCs w:val="22"/>
        </w:rPr>
        <w:t>Τάλκης</w:t>
      </w:r>
    </w:p>
    <w:p w14:paraId="3755E34E" w14:textId="77777777" w:rsidR="00A67D3A" w:rsidRPr="0047462D" w:rsidRDefault="00A67D3A">
      <w:pPr>
        <w:rPr>
          <w:rFonts w:eastAsia="Times New Roman"/>
          <w:szCs w:val="22"/>
        </w:rPr>
      </w:pPr>
      <w:r w:rsidRPr="0047462D">
        <w:rPr>
          <w:rFonts w:eastAsia="Times New Roman"/>
          <w:szCs w:val="22"/>
        </w:rPr>
        <w:t xml:space="preserve">Λάκα αργιλίου ινδικοκαρμινίου </w:t>
      </w:r>
      <w:r w:rsidRPr="0047462D">
        <w:rPr>
          <w:rFonts w:eastAsia="MS Mincho"/>
          <w:lang w:eastAsia="ja-JP"/>
        </w:rPr>
        <w:t>(</w:t>
      </w:r>
      <w:r w:rsidRPr="0047462D">
        <w:rPr>
          <w:rFonts w:eastAsia="MS Mincho"/>
          <w:lang w:val="pt-BR" w:eastAsia="ja-JP"/>
        </w:rPr>
        <w:t>E</w:t>
      </w:r>
      <w:r w:rsidRPr="0047462D">
        <w:rPr>
          <w:rFonts w:eastAsia="MS Mincho"/>
          <w:lang w:eastAsia="ja-JP"/>
        </w:rPr>
        <w:t>132)</w:t>
      </w:r>
      <w:r w:rsidRPr="0047462D">
        <w:rPr>
          <w:rFonts w:eastAsia="Times New Roman"/>
          <w:szCs w:val="22"/>
        </w:rPr>
        <w:t xml:space="preserve"> </w:t>
      </w:r>
    </w:p>
    <w:p w14:paraId="74FDF841" w14:textId="77777777" w:rsidR="00A67D3A" w:rsidRPr="0047462D" w:rsidRDefault="00A67D3A">
      <w:pPr>
        <w:rPr>
          <w:rFonts w:eastAsia="MS Mincho"/>
          <w:szCs w:val="22"/>
          <w:lang w:eastAsia="ja-JP"/>
        </w:rPr>
      </w:pPr>
      <w:r w:rsidRPr="0047462D">
        <w:rPr>
          <w:rFonts w:eastAsia="Times New Roman"/>
          <w:szCs w:val="22"/>
        </w:rPr>
        <w:t>Καρναουβικός κηρός</w:t>
      </w:r>
    </w:p>
    <w:p w14:paraId="4E29DC69" w14:textId="77777777" w:rsidR="00A67D3A" w:rsidRPr="0047462D" w:rsidRDefault="00A67D3A">
      <w:pPr>
        <w:rPr>
          <w:rFonts w:eastAsia="MS Mincho"/>
          <w:szCs w:val="22"/>
          <w:lang w:eastAsia="ja-JP"/>
        </w:rPr>
      </w:pPr>
    </w:p>
    <w:p w14:paraId="36F9794B" w14:textId="77777777" w:rsidR="00A67D3A" w:rsidRPr="0047462D" w:rsidRDefault="00A67D3A" w:rsidP="009E0463">
      <w:pPr>
        <w:keepNext/>
        <w:rPr>
          <w:rFonts w:eastAsia="Times New Roman"/>
          <w:szCs w:val="22"/>
          <w:u w:val="single"/>
        </w:rPr>
      </w:pPr>
      <w:r w:rsidRPr="0047462D">
        <w:rPr>
          <w:rFonts w:eastAsia="Times New Roman"/>
          <w:szCs w:val="22"/>
          <w:u w:val="single"/>
        </w:rPr>
        <w:t>Μελάνι εκτύπωσης</w:t>
      </w:r>
    </w:p>
    <w:p w14:paraId="1BAF0139" w14:textId="77777777" w:rsidR="00F77E6B" w:rsidRPr="0047462D" w:rsidRDefault="00F77E6B" w:rsidP="009E0463">
      <w:pPr>
        <w:keepNext/>
        <w:rPr>
          <w:rFonts w:eastAsia="Times New Roman"/>
          <w:szCs w:val="22"/>
          <w:u w:val="single"/>
        </w:rPr>
      </w:pPr>
    </w:p>
    <w:p w14:paraId="23CEAC6B" w14:textId="77777777" w:rsidR="00A67D3A" w:rsidRPr="0047462D" w:rsidRDefault="00A67D3A" w:rsidP="00EB5A36">
      <w:pPr>
        <w:keepNext/>
        <w:rPr>
          <w:rFonts w:eastAsia="Times New Roman"/>
          <w:szCs w:val="22"/>
        </w:rPr>
      </w:pPr>
      <w:r w:rsidRPr="0047462D">
        <w:rPr>
          <w:rFonts w:eastAsia="Times New Roman"/>
          <w:szCs w:val="22"/>
        </w:rPr>
        <w:t>Κόμμεα λάκας</w:t>
      </w:r>
    </w:p>
    <w:p w14:paraId="4AB94E00" w14:textId="77777777" w:rsidR="00A67D3A" w:rsidRPr="0047462D" w:rsidRDefault="00A67D3A" w:rsidP="002331FF">
      <w:pPr>
        <w:rPr>
          <w:rFonts w:eastAsia="Times New Roman"/>
          <w:szCs w:val="22"/>
        </w:rPr>
      </w:pPr>
      <w:r w:rsidRPr="0047462D">
        <w:rPr>
          <w:rFonts w:eastAsia="Times New Roman"/>
          <w:szCs w:val="22"/>
        </w:rPr>
        <w:t xml:space="preserve">Μαύρο οξείδιο του σιδήρου </w:t>
      </w:r>
      <w:r w:rsidRPr="0047462D">
        <w:rPr>
          <w:lang w:eastAsia="ja-JP"/>
        </w:rPr>
        <w:t>(E172)</w:t>
      </w:r>
    </w:p>
    <w:p w14:paraId="41F23AA1" w14:textId="77777777" w:rsidR="00A67D3A" w:rsidRPr="0047462D" w:rsidRDefault="00A67D3A">
      <w:pPr>
        <w:rPr>
          <w:rFonts w:eastAsia="Times New Roman"/>
          <w:szCs w:val="22"/>
        </w:rPr>
      </w:pPr>
      <w:r w:rsidRPr="0047462D">
        <w:rPr>
          <w:rFonts w:eastAsia="Times New Roman"/>
          <w:szCs w:val="22"/>
        </w:rPr>
        <w:t>Προπυλενογλυκόλη</w:t>
      </w:r>
      <w:r w:rsidR="006C0EAC" w:rsidRPr="0047462D">
        <w:rPr>
          <w:rFonts w:eastAsia="Times New Roman"/>
          <w:szCs w:val="22"/>
        </w:rPr>
        <w:t xml:space="preserve"> </w:t>
      </w:r>
      <w:r w:rsidR="006C0EAC" w:rsidRPr="0047462D">
        <w:rPr>
          <w:lang w:eastAsia="ja-JP"/>
        </w:rPr>
        <w:t>(E1520)</w:t>
      </w:r>
    </w:p>
    <w:p w14:paraId="04C00A29" w14:textId="36C7DA4F" w:rsidR="00A67D3A" w:rsidRPr="0047462D" w:rsidRDefault="00FA676B">
      <w:pPr>
        <w:rPr>
          <w:szCs w:val="22"/>
          <w:lang w:eastAsia="en-US"/>
        </w:rPr>
      </w:pPr>
      <w:r w:rsidRPr="0047462D">
        <w:rPr>
          <w:rFonts w:eastAsia="Times New Roman"/>
          <w:szCs w:val="22"/>
        </w:rPr>
        <w:t>Α</w:t>
      </w:r>
      <w:r w:rsidR="00A67D3A" w:rsidRPr="0047462D">
        <w:rPr>
          <w:rFonts w:eastAsia="Times New Roman"/>
          <w:szCs w:val="22"/>
        </w:rPr>
        <w:t>μμωνί</w:t>
      </w:r>
      <w:r w:rsidR="00F77E6B" w:rsidRPr="0047462D">
        <w:rPr>
          <w:rFonts w:eastAsia="Times New Roman"/>
          <w:szCs w:val="22"/>
        </w:rPr>
        <w:t>ας</w:t>
      </w:r>
      <w:r w:rsidRPr="0047462D">
        <w:rPr>
          <w:rFonts w:eastAsia="Times New Roman"/>
          <w:szCs w:val="22"/>
        </w:rPr>
        <w:t xml:space="preserve"> διάλυμα,</w:t>
      </w:r>
      <w:r w:rsidR="00F77E6B" w:rsidRPr="0047462D">
        <w:rPr>
          <w:rFonts w:eastAsia="Times New Roman"/>
          <w:szCs w:val="22"/>
        </w:rPr>
        <w:t xml:space="preserve"> συμπυκνωμένο</w:t>
      </w:r>
    </w:p>
    <w:p w14:paraId="565267F0" w14:textId="77777777" w:rsidR="00A67D3A" w:rsidRPr="0047462D" w:rsidRDefault="00A67D3A" w:rsidP="00141E57">
      <w:pPr>
        <w:rPr>
          <w:szCs w:val="22"/>
          <w:lang w:eastAsia="en-US"/>
        </w:rPr>
      </w:pPr>
    </w:p>
    <w:p w14:paraId="326A4000" w14:textId="77777777" w:rsidR="00A67D3A" w:rsidRPr="0047462D" w:rsidRDefault="00A67D3A" w:rsidP="00141E57">
      <w:pPr>
        <w:keepNext/>
        <w:tabs>
          <w:tab w:val="left" w:pos="567"/>
        </w:tabs>
        <w:suppressAutoHyphens w:val="0"/>
        <w:spacing w:line="260" w:lineRule="exact"/>
        <w:outlineLvl w:val="0"/>
        <w:rPr>
          <w:b/>
          <w:bCs/>
          <w:noProof/>
          <w:szCs w:val="22"/>
          <w:lang w:eastAsia="en-US"/>
        </w:rPr>
      </w:pPr>
      <w:r w:rsidRPr="0047462D">
        <w:rPr>
          <w:b/>
          <w:bCs/>
          <w:noProof/>
          <w:szCs w:val="22"/>
          <w:lang w:eastAsia="en-US"/>
        </w:rPr>
        <w:t>6.2</w:t>
      </w:r>
      <w:r w:rsidRPr="0047462D">
        <w:rPr>
          <w:b/>
          <w:bCs/>
          <w:noProof/>
          <w:szCs w:val="22"/>
          <w:lang w:eastAsia="en-US"/>
        </w:rPr>
        <w:tab/>
        <w:t>Ασυμβατότητες</w:t>
      </w:r>
    </w:p>
    <w:p w14:paraId="3126035D" w14:textId="77777777" w:rsidR="00A67D3A" w:rsidRPr="0047462D" w:rsidRDefault="00A67D3A" w:rsidP="00141E57">
      <w:pPr>
        <w:keepNext/>
        <w:rPr>
          <w:szCs w:val="22"/>
          <w:lang w:eastAsia="en-US"/>
        </w:rPr>
      </w:pPr>
    </w:p>
    <w:p w14:paraId="1A5BC594" w14:textId="77777777" w:rsidR="00A67D3A" w:rsidRPr="0047462D" w:rsidRDefault="00A67D3A" w:rsidP="00141E57">
      <w:pPr>
        <w:rPr>
          <w:szCs w:val="22"/>
          <w:lang w:eastAsia="en-US"/>
        </w:rPr>
      </w:pPr>
      <w:r w:rsidRPr="0047462D">
        <w:rPr>
          <w:rFonts w:eastAsia="Times New Roman"/>
          <w:szCs w:val="22"/>
        </w:rPr>
        <w:t>Δεν εφαρμόζεται.</w:t>
      </w:r>
    </w:p>
    <w:p w14:paraId="4DB77A7C" w14:textId="77777777" w:rsidR="00A67D3A" w:rsidRPr="0047462D" w:rsidRDefault="00A67D3A" w:rsidP="00141E57">
      <w:pPr>
        <w:rPr>
          <w:szCs w:val="22"/>
          <w:lang w:eastAsia="en-US"/>
        </w:rPr>
      </w:pPr>
    </w:p>
    <w:p w14:paraId="12E2B7F9"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6.3</w:t>
      </w:r>
      <w:r w:rsidRPr="0047462D">
        <w:rPr>
          <w:rFonts w:eastAsia="Times New Roman"/>
          <w:b/>
          <w:bCs/>
          <w:szCs w:val="22"/>
          <w:lang w:eastAsia="en-US"/>
        </w:rPr>
        <w:tab/>
      </w:r>
      <w:r w:rsidRPr="0047462D">
        <w:rPr>
          <w:rFonts w:eastAsia="Times New Roman"/>
          <w:b/>
          <w:bCs/>
          <w:szCs w:val="22"/>
        </w:rPr>
        <w:t>Διάρκεια ζωής</w:t>
      </w:r>
    </w:p>
    <w:p w14:paraId="1EB88587" w14:textId="77777777" w:rsidR="00A67D3A" w:rsidRPr="0047462D" w:rsidRDefault="00A67D3A" w:rsidP="00141E57">
      <w:pPr>
        <w:keepNext/>
        <w:rPr>
          <w:szCs w:val="22"/>
          <w:lang w:eastAsia="en-US"/>
        </w:rPr>
      </w:pPr>
    </w:p>
    <w:p w14:paraId="27E75D1E" w14:textId="77777777" w:rsidR="00D96DCF" w:rsidRPr="0047462D" w:rsidRDefault="00D96DCF" w:rsidP="00D96DCF">
      <w:pPr>
        <w:suppressAutoHyphens w:val="0"/>
        <w:rPr>
          <w:lang w:eastAsia="en-US"/>
        </w:rPr>
      </w:pPr>
      <w:r w:rsidRPr="0047462D">
        <w:rPr>
          <w:lang w:eastAsia="en-US"/>
        </w:rPr>
        <w:t>4</w:t>
      </w:r>
      <w:r w:rsidR="00CD110D" w:rsidRPr="0047462D">
        <w:rPr>
          <w:lang w:eastAsia="en-US"/>
        </w:rPr>
        <w:t> </w:t>
      </w:r>
      <w:r w:rsidRPr="0047462D">
        <w:t>χρόνια</w:t>
      </w:r>
      <w:r w:rsidRPr="0047462D">
        <w:rPr>
          <w:lang w:eastAsia="en-US"/>
        </w:rPr>
        <w:t>.</w:t>
      </w:r>
    </w:p>
    <w:p w14:paraId="71EC0FE7" w14:textId="77777777" w:rsidR="00A67D3A" w:rsidRPr="0047462D" w:rsidRDefault="00A67D3A" w:rsidP="00141E57">
      <w:pPr>
        <w:rPr>
          <w:szCs w:val="22"/>
          <w:lang w:eastAsia="en-US"/>
        </w:rPr>
      </w:pPr>
    </w:p>
    <w:p w14:paraId="082B001E"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6.4</w:t>
      </w:r>
      <w:r w:rsidRPr="0047462D">
        <w:rPr>
          <w:rFonts w:eastAsia="Times New Roman"/>
          <w:b/>
          <w:bCs/>
          <w:szCs w:val="22"/>
          <w:lang w:eastAsia="en-US"/>
        </w:rPr>
        <w:tab/>
      </w:r>
      <w:r w:rsidRPr="0047462D">
        <w:rPr>
          <w:rFonts w:eastAsia="Times New Roman"/>
          <w:b/>
          <w:bCs/>
          <w:szCs w:val="22"/>
        </w:rPr>
        <w:t>Ιδιαίτερες προφυλάξεις κατά τη φύλαξη του προϊόντος</w:t>
      </w:r>
    </w:p>
    <w:p w14:paraId="74B0214A" w14:textId="77777777" w:rsidR="00A67D3A" w:rsidRPr="0047462D" w:rsidRDefault="00A67D3A" w:rsidP="00141E57">
      <w:pPr>
        <w:keepNext/>
        <w:ind w:left="567" w:hanging="567"/>
        <w:rPr>
          <w:szCs w:val="22"/>
          <w:lang w:eastAsia="en-US"/>
        </w:rPr>
      </w:pPr>
    </w:p>
    <w:p w14:paraId="23F9FC09" w14:textId="77777777" w:rsidR="00A67D3A" w:rsidRPr="0047462D" w:rsidRDefault="00981377" w:rsidP="002331FF">
      <w:pPr>
        <w:rPr>
          <w:szCs w:val="22"/>
          <w:lang w:eastAsia="en-US"/>
        </w:rPr>
      </w:pPr>
      <w:r w:rsidRPr="0047462D">
        <w:rPr>
          <w:noProof/>
        </w:rPr>
        <w:t>Το φαρμακευτικό αυτό προϊόν δεν απαιτεί ιδιαίτερες συνθήκες φύλαξης</w:t>
      </w:r>
      <w:r w:rsidR="00A67D3A" w:rsidRPr="0047462D">
        <w:rPr>
          <w:rFonts w:eastAsia="Times New Roman"/>
          <w:szCs w:val="22"/>
        </w:rPr>
        <w:t>.</w:t>
      </w:r>
    </w:p>
    <w:p w14:paraId="4846AB54" w14:textId="77777777" w:rsidR="00A67D3A" w:rsidRPr="0047462D" w:rsidRDefault="00A67D3A" w:rsidP="00141E57">
      <w:pPr>
        <w:rPr>
          <w:szCs w:val="22"/>
          <w:lang w:eastAsia="en-US"/>
        </w:rPr>
      </w:pPr>
    </w:p>
    <w:p w14:paraId="5A2788FC" w14:textId="77777777" w:rsidR="00A67D3A" w:rsidRPr="0047462D" w:rsidRDefault="00A67D3A" w:rsidP="00141E57">
      <w:pPr>
        <w:keepNext/>
        <w:tabs>
          <w:tab w:val="left" w:pos="567"/>
        </w:tabs>
        <w:suppressAutoHyphens w:val="0"/>
        <w:outlineLvl w:val="0"/>
        <w:rPr>
          <w:b/>
          <w:bCs/>
          <w:noProof/>
          <w:szCs w:val="22"/>
          <w:lang w:eastAsia="en-US"/>
        </w:rPr>
      </w:pPr>
      <w:r w:rsidRPr="0047462D">
        <w:rPr>
          <w:b/>
          <w:bCs/>
          <w:noProof/>
          <w:szCs w:val="22"/>
          <w:lang w:eastAsia="en-US"/>
        </w:rPr>
        <w:t>6.5</w:t>
      </w:r>
      <w:r w:rsidRPr="0047462D">
        <w:rPr>
          <w:b/>
          <w:bCs/>
          <w:noProof/>
          <w:szCs w:val="22"/>
          <w:lang w:eastAsia="en-US"/>
        </w:rPr>
        <w:tab/>
        <w:t>Φύση και συστατικά του περιέκτη</w:t>
      </w:r>
    </w:p>
    <w:p w14:paraId="39BF12B9" w14:textId="77777777" w:rsidR="00A67D3A" w:rsidRPr="0047462D" w:rsidRDefault="00A67D3A" w:rsidP="00141E57">
      <w:pPr>
        <w:keepNext/>
        <w:rPr>
          <w:szCs w:val="22"/>
          <w:lang w:eastAsia="en-US"/>
        </w:rPr>
      </w:pPr>
    </w:p>
    <w:p w14:paraId="723E219D" w14:textId="77777777" w:rsidR="00A67D3A" w:rsidRPr="0047462D" w:rsidRDefault="00A67D3A" w:rsidP="002331FF">
      <w:pPr>
        <w:rPr>
          <w:szCs w:val="22"/>
        </w:rPr>
      </w:pPr>
      <w:r w:rsidRPr="0047462D">
        <w:rPr>
          <w:rFonts w:eastAsia="Times New Roman"/>
          <w:szCs w:val="22"/>
        </w:rPr>
        <w:t xml:space="preserve">Τα </w:t>
      </w:r>
      <w:r w:rsidR="00B85EBD" w:rsidRPr="0047462D">
        <w:rPr>
          <w:rFonts w:eastAsia="Times New Roman"/>
          <w:szCs w:val="22"/>
        </w:rPr>
        <w:t xml:space="preserve">επικαλυμμένα με λεπτό υμένιο </w:t>
      </w:r>
      <w:r w:rsidRPr="0047462D">
        <w:rPr>
          <w:rFonts w:eastAsia="Times New Roman"/>
          <w:szCs w:val="22"/>
        </w:rPr>
        <w:t>δισκία είναι συσκευασμένα σε κυψέλη θερμομορφική (</w:t>
      </w:r>
      <w:r w:rsidR="002A61C2" w:rsidRPr="0047462D">
        <w:rPr>
          <w:rFonts w:eastAsia="Times New Roman"/>
          <w:szCs w:val="22"/>
        </w:rPr>
        <w:t xml:space="preserve">ΠολυΧλωροΤριΦθοροΑιθυλένιο </w:t>
      </w:r>
      <w:r w:rsidRPr="0047462D">
        <w:rPr>
          <w:rFonts w:eastAsia="Times New Roman"/>
          <w:szCs w:val="22"/>
        </w:rPr>
        <w:t xml:space="preserve">[PCTFE]/αλουμίνιο) ή φιάλη </w:t>
      </w:r>
      <w:r w:rsidR="002A61C2" w:rsidRPr="0047462D">
        <w:rPr>
          <w:rFonts w:eastAsia="Times New Roman"/>
          <w:szCs w:val="22"/>
        </w:rPr>
        <w:t xml:space="preserve">ΠολυΑιθυλενίου Υψηλής Πυκνότητας </w:t>
      </w:r>
      <w:r w:rsidRPr="0047462D">
        <w:rPr>
          <w:rFonts w:eastAsia="Times New Roman"/>
          <w:szCs w:val="22"/>
        </w:rPr>
        <w:t xml:space="preserve">(HDPE) με </w:t>
      </w:r>
      <w:r w:rsidR="002A61C2" w:rsidRPr="0047462D">
        <w:rPr>
          <w:rFonts w:eastAsia="Times New Roman"/>
          <w:szCs w:val="22"/>
        </w:rPr>
        <w:t>πώμα ασφάλειας για τα παιδιά από πολυπροπυλένιο,</w:t>
      </w:r>
      <w:r w:rsidRPr="0047462D">
        <w:rPr>
          <w:rFonts w:eastAsia="Times New Roman"/>
          <w:szCs w:val="22"/>
        </w:rPr>
        <w:t xml:space="preserve"> </w:t>
      </w:r>
      <w:r w:rsidR="002A61C2" w:rsidRPr="0047462D">
        <w:rPr>
          <w:rFonts w:eastAsia="Times New Roman"/>
          <w:szCs w:val="22"/>
        </w:rPr>
        <w:t xml:space="preserve">αεροστεγές κάλυμμα </w:t>
      </w:r>
      <w:r w:rsidRPr="0047462D">
        <w:rPr>
          <w:rFonts w:eastAsia="Times New Roman"/>
          <w:szCs w:val="22"/>
        </w:rPr>
        <w:t>με επένδυση αλουμινίου και αποξηραντικό μοριακού κόσκινου.</w:t>
      </w:r>
    </w:p>
    <w:p w14:paraId="549C7F24" w14:textId="5464AD9C" w:rsidR="00A67D3A" w:rsidRDefault="00A67D3A" w:rsidP="002331FF">
      <w:pPr>
        <w:rPr>
          <w:szCs w:val="22"/>
        </w:rPr>
      </w:pPr>
    </w:p>
    <w:p w14:paraId="041FDDF1" w14:textId="28D327D7" w:rsidR="007225BC" w:rsidRPr="00475296" w:rsidDel="00ED3D47" w:rsidRDefault="007225BC" w:rsidP="007225BC">
      <w:pPr>
        <w:keepNext/>
        <w:rPr>
          <w:u w:val="single"/>
        </w:rPr>
      </w:pPr>
      <w:r w:rsidRPr="00475296" w:rsidDel="00ED3D47">
        <w:rPr>
          <w:u w:val="single"/>
        </w:rPr>
        <w:t>Kalydeco 75</w:t>
      </w:r>
      <w:r>
        <w:rPr>
          <w:u w:val="single"/>
        </w:rPr>
        <w:t> </w:t>
      </w:r>
      <w:r w:rsidRPr="00475296" w:rsidDel="00ED3D47">
        <w:rPr>
          <w:u w:val="single"/>
        </w:rPr>
        <w:t xml:space="preserve">mg </w:t>
      </w:r>
      <w:r w:rsidRPr="007225BC">
        <w:rPr>
          <w:u w:val="single"/>
        </w:rPr>
        <w:t>επικαλυμμένα με λεπτό υμένιο δισκία</w:t>
      </w:r>
    </w:p>
    <w:p w14:paraId="55922BC9" w14:textId="77777777" w:rsidR="007225BC" w:rsidRPr="00475296" w:rsidDel="00ED3D47" w:rsidRDefault="007225BC" w:rsidP="007225BC">
      <w:pPr>
        <w:keepNext/>
      </w:pPr>
    </w:p>
    <w:p w14:paraId="63A69190" w14:textId="569D47CF" w:rsidR="007225BC" w:rsidRPr="00475296" w:rsidDel="00ED3D47" w:rsidRDefault="007225BC" w:rsidP="007225BC">
      <w:pPr>
        <w:keepNext/>
      </w:pPr>
      <w:r w:rsidRPr="0047462D">
        <w:rPr>
          <w:rFonts w:eastAsia="Times New Roman"/>
          <w:szCs w:val="22"/>
        </w:rPr>
        <w:t>Είναι διαθέσιμες οι εξής συσκευασίες</w:t>
      </w:r>
      <w:r w:rsidRPr="00475296" w:rsidDel="00ED3D47">
        <w:t xml:space="preserve">: </w:t>
      </w:r>
    </w:p>
    <w:p w14:paraId="082B2F76" w14:textId="74A5CD28" w:rsidR="007225BC" w:rsidRPr="00F93ECE" w:rsidDel="00ED3D47" w:rsidRDefault="007225BC" w:rsidP="00F93ECE">
      <w:pPr>
        <w:numPr>
          <w:ilvl w:val="0"/>
          <w:numId w:val="3"/>
        </w:numPr>
        <w:tabs>
          <w:tab w:val="clear" w:pos="360"/>
        </w:tabs>
        <w:suppressAutoHyphens w:val="0"/>
        <w:ind w:left="270" w:hanging="270"/>
        <w:rPr>
          <w:rFonts w:eastAsia="Times New Roman"/>
          <w:szCs w:val="22"/>
        </w:rPr>
      </w:pPr>
      <w:r w:rsidRPr="00F93ECE">
        <w:rPr>
          <w:rFonts w:eastAsia="Times New Roman"/>
          <w:szCs w:val="22"/>
        </w:rPr>
        <w:t xml:space="preserve">Συσκευασία κάρτας κυψέλης που περιέχει </w:t>
      </w:r>
      <w:r w:rsidRPr="00F93ECE" w:rsidDel="00ED3D47">
        <w:rPr>
          <w:rFonts w:eastAsia="Times New Roman"/>
          <w:szCs w:val="22"/>
        </w:rPr>
        <w:t>28</w:t>
      </w:r>
      <w:r>
        <w:rPr>
          <w:rFonts w:eastAsia="Times New Roman"/>
          <w:szCs w:val="22"/>
        </w:rPr>
        <w:t> </w:t>
      </w:r>
      <w:r w:rsidRPr="0047462D">
        <w:rPr>
          <w:rFonts w:eastAsia="Times New Roman"/>
          <w:szCs w:val="22"/>
        </w:rPr>
        <w:t>επικαλυμμένα με λεπτό υμένιο δισκία</w:t>
      </w:r>
    </w:p>
    <w:p w14:paraId="7BC875CA" w14:textId="77777777" w:rsidR="007225BC" w:rsidRDefault="007225BC" w:rsidP="007225BC">
      <w:pPr>
        <w:rPr>
          <w:u w:val="single"/>
        </w:rPr>
      </w:pPr>
    </w:p>
    <w:p w14:paraId="545BC1DD" w14:textId="71891B6E" w:rsidR="007225BC" w:rsidRPr="007225BC" w:rsidRDefault="007225BC" w:rsidP="007225BC">
      <w:pPr>
        <w:keepNext/>
        <w:rPr>
          <w:u w:val="single"/>
        </w:rPr>
      </w:pPr>
      <w:r w:rsidRPr="007225BC">
        <w:rPr>
          <w:u w:val="single"/>
        </w:rPr>
        <w:t>Kalydeco 150</w:t>
      </w:r>
      <w:r>
        <w:rPr>
          <w:u w:val="single"/>
        </w:rPr>
        <w:t> </w:t>
      </w:r>
      <w:r w:rsidRPr="007225BC">
        <w:rPr>
          <w:u w:val="single"/>
        </w:rPr>
        <w:t xml:space="preserve">mg </w:t>
      </w:r>
      <w:r w:rsidRPr="00F93ECE">
        <w:rPr>
          <w:rFonts w:eastAsia="Times New Roman"/>
          <w:szCs w:val="22"/>
          <w:u w:val="single"/>
        </w:rPr>
        <w:t>επικαλυμμένα με λεπτό υμένιο δισκία</w:t>
      </w:r>
    </w:p>
    <w:p w14:paraId="356523EC" w14:textId="77777777" w:rsidR="007225BC" w:rsidRPr="0047462D" w:rsidRDefault="007225BC" w:rsidP="00F93ECE">
      <w:pPr>
        <w:keepNext/>
        <w:rPr>
          <w:szCs w:val="22"/>
        </w:rPr>
      </w:pPr>
    </w:p>
    <w:p w14:paraId="12C672B4" w14:textId="2C0ED713" w:rsidR="00A06A70" w:rsidRPr="0047462D" w:rsidRDefault="0071379A" w:rsidP="00EB5A36">
      <w:pPr>
        <w:keepNext/>
        <w:suppressAutoHyphens w:val="0"/>
      </w:pPr>
      <w:r w:rsidRPr="0047462D">
        <w:rPr>
          <w:rFonts w:eastAsia="Times New Roman"/>
          <w:szCs w:val="22"/>
        </w:rPr>
        <w:t xml:space="preserve">Είναι διαθέσιμες </w:t>
      </w:r>
      <w:r w:rsidR="00A67D3A" w:rsidRPr="0047462D">
        <w:rPr>
          <w:rFonts w:eastAsia="Times New Roman"/>
          <w:szCs w:val="22"/>
        </w:rPr>
        <w:t>οι εξής συσκευασίες:</w:t>
      </w:r>
    </w:p>
    <w:p w14:paraId="622B2912" w14:textId="25C00FE8" w:rsidR="0098310D" w:rsidRPr="0047462D" w:rsidRDefault="009A01FB" w:rsidP="0098310D">
      <w:pPr>
        <w:keepNext/>
        <w:numPr>
          <w:ilvl w:val="0"/>
          <w:numId w:val="3"/>
        </w:numPr>
        <w:tabs>
          <w:tab w:val="clear" w:pos="360"/>
        </w:tabs>
        <w:suppressAutoHyphens w:val="0"/>
        <w:ind w:left="270" w:hanging="270"/>
      </w:pPr>
      <w:r w:rsidRPr="0047462D">
        <w:t>Συσκευασία κ</w:t>
      </w:r>
      <w:r w:rsidR="0098310D" w:rsidRPr="0047462D">
        <w:t>άρτα</w:t>
      </w:r>
      <w:r w:rsidRPr="0047462D">
        <w:t>ς</w:t>
      </w:r>
      <w:r w:rsidR="0098310D" w:rsidRPr="0047462D">
        <w:t xml:space="preserve"> κυψέλης που περιέχει 28 </w:t>
      </w:r>
      <w:r w:rsidR="0098310D" w:rsidRPr="0047462D">
        <w:rPr>
          <w:rFonts w:eastAsia="Times New Roman"/>
          <w:szCs w:val="22"/>
        </w:rPr>
        <w:t>επικαλυμμένα με λεπτό υμένιο δισκία</w:t>
      </w:r>
    </w:p>
    <w:p w14:paraId="2CD394E5" w14:textId="77777777" w:rsidR="004936B3" w:rsidRPr="0047462D" w:rsidRDefault="004936B3" w:rsidP="009A2EEC">
      <w:pPr>
        <w:numPr>
          <w:ilvl w:val="0"/>
          <w:numId w:val="3"/>
        </w:numPr>
        <w:tabs>
          <w:tab w:val="clear" w:pos="360"/>
        </w:tabs>
        <w:ind w:left="270" w:hanging="270"/>
      </w:pPr>
      <w:r w:rsidRPr="0047462D">
        <w:rPr>
          <w:rFonts w:eastAsia="Times New Roman"/>
          <w:szCs w:val="22"/>
        </w:rPr>
        <w:t>Συσκευασία κυψέλης που περιέχει 56</w:t>
      </w:r>
      <w:r w:rsidR="00C06A54" w:rsidRPr="0047462D">
        <w:rPr>
          <w:rFonts w:eastAsia="Times New Roman"/>
          <w:szCs w:val="22"/>
          <w:lang w:val="en-GB"/>
        </w:rPr>
        <w:t> </w:t>
      </w:r>
      <w:r w:rsidRPr="0047462D">
        <w:rPr>
          <w:rFonts w:eastAsia="Times New Roman"/>
          <w:szCs w:val="22"/>
        </w:rPr>
        <w:t>επικαλυμμένα με λεπτό υμένιο δισκία</w:t>
      </w:r>
    </w:p>
    <w:p w14:paraId="4C03EA9C" w14:textId="77777777" w:rsidR="00A67D3A" w:rsidRPr="0047462D" w:rsidRDefault="00A67D3A" w:rsidP="002331FF">
      <w:pPr>
        <w:numPr>
          <w:ilvl w:val="0"/>
          <w:numId w:val="3"/>
        </w:numPr>
        <w:tabs>
          <w:tab w:val="clear" w:pos="360"/>
        </w:tabs>
        <w:ind w:left="270" w:hanging="270"/>
        <w:rPr>
          <w:szCs w:val="22"/>
        </w:rPr>
      </w:pPr>
      <w:r w:rsidRPr="0047462D">
        <w:rPr>
          <w:rFonts w:eastAsia="Times New Roman"/>
          <w:szCs w:val="22"/>
        </w:rPr>
        <w:t>Φιάλη που περιέχει 56 επικαλυμμένα με λεπτό υμένιο δισκία</w:t>
      </w:r>
    </w:p>
    <w:p w14:paraId="4D4C3F35" w14:textId="77777777" w:rsidR="00F7185D" w:rsidRPr="0047462D" w:rsidRDefault="00F7185D" w:rsidP="007307BE">
      <w:pPr>
        <w:rPr>
          <w:noProof/>
          <w:szCs w:val="22"/>
        </w:rPr>
      </w:pPr>
    </w:p>
    <w:p w14:paraId="0121BA9C" w14:textId="77777777" w:rsidR="00A67D3A" w:rsidRPr="0047462D" w:rsidRDefault="002A61C2" w:rsidP="007307BE">
      <w:pPr>
        <w:rPr>
          <w:noProof/>
          <w:szCs w:val="22"/>
        </w:rPr>
      </w:pPr>
      <w:r w:rsidRPr="0047462D">
        <w:rPr>
          <w:noProof/>
          <w:szCs w:val="22"/>
        </w:rPr>
        <w:t>Μπορεί να μην κυκλοφορούν όλες οι συσκευασίες.</w:t>
      </w:r>
    </w:p>
    <w:p w14:paraId="0600AACC" w14:textId="77777777" w:rsidR="002A61C2" w:rsidRPr="0047462D" w:rsidRDefault="002A61C2" w:rsidP="007307BE">
      <w:pPr>
        <w:rPr>
          <w:szCs w:val="22"/>
          <w:lang w:eastAsia="en-US"/>
        </w:rPr>
      </w:pPr>
    </w:p>
    <w:p w14:paraId="62A50975" w14:textId="77777777" w:rsidR="00A67D3A" w:rsidRPr="0047462D" w:rsidRDefault="00A67D3A" w:rsidP="00141E57">
      <w:pPr>
        <w:keepNext/>
        <w:ind w:left="567" w:hanging="567"/>
        <w:rPr>
          <w:i/>
          <w:iCs/>
          <w:szCs w:val="22"/>
          <w:lang w:eastAsia="en-US"/>
        </w:rPr>
      </w:pPr>
      <w:bookmarkStart w:id="5" w:name="OLE_LINK1"/>
      <w:r w:rsidRPr="0047462D">
        <w:rPr>
          <w:rFonts w:eastAsia="Times New Roman"/>
          <w:b/>
          <w:bCs/>
          <w:szCs w:val="22"/>
          <w:lang w:eastAsia="en-US"/>
        </w:rPr>
        <w:t>6.6</w:t>
      </w:r>
      <w:r w:rsidRPr="0047462D">
        <w:rPr>
          <w:rFonts w:eastAsia="Times New Roman"/>
          <w:b/>
          <w:bCs/>
          <w:szCs w:val="22"/>
          <w:lang w:eastAsia="en-US"/>
        </w:rPr>
        <w:tab/>
      </w:r>
      <w:r w:rsidRPr="0047462D">
        <w:rPr>
          <w:rFonts w:eastAsia="Times New Roman"/>
          <w:b/>
          <w:bCs/>
          <w:szCs w:val="22"/>
        </w:rPr>
        <w:t>Ιδιαίτερες προφυλάξεις απόρριψης και άλλος χειρισμός</w:t>
      </w:r>
    </w:p>
    <w:bookmarkEnd w:id="5"/>
    <w:p w14:paraId="7068BF6D" w14:textId="77777777" w:rsidR="00A67D3A" w:rsidRPr="0047462D" w:rsidRDefault="00A67D3A" w:rsidP="00141E57">
      <w:pPr>
        <w:keepNext/>
        <w:rPr>
          <w:i/>
          <w:iCs/>
          <w:szCs w:val="22"/>
          <w:lang w:eastAsia="en-US"/>
        </w:rPr>
      </w:pPr>
    </w:p>
    <w:p w14:paraId="7D84A517" w14:textId="77777777" w:rsidR="00A67D3A" w:rsidRPr="0047462D" w:rsidRDefault="00981377" w:rsidP="00141E57">
      <w:pPr>
        <w:rPr>
          <w:szCs w:val="22"/>
          <w:lang w:eastAsia="en-US"/>
        </w:rPr>
      </w:pPr>
      <w:r w:rsidRPr="0047462D">
        <w:rPr>
          <w:noProof/>
          <w:szCs w:val="22"/>
        </w:rPr>
        <w:t>Κάθε αχρησιμοποίητο φαρμακευτικό προϊόν ή υπόλειμμα πρέπει να απορρίπτεται σύμφωνα με τις κατά τόπους ισχύουσες σχετικές διατάξεις</w:t>
      </w:r>
      <w:r w:rsidR="00A67D3A" w:rsidRPr="0047462D">
        <w:rPr>
          <w:rFonts w:eastAsia="Arial0"/>
          <w:szCs w:val="22"/>
        </w:rPr>
        <w:t>.</w:t>
      </w:r>
    </w:p>
    <w:p w14:paraId="64BE6428" w14:textId="77777777" w:rsidR="00A67D3A" w:rsidRPr="0047462D" w:rsidRDefault="00A67D3A" w:rsidP="00141E57">
      <w:pPr>
        <w:rPr>
          <w:szCs w:val="22"/>
          <w:lang w:eastAsia="en-US"/>
        </w:rPr>
      </w:pPr>
    </w:p>
    <w:p w14:paraId="771535A9" w14:textId="77777777" w:rsidR="00A67D3A" w:rsidRPr="0047462D" w:rsidRDefault="00A67D3A" w:rsidP="00141E57">
      <w:pPr>
        <w:rPr>
          <w:szCs w:val="22"/>
          <w:lang w:eastAsia="en-US"/>
        </w:rPr>
      </w:pPr>
    </w:p>
    <w:p w14:paraId="03B87A27"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ΚΑΤΟΧΟΣ ΤΗΣ ΑΔΕΙΑΣ ΚΥΚΛΟΦΟΡΙΑΣ</w:t>
      </w:r>
    </w:p>
    <w:p w14:paraId="5732D10E" w14:textId="77777777" w:rsidR="00A67D3A" w:rsidRPr="0047462D" w:rsidRDefault="00A67D3A" w:rsidP="00141E57">
      <w:pPr>
        <w:keepNext/>
        <w:rPr>
          <w:szCs w:val="22"/>
          <w:lang w:eastAsia="en-US"/>
        </w:rPr>
      </w:pPr>
    </w:p>
    <w:p w14:paraId="538AEA57" w14:textId="77777777" w:rsidR="00AE0285" w:rsidRPr="0047462D" w:rsidRDefault="00AE0285" w:rsidP="00D3539C">
      <w:pPr>
        <w:keepNext/>
        <w:rPr>
          <w:iCs/>
        </w:rPr>
      </w:pPr>
      <w:r w:rsidRPr="0047462D">
        <w:rPr>
          <w:iCs/>
          <w:lang w:val="en-GB"/>
        </w:rPr>
        <w:t>Vertex</w:t>
      </w:r>
      <w:r w:rsidRPr="0047462D">
        <w:rPr>
          <w:iCs/>
        </w:rPr>
        <w:t xml:space="preserve"> </w:t>
      </w:r>
      <w:r w:rsidRPr="0047462D">
        <w:rPr>
          <w:iCs/>
          <w:lang w:val="en-GB"/>
        </w:rPr>
        <w:t>Pharmaceuticals</w:t>
      </w:r>
      <w:r w:rsidRPr="0047462D">
        <w:rPr>
          <w:iCs/>
        </w:rPr>
        <w:t xml:space="preserve"> (</w:t>
      </w:r>
      <w:r w:rsidRPr="0047462D">
        <w:rPr>
          <w:iCs/>
          <w:lang w:val="en-GB"/>
        </w:rPr>
        <w:t>Ireland</w:t>
      </w:r>
      <w:r w:rsidRPr="0047462D">
        <w:rPr>
          <w:iCs/>
        </w:rPr>
        <w:t xml:space="preserve">) </w:t>
      </w:r>
      <w:r w:rsidRPr="0047462D">
        <w:rPr>
          <w:iCs/>
          <w:lang w:val="en-GB"/>
        </w:rPr>
        <w:t>Limited</w:t>
      </w:r>
    </w:p>
    <w:p w14:paraId="134CE6CC" w14:textId="77777777" w:rsidR="00AE0285" w:rsidRPr="0047462D" w:rsidRDefault="00AE0285" w:rsidP="00D3539C">
      <w:pPr>
        <w:keepNext/>
        <w:rPr>
          <w:iCs/>
          <w:lang w:val="en-GB"/>
        </w:rPr>
      </w:pPr>
      <w:r w:rsidRPr="0047462D">
        <w:rPr>
          <w:iCs/>
          <w:lang w:val="en-GB"/>
        </w:rPr>
        <w:t>28-32 Pembroke Street Upper</w:t>
      </w:r>
    </w:p>
    <w:p w14:paraId="083ED5C3" w14:textId="77777777" w:rsidR="00AE0285" w:rsidRPr="0047462D" w:rsidRDefault="00AE0285" w:rsidP="00D3539C">
      <w:pPr>
        <w:keepNext/>
        <w:rPr>
          <w:iCs/>
          <w:lang w:val="en-GB"/>
        </w:rPr>
      </w:pPr>
      <w:r w:rsidRPr="0047462D">
        <w:rPr>
          <w:iCs/>
          <w:lang w:val="en-GB"/>
        </w:rPr>
        <w:t>Dublin 2, D02 EK84</w:t>
      </w:r>
    </w:p>
    <w:p w14:paraId="6D9B4F69" w14:textId="77777777" w:rsidR="00AE0285" w:rsidRPr="0047462D" w:rsidRDefault="00AE0285" w:rsidP="00AE0285">
      <w:pPr>
        <w:rPr>
          <w:iCs/>
        </w:rPr>
      </w:pPr>
      <w:r w:rsidRPr="0047462D">
        <w:rPr>
          <w:iCs/>
        </w:rPr>
        <w:t>Ιρλανδία</w:t>
      </w:r>
    </w:p>
    <w:p w14:paraId="7A426A79" w14:textId="77777777" w:rsidR="00A67D3A" w:rsidRPr="0047462D" w:rsidRDefault="00A67D3A" w:rsidP="00141E57">
      <w:pPr>
        <w:rPr>
          <w:szCs w:val="22"/>
          <w:lang w:eastAsia="en-US"/>
        </w:rPr>
      </w:pPr>
    </w:p>
    <w:p w14:paraId="60FBA38F" w14:textId="77777777" w:rsidR="00A67D3A" w:rsidRPr="0047462D" w:rsidRDefault="00A67D3A" w:rsidP="00141E57">
      <w:pPr>
        <w:rPr>
          <w:szCs w:val="22"/>
          <w:lang w:eastAsia="en-US"/>
        </w:rPr>
      </w:pPr>
    </w:p>
    <w:p w14:paraId="30BE8BAD" w14:textId="77777777" w:rsidR="00A67D3A" w:rsidRPr="0047462D" w:rsidRDefault="00A67D3A">
      <w:pPr>
        <w:keepNext/>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190146D0" w14:textId="77777777" w:rsidR="00A67D3A" w:rsidRPr="0047462D" w:rsidRDefault="00A67D3A">
      <w:pPr>
        <w:keepNext/>
        <w:rPr>
          <w:szCs w:val="22"/>
          <w:lang w:eastAsia="en-US"/>
        </w:rPr>
      </w:pPr>
    </w:p>
    <w:p w14:paraId="610660AB" w14:textId="77777777" w:rsidR="00A67D3A" w:rsidRPr="0047462D" w:rsidRDefault="00A67D3A" w:rsidP="009A2EEC">
      <w:pPr>
        <w:keepNext/>
        <w:rPr>
          <w:szCs w:val="24"/>
        </w:rPr>
      </w:pPr>
      <w:r w:rsidRPr="0047462D">
        <w:rPr>
          <w:szCs w:val="24"/>
        </w:rPr>
        <w:t>EU/1/12/782/001</w:t>
      </w:r>
    </w:p>
    <w:p w14:paraId="4CB7686C" w14:textId="77777777" w:rsidR="00892E55" w:rsidRPr="0047462D" w:rsidRDefault="00892E55" w:rsidP="009A2EEC">
      <w:pPr>
        <w:keepNext/>
        <w:suppressLineNumbers/>
      </w:pPr>
      <w:r w:rsidRPr="0047462D">
        <w:t>EU/1/12/782/002</w:t>
      </w:r>
    </w:p>
    <w:p w14:paraId="332DCB15" w14:textId="77777777" w:rsidR="00892E55" w:rsidRPr="0047462D" w:rsidRDefault="00892E55" w:rsidP="00892E55">
      <w:pPr>
        <w:rPr>
          <w:szCs w:val="24"/>
        </w:rPr>
      </w:pPr>
      <w:r w:rsidRPr="0047462D">
        <w:t>EU/1/12/782/005</w:t>
      </w:r>
    </w:p>
    <w:p w14:paraId="4497A07C" w14:textId="77777777" w:rsidR="000660F4" w:rsidRDefault="000660F4" w:rsidP="000660F4">
      <w:r>
        <w:t>EU/1/12/782/007</w:t>
      </w:r>
    </w:p>
    <w:p w14:paraId="7ED4A1EB" w14:textId="77777777" w:rsidR="00A67D3A" w:rsidRPr="0047462D" w:rsidRDefault="00A67D3A" w:rsidP="00141E57">
      <w:pPr>
        <w:rPr>
          <w:szCs w:val="22"/>
          <w:lang w:eastAsia="en-US"/>
        </w:rPr>
      </w:pPr>
    </w:p>
    <w:p w14:paraId="3E54A48A" w14:textId="77777777" w:rsidR="00A67D3A" w:rsidRPr="0047462D" w:rsidRDefault="00A67D3A" w:rsidP="00141E57">
      <w:pPr>
        <w:rPr>
          <w:szCs w:val="22"/>
          <w:lang w:eastAsia="en-US"/>
        </w:rPr>
      </w:pPr>
    </w:p>
    <w:p w14:paraId="503918D3" w14:textId="77777777" w:rsidR="00A67D3A" w:rsidRPr="0047462D" w:rsidRDefault="00A67D3A" w:rsidP="00141E57">
      <w:pPr>
        <w:keepNext/>
        <w:ind w:left="567" w:hanging="567"/>
        <w:rPr>
          <w:i/>
          <w:iCs/>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ΗΜΕΡΟΜΗΝΙΑ ΠΡΩΤΗΣ ΕΓΚΡΙΣΗΣ/ΑΝΑΝΕΩΣΗΣ ΤΗΣ ΑΔΕΙΑΣ</w:t>
      </w:r>
    </w:p>
    <w:p w14:paraId="397A3690" w14:textId="77777777" w:rsidR="00A67D3A" w:rsidRPr="0047462D" w:rsidRDefault="00A67D3A" w:rsidP="00141E57">
      <w:pPr>
        <w:keepNext/>
        <w:rPr>
          <w:i/>
          <w:iCs/>
          <w:szCs w:val="22"/>
          <w:lang w:eastAsia="en-US"/>
        </w:rPr>
      </w:pPr>
    </w:p>
    <w:p w14:paraId="208BF8F9" w14:textId="77777777" w:rsidR="00A67D3A" w:rsidRPr="0047462D" w:rsidRDefault="00A67D3A" w:rsidP="00EB5A36">
      <w:pPr>
        <w:keepNext/>
        <w:rPr>
          <w:szCs w:val="22"/>
          <w:lang w:eastAsia="en-US"/>
        </w:rPr>
      </w:pPr>
      <w:r w:rsidRPr="0047462D">
        <w:rPr>
          <w:rFonts w:eastAsia="Times New Roman"/>
          <w:szCs w:val="22"/>
        </w:rPr>
        <w:t>Ημερομηνία πρώτης έγκρισης:</w:t>
      </w:r>
      <w:r w:rsidRPr="0047462D">
        <w:rPr>
          <w:rFonts w:eastAsia="Times New Roman"/>
          <w:szCs w:val="22"/>
          <w:lang w:eastAsia="en-US"/>
        </w:rPr>
        <w:t xml:space="preserve"> 23</w:t>
      </w:r>
      <w:r w:rsidRPr="0047462D">
        <w:rPr>
          <w:rFonts w:eastAsia="Times New Roman"/>
          <w:b/>
          <w:szCs w:val="22"/>
          <w:lang w:eastAsia="en-US"/>
        </w:rPr>
        <w:t xml:space="preserve"> </w:t>
      </w:r>
      <w:r w:rsidRPr="0047462D">
        <w:rPr>
          <w:rStyle w:val="Strong"/>
          <w:b w:val="0"/>
          <w:szCs w:val="22"/>
        </w:rPr>
        <w:t>Ιουλίου 2012</w:t>
      </w:r>
    </w:p>
    <w:p w14:paraId="34DB26F3" w14:textId="77777777" w:rsidR="00A67D3A" w:rsidRPr="0047462D" w:rsidRDefault="002A61C2" w:rsidP="00141E57">
      <w:pPr>
        <w:rPr>
          <w:noProof/>
          <w:szCs w:val="22"/>
        </w:rPr>
      </w:pPr>
      <w:r w:rsidRPr="0047462D">
        <w:rPr>
          <w:noProof/>
          <w:szCs w:val="22"/>
        </w:rPr>
        <w:t>Ημερομηνία τελευταίας ανανέωσης:</w:t>
      </w:r>
      <w:r w:rsidR="000E3B88" w:rsidRPr="0047462D">
        <w:rPr>
          <w:noProof/>
          <w:szCs w:val="22"/>
        </w:rPr>
        <w:t xml:space="preserve"> 28 </w:t>
      </w:r>
      <w:r w:rsidR="000E3B88" w:rsidRPr="0047462D">
        <w:rPr>
          <w:spacing w:val="-1"/>
          <w:szCs w:val="22"/>
          <w:lang w:eastAsia="en-US"/>
        </w:rPr>
        <w:t>Απ</w:t>
      </w:r>
      <w:r w:rsidR="000E3B88" w:rsidRPr="0047462D">
        <w:rPr>
          <w:szCs w:val="22"/>
          <w:lang w:eastAsia="en-US"/>
        </w:rPr>
        <w:t>ρ</w:t>
      </w:r>
      <w:r w:rsidR="000E3B88" w:rsidRPr="0047462D">
        <w:rPr>
          <w:spacing w:val="1"/>
          <w:szCs w:val="22"/>
          <w:lang w:eastAsia="en-US"/>
        </w:rPr>
        <w:t>ι</w:t>
      </w:r>
      <w:r w:rsidR="000E3B88" w:rsidRPr="0047462D">
        <w:rPr>
          <w:spacing w:val="-2"/>
          <w:szCs w:val="22"/>
          <w:lang w:eastAsia="en-US"/>
        </w:rPr>
        <w:t>λ</w:t>
      </w:r>
      <w:r w:rsidR="000E3B88" w:rsidRPr="0047462D">
        <w:rPr>
          <w:spacing w:val="1"/>
          <w:szCs w:val="22"/>
          <w:lang w:eastAsia="en-US"/>
        </w:rPr>
        <w:t>ί</w:t>
      </w:r>
      <w:r w:rsidR="000E3B88" w:rsidRPr="0047462D">
        <w:rPr>
          <w:spacing w:val="-2"/>
          <w:szCs w:val="22"/>
          <w:lang w:eastAsia="en-US"/>
        </w:rPr>
        <w:t>ο</w:t>
      </w:r>
      <w:r w:rsidR="000E3B88" w:rsidRPr="0047462D">
        <w:rPr>
          <w:szCs w:val="22"/>
          <w:lang w:eastAsia="en-US"/>
        </w:rPr>
        <w:t>υ 2017</w:t>
      </w:r>
    </w:p>
    <w:p w14:paraId="5671FE7C" w14:textId="77777777" w:rsidR="002A61C2" w:rsidRPr="0047462D" w:rsidRDefault="002A61C2" w:rsidP="00141E57">
      <w:pPr>
        <w:rPr>
          <w:szCs w:val="22"/>
          <w:lang w:eastAsia="en-US"/>
        </w:rPr>
      </w:pPr>
    </w:p>
    <w:p w14:paraId="6E3CBC73" w14:textId="77777777" w:rsidR="00A67D3A" w:rsidRPr="0047462D" w:rsidRDefault="00A67D3A" w:rsidP="00141E57">
      <w:pPr>
        <w:rPr>
          <w:szCs w:val="22"/>
          <w:lang w:eastAsia="en-US"/>
        </w:rPr>
      </w:pPr>
    </w:p>
    <w:p w14:paraId="2B168D14" w14:textId="77777777" w:rsidR="00A67D3A" w:rsidRPr="0047462D" w:rsidRDefault="00A67D3A" w:rsidP="00141E57">
      <w:pPr>
        <w:tabs>
          <w:tab w:val="left" w:pos="567"/>
        </w:tabs>
        <w:suppressAutoHyphens w:val="0"/>
        <w:spacing w:line="260" w:lineRule="exact"/>
      </w:pPr>
      <w:r w:rsidRPr="0047462D">
        <w:rPr>
          <w:b/>
          <w:bCs/>
          <w:noProof/>
          <w:szCs w:val="22"/>
          <w:lang w:eastAsia="en-US"/>
        </w:rPr>
        <w:t>10.</w:t>
      </w:r>
      <w:r w:rsidRPr="0047462D">
        <w:rPr>
          <w:b/>
          <w:bCs/>
          <w:noProof/>
          <w:szCs w:val="22"/>
          <w:lang w:eastAsia="en-US"/>
        </w:rPr>
        <w:tab/>
        <w:t>ΗΜΕΡΟΜΗΝΙΑ ΑΝΑΘΕΩΡΗΣΗΣ ΤΟΥ ΚΕΙΜΕΝΟΥ</w:t>
      </w:r>
    </w:p>
    <w:p w14:paraId="1B2EF124" w14:textId="77777777" w:rsidR="00A67D3A" w:rsidRPr="0047462D" w:rsidRDefault="00A67D3A" w:rsidP="00141E57">
      <w:pPr>
        <w:tabs>
          <w:tab w:val="left" w:pos="567"/>
        </w:tabs>
        <w:suppressAutoHyphens w:val="0"/>
        <w:spacing w:line="260" w:lineRule="exact"/>
        <w:rPr>
          <w:b/>
          <w:bCs/>
          <w:noProof/>
          <w:szCs w:val="22"/>
          <w:lang w:eastAsia="en-US"/>
        </w:rPr>
      </w:pPr>
    </w:p>
    <w:p w14:paraId="72E5A062" w14:textId="77777777" w:rsidR="00A67D3A" w:rsidRPr="0047462D" w:rsidRDefault="00E54C91" w:rsidP="00141E57">
      <w:pPr>
        <w:ind w:right="-2"/>
        <w:rPr>
          <w:rFonts w:eastAsia="Times New Roman"/>
          <w:szCs w:val="22"/>
        </w:rPr>
      </w:pPr>
      <w:r w:rsidRPr="0047462D">
        <w:rPr>
          <w:noProof/>
          <w:szCs w:val="22"/>
        </w:rPr>
        <w:t xml:space="preserve">Λεπτομερείς πληροφορίες </w:t>
      </w:r>
      <w:r w:rsidR="00A67D3A" w:rsidRPr="0047462D">
        <w:rPr>
          <w:rFonts w:eastAsia="Times New Roman"/>
          <w:szCs w:val="22"/>
        </w:rPr>
        <w:t>για το παρόν φαρμακευτικό προϊόν είναι διαθέσιμ</w:t>
      </w:r>
      <w:r w:rsidRPr="0047462D">
        <w:rPr>
          <w:rFonts w:eastAsia="Times New Roman"/>
          <w:szCs w:val="22"/>
        </w:rPr>
        <w:t>ες</w:t>
      </w:r>
      <w:r w:rsidR="00A67D3A" w:rsidRPr="0047462D">
        <w:rPr>
          <w:rFonts w:eastAsia="Times New Roman"/>
          <w:szCs w:val="22"/>
        </w:rPr>
        <w:t xml:space="preserve"> στον δικτυακό τόπο του Ευρωπαϊκού Οργανισμού Φαρμάκων</w:t>
      </w:r>
      <w:r w:rsidRPr="0047462D">
        <w:rPr>
          <w:rFonts w:eastAsia="Times New Roman"/>
          <w:szCs w:val="22"/>
        </w:rPr>
        <w:t>:</w:t>
      </w:r>
      <w:r w:rsidR="00A67D3A" w:rsidRPr="0047462D">
        <w:rPr>
          <w:rFonts w:eastAsia="Times New Roman"/>
          <w:szCs w:val="22"/>
        </w:rPr>
        <w:t xml:space="preserve"> </w:t>
      </w:r>
      <w:hyperlink r:id="rId12" w:history="1">
        <w:r w:rsidR="00A67D3A" w:rsidRPr="0047462D">
          <w:rPr>
            <w:rStyle w:val="Hyperlink"/>
          </w:rPr>
          <w:t>http://www.ema.europa.eu</w:t>
        </w:r>
      </w:hyperlink>
      <w:r w:rsidR="00A67D3A" w:rsidRPr="0047462D">
        <w:rPr>
          <w:rFonts w:eastAsia="Times New Roman"/>
          <w:szCs w:val="22"/>
        </w:rPr>
        <w:t>.</w:t>
      </w:r>
    </w:p>
    <w:p w14:paraId="6E46B32E" w14:textId="77777777" w:rsidR="007F7380" w:rsidRPr="0047462D" w:rsidRDefault="001C01B6" w:rsidP="00141E57">
      <w:pPr>
        <w:keepNext/>
        <w:widowControl w:val="0"/>
        <w:numPr>
          <w:ilvl w:val="0"/>
          <w:numId w:val="15"/>
        </w:numPr>
        <w:tabs>
          <w:tab w:val="clear" w:pos="720"/>
          <w:tab w:val="left" w:pos="270"/>
        </w:tabs>
        <w:ind w:left="0" w:firstLine="0"/>
        <w:rPr>
          <w:noProof/>
          <w:szCs w:val="22"/>
        </w:rPr>
      </w:pPr>
      <w:r w:rsidRPr="0047462D">
        <w:rPr>
          <w:rFonts w:eastAsia="Times New Roman"/>
          <w:szCs w:val="22"/>
        </w:rPr>
        <w:br w:type="page"/>
      </w:r>
    </w:p>
    <w:p w14:paraId="367BA954" w14:textId="77777777" w:rsidR="007F7380" w:rsidRPr="0047462D" w:rsidRDefault="007F7380" w:rsidP="00141E57">
      <w:pPr>
        <w:keepNext/>
        <w:widowControl w:val="0"/>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11BD6EE" w14:textId="77777777" w:rsidR="007F7380" w:rsidRPr="0047462D" w:rsidRDefault="007F7380" w:rsidP="007F7380">
      <w:pPr>
        <w:rPr>
          <w:szCs w:val="22"/>
          <w:lang w:eastAsia="en-US"/>
        </w:rPr>
      </w:pPr>
    </w:p>
    <w:p w14:paraId="64113303" w14:textId="77777777" w:rsidR="00D104CC" w:rsidRPr="0047462D" w:rsidRDefault="00D104CC" w:rsidP="00D104CC">
      <w:pPr>
        <w:widowControl w:val="0"/>
      </w:pPr>
      <w:r w:rsidRPr="0047462D">
        <w:t xml:space="preserve">Kalydeco 25 mg </w:t>
      </w:r>
      <w:r w:rsidRPr="0047462D">
        <w:rPr>
          <w:rFonts w:eastAsia="Times New Roman"/>
          <w:color w:val="222222"/>
          <w:szCs w:val="22"/>
          <w:lang w:eastAsia="en-GB"/>
        </w:rPr>
        <w:t>κοκκία σε φακελλίσκο</w:t>
      </w:r>
    </w:p>
    <w:p w14:paraId="3DAB12A3" w14:textId="77777777" w:rsidR="007F7380" w:rsidRPr="0047462D" w:rsidRDefault="007F7380" w:rsidP="007F7380">
      <w:pPr>
        <w:widowControl w:val="0"/>
        <w:rPr>
          <w:szCs w:val="22"/>
          <w:lang w:eastAsia="en-US"/>
        </w:rPr>
      </w:pPr>
      <w:r w:rsidRPr="0047462D">
        <w:rPr>
          <w:rFonts w:eastAsia="Times New Roman"/>
          <w:szCs w:val="22"/>
          <w:lang w:val="en-US"/>
        </w:rPr>
        <w:t>Kalydeco</w:t>
      </w:r>
      <w:r w:rsidRPr="0047462D">
        <w:rPr>
          <w:rFonts w:eastAsia="Times New Roman"/>
          <w:szCs w:val="22"/>
        </w:rPr>
        <w:t xml:space="preserve"> 50</w:t>
      </w:r>
      <w:r w:rsidRPr="0047462D">
        <w:rPr>
          <w:lang w:val="en-US" w:eastAsia="en-US"/>
        </w:rPr>
        <w:t> </w:t>
      </w:r>
      <w:r w:rsidRPr="0047462D">
        <w:rPr>
          <w:rFonts w:eastAsia="Times New Roman"/>
          <w:szCs w:val="22"/>
          <w:lang w:val="en-US"/>
        </w:rPr>
        <w:t>mg</w:t>
      </w:r>
      <w:r w:rsidRPr="0047462D">
        <w:rPr>
          <w:rFonts w:eastAsia="Times New Roman"/>
          <w:szCs w:val="22"/>
        </w:rPr>
        <w:t xml:space="preserve"> </w:t>
      </w:r>
      <w:r w:rsidRPr="0047462D">
        <w:rPr>
          <w:rFonts w:eastAsia="Times New Roman"/>
          <w:color w:val="222222"/>
          <w:szCs w:val="22"/>
          <w:lang w:eastAsia="en-GB"/>
        </w:rPr>
        <w:t>κοκκία σε φακελλίσκο</w:t>
      </w:r>
    </w:p>
    <w:p w14:paraId="66F6C5BD" w14:textId="77777777" w:rsidR="007F7380" w:rsidRPr="0047462D" w:rsidRDefault="007F7380" w:rsidP="007F7380">
      <w:pPr>
        <w:rPr>
          <w:rFonts w:eastAsia="Times New Roman"/>
          <w:color w:val="222222"/>
          <w:szCs w:val="22"/>
          <w:lang w:eastAsia="en-GB"/>
        </w:rPr>
      </w:pPr>
      <w:r w:rsidRPr="0047462D">
        <w:rPr>
          <w:rFonts w:eastAsia="Times New Roman"/>
          <w:szCs w:val="22"/>
          <w:lang w:val="en-US"/>
        </w:rPr>
        <w:t>Kalydeco</w:t>
      </w:r>
      <w:r w:rsidRPr="0047462D">
        <w:rPr>
          <w:rFonts w:eastAsia="Times New Roman"/>
          <w:szCs w:val="22"/>
        </w:rPr>
        <w:t xml:space="preserve"> 75</w:t>
      </w:r>
      <w:r w:rsidRPr="0047462D">
        <w:rPr>
          <w:lang w:val="en-US" w:eastAsia="en-US"/>
        </w:rPr>
        <w:t> </w:t>
      </w:r>
      <w:r w:rsidRPr="0047462D">
        <w:rPr>
          <w:rFonts w:eastAsia="Times New Roman"/>
          <w:szCs w:val="22"/>
          <w:lang w:val="en-US"/>
        </w:rPr>
        <w:t>mg</w:t>
      </w:r>
      <w:r w:rsidRPr="0047462D">
        <w:rPr>
          <w:rFonts w:eastAsia="Times New Roman"/>
          <w:szCs w:val="22"/>
        </w:rPr>
        <w:t xml:space="preserve"> </w:t>
      </w:r>
      <w:r w:rsidRPr="0047462D">
        <w:rPr>
          <w:rFonts w:eastAsia="Times New Roman"/>
          <w:color w:val="222222"/>
          <w:szCs w:val="22"/>
          <w:lang w:eastAsia="en-GB"/>
        </w:rPr>
        <w:t>κοκκία σε φακελλίσκο</w:t>
      </w:r>
    </w:p>
    <w:p w14:paraId="240CE24A" w14:textId="77777777" w:rsidR="007F7380" w:rsidRPr="0047462D" w:rsidRDefault="007F7380" w:rsidP="007F7380">
      <w:pPr>
        <w:rPr>
          <w:szCs w:val="22"/>
          <w:lang w:eastAsia="en-US"/>
        </w:rPr>
      </w:pPr>
    </w:p>
    <w:p w14:paraId="1D5209AD" w14:textId="77777777" w:rsidR="007F7380" w:rsidRPr="0047462D" w:rsidRDefault="007F7380" w:rsidP="007F7380">
      <w:pPr>
        <w:rPr>
          <w:szCs w:val="22"/>
          <w:lang w:eastAsia="en-US"/>
        </w:rPr>
      </w:pPr>
    </w:p>
    <w:p w14:paraId="6F49EEB0" w14:textId="77777777" w:rsidR="007F7380" w:rsidRPr="0047462D" w:rsidRDefault="007F7380" w:rsidP="00141E57">
      <w:pPr>
        <w:keepNext/>
        <w:widowControl w:val="0"/>
        <w:ind w:left="567"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ΠΟΙΟΤΙΚΗ ΚΑΙ ΠΟΣΟΤΙΚΗ ΣΥΝΘΕΣΗ</w:t>
      </w:r>
    </w:p>
    <w:p w14:paraId="0256C2AA" w14:textId="77777777" w:rsidR="007F7380" w:rsidRPr="0047462D" w:rsidRDefault="007F7380" w:rsidP="007F7380">
      <w:pPr>
        <w:keepNext/>
        <w:rPr>
          <w:szCs w:val="22"/>
          <w:lang w:eastAsia="en-US"/>
        </w:rPr>
      </w:pPr>
    </w:p>
    <w:p w14:paraId="55769673" w14:textId="77777777" w:rsidR="00D104CC" w:rsidRPr="0047462D" w:rsidRDefault="00D104CC" w:rsidP="00D104CC">
      <w:pPr>
        <w:keepNext/>
        <w:widowControl w:val="0"/>
        <w:rPr>
          <w:u w:val="single"/>
        </w:rPr>
      </w:pPr>
      <w:r w:rsidRPr="0047462D">
        <w:rPr>
          <w:u w:val="single"/>
        </w:rPr>
        <w:t xml:space="preserve">Kalydeco 25 mg </w:t>
      </w:r>
      <w:r w:rsidRPr="0047462D">
        <w:rPr>
          <w:rFonts w:eastAsia="Times New Roman"/>
          <w:color w:val="222222"/>
          <w:szCs w:val="22"/>
          <w:u w:val="single"/>
          <w:lang w:eastAsia="en-GB"/>
        </w:rPr>
        <w:t>κοκκία σε φακελλίσκο</w:t>
      </w:r>
    </w:p>
    <w:p w14:paraId="41769771" w14:textId="77777777" w:rsidR="00D104CC" w:rsidRPr="0047462D" w:rsidRDefault="00D104CC" w:rsidP="00D104CC">
      <w:pPr>
        <w:keepNext/>
        <w:widowControl w:val="0"/>
      </w:pPr>
    </w:p>
    <w:p w14:paraId="7D9C9679" w14:textId="77777777" w:rsidR="00D104CC" w:rsidRPr="0047462D" w:rsidRDefault="00400CB3" w:rsidP="00D104CC">
      <w:pPr>
        <w:widowControl w:val="0"/>
      </w:pPr>
      <w:r w:rsidRPr="0047462D">
        <w:rPr>
          <w:rFonts w:eastAsia="Times New Roman"/>
          <w:szCs w:val="22"/>
        </w:rPr>
        <w:t>Κ</w:t>
      </w:r>
      <w:r w:rsidR="00D104CC" w:rsidRPr="0047462D">
        <w:rPr>
          <w:rFonts w:eastAsia="Times New Roman"/>
          <w:szCs w:val="22"/>
        </w:rPr>
        <w:t>άθε φακελλίσκος περιέχει</w:t>
      </w:r>
      <w:r w:rsidR="00D104CC" w:rsidRPr="0047462D">
        <w:t xml:space="preserve"> 25 mg ivacaftor.</w:t>
      </w:r>
    </w:p>
    <w:p w14:paraId="7B45AAA5" w14:textId="77777777" w:rsidR="00D104CC" w:rsidRPr="0047462D" w:rsidRDefault="00D104CC" w:rsidP="00D104CC">
      <w:pPr>
        <w:widowControl w:val="0"/>
      </w:pPr>
    </w:p>
    <w:p w14:paraId="3AB08489" w14:textId="7F8A1D1D" w:rsidR="00D104CC" w:rsidRPr="0047462D" w:rsidRDefault="00D104CC" w:rsidP="00D104CC">
      <w:pPr>
        <w:keepNext/>
        <w:widowControl w:val="0"/>
        <w:rPr>
          <w:i/>
        </w:rPr>
      </w:pPr>
      <w:r w:rsidRPr="0047462D">
        <w:rPr>
          <w:i/>
        </w:rPr>
        <w:t>Έκδοχο με γνωστή δράση:</w:t>
      </w:r>
    </w:p>
    <w:p w14:paraId="708BE914" w14:textId="77777777" w:rsidR="003C78D1" w:rsidRPr="0047462D" w:rsidRDefault="003C78D1" w:rsidP="00D104CC">
      <w:pPr>
        <w:keepNext/>
        <w:widowControl w:val="0"/>
        <w:rPr>
          <w:i/>
        </w:rPr>
      </w:pPr>
    </w:p>
    <w:p w14:paraId="20D95AB5" w14:textId="551ABAF3" w:rsidR="00D104CC" w:rsidRPr="0047462D" w:rsidRDefault="00D104CC" w:rsidP="00D104CC">
      <w:pPr>
        <w:widowControl w:val="0"/>
      </w:pPr>
      <w:r w:rsidRPr="0047462D">
        <w:rPr>
          <w:szCs w:val="22"/>
        </w:rPr>
        <w:t xml:space="preserve">Κάθε </w:t>
      </w:r>
      <w:r w:rsidRPr="0047462D">
        <w:rPr>
          <w:rFonts w:eastAsia="Times New Roman"/>
          <w:szCs w:val="22"/>
        </w:rPr>
        <w:t xml:space="preserve">φακελλίσκος περιέχει </w:t>
      </w:r>
      <w:r w:rsidRPr="0047462D">
        <w:t xml:space="preserve">36,6 mg </w:t>
      </w:r>
      <w:r w:rsidRPr="0047462D">
        <w:rPr>
          <w:rFonts w:eastAsia="Times New Roman"/>
          <w:szCs w:val="22"/>
        </w:rPr>
        <w:t>λακτόζης</w:t>
      </w:r>
      <w:r w:rsidRPr="0047462D">
        <w:rPr>
          <w:rFonts w:eastAsia="Times New Roman"/>
          <w:szCs w:val="22"/>
          <w:lang w:eastAsia="en-US"/>
        </w:rPr>
        <w:t xml:space="preserve"> </w:t>
      </w:r>
      <w:r w:rsidRPr="0047462D">
        <w:rPr>
          <w:rFonts w:eastAsia="Times New Roman"/>
          <w:szCs w:val="22"/>
        </w:rPr>
        <w:t>μονοϋδρική</w:t>
      </w:r>
      <w:r w:rsidR="009E5432" w:rsidRPr="0047462D">
        <w:rPr>
          <w:rFonts w:eastAsia="Times New Roman"/>
          <w:szCs w:val="22"/>
        </w:rPr>
        <w:t>ς</w:t>
      </w:r>
      <w:r w:rsidR="009E5432" w:rsidRPr="0047462D">
        <w:t>.</w:t>
      </w:r>
    </w:p>
    <w:p w14:paraId="4D798A8D" w14:textId="77777777" w:rsidR="00D104CC" w:rsidRPr="0047462D" w:rsidRDefault="00D104CC" w:rsidP="00D104CC">
      <w:pPr>
        <w:widowControl w:val="0"/>
        <w:rPr>
          <w:u w:val="single"/>
        </w:rPr>
      </w:pPr>
    </w:p>
    <w:p w14:paraId="05271570" w14:textId="77777777" w:rsidR="007F7380" w:rsidRPr="0047462D" w:rsidRDefault="007F7380" w:rsidP="006A0651">
      <w:pPr>
        <w:keepNext/>
        <w:widowControl w:val="0"/>
        <w:rPr>
          <w:rFonts w:eastAsia="Times New Roman"/>
          <w:color w:val="222222"/>
          <w:szCs w:val="22"/>
          <w:u w:val="single"/>
          <w:lang w:eastAsia="en-GB"/>
        </w:rPr>
      </w:pPr>
      <w:r w:rsidRPr="0047462D">
        <w:rPr>
          <w:rFonts w:eastAsia="Times New Roman"/>
          <w:szCs w:val="22"/>
          <w:u w:val="single"/>
          <w:lang w:val="en-US"/>
        </w:rPr>
        <w:t>Kalydeco</w:t>
      </w:r>
      <w:r w:rsidRPr="0047462D">
        <w:rPr>
          <w:rFonts w:eastAsia="Times New Roman"/>
          <w:szCs w:val="22"/>
          <w:u w:val="single"/>
        </w:rPr>
        <w:t xml:space="preserve"> 50</w:t>
      </w:r>
      <w:r w:rsidRPr="0047462D">
        <w:rPr>
          <w:u w:val="single"/>
          <w:lang w:val="en-US" w:eastAsia="en-US"/>
        </w:rPr>
        <w:t> </w:t>
      </w:r>
      <w:r w:rsidRPr="0047462D">
        <w:rPr>
          <w:rFonts w:eastAsia="Times New Roman"/>
          <w:szCs w:val="22"/>
          <w:u w:val="single"/>
          <w:lang w:val="en-US"/>
        </w:rPr>
        <w:t>mg</w:t>
      </w:r>
      <w:r w:rsidRPr="0047462D">
        <w:rPr>
          <w:rFonts w:eastAsia="Times New Roman"/>
          <w:szCs w:val="22"/>
          <w:u w:val="single"/>
        </w:rPr>
        <w:t xml:space="preserve"> </w:t>
      </w:r>
      <w:r w:rsidRPr="0047462D">
        <w:rPr>
          <w:rFonts w:eastAsia="Times New Roman"/>
          <w:color w:val="222222"/>
          <w:szCs w:val="22"/>
          <w:u w:val="single"/>
          <w:lang w:eastAsia="en-GB"/>
        </w:rPr>
        <w:t>κοκκία σε φακελλίσκο</w:t>
      </w:r>
    </w:p>
    <w:p w14:paraId="476E2C26" w14:textId="77777777" w:rsidR="00D104CC" w:rsidRPr="0047462D" w:rsidRDefault="00D104CC" w:rsidP="007F7380">
      <w:pPr>
        <w:keepNext/>
        <w:widowControl w:val="0"/>
        <w:rPr>
          <w:rFonts w:eastAsia="Times New Roman"/>
          <w:szCs w:val="22"/>
          <w:u w:val="single"/>
        </w:rPr>
      </w:pPr>
    </w:p>
    <w:p w14:paraId="68A08C10" w14:textId="77777777" w:rsidR="007F7380" w:rsidRPr="0047462D" w:rsidRDefault="007F7380" w:rsidP="007F7380">
      <w:pPr>
        <w:widowControl w:val="0"/>
        <w:rPr>
          <w:szCs w:val="22"/>
          <w:u w:val="single"/>
          <w:lang w:eastAsia="en-US"/>
        </w:rPr>
      </w:pPr>
      <w:r w:rsidRPr="0047462D">
        <w:rPr>
          <w:rFonts w:eastAsia="Times New Roman"/>
          <w:szCs w:val="22"/>
          <w:lang w:val="en-US"/>
        </w:rPr>
        <w:t>K</w:t>
      </w:r>
      <w:r w:rsidRPr="0047462D">
        <w:rPr>
          <w:rFonts w:eastAsia="Times New Roman"/>
          <w:szCs w:val="22"/>
        </w:rPr>
        <w:t>άθε φακελλίσκος περιέχει 50</w:t>
      </w:r>
      <w:r w:rsidRPr="0047462D">
        <w:rPr>
          <w:rFonts w:eastAsia="Times New Roman"/>
          <w:szCs w:val="22"/>
          <w:lang w:val="en-US"/>
        </w:rPr>
        <w:t> mg</w:t>
      </w:r>
      <w:r w:rsidRPr="0047462D">
        <w:rPr>
          <w:rFonts w:eastAsia="Times New Roman"/>
          <w:szCs w:val="22"/>
        </w:rPr>
        <w:t xml:space="preserve"> </w:t>
      </w:r>
      <w:r w:rsidRPr="0047462D">
        <w:rPr>
          <w:rFonts w:eastAsia="Times New Roman"/>
          <w:szCs w:val="22"/>
          <w:lang w:val="en-US"/>
        </w:rPr>
        <w:t>ivacaftor</w:t>
      </w:r>
      <w:r w:rsidRPr="0047462D">
        <w:rPr>
          <w:rFonts w:eastAsia="Times New Roman"/>
          <w:szCs w:val="22"/>
        </w:rPr>
        <w:t>.</w:t>
      </w:r>
      <w:r w:rsidRPr="0047462D">
        <w:rPr>
          <w:rFonts w:eastAsia="Times New Roman"/>
          <w:szCs w:val="22"/>
          <w:lang w:eastAsia="en-US"/>
        </w:rPr>
        <w:t xml:space="preserve"> </w:t>
      </w:r>
    </w:p>
    <w:p w14:paraId="722A2EFB" w14:textId="77777777" w:rsidR="007F7380" w:rsidRPr="0047462D" w:rsidRDefault="007F7380" w:rsidP="007F7380">
      <w:pPr>
        <w:widowControl w:val="0"/>
        <w:rPr>
          <w:szCs w:val="22"/>
          <w:u w:val="single"/>
          <w:lang w:eastAsia="en-US"/>
        </w:rPr>
      </w:pPr>
    </w:p>
    <w:p w14:paraId="575945F9" w14:textId="427994BC" w:rsidR="007F7380" w:rsidRPr="0047462D" w:rsidRDefault="007F7380" w:rsidP="007F7380">
      <w:pPr>
        <w:keepNext/>
        <w:widowControl w:val="0"/>
        <w:rPr>
          <w:rFonts w:eastAsia="Times New Roman"/>
          <w:i/>
          <w:iCs/>
          <w:szCs w:val="22"/>
        </w:rPr>
      </w:pPr>
      <w:r w:rsidRPr="0047462D">
        <w:rPr>
          <w:rFonts w:eastAsia="Times New Roman"/>
          <w:i/>
          <w:iCs/>
          <w:szCs w:val="22"/>
        </w:rPr>
        <w:t xml:space="preserve">Έκδοχο με </w:t>
      </w:r>
      <w:r w:rsidR="00D213D6" w:rsidRPr="0047462D">
        <w:rPr>
          <w:rFonts w:eastAsia="Times New Roman"/>
          <w:i/>
          <w:iCs/>
          <w:szCs w:val="22"/>
        </w:rPr>
        <w:t>γνωστή δράση:</w:t>
      </w:r>
    </w:p>
    <w:p w14:paraId="4D4BBC80" w14:textId="77777777" w:rsidR="003C78D1" w:rsidRPr="0047462D" w:rsidRDefault="003C78D1" w:rsidP="007F7380">
      <w:pPr>
        <w:keepNext/>
        <w:widowControl w:val="0"/>
        <w:rPr>
          <w:rFonts w:eastAsia="Times New Roman"/>
          <w:i/>
          <w:iCs/>
          <w:szCs w:val="22"/>
          <w:lang w:eastAsia="en-US"/>
        </w:rPr>
      </w:pPr>
    </w:p>
    <w:p w14:paraId="16DE45CA" w14:textId="7C165B4A" w:rsidR="007F7380" w:rsidRPr="0047462D" w:rsidRDefault="007F7380" w:rsidP="007F7380">
      <w:pPr>
        <w:widowControl w:val="0"/>
        <w:rPr>
          <w:szCs w:val="22"/>
          <w:lang w:eastAsia="en-US"/>
        </w:rPr>
      </w:pPr>
      <w:r w:rsidRPr="0047462D">
        <w:rPr>
          <w:szCs w:val="22"/>
        </w:rPr>
        <w:t xml:space="preserve">Κάθε </w:t>
      </w:r>
      <w:r w:rsidRPr="0047462D">
        <w:rPr>
          <w:rFonts w:eastAsia="Times New Roman"/>
          <w:szCs w:val="22"/>
        </w:rPr>
        <w:t>φακελλίσκος περιέχει 73,2 mg λακτόζης</w:t>
      </w:r>
      <w:r w:rsidRPr="0047462D">
        <w:rPr>
          <w:rFonts w:eastAsia="Times New Roman"/>
          <w:szCs w:val="22"/>
          <w:lang w:eastAsia="en-US"/>
        </w:rPr>
        <w:t xml:space="preserve"> </w:t>
      </w:r>
      <w:r w:rsidRPr="0047462D">
        <w:rPr>
          <w:rFonts w:eastAsia="Times New Roman"/>
          <w:szCs w:val="22"/>
        </w:rPr>
        <w:t>μονοϋδρική</w:t>
      </w:r>
      <w:r w:rsidR="009E5432" w:rsidRPr="0047462D">
        <w:rPr>
          <w:rFonts w:eastAsia="Times New Roman"/>
          <w:szCs w:val="22"/>
        </w:rPr>
        <w:t>ς.</w:t>
      </w:r>
    </w:p>
    <w:p w14:paraId="6828122C" w14:textId="77777777" w:rsidR="007F7380" w:rsidRPr="0047462D" w:rsidRDefault="007F7380" w:rsidP="007F7380">
      <w:pPr>
        <w:widowControl w:val="0"/>
        <w:rPr>
          <w:szCs w:val="22"/>
          <w:lang w:eastAsia="en-US"/>
        </w:rPr>
      </w:pPr>
    </w:p>
    <w:p w14:paraId="644E203D" w14:textId="77777777" w:rsidR="007F7380" w:rsidRPr="0047462D" w:rsidRDefault="007F7380" w:rsidP="007F7380">
      <w:pPr>
        <w:widowControl w:val="0"/>
        <w:rPr>
          <w:rFonts w:eastAsia="Times New Roman"/>
          <w:color w:val="222222"/>
          <w:szCs w:val="22"/>
          <w:u w:val="single"/>
          <w:lang w:eastAsia="en-GB"/>
        </w:rPr>
      </w:pPr>
      <w:r w:rsidRPr="0047462D">
        <w:rPr>
          <w:rFonts w:eastAsia="Times New Roman"/>
          <w:szCs w:val="22"/>
          <w:u w:val="single"/>
          <w:lang w:val="en-US"/>
        </w:rPr>
        <w:t>Kalydeco</w:t>
      </w:r>
      <w:r w:rsidRPr="0047462D">
        <w:rPr>
          <w:rFonts w:eastAsia="Times New Roman"/>
          <w:szCs w:val="22"/>
          <w:u w:val="single"/>
        </w:rPr>
        <w:t xml:space="preserve"> 75</w:t>
      </w:r>
      <w:r w:rsidRPr="0047462D">
        <w:rPr>
          <w:u w:val="single"/>
          <w:lang w:val="en-US" w:eastAsia="en-US"/>
        </w:rPr>
        <w:t> </w:t>
      </w:r>
      <w:r w:rsidRPr="0047462D">
        <w:rPr>
          <w:rFonts w:eastAsia="Times New Roman"/>
          <w:szCs w:val="22"/>
          <w:u w:val="single"/>
          <w:lang w:val="en-US"/>
        </w:rPr>
        <w:t>mg</w:t>
      </w:r>
      <w:r w:rsidRPr="0047462D">
        <w:rPr>
          <w:rFonts w:eastAsia="Times New Roman"/>
          <w:szCs w:val="22"/>
          <w:u w:val="single"/>
        </w:rPr>
        <w:t xml:space="preserve"> </w:t>
      </w:r>
      <w:r w:rsidRPr="0047462D">
        <w:rPr>
          <w:rFonts w:eastAsia="Times New Roman"/>
          <w:color w:val="222222"/>
          <w:szCs w:val="22"/>
          <w:u w:val="single"/>
          <w:lang w:eastAsia="en-GB"/>
        </w:rPr>
        <w:t>κοκκία σε φακελλίσκο</w:t>
      </w:r>
    </w:p>
    <w:p w14:paraId="2437A079" w14:textId="77777777" w:rsidR="006C5B9F" w:rsidRPr="0047462D" w:rsidRDefault="006C5B9F" w:rsidP="007F7380">
      <w:pPr>
        <w:widowControl w:val="0"/>
        <w:rPr>
          <w:rFonts w:eastAsia="Times New Roman"/>
          <w:szCs w:val="22"/>
          <w:u w:val="single"/>
        </w:rPr>
      </w:pPr>
    </w:p>
    <w:p w14:paraId="05141368" w14:textId="77777777" w:rsidR="007F7380" w:rsidRPr="0047462D" w:rsidRDefault="007F7380" w:rsidP="007F7380">
      <w:pPr>
        <w:widowControl w:val="0"/>
        <w:rPr>
          <w:szCs w:val="22"/>
          <w:u w:val="single"/>
          <w:lang w:eastAsia="en-US"/>
        </w:rPr>
      </w:pPr>
      <w:r w:rsidRPr="0047462D">
        <w:rPr>
          <w:rFonts w:eastAsia="Times New Roman"/>
          <w:szCs w:val="22"/>
        </w:rPr>
        <w:t>Kάθε φακελλίσκος περιέχει 75 mg ivacaftor.</w:t>
      </w:r>
      <w:r w:rsidRPr="0047462D">
        <w:rPr>
          <w:rFonts w:eastAsia="Times New Roman"/>
          <w:szCs w:val="22"/>
          <w:lang w:eastAsia="en-US"/>
        </w:rPr>
        <w:t xml:space="preserve"> </w:t>
      </w:r>
    </w:p>
    <w:p w14:paraId="6E394143" w14:textId="77777777" w:rsidR="007F7380" w:rsidRPr="0047462D" w:rsidRDefault="007F7380" w:rsidP="007F7380">
      <w:pPr>
        <w:widowControl w:val="0"/>
        <w:rPr>
          <w:szCs w:val="22"/>
          <w:u w:val="single"/>
          <w:lang w:eastAsia="en-US"/>
        </w:rPr>
      </w:pPr>
    </w:p>
    <w:p w14:paraId="2589A84B" w14:textId="0545CC1A" w:rsidR="007F7380" w:rsidRPr="0047462D" w:rsidRDefault="007F7380" w:rsidP="007F7380">
      <w:pPr>
        <w:keepNext/>
        <w:widowControl w:val="0"/>
        <w:rPr>
          <w:rFonts w:eastAsia="Times New Roman"/>
          <w:i/>
          <w:iCs/>
          <w:szCs w:val="22"/>
        </w:rPr>
      </w:pPr>
      <w:r w:rsidRPr="0047462D">
        <w:rPr>
          <w:rFonts w:eastAsia="Times New Roman"/>
          <w:i/>
          <w:iCs/>
          <w:szCs w:val="22"/>
        </w:rPr>
        <w:t>Έκδοχο με γνωστ</w:t>
      </w:r>
      <w:r w:rsidR="004B4D5E" w:rsidRPr="0047462D">
        <w:rPr>
          <w:rFonts w:eastAsia="Times New Roman"/>
          <w:i/>
          <w:iCs/>
          <w:szCs w:val="22"/>
        </w:rPr>
        <w:t>ή</w:t>
      </w:r>
      <w:r w:rsidRPr="0047462D">
        <w:rPr>
          <w:rFonts w:eastAsia="Times New Roman"/>
          <w:i/>
          <w:iCs/>
          <w:szCs w:val="22"/>
        </w:rPr>
        <w:t xml:space="preserve"> δράσ</w:t>
      </w:r>
      <w:r w:rsidR="00FA10B4" w:rsidRPr="0047462D">
        <w:rPr>
          <w:rFonts w:eastAsia="Times New Roman"/>
          <w:i/>
          <w:iCs/>
          <w:szCs w:val="22"/>
        </w:rPr>
        <w:t>η</w:t>
      </w:r>
      <w:r w:rsidR="006C5B9F" w:rsidRPr="0047462D">
        <w:rPr>
          <w:rFonts w:eastAsia="Times New Roman"/>
          <w:i/>
          <w:iCs/>
          <w:szCs w:val="22"/>
        </w:rPr>
        <w:t>:</w:t>
      </w:r>
    </w:p>
    <w:p w14:paraId="139FD142" w14:textId="77777777" w:rsidR="003C78D1" w:rsidRPr="0047462D" w:rsidRDefault="003C78D1" w:rsidP="007F7380">
      <w:pPr>
        <w:keepNext/>
        <w:widowControl w:val="0"/>
        <w:rPr>
          <w:rFonts w:eastAsia="Times New Roman"/>
          <w:i/>
          <w:iCs/>
          <w:szCs w:val="22"/>
          <w:lang w:eastAsia="en-US"/>
        </w:rPr>
      </w:pPr>
    </w:p>
    <w:p w14:paraId="2D0A0FF3" w14:textId="223CA954" w:rsidR="007F7380" w:rsidRPr="0047462D" w:rsidRDefault="007F7380" w:rsidP="007F7380">
      <w:pPr>
        <w:widowControl w:val="0"/>
        <w:rPr>
          <w:szCs w:val="22"/>
          <w:lang w:eastAsia="en-US"/>
        </w:rPr>
      </w:pPr>
      <w:r w:rsidRPr="0047462D">
        <w:rPr>
          <w:szCs w:val="22"/>
        </w:rPr>
        <w:t xml:space="preserve">Κάθε </w:t>
      </w:r>
      <w:r w:rsidRPr="0047462D">
        <w:rPr>
          <w:rFonts w:eastAsia="Times New Roman"/>
          <w:szCs w:val="22"/>
        </w:rPr>
        <w:t>φακελλίσκος περιέχει 109,8 mg λακτόζης</w:t>
      </w:r>
      <w:r w:rsidRPr="0047462D">
        <w:rPr>
          <w:rFonts w:eastAsia="Times New Roman"/>
          <w:szCs w:val="22"/>
          <w:lang w:eastAsia="en-US"/>
        </w:rPr>
        <w:t xml:space="preserve"> </w:t>
      </w:r>
      <w:r w:rsidRPr="0047462D">
        <w:rPr>
          <w:rFonts w:eastAsia="Times New Roman"/>
          <w:szCs w:val="22"/>
        </w:rPr>
        <w:t>μονοϋδρική</w:t>
      </w:r>
      <w:r w:rsidR="009E5432" w:rsidRPr="0047462D">
        <w:rPr>
          <w:rFonts w:eastAsia="Times New Roman"/>
          <w:szCs w:val="22"/>
        </w:rPr>
        <w:t>ς.</w:t>
      </w:r>
    </w:p>
    <w:p w14:paraId="7612BAC9" w14:textId="77777777" w:rsidR="007F7380" w:rsidRPr="0047462D" w:rsidRDefault="007F7380" w:rsidP="007F7380">
      <w:pPr>
        <w:widowControl w:val="0"/>
        <w:rPr>
          <w:rFonts w:eastAsia="Times New Roman"/>
          <w:szCs w:val="22"/>
        </w:rPr>
      </w:pPr>
    </w:p>
    <w:p w14:paraId="4794A53C" w14:textId="77777777" w:rsidR="007F7380" w:rsidRPr="0047462D" w:rsidRDefault="007F7380" w:rsidP="007F7380">
      <w:pPr>
        <w:widowControl w:val="0"/>
        <w:rPr>
          <w:szCs w:val="22"/>
          <w:lang w:eastAsia="en-US"/>
        </w:rPr>
      </w:pPr>
      <w:r w:rsidRPr="0047462D">
        <w:rPr>
          <w:rFonts w:eastAsia="Times New Roman"/>
          <w:szCs w:val="22"/>
        </w:rPr>
        <w:t>Για τον πλήρη κατάλογο των εκδόχων, βλ. παράγραφο 6.1.</w:t>
      </w:r>
    </w:p>
    <w:p w14:paraId="2C93BE26" w14:textId="77777777" w:rsidR="007F7380" w:rsidRPr="0047462D" w:rsidRDefault="007F7380" w:rsidP="007F7380">
      <w:pPr>
        <w:rPr>
          <w:szCs w:val="22"/>
          <w:lang w:eastAsia="en-US"/>
        </w:rPr>
      </w:pPr>
    </w:p>
    <w:p w14:paraId="3AF278FE" w14:textId="77777777" w:rsidR="007F7380" w:rsidRPr="0047462D" w:rsidRDefault="007F7380" w:rsidP="007F7380">
      <w:pPr>
        <w:rPr>
          <w:szCs w:val="22"/>
          <w:lang w:eastAsia="en-US"/>
        </w:rPr>
      </w:pPr>
    </w:p>
    <w:p w14:paraId="0318832A" w14:textId="77777777" w:rsidR="007F7380" w:rsidRPr="0047462D" w:rsidRDefault="007F7380" w:rsidP="007F7380">
      <w:pPr>
        <w:keepNext/>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ΦΑΡΜΑΚΟΤΕΧΝΙΚΗ ΜΟΡΦΗ</w:t>
      </w:r>
    </w:p>
    <w:p w14:paraId="5E6CA265" w14:textId="77777777" w:rsidR="007F7380" w:rsidRPr="0047462D" w:rsidRDefault="007F7380" w:rsidP="007F7380">
      <w:pPr>
        <w:keepNext/>
        <w:autoSpaceDE w:val="0"/>
        <w:jc w:val="both"/>
        <w:rPr>
          <w:szCs w:val="22"/>
          <w:lang w:eastAsia="en-US"/>
        </w:rPr>
      </w:pPr>
    </w:p>
    <w:p w14:paraId="089EE91E" w14:textId="542F0A13" w:rsidR="007F7380" w:rsidRPr="0047462D" w:rsidRDefault="007F7380" w:rsidP="007F7380">
      <w:pPr>
        <w:autoSpaceDE w:val="0"/>
        <w:jc w:val="both"/>
        <w:rPr>
          <w:szCs w:val="22"/>
          <w:lang w:eastAsia="en-US"/>
        </w:rPr>
      </w:pPr>
      <w:r w:rsidRPr="0047462D">
        <w:rPr>
          <w:szCs w:val="22"/>
          <w:lang w:eastAsia="en-US"/>
        </w:rPr>
        <w:t>Κοκκία σε φακελλίσκο</w:t>
      </w:r>
    </w:p>
    <w:p w14:paraId="5361E802" w14:textId="77777777" w:rsidR="007F7380" w:rsidRPr="0047462D" w:rsidRDefault="007F7380" w:rsidP="007F7380">
      <w:pPr>
        <w:autoSpaceDE w:val="0"/>
        <w:jc w:val="both"/>
        <w:rPr>
          <w:szCs w:val="22"/>
          <w:lang w:eastAsia="en-US"/>
        </w:rPr>
      </w:pPr>
    </w:p>
    <w:p w14:paraId="6E0E72D6" w14:textId="77777777" w:rsidR="007F7380" w:rsidRPr="0047462D" w:rsidRDefault="007F7380" w:rsidP="007F7380">
      <w:pPr>
        <w:autoSpaceDE w:val="0"/>
        <w:jc w:val="both"/>
      </w:pPr>
      <w:r w:rsidRPr="0047462D">
        <w:rPr>
          <w:szCs w:val="22"/>
          <w:lang w:eastAsia="en-US"/>
        </w:rPr>
        <w:t xml:space="preserve">Λευκά έως υπόλευκα κοκκία περίπου </w:t>
      </w:r>
      <w:r w:rsidRPr="0047462D">
        <w:t>2 mm σε διάμετρο.</w:t>
      </w:r>
    </w:p>
    <w:p w14:paraId="3B585AFA" w14:textId="77777777" w:rsidR="007F7380" w:rsidRPr="0047462D" w:rsidRDefault="007F7380" w:rsidP="007F7380">
      <w:pPr>
        <w:autoSpaceDE w:val="0"/>
        <w:jc w:val="both"/>
        <w:rPr>
          <w:szCs w:val="22"/>
          <w:lang w:eastAsia="en-US"/>
        </w:rPr>
      </w:pPr>
    </w:p>
    <w:p w14:paraId="47A6FD90" w14:textId="77777777" w:rsidR="007F7380" w:rsidRPr="0047462D" w:rsidRDefault="007F7380" w:rsidP="007F7380">
      <w:pPr>
        <w:rPr>
          <w:szCs w:val="22"/>
          <w:lang w:eastAsia="en-US"/>
        </w:rPr>
      </w:pPr>
    </w:p>
    <w:p w14:paraId="6C5A67DC" w14:textId="77777777" w:rsidR="007F7380" w:rsidRPr="0047462D" w:rsidRDefault="007F7380" w:rsidP="007F7380">
      <w:pPr>
        <w:keepNext/>
        <w:ind w:left="567" w:hanging="567"/>
        <w:rPr>
          <w:szCs w:val="22"/>
          <w:lang w:eastAsia="en-US"/>
        </w:rPr>
      </w:pPr>
      <w:r w:rsidRPr="0047462D">
        <w:rPr>
          <w:rFonts w:eastAsia="Times New Roman"/>
          <w:b/>
          <w:bCs/>
          <w:caps/>
          <w:szCs w:val="22"/>
          <w:lang w:eastAsia="en-US"/>
        </w:rPr>
        <w:t>4.</w:t>
      </w:r>
      <w:r w:rsidRPr="0047462D">
        <w:rPr>
          <w:rFonts w:eastAsia="Times New Roman"/>
          <w:b/>
          <w:bCs/>
          <w:caps/>
          <w:szCs w:val="22"/>
          <w:lang w:eastAsia="en-US"/>
        </w:rPr>
        <w:tab/>
      </w:r>
      <w:r w:rsidRPr="0047462D">
        <w:rPr>
          <w:rFonts w:eastAsia="Times New Roman"/>
          <w:b/>
          <w:bCs/>
          <w:szCs w:val="22"/>
        </w:rPr>
        <w:t>ΚΛΙΝΙΚΕΣ ΠΛΗΡΟΦΟΡΙΕΣ</w:t>
      </w:r>
    </w:p>
    <w:p w14:paraId="634F4800" w14:textId="77777777" w:rsidR="007F7380" w:rsidRPr="0047462D" w:rsidRDefault="007F7380" w:rsidP="007F7380">
      <w:pPr>
        <w:keepNext/>
        <w:rPr>
          <w:szCs w:val="22"/>
          <w:lang w:eastAsia="en-US"/>
        </w:rPr>
      </w:pPr>
    </w:p>
    <w:p w14:paraId="738A032F" w14:textId="77777777" w:rsidR="007F7380" w:rsidRPr="0047462D" w:rsidRDefault="007F7380" w:rsidP="007F7380">
      <w:pPr>
        <w:keepNext/>
        <w:ind w:left="567" w:hanging="567"/>
        <w:rPr>
          <w:szCs w:val="22"/>
          <w:lang w:eastAsia="en-US"/>
        </w:rPr>
      </w:pPr>
      <w:r w:rsidRPr="0047462D">
        <w:rPr>
          <w:rFonts w:eastAsia="Times New Roman"/>
          <w:b/>
          <w:bCs/>
          <w:szCs w:val="22"/>
          <w:lang w:eastAsia="en-US"/>
        </w:rPr>
        <w:t>4.1</w:t>
      </w:r>
      <w:r w:rsidRPr="0047462D">
        <w:rPr>
          <w:rFonts w:eastAsia="Times New Roman"/>
          <w:b/>
          <w:bCs/>
          <w:szCs w:val="22"/>
          <w:lang w:eastAsia="en-US"/>
        </w:rPr>
        <w:tab/>
      </w:r>
      <w:r w:rsidRPr="0047462D">
        <w:rPr>
          <w:rFonts w:eastAsia="Times New Roman"/>
          <w:b/>
          <w:bCs/>
          <w:szCs w:val="22"/>
        </w:rPr>
        <w:t>Θεραπευτικές ενδείξεις</w:t>
      </w:r>
    </w:p>
    <w:p w14:paraId="10A92474" w14:textId="77777777" w:rsidR="007F7380" w:rsidRPr="0047462D" w:rsidRDefault="007F7380" w:rsidP="007F7380">
      <w:pPr>
        <w:keepNext/>
        <w:rPr>
          <w:szCs w:val="22"/>
          <w:lang w:eastAsia="en-US"/>
        </w:rPr>
      </w:pPr>
    </w:p>
    <w:p w14:paraId="43E82BB7" w14:textId="7D68403E" w:rsidR="007F7380" w:rsidRPr="0047462D" w:rsidRDefault="007F7380" w:rsidP="007F7380">
      <w:pPr>
        <w:pStyle w:val="labeltext"/>
        <w:rPr>
          <w:szCs w:val="22"/>
          <w:lang w:val="el-GR" w:eastAsia="en-US"/>
        </w:rPr>
      </w:pPr>
      <w:r w:rsidRPr="0047462D">
        <w:rPr>
          <w:rFonts w:eastAsia="Times New Roman"/>
          <w:sz w:val="22"/>
          <w:szCs w:val="22"/>
          <w:lang w:val="el-GR"/>
        </w:rPr>
        <w:t>Τα κοκκία Kalydeco ενδείκνυνται για τη θεραπεία</w:t>
      </w:r>
      <w:r w:rsidR="006D4248" w:rsidRPr="0047462D">
        <w:rPr>
          <w:rFonts w:eastAsia="Times New Roman"/>
          <w:sz w:val="22"/>
          <w:szCs w:val="22"/>
          <w:lang w:val="el-GR"/>
        </w:rPr>
        <w:t xml:space="preserve"> βρεφών ηλικίας τουλάχιστον </w:t>
      </w:r>
      <w:r w:rsidR="00973BAC">
        <w:rPr>
          <w:rFonts w:eastAsia="Times New Roman"/>
          <w:sz w:val="22"/>
          <w:szCs w:val="22"/>
          <w:lang w:val="el-GR"/>
        </w:rPr>
        <w:t>4</w:t>
      </w:r>
      <w:r w:rsidR="006D4248" w:rsidRPr="0047462D">
        <w:rPr>
          <w:rFonts w:eastAsia="Times New Roman"/>
          <w:sz w:val="22"/>
          <w:szCs w:val="22"/>
          <w:lang w:val="el-GR"/>
        </w:rPr>
        <w:t> μηνών, νηπίων και</w:t>
      </w:r>
      <w:r w:rsidRPr="0047462D">
        <w:rPr>
          <w:rFonts w:eastAsia="Times New Roman"/>
          <w:sz w:val="22"/>
          <w:szCs w:val="22"/>
          <w:lang w:val="el-GR"/>
        </w:rPr>
        <w:t xml:space="preserve"> παιδιών με σωματικό βάρος </w:t>
      </w:r>
      <w:r w:rsidR="006D4248" w:rsidRPr="0047462D">
        <w:rPr>
          <w:sz w:val="22"/>
          <w:szCs w:val="22"/>
          <w:lang w:val="el-GR"/>
        </w:rPr>
        <w:t>5</w:t>
      </w:r>
      <w:r w:rsidR="00D502D5" w:rsidRPr="0047462D">
        <w:rPr>
          <w:sz w:val="22"/>
          <w:szCs w:val="22"/>
        </w:rPr>
        <w:t> kg</w:t>
      </w:r>
      <w:r w:rsidR="00D502D5" w:rsidRPr="0047462D">
        <w:rPr>
          <w:sz w:val="22"/>
          <w:szCs w:val="22"/>
          <w:lang w:val="el-GR"/>
        </w:rPr>
        <w:t xml:space="preserve"> έως </w:t>
      </w:r>
      <w:r w:rsidRPr="0047462D">
        <w:rPr>
          <w:rFonts w:eastAsia="Times New Roman"/>
          <w:sz w:val="22"/>
          <w:szCs w:val="22"/>
          <w:lang w:val="el-GR"/>
        </w:rPr>
        <w:t>κάτω των 25</w:t>
      </w:r>
      <w:r w:rsidRPr="0047462D">
        <w:rPr>
          <w:sz w:val="22"/>
          <w:szCs w:val="22"/>
          <w:lang w:val="en-GB"/>
        </w:rPr>
        <w:t> </w:t>
      </w:r>
      <w:r w:rsidRPr="0047462D">
        <w:rPr>
          <w:sz w:val="22"/>
          <w:szCs w:val="22"/>
        </w:rPr>
        <w:t>kg</w:t>
      </w:r>
      <w:r w:rsidR="006D4248" w:rsidRPr="0047462D">
        <w:rPr>
          <w:sz w:val="22"/>
          <w:szCs w:val="22"/>
          <w:lang w:val="el-GR"/>
        </w:rPr>
        <w:t xml:space="preserve"> </w:t>
      </w:r>
      <w:r w:rsidR="006D4248" w:rsidRPr="0047462D">
        <w:rPr>
          <w:rFonts w:eastAsia="Times New Roman"/>
          <w:sz w:val="22"/>
          <w:szCs w:val="22"/>
          <w:lang w:val="el-GR"/>
        </w:rPr>
        <w:t>με κυστική ίνωση (ΚΙ)</w:t>
      </w:r>
      <w:r w:rsidRPr="0047462D">
        <w:rPr>
          <w:rFonts w:eastAsia="Times New Roman"/>
          <w:sz w:val="22"/>
          <w:szCs w:val="22"/>
          <w:lang w:val="el-GR"/>
        </w:rPr>
        <w:t xml:space="preserve">, τα οποία έχουν </w:t>
      </w:r>
      <w:r w:rsidR="004A0709" w:rsidRPr="0047462D">
        <w:rPr>
          <w:rFonts w:eastAsia="Times New Roman"/>
          <w:sz w:val="22"/>
          <w:szCs w:val="22"/>
          <w:lang w:val="el-GR"/>
        </w:rPr>
        <w:t xml:space="preserve">μια </w:t>
      </w:r>
      <w:r w:rsidR="008D6A4C" w:rsidRPr="0047462D">
        <w:rPr>
          <w:rFonts w:eastAsia="Times New Roman"/>
          <w:i/>
          <w:iCs/>
          <w:sz w:val="22"/>
          <w:szCs w:val="22"/>
        </w:rPr>
        <w:t>CFTR</w:t>
      </w:r>
      <w:r w:rsidR="008D6A4C" w:rsidRPr="00F93ECE">
        <w:rPr>
          <w:rFonts w:eastAsia="Times New Roman"/>
          <w:sz w:val="22"/>
          <w:szCs w:val="22"/>
          <w:lang w:val="el-GR"/>
        </w:rPr>
        <w:t xml:space="preserve"> </w:t>
      </w:r>
      <w:r w:rsidR="004A0709" w:rsidRPr="0047462D">
        <w:rPr>
          <w:rFonts w:eastAsia="Times New Roman"/>
          <w:sz w:val="22"/>
          <w:szCs w:val="22"/>
          <w:lang w:val="el-GR"/>
        </w:rPr>
        <w:t xml:space="preserve">μετάλλαξη </w:t>
      </w:r>
      <w:r w:rsidR="00E16B46" w:rsidRPr="0047462D">
        <w:rPr>
          <w:i/>
          <w:iCs/>
          <w:sz w:val="22"/>
          <w:szCs w:val="22"/>
        </w:rPr>
        <w:t>R</w:t>
      </w:r>
      <w:r w:rsidR="00E16B46" w:rsidRPr="00F93ECE">
        <w:rPr>
          <w:i/>
          <w:iCs/>
          <w:sz w:val="22"/>
          <w:szCs w:val="22"/>
          <w:lang w:val="el-GR"/>
        </w:rPr>
        <w:t>117</w:t>
      </w:r>
      <w:r w:rsidR="00E16B46" w:rsidRPr="0047462D">
        <w:rPr>
          <w:i/>
          <w:iCs/>
          <w:sz w:val="22"/>
          <w:szCs w:val="22"/>
        </w:rPr>
        <w:t>H</w:t>
      </w:r>
      <w:r w:rsidR="004A0709" w:rsidRPr="0047462D">
        <w:rPr>
          <w:rFonts w:eastAsia="Times New Roman"/>
          <w:sz w:val="22"/>
          <w:szCs w:val="22"/>
          <w:lang w:val="el-GR"/>
        </w:rPr>
        <w:t xml:space="preserve"> ή </w:t>
      </w:r>
      <w:r w:rsidRPr="0047462D">
        <w:rPr>
          <w:rFonts w:eastAsia="Times New Roman"/>
          <w:sz w:val="22"/>
          <w:szCs w:val="22"/>
          <w:lang w:val="el-GR"/>
        </w:rPr>
        <w:t xml:space="preserve">μία από τις ακόλουθες </w:t>
      </w:r>
      <w:r w:rsidR="00231F0A" w:rsidRPr="0047462D">
        <w:rPr>
          <w:sz w:val="22"/>
          <w:szCs w:val="22"/>
          <w:lang w:val="el-GR"/>
        </w:rPr>
        <w:t>«</w:t>
      </w:r>
      <w:r w:rsidRPr="0047462D">
        <w:rPr>
          <w:sz w:val="22"/>
          <w:szCs w:val="22"/>
        </w:rPr>
        <w:t>gating</w:t>
      </w:r>
      <w:r w:rsidR="00231F0A" w:rsidRPr="0047462D">
        <w:rPr>
          <w:sz w:val="22"/>
          <w:szCs w:val="22"/>
          <w:lang w:val="el-GR"/>
        </w:rPr>
        <w:t>»</w:t>
      </w:r>
      <w:r w:rsidRPr="0047462D">
        <w:rPr>
          <w:rFonts w:eastAsia="Times New Roman"/>
          <w:sz w:val="22"/>
          <w:szCs w:val="22"/>
          <w:lang w:val="el-GR"/>
        </w:rPr>
        <w:t xml:space="preserve"> μεταλλάξεις (ομάδας ΙΙΙ) στο γονίδιο </w:t>
      </w:r>
      <w:r w:rsidRPr="0047462D">
        <w:rPr>
          <w:rFonts w:eastAsia="Times New Roman"/>
          <w:i/>
          <w:iCs/>
          <w:sz w:val="22"/>
          <w:szCs w:val="22"/>
          <w:lang w:val="el-GR"/>
        </w:rPr>
        <w:t>CFTR</w:t>
      </w:r>
      <w:r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1244</w:t>
      </w:r>
      <w:r w:rsidRPr="0047462D">
        <w:rPr>
          <w:i/>
          <w:sz w:val="22"/>
          <w:szCs w:val="22"/>
        </w:rPr>
        <w:t>E</w:t>
      </w:r>
      <w:r w:rsidRPr="0047462D">
        <w:rPr>
          <w:i/>
          <w:sz w:val="22"/>
          <w:szCs w:val="22"/>
          <w:lang w:val="el-GR"/>
        </w:rPr>
        <w:t xml:space="preserve">, </w:t>
      </w:r>
      <w:r w:rsidRPr="0047462D">
        <w:rPr>
          <w:i/>
          <w:sz w:val="22"/>
          <w:szCs w:val="22"/>
        </w:rPr>
        <w:t>G</w:t>
      </w:r>
      <w:r w:rsidRPr="0047462D">
        <w:rPr>
          <w:i/>
          <w:sz w:val="22"/>
          <w:szCs w:val="22"/>
          <w:lang w:val="el-GR"/>
        </w:rPr>
        <w:t>1349</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178</w:t>
      </w:r>
      <w:r w:rsidRPr="0047462D">
        <w:rPr>
          <w:i/>
          <w:sz w:val="22"/>
          <w:szCs w:val="22"/>
        </w:rPr>
        <w:t>R</w:t>
      </w:r>
      <w:r w:rsidRPr="0047462D">
        <w:rPr>
          <w:i/>
          <w:sz w:val="22"/>
          <w:szCs w:val="22"/>
          <w:lang w:val="el-GR"/>
        </w:rPr>
        <w:t xml:space="preserve">, </w:t>
      </w:r>
      <w:r w:rsidRPr="0047462D">
        <w:rPr>
          <w:i/>
          <w:sz w:val="22"/>
          <w:szCs w:val="22"/>
        </w:rPr>
        <w:t>G</w:t>
      </w:r>
      <w:r w:rsidRPr="0047462D">
        <w:rPr>
          <w:i/>
          <w:sz w:val="22"/>
          <w:szCs w:val="22"/>
          <w:lang w:val="el-GR"/>
        </w:rPr>
        <w:t>551</w:t>
      </w:r>
      <w:r w:rsidRPr="0047462D">
        <w:rPr>
          <w:i/>
          <w:sz w:val="22"/>
          <w:szCs w:val="22"/>
        </w:rPr>
        <w:t>S</w:t>
      </w:r>
      <w:r w:rsidRPr="0047462D">
        <w:rPr>
          <w:i/>
          <w:sz w:val="22"/>
          <w:szCs w:val="22"/>
          <w:lang w:val="el-GR"/>
        </w:rPr>
        <w:t xml:space="preserve">, </w:t>
      </w:r>
      <w:r w:rsidRPr="0047462D">
        <w:rPr>
          <w:i/>
          <w:sz w:val="22"/>
          <w:szCs w:val="22"/>
        </w:rPr>
        <w:t>S</w:t>
      </w:r>
      <w:r w:rsidRPr="0047462D">
        <w:rPr>
          <w:i/>
          <w:sz w:val="22"/>
          <w:szCs w:val="22"/>
          <w:lang w:val="el-GR"/>
        </w:rPr>
        <w:t>1251</w:t>
      </w:r>
      <w:r w:rsidRPr="0047462D">
        <w:rPr>
          <w:i/>
          <w:sz w:val="22"/>
          <w:szCs w:val="22"/>
        </w:rPr>
        <w:t>N</w:t>
      </w:r>
      <w:r w:rsidRPr="0047462D">
        <w:rPr>
          <w:i/>
          <w:sz w:val="22"/>
          <w:szCs w:val="22"/>
          <w:lang w:val="el-GR"/>
        </w:rPr>
        <w:t xml:space="preserve">, </w:t>
      </w:r>
      <w:r w:rsidRPr="0047462D">
        <w:rPr>
          <w:i/>
          <w:sz w:val="22"/>
          <w:szCs w:val="22"/>
        </w:rPr>
        <w:t>S</w:t>
      </w:r>
      <w:r w:rsidRPr="0047462D">
        <w:rPr>
          <w:i/>
          <w:sz w:val="22"/>
          <w:szCs w:val="22"/>
          <w:lang w:val="el-GR"/>
        </w:rPr>
        <w:t>1255</w:t>
      </w:r>
      <w:r w:rsidRPr="0047462D">
        <w:rPr>
          <w:i/>
          <w:sz w:val="22"/>
          <w:szCs w:val="22"/>
        </w:rPr>
        <w:t>P</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N</w:t>
      </w:r>
      <w:r w:rsidRPr="0047462D">
        <w:rPr>
          <w:i/>
          <w:sz w:val="22"/>
          <w:szCs w:val="22"/>
          <w:lang w:val="el-GR"/>
        </w:rPr>
        <w:t xml:space="preserve"> </w:t>
      </w:r>
      <w:r w:rsidRPr="0047462D">
        <w:rPr>
          <w:iCs/>
          <w:sz w:val="22"/>
          <w:szCs w:val="22"/>
          <w:lang w:val="el-GR"/>
        </w:rPr>
        <w:t>ή</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R</w:t>
      </w:r>
      <w:r w:rsidRPr="0047462D">
        <w:rPr>
          <w:rFonts w:eastAsia="Times New Roman"/>
          <w:sz w:val="22"/>
          <w:szCs w:val="22"/>
          <w:lang w:val="el-GR"/>
        </w:rPr>
        <w:t xml:space="preserve"> (βλ. παραγράφους 4.4 και 5.1). </w:t>
      </w:r>
    </w:p>
    <w:p w14:paraId="3CE1E073" w14:textId="77777777" w:rsidR="007F7380" w:rsidRPr="0047462D" w:rsidRDefault="007F7380" w:rsidP="007F7380">
      <w:pPr>
        <w:rPr>
          <w:szCs w:val="22"/>
          <w:lang w:eastAsia="en-US"/>
        </w:rPr>
      </w:pPr>
    </w:p>
    <w:p w14:paraId="406C74DE" w14:textId="77777777" w:rsidR="007F7380" w:rsidRPr="0047462D" w:rsidRDefault="007F7380" w:rsidP="007F7380">
      <w:pPr>
        <w:keepNext/>
        <w:ind w:left="567" w:hanging="567"/>
        <w:rPr>
          <w:b/>
          <w:bCs/>
          <w:i/>
          <w:iCs/>
          <w:szCs w:val="22"/>
        </w:rPr>
      </w:pPr>
      <w:r w:rsidRPr="0047462D">
        <w:rPr>
          <w:rFonts w:eastAsia="Times New Roman"/>
          <w:b/>
          <w:bCs/>
          <w:szCs w:val="22"/>
          <w:lang w:eastAsia="en-US"/>
        </w:rPr>
        <w:t>4.2</w:t>
      </w:r>
      <w:r w:rsidRPr="0047462D">
        <w:rPr>
          <w:rFonts w:eastAsia="Times New Roman"/>
          <w:b/>
          <w:bCs/>
          <w:szCs w:val="22"/>
          <w:lang w:eastAsia="en-US"/>
        </w:rPr>
        <w:tab/>
      </w:r>
      <w:r w:rsidRPr="0047462D">
        <w:rPr>
          <w:rFonts w:eastAsia="Times New Roman"/>
          <w:b/>
          <w:bCs/>
          <w:szCs w:val="22"/>
        </w:rPr>
        <w:t>Δοσολογία και τρόπος χορήγησης</w:t>
      </w:r>
    </w:p>
    <w:p w14:paraId="1BCC415E" w14:textId="77777777" w:rsidR="007F7380" w:rsidRPr="0047462D" w:rsidRDefault="007F7380" w:rsidP="007F7380">
      <w:pPr>
        <w:keepNext/>
        <w:rPr>
          <w:bCs/>
          <w:iCs/>
          <w:szCs w:val="22"/>
        </w:rPr>
      </w:pPr>
    </w:p>
    <w:p w14:paraId="05F46907" w14:textId="14512D4E" w:rsidR="007F7380" w:rsidRPr="0047462D" w:rsidRDefault="007F7380" w:rsidP="007F7380">
      <w:pPr>
        <w:rPr>
          <w:szCs w:val="22"/>
          <w:u w:val="single"/>
        </w:rPr>
      </w:pPr>
      <w:r w:rsidRPr="0047462D">
        <w:rPr>
          <w:rFonts w:eastAsia="Times New Roman"/>
          <w:szCs w:val="22"/>
        </w:rPr>
        <w:t xml:space="preserve">Το Kalydeco θα πρέπει να συνταγογραφείται μόνο από </w:t>
      </w:r>
      <w:r w:rsidR="002509E5" w:rsidRPr="0047462D">
        <w:rPr>
          <w:rFonts w:eastAsia="Times New Roman"/>
          <w:szCs w:val="22"/>
        </w:rPr>
        <w:t>γ</w:t>
      </w:r>
      <w:r w:rsidRPr="0047462D">
        <w:rPr>
          <w:rFonts w:eastAsia="Times New Roman"/>
          <w:szCs w:val="22"/>
        </w:rPr>
        <w:t xml:space="preserve">ιατρούς με εμπειρία στη θεραπεία της κυστικής ίνωσης. Εάν ο γονότυπος του ασθενούς δεν είναι γνωστός, θα πρέπει να </w:t>
      </w:r>
      <w:r w:rsidRPr="0047462D">
        <w:rPr>
          <w:szCs w:val="22"/>
        </w:rPr>
        <w:t>εφαρμόζεται</w:t>
      </w:r>
      <w:r w:rsidRPr="0047462D">
        <w:rPr>
          <w:rFonts w:eastAsia="Times New Roman"/>
          <w:szCs w:val="22"/>
        </w:rPr>
        <w:t xml:space="preserve"> μια ακριβής και επικυρωμένη μέθοδος γονοτυπικής ανάλυσης </w:t>
      </w:r>
      <w:r w:rsidR="002A61C2" w:rsidRPr="0047462D">
        <w:rPr>
          <w:rFonts w:eastAsia="Times New Roman"/>
          <w:szCs w:val="22"/>
        </w:rPr>
        <w:t xml:space="preserve">πριν από την έναρξη της θεραπείας </w:t>
      </w:r>
      <w:r w:rsidRPr="0047462D">
        <w:rPr>
          <w:rFonts w:eastAsia="Times New Roman"/>
          <w:szCs w:val="22"/>
        </w:rPr>
        <w:t xml:space="preserve">για την επιβεβαίωση της παρουσίας </w:t>
      </w:r>
      <w:r w:rsidR="00B57037" w:rsidRPr="0047462D">
        <w:rPr>
          <w:rFonts w:eastAsia="Times New Roman"/>
          <w:szCs w:val="22"/>
        </w:rPr>
        <w:t xml:space="preserve">μιας μετάλλαξης που αποτελεί ένδειξη </w:t>
      </w:r>
      <w:r w:rsidRPr="0047462D">
        <w:rPr>
          <w:rFonts w:eastAsia="Times New Roman"/>
          <w:szCs w:val="22"/>
        </w:rPr>
        <w:t xml:space="preserve">σε τουλάχιστον ένα από τα αλληλόμορφα του γονιδίου </w:t>
      </w:r>
      <w:r w:rsidRPr="0047462D">
        <w:rPr>
          <w:rFonts w:eastAsia="Times New Roman"/>
          <w:i/>
          <w:iCs/>
          <w:szCs w:val="22"/>
        </w:rPr>
        <w:t>CFTR</w:t>
      </w:r>
      <w:r w:rsidR="002A0235" w:rsidRPr="0047462D">
        <w:rPr>
          <w:rFonts w:eastAsia="Times New Roman"/>
          <w:szCs w:val="22"/>
        </w:rPr>
        <w:t xml:space="preserve"> (βλ. παράγραφο 4.1)</w:t>
      </w:r>
      <w:r w:rsidRPr="0047462D">
        <w:rPr>
          <w:rFonts w:eastAsia="Times New Roman"/>
          <w:szCs w:val="22"/>
        </w:rPr>
        <w:t xml:space="preserve">. </w:t>
      </w:r>
      <w:r w:rsidR="004A0709" w:rsidRPr="0047462D">
        <w:rPr>
          <w:rFonts w:eastAsia="Times New Roman"/>
          <w:szCs w:val="22"/>
        </w:rPr>
        <w:t xml:space="preserve">Η φάση της παραλλαγής του τμήματος πολυθυμιδίνης (poly-T) που ταυτοποιείται με τη μετάλλαξη </w:t>
      </w:r>
      <w:r w:rsidR="004A0709" w:rsidRPr="0047462D">
        <w:rPr>
          <w:rFonts w:eastAsia="Times New Roman"/>
          <w:i/>
          <w:iCs/>
          <w:szCs w:val="22"/>
        </w:rPr>
        <w:t>R117H</w:t>
      </w:r>
      <w:r w:rsidR="004A0709" w:rsidRPr="0047462D">
        <w:rPr>
          <w:rFonts w:eastAsia="Times New Roman"/>
          <w:szCs w:val="22"/>
        </w:rPr>
        <w:t xml:space="preserve"> θα πρέπει να καθορίζεται σύμφωνα με τις τοπικές κλινικές συστάσεις.</w:t>
      </w:r>
    </w:p>
    <w:p w14:paraId="0C6DD5A9" w14:textId="77777777" w:rsidR="007F7380" w:rsidRPr="0047462D" w:rsidRDefault="007F7380" w:rsidP="007F7380">
      <w:pPr>
        <w:rPr>
          <w:szCs w:val="22"/>
          <w:u w:val="single"/>
        </w:rPr>
      </w:pPr>
    </w:p>
    <w:p w14:paraId="6CAA7CFF" w14:textId="77777777" w:rsidR="001C01B6" w:rsidRPr="0047462D" w:rsidRDefault="001C01B6" w:rsidP="007F7380">
      <w:pPr>
        <w:keepNext/>
        <w:widowControl w:val="0"/>
        <w:rPr>
          <w:i/>
          <w:iCs/>
          <w:szCs w:val="22"/>
          <w:lang w:eastAsia="en-US"/>
        </w:rPr>
      </w:pPr>
      <w:r w:rsidRPr="0047462D">
        <w:rPr>
          <w:rFonts w:eastAsia="Times New Roman"/>
          <w:szCs w:val="22"/>
          <w:u w:val="single"/>
        </w:rPr>
        <w:t>Δοσολογία</w:t>
      </w:r>
    </w:p>
    <w:p w14:paraId="638A4336" w14:textId="77777777" w:rsidR="001C01B6" w:rsidRPr="0047462D" w:rsidRDefault="001C01B6" w:rsidP="001C01B6">
      <w:pPr>
        <w:keepNext/>
        <w:rPr>
          <w:i/>
          <w:iCs/>
          <w:szCs w:val="22"/>
          <w:lang w:eastAsia="en-US"/>
        </w:rPr>
      </w:pPr>
    </w:p>
    <w:p w14:paraId="4A416321" w14:textId="237576A6" w:rsidR="001C01B6" w:rsidRPr="0047462D" w:rsidRDefault="002A0235" w:rsidP="001C01B6">
      <w:pPr>
        <w:keepNext/>
        <w:rPr>
          <w:rFonts w:eastAsia="Times New Roman"/>
          <w:szCs w:val="22"/>
          <w:lang w:eastAsia="en-US"/>
        </w:rPr>
      </w:pPr>
      <w:r w:rsidRPr="0047462D">
        <w:rPr>
          <w:rFonts w:eastAsia="Times New Roman"/>
          <w:szCs w:val="22"/>
        </w:rPr>
        <w:t xml:space="preserve">Βρέφη ηλικίας τουλάχιστον </w:t>
      </w:r>
      <w:r w:rsidR="00973BAC">
        <w:rPr>
          <w:rFonts w:eastAsia="Times New Roman"/>
          <w:szCs w:val="22"/>
        </w:rPr>
        <w:t>4</w:t>
      </w:r>
      <w:r w:rsidRPr="0047462D">
        <w:rPr>
          <w:rFonts w:eastAsia="Times New Roman"/>
          <w:szCs w:val="22"/>
        </w:rPr>
        <w:t xml:space="preserve"> μηνών, νήπια, παιδιά, έφηβοι και ενήλικες </w:t>
      </w:r>
      <w:r w:rsidR="001C01B6" w:rsidRPr="0047462D">
        <w:rPr>
          <w:rFonts w:eastAsia="Times New Roman"/>
          <w:szCs w:val="22"/>
        </w:rPr>
        <w:t>θα πρέπει να λαμβάνουν δόση σύμφωνα με τον Πίνακα</w:t>
      </w:r>
      <w:r w:rsidR="00231F0A" w:rsidRPr="0047462D">
        <w:rPr>
          <w:rFonts w:eastAsia="Times New Roman"/>
          <w:szCs w:val="22"/>
        </w:rPr>
        <w:t> </w:t>
      </w:r>
      <w:r w:rsidR="001C01B6" w:rsidRPr="0047462D">
        <w:rPr>
          <w:rFonts w:eastAsia="Times New Roman"/>
          <w:szCs w:val="22"/>
        </w:rPr>
        <w:t>1.</w:t>
      </w:r>
    </w:p>
    <w:p w14:paraId="4984D423" w14:textId="77777777" w:rsidR="002A0235" w:rsidRPr="0047462D" w:rsidRDefault="002A0235" w:rsidP="001C01B6">
      <w:pPr>
        <w:keepNext/>
        <w:rPr>
          <w:rFonts w:eastAsia="Times New Roman"/>
          <w:szCs w:val="22"/>
          <w:lang w:eastAsia="en-US"/>
        </w:rPr>
      </w:pPr>
    </w:p>
    <w:p w14:paraId="07CB12D1" w14:textId="6C5575F9" w:rsidR="002A0235" w:rsidRPr="0047462D" w:rsidRDefault="002A0235" w:rsidP="002A0235">
      <w:pPr>
        <w:keepNext/>
        <w:spacing w:after="120"/>
        <w:rPr>
          <w:b/>
        </w:rPr>
      </w:pPr>
      <w:r w:rsidRPr="0047462D">
        <w:rPr>
          <w:b/>
        </w:rPr>
        <w:t xml:space="preserve">Πίνακας 1: Συστάσεις δοσολογίας για ασθενείς ηλικίας </w:t>
      </w:r>
      <w:r w:rsidR="00973BAC">
        <w:rPr>
          <w:b/>
        </w:rPr>
        <w:t>4</w:t>
      </w:r>
      <w:r w:rsidRPr="0047462D">
        <w:rPr>
          <w:b/>
        </w:rPr>
        <w:t> μηνών και άνω</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865"/>
        <w:gridCol w:w="3640"/>
        <w:gridCol w:w="1837"/>
      </w:tblGrid>
      <w:tr w:rsidR="00973BAC" w:rsidRPr="0047462D" w14:paraId="041012B5" w14:textId="77777777" w:rsidTr="00F93ECE">
        <w:trPr>
          <w:cantSplit/>
          <w:trHeight w:val="217"/>
          <w:tblHeader/>
        </w:trPr>
        <w:tc>
          <w:tcPr>
            <w:tcW w:w="1723" w:type="dxa"/>
          </w:tcPr>
          <w:p w14:paraId="6E8385EC" w14:textId="72A9B57E" w:rsidR="00973BAC" w:rsidRPr="0047462D" w:rsidRDefault="00973BAC" w:rsidP="00973BAC">
            <w:pPr>
              <w:keepNext/>
              <w:rPr>
                <w:b/>
                <w:szCs w:val="22"/>
              </w:rPr>
            </w:pPr>
            <w:r>
              <w:rPr>
                <w:b/>
              </w:rPr>
              <w:t>Ηλικία</w:t>
            </w:r>
          </w:p>
        </w:tc>
        <w:tc>
          <w:tcPr>
            <w:tcW w:w="1865" w:type="dxa"/>
            <w:shd w:val="clear" w:color="auto" w:fill="auto"/>
          </w:tcPr>
          <w:p w14:paraId="6FF9725E" w14:textId="57A19FFD" w:rsidR="00973BAC" w:rsidRPr="0047462D" w:rsidRDefault="00973BAC" w:rsidP="00973BAC">
            <w:pPr>
              <w:keepNext/>
              <w:rPr>
                <w:b/>
                <w:szCs w:val="22"/>
              </w:rPr>
            </w:pPr>
            <w:r w:rsidRPr="0047462D">
              <w:rPr>
                <w:b/>
                <w:szCs w:val="22"/>
              </w:rPr>
              <w:t>Βάρος</w:t>
            </w:r>
          </w:p>
        </w:tc>
        <w:tc>
          <w:tcPr>
            <w:tcW w:w="3640" w:type="dxa"/>
            <w:shd w:val="clear" w:color="auto" w:fill="auto"/>
          </w:tcPr>
          <w:p w14:paraId="4FA571D1" w14:textId="77777777" w:rsidR="00973BAC" w:rsidRPr="0047462D" w:rsidRDefault="00973BAC" w:rsidP="00973BAC">
            <w:pPr>
              <w:keepNext/>
              <w:rPr>
                <w:b/>
                <w:szCs w:val="22"/>
              </w:rPr>
            </w:pPr>
            <w:r w:rsidRPr="0047462D">
              <w:rPr>
                <w:b/>
                <w:szCs w:val="22"/>
              </w:rPr>
              <w:t>Δόση</w:t>
            </w:r>
          </w:p>
        </w:tc>
        <w:tc>
          <w:tcPr>
            <w:tcW w:w="1837" w:type="dxa"/>
            <w:shd w:val="clear" w:color="auto" w:fill="auto"/>
          </w:tcPr>
          <w:p w14:paraId="190C3313" w14:textId="77777777" w:rsidR="00973BAC" w:rsidRPr="0047462D" w:rsidRDefault="00973BAC" w:rsidP="00973BAC">
            <w:pPr>
              <w:keepNext/>
              <w:rPr>
                <w:b/>
                <w:szCs w:val="22"/>
              </w:rPr>
            </w:pPr>
            <w:r w:rsidRPr="0047462D">
              <w:rPr>
                <w:b/>
                <w:szCs w:val="22"/>
              </w:rPr>
              <w:t>Συνολική ημερήσια δόση</w:t>
            </w:r>
          </w:p>
        </w:tc>
      </w:tr>
      <w:tr w:rsidR="00F15E08" w:rsidRPr="0047462D" w14:paraId="218CDE11" w14:textId="77777777" w:rsidTr="00973BAC">
        <w:trPr>
          <w:cantSplit/>
          <w:trHeight w:val="217"/>
        </w:trPr>
        <w:tc>
          <w:tcPr>
            <w:tcW w:w="1723" w:type="dxa"/>
          </w:tcPr>
          <w:p w14:paraId="7FB67C24" w14:textId="056DC212" w:rsidR="00F15E08" w:rsidRPr="00E00BF1" w:rsidRDefault="00F15E08" w:rsidP="00F15E08">
            <w:r w:rsidRPr="00E00BF1">
              <w:t>4</w:t>
            </w:r>
            <w:r>
              <w:t xml:space="preserve"> μηνών έως κάτω των </w:t>
            </w:r>
            <w:r w:rsidRPr="00E00BF1">
              <w:t>6</w:t>
            </w:r>
            <w:r>
              <w:t> μηνών</w:t>
            </w:r>
          </w:p>
        </w:tc>
        <w:tc>
          <w:tcPr>
            <w:tcW w:w="1865" w:type="dxa"/>
            <w:shd w:val="clear" w:color="auto" w:fill="auto"/>
          </w:tcPr>
          <w:p w14:paraId="16C56884" w14:textId="76A75440" w:rsidR="00F15E08" w:rsidRPr="0047462D" w:rsidRDefault="00F15E08" w:rsidP="00F15E08">
            <w:r w:rsidRPr="008E2C09">
              <w:t>≥</w:t>
            </w:r>
            <w:r w:rsidR="000660F4">
              <w:t> </w:t>
            </w:r>
            <w:r w:rsidRPr="00E00BF1">
              <w:t>5 kg</w:t>
            </w:r>
          </w:p>
        </w:tc>
        <w:tc>
          <w:tcPr>
            <w:tcW w:w="3640" w:type="dxa"/>
            <w:shd w:val="clear" w:color="auto" w:fill="auto"/>
          </w:tcPr>
          <w:p w14:paraId="2E47581C" w14:textId="3D699F66" w:rsidR="00F15E08" w:rsidRPr="0047462D" w:rsidRDefault="00F15E08" w:rsidP="00F15E08">
            <w:r w:rsidRPr="00E00BF1">
              <w:t>25</w:t>
            </w:r>
            <w:r>
              <w:t> </w:t>
            </w:r>
            <w:r w:rsidRPr="00E00BF1">
              <w:t xml:space="preserve">mg </w:t>
            </w:r>
            <w:r w:rsidRPr="0047462D">
              <w:rPr>
                <w:szCs w:val="22"/>
              </w:rPr>
              <w:t xml:space="preserve">κοκκία που λαμβάνονται από στόματος κάθε </w:t>
            </w:r>
            <w:r w:rsidRPr="0047462D">
              <w:t xml:space="preserve">12 ώρες </w:t>
            </w:r>
            <w:r w:rsidRPr="0047462D">
              <w:rPr>
                <w:szCs w:val="22"/>
              </w:rPr>
              <w:t>μαζί με τροφή που περιέχει λίπος</w:t>
            </w:r>
          </w:p>
        </w:tc>
        <w:tc>
          <w:tcPr>
            <w:tcW w:w="1837" w:type="dxa"/>
            <w:shd w:val="clear" w:color="auto" w:fill="auto"/>
          </w:tcPr>
          <w:p w14:paraId="020C00F1" w14:textId="75FDA5C4" w:rsidR="00F15E08" w:rsidRPr="0047462D" w:rsidRDefault="00F15E08" w:rsidP="00F15E08">
            <w:r w:rsidRPr="00E00BF1">
              <w:t>50</w:t>
            </w:r>
            <w:r>
              <w:t> </w:t>
            </w:r>
            <w:r w:rsidRPr="00E00BF1">
              <w:t>mg</w:t>
            </w:r>
          </w:p>
        </w:tc>
      </w:tr>
      <w:tr w:rsidR="00F15E08" w:rsidRPr="0047462D" w14:paraId="62389591" w14:textId="77777777" w:rsidTr="00F93ECE">
        <w:trPr>
          <w:cantSplit/>
          <w:trHeight w:val="217"/>
        </w:trPr>
        <w:tc>
          <w:tcPr>
            <w:tcW w:w="1723" w:type="dxa"/>
            <w:vMerge w:val="restart"/>
            <w:vAlign w:val="center"/>
          </w:tcPr>
          <w:p w14:paraId="41CE8CE7" w14:textId="1E5A768E" w:rsidR="00F15E08" w:rsidRPr="0047462D" w:rsidRDefault="00F15E08">
            <w:r w:rsidRPr="00E00BF1">
              <w:t>6</w:t>
            </w:r>
            <w:r>
              <w:rPr>
                <w:lang w:val="en-US"/>
              </w:rPr>
              <w:t> </w:t>
            </w:r>
            <w:r>
              <w:t>μηνών και άνω</w:t>
            </w:r>
          </w:p>
        </w:tc>
        <w:tc>
          <w:tcPr>
            <w:tcW w:w="1865" w:type="dxa"/>
            <w:shd w:val="clear" w:color="auto" w:fill="auto"/>
          </w:tcPr>
          <w:p w14:paraId="77AA6312" w14:textId="46B5A6D8" w:rsidR="00F15E08" w:rsidRPr="0047462D" w:rsidRDefault="00F15E08" w:rsidP="00973BAC">
            <w:r w:rsidRPr="0047462D">
              <w:t>≥ 5 kg έως &lt; 7 kg</w:t>
            </w:r>
          </w:p>
        </w:tc>
        <w:tc>
          <w:tcPr>
            <w:tcW w:w="3640" w:type="dxa"/>
            <w:shd w:val="clear" w:color="auto" w:fill="auto"/>
          </w:tcPr>
          <w:p w14:paraId="5EA7A804" w14:textId="77777777" w:rsidR="00F15E08" w:rsidRPr="0047462D" w:rsidRDefault="00F15E08" w:rsidP="00973BAC">
            <w:pPr>
              <w:rPr>
                <w:szCs w:val="22"/>
              </w:rPr>
            </w:pPr>
            <w:r w:rsidRPr="0047462D">
              <w:t xml:space="preserve">25 mg </w:t>
            </w:r>
            <w:r w:rsidRPr="0047462D">
              <w:rPr>
                <w:szCs w:val="22"/>
              </w:rPr>
              <w:t xml:space="preserve">κοκκία που λαμβάνονται από στόματος κάθε </w:t>
            </w:r>
            <w:r w:rsidRPr="0047462D">
              <w:t xml:space="preserve">12 ώρες </w:t>
            </w:r>
            <w:r w:rsidRPr="0047462D">
              <w:rPr>
                <w:szCs w:val="22"/>
              </w:rPr>
              <w:t>μαζί με τροφή που περιέχει λίπος</w:t>
            </w:r>
          </w:p>
        </w:tc>
        <w:tc>
          <w:tcPr>
            <w:tcW w:w="1837" w:type="dxa"/>
            <w:shd w:val="clear" w:color="auto" w:fill="auto"/>
          </w:tcPr>
          <w:p w14:paraId="60E592AB" w14:textId="77777777" w:rsidR="00F15E08" w:rsidRPr="0047462D" w:rsidRDefault="00F15E08" w:rsidP="00973BAC">
            <w:pPr>
              <w:rPr>
                <w:szCs w:val="22"/>
              </w:rPr>
            </w:pPr>
            <w:r w:rsidRPr="0047462D">
              <w:t>50 mg</w:t>
            </w:r>
          </w:p>
        </w:tc>
      </w:tr>
      <w:tr w:rsidR="00F15E08" w:rsidRPr="0047462D" w14:paraId="2CF5B840" w14:textId="77777777" w:rsidTr="00F324D4">
        <w:trPr>
          <w:cantSplit/>
          <w:trHeight w:val="217"/>
        </w:trPr>
        <w:tc>
          <w:tcPr>
            <w:tcW w:w="1723" w:type="dxa"/>
            <w:vMerge/>
            <w:vAlign w:val="center"/>
          </w:tcPr>
          <w:p w14:paraId="2249BA48" w14:textId="5DF8C444" w:rsidR="00F15E08" w:rsidRPr="0047462D" w:rsidRDefault="00F15E08" w:rsidP="00973BAC"/>
        </w:tc>
        <w:tc>
          <w:tcPr>
            <w:tcW w:w="1865" w:type="dxa"/>
            <w:shd w:val="clear" w:color="auto" w:fill="auto"/>
          </w:tcPr>
          <w:p w14:paraId="2FCEC7A6" w14:textId="2C004AFE" w:rsidR="00F15E08" w:rsidRPr="0047462D" w:rsidRDefault="00F15E08" w:rsidP="00973BAC">
            <w:pPr>
              <w:rPr>
                <w:szCs w:val="22"/>
              </w:rPr>
            </w:pPr>
            <w:r w:rsidRPr="0047462D">
              <w:t>≥ 7 kg έως</w:t>
            </w:r>
            <w:r w:rsidRPr="0047462D">
              <w:rPr>
                <w:sz w:val="20"/>
              </w:rPr>
              <w:t xml:space="preserve"> </w:t>
            </w:r>
            <w:r w:rsidRPr="0047462D">
              <w:rPr>
                <w:szCs w:val="22"/>
              </w:rPr>
              <w:t>&lt; 14 kg</w:t>
            </w:r>
          </w:p>
        </w:tc>
        <w:tc>
          <w:tcPr>
            <w:tcW w:w="3640" w:type="dxa"/>
            <w:shd w:val="clear" w:color="auto" w:fill="auto"/>
          </w:tcPr>
          <w:p w14:paraId="2ACDFB54" w14:textId="77777777" w:rsidR="00F15E08" w:rsidRPr="0047462D" w:rsidRDefault="00F15E08" w:rsidP="00973BAC">
            <w:pPr>
              <w:rPr>
                <w:szCs w:val="22"/>
              </w:rPr>
            </w:pPr>
            <w:r w:rsidRPr="0047462D">
              <w:rPr>
                <w:szCs w:val="22"/>
              </w:rPr>
              <w:t>50 mg κοκκία που λαμβάνονται από στόματος κάθε 12 ώρες μαζί με τροφή που περιέχει λίπος</w:t>
            </w:r>
          </w:p>
        </w:tc>
        <w:tc>
          <w:tcPr>
            <w:tcW w:w="1837" w:type="dxa"/>
            <w:shd w:val="clear" w:color="auto" w:fill="auto"/>
          </w:tcPr>
          <w:p w14:paraId="3B2F9F0E" w14:textId="77777777" w:rsidR="00F15E08" w:rsidRPr="0047462D" w:rsidRDefault="00F15E08" w:rsidP="00973BAC">
            <w:pPr>
              <w:rPr>
                <w:szCs w:val="22"/>
              </w:rPr>
            </w:pPr>
            <w:r w:rsidRPr="0047462D">
              <w:rPr>
                <w:szCs w:val="22"/>
              </w:rPr>
              <w:t>100 mg</w:t>
            </w:r>
          </w:p>
        </w:tc>
      </w:tr>
      <w:tr w:rsidR="00F15E08" w:rsidRPr="0047462D" w14:paraId="6ABA449F" w14:textId="77777777" w:rsidTr="00973BAC">
        <w:trPr>
          <w:cantSplit/>
          <w:trHeight w:val="217"/>
        </w:trPr>
        <w:tc>
          <w:tcPr>
            <w:tcW w:w="1723" w:type="dxa"/>
            <w:vMerge/>
          </w:tcPr>
          <w:p w14:paraId="12A3C6AB" w14:textId="39F15FBA" w:rsidR="00F15E08" w:rsidRPr="0047462D" w:rsidRDefault="00F15E08" w:rsidP="00973BAC">
            <w:pPr>
              <w:rPr>
                <w:szCs w:val="22"/>
                <w:lang w:val="en-US"/>
              </w:rPr>
            </w:pPr>
          </w:p>
        </w:tc>
        <w:tc>
          <w:tcPr>
            <w:tcW w:w="1865" w:type="dxa"/>
            <w:shd w:val="clear" w:color="auto" w:fill="auto"/>
          </w:tcPr>
          <w:p w14:paraId="69AA32C2" w14:textId="017C24FE" w:rsidR="00F15E08" w:rsidRPr="0047462D" w:rsidRDefault="00F15E08" w:rsidP="00973BAC">
            <w:pPr>
              <w:rPr>
                <w:szCs w:val="22"/>
              </w:rPr>
            </w:pPr>
            <w:r w:rsidRPr="0047462D">
              <w:rPr>
                <w:szCs w:val="22"/>
                <w:lang w:val="en-US"/>
              </w:rPr>
              <w:t>≥</w:t>
            </w:r>
            <w:r w:rsidRPr="0047462D">
              <w:rPr>
                <w:szCs w:val="22"/>
              </w:rPr>
              <w:t> 14 kg έως &lt; 25 kg</w:t>
            </w:r>
          </w:p>
        </w:tc>
        <w:tc>
          <w:tcPr>
            <w:tcW w:w="3640" w:type="dxa"/>
            <w:shd w:val="clear" w:color="auto" w:fill="auto"/>
          </w:tcPr>
          <w:p w14:paraId="416A2F91" w14:textId="77777777" w:rsidR="00F15E08" w:rsidRPr="0047462D" w:rsidRDefault="00F15E08" w:rsidP="00973BAC">
            <w:pPr>
              <w:rPr>
                <w:szCs w:val="22"/>
              </w:rPr>
            </w:pPr>
            <w:r w:rsidRPr="0047462D">
              <w:rPr>
                <w:szCs w:val="22"/>
              </w:rPr>
              <w:t xml:space="preserve">75 mg κοκκία που λαμβάνονται από στόματος κάθε 12 ώρες μαζί με τροφή που περιέχει λίπος </w:t>
            </w:r>
          </w:p>
        </w:tc>
        <w:tc>
          <w:tcPr>
            <w:tcW w:w="1837" w:type="dxa"/>
            <w:shd w:val="clear" w:color="auto" w:fill="auto"/>
          </w:tcPr>
          <w:p w14:paraId="21AFA784" w14:textId="77777777" w:rsidR="00F15E08" w:rsidRPr="0047462D" w:rsidRDefault="00F15E08" w:rsidP="00973BAC">
            <w:pPr>
              <w:rPr>
                <w:szCs w:val="22"/>
              </w:rPr>
            </w:pPr>
            <w:r w:rsidRPr="0047462D">
              <w:rPr>
                <w:szCs w:val="22"/>
              </w:rPr>
              <w:t>150 mg</w:t>
            </w:r>
          </w:p>
        </w:tc>
      </w:tr>
      <w:tr w:rsidR="00F15E08" w:rsidRPr="0047462D" w14:paraId="5FA22D76" w14:textId="77777777" w:rsidTr="00973BAC">
        <w:trPr>
          <w:cantSplit/>
          <w:trHeight w:val="314"/>
        </w:trPr>
        <w:tc>
          <w:tcPr>
            <w:tcW w:w="1723" w:type="dxa"/>
            <w:vMerge/>
          </w:tcPr>
          <w:p w14:paraId="704B6F0D" w14:textId="77777777" w:rsidR="00F15E08" w:rsidRPr="0047462D" w:rsidRDefault="00F15E08" w:rsidP="00B85583">
            <w:pPr>
              <w:rPr>
                <w:szCs w:val="22"/>
                <w:lang w:val="en-US"/>
              </w:rPr>
            </w:pPr>
            <w:bookmarkStart w:id="6" w:name="_Hlk516471293"/>
          </w:p>
        </w:tc>
        <w:tc>
          <w:tcPr>
            <w:tcW w:w="1865" w:type="dxa"/>
            <w:shd w:val="clear" w:color="auto" w:fill="auto"/>
          </w:tcPr>
          <w:p w14:paraId="06E78785" w14:textId="30094FE9" w:rsidR="00F15E08" w:rsidRPr="0047462D" w:rsidRDefault="00F15E08" w:rsidP="00B85583">
            <w:pPr>
              <w:rPr>
                <w:szCs w:val="22"/>
              </w:rPr>
            </w:pPr>
            <w:r w:rsidRPr="0047462D">
              <w:rPr>
                <w:szCs w:val="22"/>
                <w:lang w:val="en-US"/>
              </w:rPr>
              <w:t>≥</w:t>
            </w:r>
            <w:r w:rsidRPr="0047462D">
              <w:rPr>
                <w:szCs w:val="22"/>
              </w:rPr>
              <w:t> 25 kg</w:t>
            </w:r>
          </w:p>
        </w:tc>
        <w:tc>
          <w:tcPr>
            <w:tcW w:w="5477" w:type="dxa"/>
            <w:gridSpan w:val="2"/>
            <w:shd w:val="clear" w:color="auto" w:fill="auto"/>
          </w:tcPr>
          <w:p w14:paraId="7B46A12D" w14:textId="77777777" w:rsidR="00F15E08" w:rsidRPr="0047462D" w:rsidRDefault="00F15E08" w:rsidP="00B85583">
            <w:pPr>
              <w:rPr>
                <w:szCs w:val="22"/>
              </w:rPr>
            </w:pPr>
            <w:r w:rsidRPr="0047462D">
              <w:rPr>
                <w:rFonts w:eastAsia="MS Mincho"/>
                <w:szCs w:val="22"/>
                <w:lang w:eastAsia="ja-JP"/>
              </w:rPr>
              <w:t>Βλ. ΠΧΠ των δισκίων Kalydeco για περαιτέρω λεπτομέρειες.</w:t>
            </w:r>
          </w:p>
        </w:tc>
      </w:tr>
      <w:bookmarkEnd w:id="6"/>
    </w:tbl>
    <w:p w14:paraId="65AC8401" w14:textId="77777777" w:rsidR="001C01B6" w:rsidRPr="0047462D" w:rsidRDefault="001C01B6" w:rsidP="001C01B6">
      <w:pPr>
        <w:pStyle w:val="labeltext"/>
        <w:suppressAutoHyphens w:val="0"/>
        <w:rPr>
          <w:iCs/>
          <w:szCs w:val="22"/>
          <w:lang w:val="el-GR"/>
        </w:rPr>
      </w:pPr>
    </w:p>
    <w:p w14:paraId="26511147" w14:textId="0943CC67" w:rsidR="001C01B6" w:rsidRPr="0047462D" w:rsidRDefault="001C01B6" w:rsidP="001C01B6">
      <w:pPr>
        <w:pStyle w:val="labeltext"/>
        <w:keepNext/>
        <w:rPr>
          <w:rFonts w:eastAsia="Times New Roman"/>
          <w:i/>
          <w:sz w:val="22"/>
          <w:szCs w:val="22"/>
          <w:lang w:val="el-GR"/>
        </w:rPr>
      </w:pPr>
      <w:r w:rsidRPr="0047462D">
        <w:rPr>
          <w:rFonts w:eastAsia="Times New Roman"/>
          <w:i/>
          <w:sz w:val="22"/>
          <w:szCs w:val="22"/>
          <w:lang w:val="el-GR"/>
        </w:rPr>
        <w:t>Παράλειψη δόσης</w:t>
      </w:r>
    </w:p>
    <w:p w14:paraId="09052E57" w14:textId="77777777" w:rsidR="004A0709" w:rsidRPr="0047462D" w:rsidRDefault="004A0709" w:rsidP="001C01B6">
      <w:pPr>
        <w:pStyle w:val="labeltext"/>
        <w:keepNext/>
        <w:rPr>
          <w:rFonts w:eastAsia="Times New Roman"/>
          <w:i/>
          <w:sz w:val="22"/>
          <w:szCs w:val="22"/>
          <w:lang w:val="el-GR"/>
        </w:rPr>
      </w:pPr>
    </w:p>
    <w:p w14:paraId="0F108E63" w14:textId="62EC6E53"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Εάν </w:t>
      </w:r>
      <w:r w:rsidR="007E11E7" w:rsidRPr="0047462D">
        <w:rPr>
          <w:rFonts w:eastAsia="Times New Roman"/>
          <w:sz w:val="22"/>
          <w:szCs w:val="22"/>
          <w:lang w:val="el-GR"/>
        </w:rPr>
        <w:t xml:space="preserve">έχουν περάσει </w:t>
      </w:r>
      <w:r w:rsidRPr="0047462D">
        <w:rPr>
          <w:rFonts w:eastAsia="Times New Roman"/>
          <w:sz w:val="22"/>
          <w:szCs w:val="22"/>
          <w:lang w:val="el-GR"/>
        </w:rPr>
        <w:t>6</w:t>
      </w:r>
      <w:r w:rsidRPr="0047462D">
        <w:rPr>
          <w:rFonts w:eastAsia="Times New Roman"/>
          <w:sz w:val="22"/>
          <w:szCs w:val="22"/>
          <w:lang w:val="en-GB"/>
        </w:rPr>
        <w:t> </w:t>
      </w:r>
      <w:r w:rsidR="004C632C" w:rsidRPr="0047462D">
        <w:rPr>
          <w:rFonts w:eastAsia="Times New Roman"/>
          <w:sz w:val="22"/>
          <w:szCs w:val="22"/>
          <w:lang w:val="el-GR"/>
        </w:rPr>
        <w:t xml:space="preserve">ή λιγότερες </w:t>
      </w:r>
      <w:r w:rsidR="007E11E7" w:rsidRPr="0047462D">
        <w:rPr>
          <w:rFonts w:eastAsia="Times New Roman"/>
          <w:sz w:val="22"/>
          <w:szCs w:val="22"/>
          <w:lang w:val="el-GR"/>
        </w:rPr>
        <w:t>ώρες από τη στιγμή που θα λαμβανόταν η πρωινή ή η βραδινή δόση που παραλείφθηκε</w:t>
      </w:r>
      <w:r w:rsidRPr="0047462D">
        <w:rPr>
          <w:rFonts w:eastAsia="Times New Roman"/>
          <w:sz w:val="22"/>
          <w:szCs w:val="22"/>
          <w:lang w:val="el-GR"/>
        </w:rPr>
        <w:t xml:space="preserve">, </w:t>
      </w:r>
      <w:r w:rsidR="00437C36" w:rsidRPr="00437C36">
        <w:rPr>
          <w:rFonts w:eastAsia="Times New Roman"/>
          <w:sz w:val="22"/>
          <w:szCs w:val="22"/>
          <w:lang w:val="el-GR"/>
        </w:rPr>
        <w:t xml:space="preserve">θα πρέπει να δοθούν οδηγίες </w:t>
      </w:r>
      <w:r w:rsidR="00437C36">
        <w:rPr>
          <w:rFonts w:eastAsia="Times New Roman"/>
          <w:sz w:val="22"/>
          <w:szCs w:val="22"/>
          <w:lang w:val="el-GR"/>
        </w:rPr>
        <w:t>στον</w:t>
      </w:r>
      <w:r w:rsidR="00437C36" w:rsidRPr="0047462D">
        <w:rPr>
          <w:rFonts w:eastAsia="Times New Roman"/>
          <w:sz w:val="22"/>
          <w:szCs w:val="22"/>
          <w:lang w:val="el-GR"/>
        </w:rPr>
        <w:t xml:space="preserve"> </w:t>
      </w:r>
      <w:r w:rsidRPr="0047462D">
        <w:rPr>
          <w:rFonts w:eastAsia="Times New Roman"/>
          <w:sz w:val="22"/>
          <w:szCs w:val="22"/>
          <w:lang w:val="el-GR"/>
        </w:rPr>
        <w:t xml:space="preserve">ασθενή να τη λάβει το συντομότερο δυνατόν και </w:t>
      </w:r>
      <w:r w:rsidR="00437C36" w:rsidRPr="00437C36">
        <w:rPr>
          <w:rFonts w:eastAsia="Times New Roman"/>
          <w:sz w:val="22"/>
          <w:szCs w:val="22"/>
          <w:lang w:val="el-GR"/>
        </w:rPr>
        <w:t>κατόπιν να πάρει την επόμενη δόση τη συνήθη προγραμματισμένη ώρα</w:t>
      </w:r>
      <w:r w:rsidRPr="0047462D">
        <w:rPr>
          <w:rFonts w:eastAsia="Times New Roman"/>
          <w:sz w:val="22"/>
          <w:szCs w:val="22"/>
          <w:lang w:val="el-GR"/>
        </w:rPr>
        <w:t>. Εάν έχουν περάσει περισσότερες από 6</w:t>
      </w:r>
      <w:r w:rsidRPr="0047462D">
        <w:rPr>
          <w:rFonts w:eastAsia="Times New Roman"/>
          <w:sz w:val="22"/>
          <w:szCs w:val="22"/>
          <w:lang w:val="en-GB"/>
        </w:rPr>
        <w:t> </w:t>
      </w:r>
      <w:r w:rsidRPr="0047462D">
        <w:rPr>
          <w:rFonts w:eastAsia="Times New Roman"/>
          <w:sz w:val="22"/>
          <w:szCs w:val="22"/>
          <w:lang w:val="el-GR"/>
        </w:rPr>
        <w:t xml:space="preserve">ώρες από τη στιγμή που συνήθως λαμβάνεται η δόση, θα πρέπει να δοθούν οδηγίες στον ασθενή να περιμένει μέχρι την επόμενη προγραμματισμένη δόση. </w:t>
      </w:r>
    </w:p>
    <w:p w14:paraId="09332B48" w14:textId="77777777" w:rsidR="001C01B6" w:rsidRPr="0047462D" w:rsidRDefault="001C01B6" w:rsidP="001C01B6">
      <w:pPr>
        <w:pStyle w:val="labeltext"/>
        <w:suppressAutoHyphens w:val="0"/>
        <w:rPr>
          <w:sz w:val="22"/>
          <w:szCs w:val="22"/>
          <w:lang w:val="el-GR" w:eastAsia="en-US"/>
        </w:rPr>
      </w:pPr>
    </w:p>
    <w:p w14:paraId="0B102F4B" w14:textId="23515C2B" w:rsidR="002A61C2" w:rsidRPr="0047462D" w:rsidRDefault="002A61C2" w:rsidP="002A61C2">
      <w:pPr>
        <w:keepNext/>
        <w:rPr>
          <w:rFonts w:eastAsia="Times New Roman"/>
          <w:i/>
          <w:szCs w:val="22"/>
        </w:rPr>
      </w:pPr>
      <w:r w:rsidRPr="0047462D">
        <w:rPr>
          <w:rFonts w:eastAsia="Times New Roman"/>
          <w:i/>
          <w:szCs w:val="22"/>
        </w:rPr>
        <w:t xml:space="preserve">Ταυτόχρονη χρήση αναστολέων του </w:t>
      </w:r>
      <w:r w:rsidRPr="0047462D">
        <w:rPr>
          <w:i/>
          <w:szCs w:val="22"/>
        </w:rPr>
        <w:t>CYP3A</w:t>
      </w:r>
    </w:p>
    <w:p w14:paraId="7D7395D6" w14:textId="77777777" w:rsidR="004A0709" w:rsidRPr="0047462D" w:rsidRDefault="004A0709" w:rsidP="002A61C2">
      <w:pPr>
        <w:keepNext/>
        <w:rPr>
          <w:rFonts w:eastAsia="Times New Roman"/>
          <w:i/>
          <w:szCs w:val="22"/>
        </w:rPr>
      </w:pPr>
    </w:p>
    <w:p w14:paraId="06F30453" w14:textId="2DA19F69" w:rsidR="002A61C2" w:rsidRPr="0047462D" w:rsidRDefault="002A61C2" w:rsidP="002A61C2">
      <w:pPr>
        <w:rPr>
          <w:rFonts w:eastAsia="Times New Roman"/>
          <w:szCs w:val="22"/>
          <w:u w:val="single"/>
        </w:rPr>
      </w:pPr>
      <w:r w:rsidRPr="0047462D">
        <w:rPr>
          <w:bCs/>
          <w:szCs w:val="22"/>
        </w:rPr>
        <w:t>Όταν συγχορηγείται με ισχυρούς αναστολείς του CYP3A</w:t>
      </w:r>
      <w:r w:rsidR="00F15E08">
        <w:rPr>
          <w:bCs/>
          <w:szCs w:val="22"/>
        </w:rPr>
        <w:t xml:space="preserve"> σε ασθενείς ηλικίας 6 μηνών και άνω</w:t>
      </w:r>
      <w:r w:rsidRPr="0047462D">
        <w:rPr>
          <w:bCs/>
          <w:szCs w:val="22"/>
        </w:rPr>
        <w:t xml:space="preserve">, η δόση του </w:t>
      </w:r>
      <w:r w:rsidR="007E11E7" w:rsidRPr="0047462D">
        <w:rPr>
          <w:bCs/>
          <w:iCs/>
          <w:szCs w:val="22"/>
          <w:lang w:val="en-GB"/>
        </w:rPr>
        <w:t>ivacaftor</w:t>
      </w:r>
      <w:r w:rsidR="007E11E7" w:rsidRPr="0047462D" w:rsidDel="007E11E7">
        <w:rPr>
          <w:bCs/>
          <w:szCs w:val="22"/>
        </w:rPr>
        <w:t xml:space="preserve"> </w:t>
      </w:r>
      <w:r w:rsidRPr="0047462D">
        <w:rPr>
          <w:bCs/>
          <w:szCs w:val="22"/>
        </w:rPr>
        <w:t xml:space="preserve">θα πρέπει να μειώνεται σε </w:t>
      </w:r>
      <w:r w:rsidR="00DD20CA" w:rsidRPr="0047462D">
        <w:rPr>
          <w:bCs/>
          <w:szCs w:val="22"/>
        </w:rPr>
        <w:t xml:space="preserve">έναν φακελλίσκο (ivacaftor 25 mg </w:t>
      </w:r>
      <w:r w:rsidR="00B103DD" w:rsidRPr="0047462D">
        <w:rPr>
          <w:bCs/>
          <w:szCs w:val="22"/>
        </w:rPr>
        <w:t>για ασθενείς σωματικού βάρους</w:t>
      </w:r>
      <w:r w:rsidR="00DD20CA" w:rsidRPr="0047462D">
        <w:rPr>
          <w:bCs/>
          <w:szCs w:val="22"/>
        </w:rPr>
        <w:t xml:space="preserve"> 5</w:t>
      </w:r>
      <w:r w:rsidR="00B103DD" w:rsidRPr="0047462D">
        <w:rPr>
          <w:bCs/>
          <w:szCs w:val="22"/>
        </w:rPr>
        <w:t> </w:t>
      </w:r>
      <w:r w:rsidR="00DD20CA" w:rsidRPr="0047462D">
        <w:rPr>
          <w:bCs/>
          <w:szCs w:val="22"/>
        </w:rPr>
        <w:t xml:space="preserve">kg </w:t>
      </w:r>
      <w:r w:rsidR="00B103DD" w:rsidRPr="0047462D">
        <w:rPr>
          <w:bCs/>
          <w:szCs w:val="22"/>
        </w:rPr>
        <w:t>έως</w:t>
      </w:r>
      <w:r w:rsidR="00DD20CA" w:rsidRPr="0047462D">
        <w:rPr>
          <w:bCs/>
          <w:szCs w:val="22"/>
        </w:rPr>
        <w:t xml:space="preserve"> &lt;</w:t>
      </w:r>
      <w:r w:rsidR="00F478FF" w:rsidRPr="0047462D">
        <w:rPr>
          <w:bCs/>
          <w:szCs w:val="22"/>
        </w:rPr>
        <w:t> </w:t>
      </w:r>
      <w:r w:rsidR="00DD20CA" w:rsidRPr="0047462D">
        <w:rPr>
          <w:bCs/>
          <w:szCs w:val="22"/>
        </w:rPr>
        <w:t>7</w:t>
      </w:r>
      <w:r w:rsidR="00B103DD" w:rsidRPr="0047462D">
        <w:rPr>
          <w:bCs/>
          <w:szCs w:val="22"/>
        </w:rPr>
        <w:t> </w:t>
      </w:r>
      <w:r w:rsidR="00DD20CA" w:rsidRPr="0047462D">
        <w:rPr>
          <w:bCs/>
          <w:szCs w:val="22"/>
        </w:rPr>
        <w:t>kg</w:t>
      </w:r>
      <w:r w:rsidR="00B103DD" w:rsidRPr="0047462D">
        <w:rPr>
          <w:bCs/>
          <w:szCs w:val="22"/>
        </w:rPr>
        <w:t>,</w:t>
      </w:r>
      <w:r w:rsidR="00DD20CA" w:rsidRPr="0047462D">
        <w:rPr>
          <w:bCs/>
          <w:szCs w:val="22"/>
        </w:rPr>
        <w:t xml:space="preserve"> ivacaftor 50</w:t>
      </w:r>
      <w:r w:rsidR="00B103DD" w:rsidRPr="0047462D">
        <w:rPr>
          <w:bCs/>
          <w:szCs w:val="22"/>
        </w:rPr>
        <w:t> </w:t>
      </w:r>
      <w:r w:rsidR="00DD20CA" w:rsidRPr="0047462D">
        <w:rPr>
          <w:bCs/>
          <w:szCs w:val="22"/>
        </w:rPr>
        <w:t xml:space="preserve">mg </w:t>
      </w:r>
      <w:r w:rsidR="00B103DD" w:rsidRPr="0047462D">
        <w:rPr>
          <w:bCs/>
          <w:szCs w:val="22"/>
        </w:rPr>
        <w:t xml:space="preserve">για ασθενείς σωματικού βάρους </w:t>
      </w:r>
      <w:r w:rsidR="00DD20CA" w:rsidRPr="0047462D">
        <w:rPr>
          <w:bCs/>
          <w:szCs w:val="22"/>
        </w:rPr>
        <w:t>7</w:t>
      </w:r>
      <w:r w:rsidR="00B103DD" w:rsidRPr="0047462D">
        <w:rPr>
          <w:bCs/>
          <w:szCs w:val="22"/>
        </w:rPr>
        <w:t> </w:t>
      </w:r>
      <w:r w:rsidR="00DD20CA" w:rsidRPr="0047462D">
        <w:rPr>
          <w:bCs/>
          <w:szCs w:val="22"/>
        </w:rPr>
        <w:t xml:space="preserve">kg </w:t>
      </w:r>
      <w:r w:rsidR="00B103DD" w:rsidRPr="0047462D">
        <w:rPr>
          <w:bCs/>
          <w:szCs w:val="22"/>
        </w:rPr>
        <w:t>έως</w:t>
      </w:r>
      <w:r w:rsidR="00DD20CA" w:rsidRPr="0047462D">
        <w:rPr>
          <w:bCs/>
          <w:szCs w:val="22"/>
        </w:rPr>
        <w:t xml:space="preserve"> &lt;</w:t>
      </w:r>
      <w:r w:rsidR="00F478FF" w:rsidRPr="0047462D">
        <w:rPr>
          <w:bCs/>
          <w:szCs w:val="22"/>
        </w:rPr>
        <w:t> </w:t>
      </w:r>
      <w:r w:rsidR="00DD20CA" w:rsidRPr="0047462D">
        <w:rPr>
          <w:bCs/>
          <w:szCs w:val="22"/>
        </w:rPr>
        <w:t>14</w:t>
      </w:r>
      <w:r w:rsidR="00B103DD" w:rsidRPr="0047462D">
        <w:rPr>
          <w:bCs/>
          <w:szCs w:val="22"/>
        </w:rPr>
        <w:t> </w:t>
      </w:r>
      <w:r w:rsidR="00DD20CA" w:rsidRPr="0047462D">
        <w:rPr>
          <w:bCs/>
          <w:szCs w:val="22"/>
        </w:rPr>
        <w:t>kg</w:t>
      </w:r>
      <w:r w:rsidR="00B103DD" w:rsidRPr="0047462D">
        <w:rPr>
          <w:bCs/>
          <w:szCs w:val="22"/>
        </w:rPr>
        <w:t>,</w:t>
      </w:r>
      <w:r w:rsidR="00DD20CA" w:rsidRPr="0047462D">
        <w:rPr>
          <w:bCs/>
          <w:szCs w:val="22"/>
        </w:rPr>
        <w:t xml:space="preserve"> ivacaftor 75</w:t>
      </w:r>
      <w:r w:rsidR="00B103DD" w:rsidRPr="0047462D">
        <w:rPr>
          <w:bCs/>
          <w:szCs w:val="22"/>
        </w:rPr>
        <w:t> </w:t>
      </w:r>
      <w:r w:rsidR="00DD20CA" w:rsidRPr="0047462D">
        <w:rPr>
          <w:bCs/>
          <w:szCs w:val="22"/>
        </w:rPr>
        <w:t xml:space="preserve">mg </w:t>
      </w:r>
      <w:r w:rsidR="00B103DD" w:rsidRPr="0047462D">
        <w:rPr>
          <w:bCs/>
          <w:szCs w:val="22"/>
        </w:rPr>
        <w:t xml:space="preserve">για ασθενείς σωματικού βάρους </w:t>
      </w:r>
      <w:r w:rsidR="00DD20CA" w:rsidRPr="0047462D">
        <w:rPr>
          <w:bCs/>
          <w:szCs w:val="22"/>
        </w:rPr>
        <w:t>14</w:t>
      </w:r>
      <w:r w:rsidR="00B103DD" w:rsidRPr="0047462D">
        <w:rPr>
          <w:bCs/>
          <w:szCs w:val="22"/>
        </w:rPr>
        <w:t> </w:t>
      </w:r>
      <w:r w:rsidR="00DD20CA" w:rsidRPr="0047462D">
        <w:rPr>
          <w:bCs/>
          <w:szCs w:val="22"/>
        </w:rPr>
        <w:t xml:space="preserve">kg </w:t>
      </w:r>
      <w:r w:rsidR="00B103DD" w:rsidRPr="0047462D">
        <w:rPr>
          <w:bCs/>
          <w:szCs w:val="22"/>
        </w:rPr>
        <w:t>έως</w:t>
      </w:r>
      <w:r w:rsidR="00DD20CA" w:rsidRPr="0047462D">
        <w:rPr>
          <w:bCs/>
          <w:szCs w:val="22"/>
        </w:rPr>
        <w:t xml:space="preserve"> &lt;</w:t>
      </w:r>
      <w:r w:rsidR="00F478FF" w:rsidRPr="0047462D">
        <w:rPr>
          <w:bCs/>
          <w:szCs w:val="22"/>
        </w:rPr>
        <w:t> </w:t>
      </w:r>
      <w:r w:rsidR="00DD20CA" w:rsidRPr="0047462D">
        <w:rPr>
          <w:bCs/>
          <w:szCs w:val="22"/>
        </w:rPr>
        <w:t>25</w:t>
      </w:r>
      <w:r w:rsidR="00B103DD" w:rsidRPr="0047462D">
        <w:rPr>
          <w:bCs/>
          <w:szCs w:val="22"/>
        </w:rPr>
        <w:t> </w:t>
      </w:r>
      <w:r w:rsidR="00DD20CA" w:rsidRPr="0047462D">
        <w:rPr>
          <w:bCs/>
          <w:szCs w:val="22"/>
        </w:rPr>
        <w:t xml:space="preserve">kg) </w:t>
      </w:r>
      <w:r w:rsidRPr="0047462D">
        <w:rPr>
          <w:bCs/>
          <w:szCs w:val="22"/>
        </w:rPr>
        <w:t>δύο φορές την εβδομάδα</w:t>
      </w:r>
      <w:r w:rsidRPr="0047462D">
        <w:rPr>
          <w:bCs/>
        </w:rPr>
        <w:t xml:space="preserve"> </w:t>
      </w:r>
      <w:r w:rsidRPr="0047462D">
        <w:rPr>
          <w:bCs/>
          <w:szCs w:val="22"/>
        </w:rPr>
        <w:t>(βλ. παραγράφους 4.4 και 4.5).</w:t>
      </w:r>
    </w:p>
    <w:p w14:paraId="33F9A0D8" w14:textId="77777777" w:rsidR="002A61C2" w:rsidRPr="0047462D" w:rsidRDefault="002A61C2" w:rsidP="002A61C2">
      <w:pPr>
        <w:rPr>
          <w:rFonts w:eastAsia="Times New Roman"/>
          <w:szCs w:val="22"/>
          <w:u w:val="single"/>
        </w:rPr>
      </w:pPr>
    </w:p>
    <w:p w14:paraId="0A9C5D42" w14:textId="20F26CA6" w:rsidR="002A61C2" w:rsidRPr="0047462D" w:rsidRDefault="002A61C2" w:rsidP="002A61C2">
      <w:pPr>
        <w:rPr>
          <w:rFonts w:eastAsia="Times New Roman"/>
          <w:szCs w:val="22"/>
          <w:u w:val="single"/>
        </w:rPr>
      </w:pPr>
      <w:r w:rsidRPr="0047462D">
        <w:rPr>
          <w:bCs/>
          <w:szCs w:val="22"/>
        </w:rPr>
        <w:t xml:space="preserve">Όταν συγχορηγείται με </w:t>
      </w:r>
      <w:r w:rsidR="00B02A9F" w:rsidRPr="0047462D">
        <w:rPr>
          <w:bCs/>
          <w:szCs w:val="22"/>
        </w:rPr>
        <w:t>μέτριους</w:t>
      </w:r>
      <w:r w:rsidRPr="0047462D">
        <w:rPr>
          <w:bCs/>
          <w:szCs w:val="22"/>
        </w:rPr>
        <w:t xml:space="preserve"> αναστολείς του CYP3A</w:t>
      </w:r>
      <w:r w:rsidR="00F15E08">
        <w:rPr>
          <w:bCs/>
          <w:szCs w:val="22"/>
        </w:rPr>
        <w:t xml:space="preserve"> σε ασθενείς ηλικίας 6 μηνών και άνω</w:t>
      </w:r>
      <w:r w:rsidRPr="0047462D">
        <w:rPr>
          <w:bCs/>
          <w:szCs w:val="22"/>
        </w:rPr>
        <w:t xml:space="preserve">, η δόση του </w:t>
      </w:r>
      <w:r w:rsidR="007E11E7" w:rsidRPr="0047462D">
        <w:rPr>
          <w:bCs/>
          <w:iCs/>
          <w:szCs w:val="22"/>
          <w:lang w:val="en-GB"/>
        </w:rPr>
        <w:t>ivacaftor</w:t>
      </w:r>
      <w:r w:rsidR="007E11E7" w:rsidRPr="0047462D" w:rsidDel="007E11E7">
        <w:rPr>
          <w:bCs/>
          <w:szCs w:val="22"/>
        </w:rPr>
        <w:t xml:space="preserve"> </w:t>
      </w:r>
      <w:r w:rsidRPr="0047462D">
        <w:rPr>
          <w:rFonts w:eastAsia="Times New Roman"/>
          <w:szCs w:val="22"/>
        </w:rPr>
        <w:t>είναι όπως συνιστάται παραπάνω, αλλά χορηγείται άπαξ ημερησίως</w:t>
      </w:r>
      <w:r w:rsidRPr="0047462D">
        <w:rPr>
          <w:bCs/>
          <w:szCs w:val="22"/>
        </w:rPr>
        <w:t xml:space="preserve"> (βλ. παραγράφους 4.4 και 4.5).</w:t>
      </w:r>
    </w:p>
    <w:p w14:paraId="2BB257D6" w14:textId="52FECB25" w:rsidR="002A61C2" w:rsidRDefault="002A61C2" w:rsidP="002A61C2">
      <w:pPr>
        <w:rPr>
          <w:rFonts w:eastAsia="Times New Roman"/>
          <w:szCs w:val="22"/>
          <w:u w:val="single"/>
        </w:rPr>
      </w:pPr>
    </w:p>
    <w:p w14:paraId="0F6C6F55" w14:textId="0AE0B352" w:rsidR="00F15E08" w:rsidRPr="00A808AC" w:rsidRDefault="00755BFB" w:rsidP="00F15E08">
      <w:pPr>
        <w:tabs>
          <w:tab w:val="left" w:pos="270"/>
        </w:tabs>
      </w:pPr>
      <w:r>
        <w:t>Λόγω της ποικιλομορφίας στην ωρίμανση των ενζύμων του κυτοχρώματος</w:t>
      </w:r>
      <w:r w:rsidR="00F15E08" w:rsidRPr="00E00BF1">
        <w:t xml:space="preserve"> (CYP) </w:t>
      </w:r>
      <w:r>
        <w:t xml:space="preserve">που συμμετέχουν στον μεταβολισμό του </w:t>
      </w:r>
      <w:r w:rsidR="00F15E08" w:rsidRPr="00E00BF1">
        <w:t xml:space="preserve">ivacaftor, </w:t>
      </w:r>
      <w:r>
        <w:t xml:space="preserve">η θεραπεία με το </w:t>
      </w:r>
      <w:r w:rsidR="00F15E08" w:rsidRPr="00E00BF1">
        <w:t xml:space="preserve">ivacaftor </w:t>
      </w:r>
      <w:r>
        <w:t xml:space="preserve">δεν συνιστάται όταν συγχορηγείται με μέτριους ή ισχυρούς αναστολείς του </w:t>
      </w:r>
      <w:r w:rsidR="00F15E08" w:rsidRPr="00E00BF1">
        <w:t xml:space="preserve">CYP3A </w:t>
      </w:r>
      <w:r>
        <w:t xml:space="preserve">σε ασθενείς ηλικίας </w:t>
      </w:r>
      <w:r w:rsidR="00F15E08" w:rsidRPr="00E00BF1">
        <w:t>4</w:t>
      </w:r>
      <w:r w:rsidR="00F15E08">
        <w:t> </w:t>
      </w:r>
      <w:r>
        <w:t xml:space="preserve">μηνών έως κάτω των </w:t>
      </w:r>
      <w:r w:rsidR="00F15E08" w:rsidRPr="00E00BF1">
        <w:t>6</w:t>
      </w:r>
      <w:r w:rsidR="00F15E08">
        <w:t> </w:t>
      </w:r>
      <w:r>
        <w:t>μηνών</w:t>
      </w:r>
      <w:r w:rsidR="00F15E08" w:rsidRPr="00E00BF1">
        <w:t xml:space="preserve">, </w:t>
      </w:r>
      <w:r w:rsidR="00F315B1">
        <w:t>εκτός εάν τα οφέλη υπερτερούν των κινδύνων</w:t>
      </w:r>
      <w:r w:rsidR="00F15E08" w:rsidRPr="00E00BF1">
        <w:t xml:space="preserve">. </w:t>
      </w:r>
      <w:r w:rsidR="00F315B1" w:rsidRPr="00F315B1">
        <w:t>Στις περιπτώσεις αυτές</w:t>
      </w:r>
      <w:r w:rsidR="00F15E08" w:rsidRPr="00E00BF1">
        <w:t xml:space="preserve">, </w:t>
      </w:r>
      <w:r w:rsidR="00F315B1">
        <w:t>η συνιστώμενη δόση είναι</w:t>
      </w:r>
      <w:r w:rsidR="00285DF7">
        <w:t xml:space="preserve"> ένας φακε</w:t>
      </w:r>
      <w:r w:rsidR="00D73B42">
        <w:t>λ</w:t>
      </w:r>
      <w:r w:rsidR="00285DF7">
        <w:t xml:space="preserve">λίσκος κοκκίων </w:t>
      </w:r>
      <w:r w:rsidR="00F15E08" w:rsidRPr="00E00BF1">
        <w:t>25</w:t>
      </w:r>
      <w:r w:rsidR="00F15E08">
        <w:t> </w:t>
      </w:r>
      <w:r w:rsidR="00F15E08" w:rsidRPr="00E00BF1">
        <w:t xml:space="preserve">mg </w:t>
      </w:r>
      <w:r w:rsidR="00285DF7">
        <w:t xml:space="preserve">δύο φορές την εβδομάδα ή λιγότερο συχνά </w:t>
      </w:r>
      <w:r w:rsidR="00F15E08" w:rsidRPr="00E00BF1">
        <w:t>(</w:t>
      </w:r>
      <w:r w:rsidR="00285DF7">
        <w:t>βλ. παραγράφους </w:t>
      </w:r>
      <w:r w:rsidR="00F15E08" w:rsidRPr="00E00BF1">
        <w:t xml:space="preserve">4.4 </w:t>
      </w:r>
      <w:r w:rsidR="00285DF7">
        <w:t>και</w:t>
      </w:r>
      <w:r w:rsidR="00F15E08" w:rsidRPr="00E00BF1">
        <w:t xml:space="preserve">4.5). </w:t>
      </w:r>
      <w:r w:rsidR="00285DF7" w:rsidRPr="0047462D">
        <w:rPr>
          <w:rFonts w:eastAsia="Times New Roman"/>
          <w:szCs w:val="22"/>
        </w:rPr>
        <w:t xml:space="preserve">Τα διαστήματα μεταξύ των δόσεων θα πρέπει να τροποποιούνται ανάλογα με την κλινική απόκριση και την ανεκτικότητα </w:t>
      </w:r>
      <w:r w:rsidR="00F15E08" w:rsidRPr="00E00BF1">
        <w:t>(</w:t>
      </w:r>
      <w:r w:rsidR="00285DF7">
        <w:t>βλ. παραγράφους </w:t>
      </w:r>
      <w:r w:rsidR="00F15E08" w:rsidRPr="00E00BF1">
        <w:t xml:space="preserve">4.4 </w:t>
      </w:r>
      <w:r w:rsidR="00285DF7">
        <w:t>και</w:t>
      </w:r>
      <w:r w:rsidR="00F15E08" w:rsidRPr="00E00BF1">
        <w:t xml:space="preserve"> 5.2)</w:t>
      </w:r>
    </w:p>
    <w:p w14:paraId="13C41E5D" w14:textId="77777777" w:rsidR="00F15E08" w:rsidRPr="0047462D" w:rsidRDefault="00F15E08" w:rsidP="002A61C2">
      <w:pPr>
        <w:rPr>
          <w:rFonts w:eastAsia="Times New Roman"/>
          <w:szCs w:val="22"/>
          <w:u w:val="single"/>
        </w:rPr>
      </w:pPr>
    </w:p>
    <w:p w14:paraId="73E082AF" w14:textId="77777777" w:rsidR="001C01B6" w:rsidRPr="0047462D" w:rsidRDefault="001C01B6" w:rsidP="001C01B6">
      <w:pPr>
        <w:keepNext/>
        <w:rPr>
          <w:szCs w:val="22"/>
          <w:lang w:eastAsia="en-US"/>
        </w:rPr>
      </w:pPr>
      <w:r w:rsidRPr="0047462D">
        <w:rPr>
          <w:rFonts w:eastAsia="Times New Roman"/>
          <w:szCs w:val="22"/>
          <w:u w:val="single"/>
        </w:rPr>
        <w:t>Ειδικοί πληθυσμοί</w:t>
      </w:r>
    </w:p>
    <w:p w14:paraId="07025A88" w14:textId="77777777" w:rsidR="001C01B6" w:rsidRPr="0047462D" w:rsidRDefault="001C01B6" w:rsidP="001C01B6">
      <w:pPr>
        <w:pStyle w:val="labeltext"/>
        <w:keepNext/>
        <w:rPr>
          <w:sz w:val="22"/>
          <w:szCs w:val="22"/>
          <w:lang w:val="el-GR" w:eastAsia="en-US"/>
        </w:rPr>
      </w:pPr>
    </w:p>
    <w:p w14:paraId="0057B6B4" w14:textId="56482143" w:rsidR="001C01B6" w:rsidRPr="0047462D" w:rsidRDefault="001C01B6" w:rsidP="00F93ECE">
      <w:pPr>
        <w:keepNext/>
        <w:rPr>
          <w:rFonts w:eastAsia="Times New Roman"/>
          <w:i/>
          <w:iCs/>
          <w:szCs w:val="22"/>
        </w:rPr>
      </w:pPr>
      <w:r w:rsidRPr="0047462D">
        <w:rPr>
          <w:rFonts w:eastAsia="Times New Roman"/>
          <w:i/>
          <w:iCs/>
          <w:szCs w:val="22"/>
        </w:rPr>
        <w:t>Νεφρική δυσλειτουργία</w:t>
      </w:r>
    </w:p>
    <w:p w14:paraId="2830DE2F" w14:textId="77777777" w:rsidR="004A0709" w:rsidRPr="0047462D" w:rsidRDefault="004A0709" w:rsidP="00F93ECE">
      <w:pPr>
        <w:keepNext/>
        <w:rPr>
          <w:rFonts w:eastAsia="Times New Roman"/>
          <w:szCs w:val="22"/>
        </w:rPr>
      </w:pPr>
    </w:p>
    <w:p w14:paraId="4008B9B5" w14:textId="03D441BF" w:rsidR="001C01B6" w:rsidRPr="0047462D" w:rsidRDefault="001C01B6" w:rsidP="001C01B6">
      <w:pPr>
        <w:pStyle w:val="labeltext"/>
        <w:rPr>
          <w:sz w:val="22"/>
          <w:szCs w:val="22"/>
          <w:lang w:val="el-GR"/>
        </w:rPr>
      </w:pPr>
      <w:r w:rsidRPr="0047462D">
        <w:rPr>
          <w:rFonts w:eastAsia="Times New Roman"/>
          <w:sz w:val="22"/>
          <w:szCs w:val="22"/>
          <w:lang w:val="el-GR"/>
        </w:rPr>
        <w:t xml:space="preserve">Δεν απαιτείται ρύθμιση της δόσης σε ασθενείς με ήπια έως μέτρια νεφρική δυσλειτουργία. Συνιστάται προσοχή σε ασθενείς με </w:t>
      </w:r>
      <w:r w:rsidR="001F11AC" w:rsidRPr="0047462D">
        <w:rPr>
          <w:rFonts w:eastAsia="Times New Roman"/>
          <w:sz w:val="22"/>
          <w:szCs w:val="22"/>
          <w:lang w:val="el-GR"/>
        </w:rPr>
        <w:t xml:space="preserve">σοβαρή </w:t>
      </w:r>
      <w:r w:rsidRPr="0047462D">
        <w:rPr>
          <w:rFonts w:eastAsia="Times New Roman"/>
          <w:sz w:val="22"/>
          <w:szCs w:val="22"/>
          <w:lang w:val="el-GR"/>
        </w:rPr>
        <w:t>νεφρική δυσλειτουργία (κάθαρση κρεατινίνης μικρότερη ή ίση των 30 </w:t>
      </w:r>
      <w:r w:rsidR="00966B5F" w:rsidRPr="0047462D">
        <w:rPr>
          <w:sz w:val="22"/>
          <w:szCs w:val="22"/>
          <w:lang w:val="en-GB"/>
        </w:rPr>
        <w:t>m</w:t>
      </w:r>
      <w:r w:rsidR="00966B5F" w:rsidRPr="0047462D">
        <w:rPr>
          <w:sz w:val="22"/>
          <w:szCs w:val="22"/>
        </w:rPr>
        <w:t>l</w:t>
      </w:r>
      <w:r w:rsidRPr="0047462D">
        <w:rPr>
          <w:rFonts w:eastAsia="Times New Roman"/>
          <w:sz w:val="22"/>
          <w:szCs w:val="22"/>
          <w:lang w:val="el-GR"/>
        </w:rPr>
        <w:t>/min) ή νεφρική νόσο τελικού σταδίου (βλ. παραγράφους</w:t>
      </w:r>
      <w:r w:rsidRPr="0047462D">
        <w:rPr>
          <w:rFonts w:eastAsia="Times New Roman"/>
          <w:sz w:val="22"/>
          <w:szCs w:val="22"/>
          <w:lang w:val="en-GB"/>
        </w:rPr>
        <w:t> </w:t>
      </w:r>
      <w:r w:rsidRPr="0047462D">
        <w:rPr>
          <w:rFonts w:eastAsia="Times New Roman"/>
          <w:sz w:val="22"/>
          <w:szCs w:val="22"/>
          <w:lang w:val="el-GR"/>
        </w:rPr>
        <w:t>4.4 και</w:t>
      </w:r>
      <w:r w:rsidRPr="0047462D">
        <w:rPr>
          <w:rFonts w:eastAsia="Times New Roman"/>
          <w:sz w:val="22"/>
          <w:szCs w:val="22"/>
          <w:lang w:val="en-GB"/>
        </w:rPr>
        <w:t> </w:t>
      </w:r>
      <w:r w:rsidRPr="0047462D">
        <w:rPr>
          <w:rFonts w:eastAsia="Times New Roman"/>
          <w:sz w:val="22"/>
          <w:szCs w:val="22"/>
          <w:lang w:val="el-GR"/>
        </w:rPr>
        <w:t>5.2).</w:t>
      </w:r>
    </w:p>
    <w:p w14:paraId="29C935F0" w14:textId="77777777" w:rsidR="001C01B6" w:rsidRPr="0047462D" w:rsidRDefault="001C01B6" w:rsidP="001C01B6">
      <w:pPr>
        <w:pStyle w:val="labeltext"/>
        <w:rPr>
          <w:sz w:val="22"/>
          <w:szCs w:val="22"/>
          <w:lang w:val="el-GR"/>
        </w:rPr>
      </w:pPr>
    </w:p>
    <w:p w14:paraId="2727109B" w14:textId="1FFB3BEE" w:rsidR="001C01B6" w:rsidRPr="0047462D" w:rsidRDefault="001C01B6" w:rsidP="001C01B6">
      <w:pPr>
        <w:pStyle w:val="labeltextheading"/>
        <w:rPr>
          <w:rFonts w:eastAsia="Times New Roman"/>
          <w:sz w:val="22"/>
          <w:szCs w:val="22"/>
          <w:lang w:val="el-GR"/>
        </w:rPr>
      </w:pPr>
      <w:r w:rsidRPr="0047462D">
        <w:rPr>
          <w:rFonts w:eastAsia="Times New Roman"/>
          <w:sz w:val="22"/>
          <w:szCs w:val="22"/>
          <w:lang w:val="el-GR"/>
        </w:rPr>
        <w:t>Ηπατική δυσλειτουργία</w:t>
      </w:r>
    </w:p>
    <w:p w14:paraId="26C5C45E" w14:textId="77777777" w:rsidR="004A0709" w:rsidRPr="0047462D" w:rsidRDefault="004A0709" w:rsidP="001C01B6">
      <w:pPr>
        <w:pStyle w:val="labeltextheading"/>
        <w:rPr>
          <w:rFonts w:eastAsia="Times New Roman"/>
          <w:sz w:val="22"/>
          <w:szCs w:val="22"/>
          <w:lang w:val="el-GR"/>
        </w:rPr>
      </w:pPr>
    </w:p>
    <w:p w14:paraId="20B4CAAD" w14:textId="0436EE49" w:rsidR="001C01B6" w:rsidRPr="0047462D" w:rsidRDefault="00C96D00" w:rsidP="001C01B6">
      <w:pPr>
        <w:pStyle w:val="labeltext"/>
        <w:rPr>
          <w:sz w:val="22"/>
          <w:szCs w:val="22"/>
          <w:lang w:val="el-GR"/>
        </w:rPr>
      </w:pPr>
      <w:r w:rsidRPr="0047462D">
        <w:rPr>
          <w:rFonts w:eastAsia="Times New Roman"/>
          <w:sz w:val="22"/>
          <w:szCs w:val="22"/>
          <w:lang w:val="el-GR"/>
        </w:rPr>
        <w:t xml:space="preserve">Δεν απαιτείται ρύθμιση της δόσης σε ασθενείς </w:t>
      </w:r>
      <w:r w:rsidR="00285DF7">
        <w:rPr>
          <w:rFonts w:eastAsia="Times New Roman"/>
          <w:sz w:val="22"/>
          <w:szCs w:val="22"/>
          <w:lang w:val="el-GR"/>
        </w:rPr>
        <w:t>ηλικίας 6 </w:t>
      </w:r>
      <w:r w:rsidR="00D55234">
        <w:rPr>
          <w:rFonts w:eastAsia="Times New Roman"/>
          <w:sz w:val="22"/>
          <w:szCs w:val="22"/>
          <w:lang w:val="el-GR"/>
        </w:rPr>
        <w:t>μηνών</w:t>
      </w:r>
      <w:r w:rsidR="00285DF7" w:rsidRPr="00F93ECE">
        <w:rPr>
          <w:rFonts w:eastAsia="Times New Roman"/>
          <w:sz w:val="22"/>
          <w:szCs w:val="22"/>
          <w:lang w:val="el-GR"/>
        </w:rPr>
        <w:t xml:space="preserve"> </w:t>
      </w:r>
      <w:r w:rsidR="00285DF7">
        <w:rPr>
          <w:rFonts w:eastAsia="Times New Roman"/>
          <w:sz w:val="22"/>
          <w:szCs w:val="22"/>
          <w:lang w:val="el-GR"/>
        </w:rPr>
        <w:t xml:space="preserve">και άνω </w:t>
      </w:r>
      <w:r w:rsidRPr="0047462D">
        <w:rPr>
          <w:rFonts w:eastAsia="Times New Roman"/>
          <w:sz w:val="22"/>
          <w:szCs w:val="22"/>
          <w:lang w:val="el-GR"/>
        </w:rPr>
        <w:t xml:space="preserve">με ήπια ηπατική δυσλειτουργία </w:t>
      </w:r>
      <w:r w:rsidRPr="00F93ECE">
        <w:rPr>
          <w:bCs/>
          <w:sz w:val="22"/>
          <w:szCs w:val="22"/>
          <w:lang w:val="el-GR"/>
        </w:rPr>
        <w:t>(</w:t>
      </w:r>
      <w:r w:rsidRPr="0047462D">
        <w:rPr>
          <w:bCs/>
          <w:sz w:val="22"/>
          <w:szCs w:val="22"/>
          <w:lang w:val="el-GR"/>
        </w:rPr>
        <w:t xml:space="preserve">Τάξη Α κατά </w:t>
      </w:r>
      <w:r w:rsidRPr="0047462D">
        <w:rPr>
          <w:bCs/>
          <w:sz w:val="22"/>
          <w:szCs w:val="22"/>
          <w:lang w:val="en-GB"/>
        </w:rPr>
        <w:t>Child</w:t>
      </w:r>
      <w:r w:rsidRPr="00F93ECE">
        <w:rPr>
          <w:bCs/>
          <w:sz w:val="22"/>
          <w:szCs w:val="22"/>
          <w:lang w:val="el-GR"/>
        </w:rPr>
        <w:noBreakHyphen/>
      </w:r>
      <w:r w:rsidRPr="0047462D">
        <w:rPr>
          <w:bCs/>
          <w:sz w:val="22"/>
          <w:szCs w:val="22"/>
          <w:lang w:val="en-GB"/>
        </w:rPr>
        <w:t>Pugh</w:t>
      </w:r>
      <w:r w:rsidRPr="00F93ECE">
        <w:rPr>
          <w:bCs/>
          <w:sz w:val="22"/>
          <w:szCs w:val="22"/>
          <w:lang w:val="el-GR"/>
        </w:rPr>
        <w:t xml:space="preserve">). </w:t>
      </w:r>
      <w:r w:rsidRPr="0047462D">
        <w:rPr>
          <w:rFonts w:eastAsia="Times New Roman"/>
          <w:sz w:val="22"/>
          <w:szCs w:val="22"/>
          <w:lang w:val="el-GR"/>
        </w:rPr>
        <w:t xml:space="preserve">Για ασθενείς </w:t>
      </w:r>
      <w:r w:rsidR="00D55234">
        <w:rPr>
          <w:rFonts w:eastAsia="Times New Roman"/>
          <w:sz w:val="22"/>
          <w:szCs w:val="22"/>
          <w:lang w:val="el-GR"/>
        </w:rPr>
        <w:t>ηλικίας 6 μηνών</w:t>
      </w:r>
      <w:r w:rsidR="00D55234" w:rsidRPr="00F93ECE">
        <w:rPr>
          <w:rFonts w:eastAsia="Times New Roman"/>
          <w:sz w:val="22"/>
          <w:szCs w:val="22"/>
          <w:lang w:val="el-GR"/>
        </w:rPr>
        <w:t xml:space="preserve"> </w:t>
      </w:r>
      <w:r w:rsidR="00D55234">
        <w:rPr>
          <w:rFonts w:eastAsia="Times New Roman"/>
          <w:sz w:val="22"/>
          <w:szCs w:val="22"/>
          <w:lang w:val="el-GR"/>
        </w:rPr>
        <w:t>και άνω</w:t>
      </w:r>
      <w:r w:rsidR="00D55234" w:rsidRPr="0047462D">
        <w:rPr>
          <w:rFonts w:eastAsia="Times New Roman"/>
          <w:sz w:val="22"/>
          <w:szCs w:val="22"/>
          <w:lang w:val="el-GR"/>
        </w:rPr>
        <w:t xml:space="preserve"> </w:t>
      </w:r>
      <w:r w:rsidRPr="0047462D">
        <w:rPr>
          <w:rFonts w:eastAsia="Times New Roman"/>
          <w:sz w:val="22"/>
          <w:szCs w:val="22"/>
          <w:lang w:val="el-GR"/>
        </w:rPr>
        <w:t>με μέτρια ηπατική δυσλειτουργία (Τάξη Β κατά Child</w:t>
      </w:r>
      <w:r w:rsidRPr="0047462D">
        <w:rPr>
          <w:rFonts w:eastAsia="Times New Roman"/>
          <w:sz w:val="22"/>
          <w:szCs w:val="22"/>
          <w:lang w:val="el-GR"/>
        </w:rPr>
        <w:noBreakHyphen/>
        <w:t>Pugh), συνιστάται μια μειωμένη δόση ενός φακελλίσκου (ivacaftor 25 mg για ασθενείς σωματικού βάρους 5 kg έως &lt;</w:t>
      </w:r>
      <w:r w:rsidRPr="0047462D">
        <w:rPr>
          <w:rFonts w:eastAsia="Times New Roman"/>
          <w:sz w:val="22"/>
          <w:szCs w:val="22"/>
        </w:rPr>
        <w:t> </w:t>
      </w:r>
      <w:r w:rsidRPr="0047462D">
        <w:rPr>
          <w:rFonts w:eastAsia="Times New Roman"/>
          <w:sz w:val="22"/>
          <w:szCs w:val="22"/>
          <w:lang w:val="el-GR"/>
        </w:rPr>
        <w:t>7 kg, ivacaftor 50</w:t>
      </w:r>
      <w:r w:rsidRPr="0047462D">
        <w:rPr>
          <w:rFonts w:eastAsia="Times New Roman"/>
          <w:sz w:val="22"/>
          <w:szCs w:val="22"/>
          <w:lang w:val="en-GB"/>
        </w:rPr>
        <w:t> </w:t>
      </w:r>
      <w:r w:rsidRPr="0047462D">
        <w:rPr>
          <w:rFonts w:eastAsia="Times New Roman"/>
          <w:sz w:val="22"/>
          <w:szCs w:val="22"/>
          <w:lang w:val="el-GR"/>
        </w:rPr>
        <w:t>mg για ασθενείς σωματικού βάρους 7 kg έως &lt;</w:t>
      </w:r>
      <w:r w:rsidRPr="0047462D">
        <w:rPr>
          <w:rFonts w:eastAsia="Times New Roman"/>
          <w:sz w:val="22"/>
          <w:szCs w:val="22"/>
        </w:rPr>
        <w:t> </w:t>
      </w:r>
      <w:r w:rsidRPr="0047462D">
        <w:rPr>
          <w:rFonts w:eastAsia="Times New Roman"/>
          <w:sz w:val="22"/>
          <w:szCs w:val="22"/>
          <w:lang w:val="el-GR"/>
        </w:rPr>
        <w:t>14 kg, ivacaftor 75 mg για ασθενείς σωματικού βάρους 14 kg έως &lt;</w:t>
      </w:r>
      <w:r w:rsidRPr="0047462D">
        <w:rPr>
          <w:rFonts w:eastAsia="Times New Roman"/>
          <w:sz w:val="22"/>
          <w:szCs w:val="22"/>
        </w:rPr>
        <w:t> </w:t>
      </w:r>
      <w:r w:rsidRPr="0047462D">
        <w:rPr>
          <w:rFonts w:eastAsia="Times New Roman"/>
          <w:sz w:val="22"/>
          <w:szCs w:val="22"/>
          <w:lang w:val="el-GR"/>
        </w:rPr>
        <w:t xml:space="preserve">25 kg) άπαξ ημερησίως. </w:t>
      </w:r>
      <w:r w:rsidR="001C01B6" w:rsidRPr="0047462D">
        <w:rPr>
          <w:rFonts w:eastAsia="Times New Roman"/>
          <w:sz w:val="22"/>
          <w:szCs w:val="22"/>
          <w:lang w:val="el-GR"/>
        </w:rPr>
        <w:t xml:space="preserve">Δεν υπάρχει εμπειρία από τη χρήση του </w:t>
      </w:r>
      <w:r w:rsidR="007E11E7" w:rsidRPr="0047462D">
        <w:rPr>
          <w:bCs/>
          <w:iCs/>
          <w:sz w:val="22"/>
          <w:szCs w:val="22"/>
          <w:lang w:val="en-GB"/>
        </w:rPr>
        <w:t>ivacaftor</w:t>
      </w:r>
      <w:r w:rsidR="007E11E7" w:rsidRPr="00F93ECE" w:rsidDel="007E11E7">
        <w:rPr>
          <w:bCs/>
          <w:szCs w:val="22"/>
          <w:lang w:val="el-GR"/>
        </w:rPr>
        <w:t xml:space="preserve"> </w:t>
      </w:r>
      <w:r w:rsidR="001C01B6" w:rsidRPr="0047462D">
        <w:rPr>
          <w:rFonts w:eastAsia="Times New Roman"/>
          <w:sz w:val="22"/>
          <w:szCs w:val="22"/>
          <w:lang w:val="el-GR"/>
        </w:rPr>
        <w:t xml:space="preserve">σε ασθενείς </w:t>
      </w:r>
      <w:r w:rsidR="00D55234">
        <w:rPr>
          <w:rFonts w:eastAsia="Times New Roman"/>
          <w:sz w:val="22"/>
          <w:szCs w:val="22"/>
          <w:lang w:val="el-GR"/>
        </w:rPr>
        <w:t>ηλικίας 6 μηνών</w:t>
      </w:r>
      <w:r w:rsidR="00D55234" w:rsidRPr="00F93ECE">
        <w:rPr>
          <w:rFonts w:eastAsia="Times New Roman"/>
          <w:sz w:val="22"/>
          <w:szCs w:val="22"/>
          <w:lang w:val="el-GR"/>
        </w:rPr>
        <w:t xml:space="preserve"> </w:t>
      </w:r>
      <w:r w:rsidR="00D55234">
        <w:rPr>
          <w:rFonts w:eastAsia="Times New Roman"/>
          <w:sz w:val="22"/>
          <w:szCs w:val="22"/>
          <w:lang w:val="el-GR"/>
        </w:rPr>
        <w:t>και άνω</w:t>
      </w:r>
      <w:r w:rsidR="00D55234" w:rsidRPr="0047462D">
        <w:rPr>
          <w:rFonts w:eastAsia="Times New Roman"/>
          <w:sz w:val="22"/>
          <w:szCs w:val="22"/>
          <w:lang w:val="el-GR"/>
        </w:rPr>
        <w:t xml:space="preserve"> </w:t>
      </w:r>
      <w:r w:rsidR="001C01B6" w:rsidRPr="0047462D">
        <w:rPr>
          <w:rFonts w:eastAsia="Times New Roman"/>
          <w:sz w:val="22"/>
          <w:szCs w:val="22"/>
          <w:lang w:val="el-GR"/>
        </w:rPr>
        <w:t xml:space="preserve">με </w:t>
      </w:r>
      <w:r w:rsidR="00D601FF" w:rsidRPr="0047462D">
        <w:rPr>
          <w:rFonts w:eastAsia="Times New Roman"/>
          <w:sz w:val="22"/>
          <w:szCs w:val="22"/>
          <w:lang w:val="el-GR"/>
        </w:rPr>
        <w:t xml:space="preserve">σοβαρή </w:t>
      </w:r>
      <w:r w:rsidR="001C01B6" w:rsidRPr="0047462D">
        <w:rPr>
          <w:rFonts w:eastAsia="Times New Roman"/>
          <w:sz w:val="22"/>
          <w:szCs w:val="22"/>
          <w:lang w:val="el-GR"/>
        </w:rPr>
        <w:t>ηπατική δυσλειτουργία</w:t>
      </w:r>
      <w:r w:rsidR="00D55234" w:rsidRPr="00F93ECE">
        <w:rPr>
          <w:rFonts w:eastAsia="Times New Roman"/>
          <w:sz w:val="22"/>
          <w:szCs w:val="22"/>
          <w:lang w:val="el-GR"/>
        </w:rPr>
        <w:t xml:space="preserve"> (</w:t>
      </w:r>
      <w:r w:rsidR="00D55234" w:rsidRPr="0047462D">
        <w:rPr>
          <w:rFonts w:eastAsia="Times New Roman"/>
          <w:sz w:val="22"/>
          <w:szCs w:val="22"/>
          <w:lang w:val="el-GR"/>
        </w:rPr>
        <w:t>Τάξη </w:t>
      </w:r>
      <w:r w:rsidR="00D55234">
        <w:rPr>
          <w:rFonts w:eastAsia="Times New Roman"/>
          <w:sz w:val="22"/>
          <w:szCs w:val="22"/>
          <w:lang w:val="el-GR"/>
        </w:rPr>
        <w:t>Γ</w:t>
      </w:r>
      <w:r w:rsidR="00D55234" w:rsidRPr="0047462D">
        <w:rPr>
          <w:rFonts w:eastAsia="Times New Roman"/>
          <w:sz w:val="22"/>
          <w:szCs w:val="22"/>
          <w:lang w:val="el-GR"/>
        </w:rPr>
        <w:t xml:space="preserve"> κατά Child</w:t>
      </w:r>
      <w:r w:rsidR="00D55234" w:rsidRPr="0047462D">
        <w:rPr>
          <w:rFonts w:eastAsia="Times New Roman"/>
          <w:sz w:val="22"/>
          <w:szCs w:val="22"/>
          <w:lang w:val="el-GR"/>
        </w:rPr>
        <w:noBreakHyphen/>
        <w:t>Pugh)</w:t>
      </w:r>
      <w:r w:rsidR="001C01B6" w:rsidRPr="0047462D">
        <w:rPr>
          <w:rFonts w:eastAsia="Times New Roman"/>
          <w:sz w:val="22"/>
          <w:szCs w:val="22"/>
          <w:lang w:val="el-GR"/>
        </w:rPr>
        <w:t>, συνεπώς, δε</w:t>
      </w:r>
      <w:r w:rsidR="007C1D4F" w:rsidRPr="0047462D">
        <w:rPr>
          <w:rFonts w:eastAsia="Times New Roman"/>
          <w:sz w:val="22"/>
          <w:szCs w:val="22"/>
          <w:lang w:val="el-GR"/>
        </w:rPr>
        <w:t>ν</w:t>
      </w:r>
      <w:r w:rsidR="001C01B6" w:rsidRPr="0047462D">
        <w:rPr>
          <w:rFonts w:eastAsia="Times New Roman"/>
          <w:sz w:val="22"/>
          <w:szCs w:val="22"/>
          <w:lang w:val="el-GR"/>
        </w:rPr>
        <w:t xml:space="preserve"> συνιστάται η χρήση του, εκτός εάν τα οφέλη υπερτερούν των κινδύνων. Στις περιπτώσεις αυτές, η δόση έναρξης θα πρέπει να είναι όπως συνιστάται παραπάνω, </w:t>
      </w:r>
      <w:r w:rsidR="00D55234">
        <w:rPr>
          <w:rFonts w:eastAsia="Times New Roman"/>
          <w:sz w:val="22"/>
          <w:szCs w:val="22"/>
          <w:lang w:val="el-GR"/>
        </w:rPr>
        <w:t>χορηγούμενη</w:t>
      </w:r>
      <w:r w:rsidR="001C01B6" w:rsidRPr="0047462D">
        <w:rPr>
          <w:rFonts w:eastAsia="Times New Roman"/>
          <w:sz w:val="22"/>
          <w:szCs w:val="22"/>
          <w:lang w:val="el-GR"/>
        </w:rPr>
        <w:t xml:space="preserve"> κάθε δεύτερη ημέρα. Τα διαστήματα μεταξύ των δόσεων θα πρέπει να τροποποιούνται ανάλογα με την κλινική απόκριση και την </w:t>
      </w:r>
      <w:r w:rsidR="00C21FBF" w:rsidRPr="0047462D">
        <w:rPr>
          <w:rFonts w:eastAsia="Times New Roman"/>
          <w:sz w:val="22"/>
          <w:szCs w:val="22"/>
          <w:lang w:val="el-GR"/>
        </w:rPr>
        <w:t xml:space="preserve">ανεκτικότητα </w:t>
      </w:r>
      <w:r w:rsidR="001C01B6" w:rsidRPr="0047462D">
        <w:rPr>
          <w:rFonts w:eastAsia="Times New Roman"/>
          <w:sz w:val="22"/>
          <w:szCs w:val="22"/>
          <w:lang w:val="el-GR"/>
        </w:rPr>
        <w:t>(βλ. παραγράφους</w:t>
      </w:r>
      <w:r w:rsidR="001C01B6" w:rsidRPr="0047462D">
        <w:rPr>
          <w:rFonts w:eastAsia="Times New Roman"/>
          <w:sz w:val="22"/>
          <w:szCs w:val="22"/>
          <w:lang w:val="en-GB"/>
        </w:rPr>
        <w:t> </w:t>
      </w:r>
      <w:r w:rsidR="001C01B6" w:rsidRPr="0047462D">
        <w:rPr>
          <w:rFonts w:eastAsia="Times New Roman"/>
          <w:sz w:val="22"/>
          <w:szCs w:val="22"/>
          <w:lang w:val="el-GR"/>
        </w:rPr>
        <w:t>4.4 και</w:t>
      </w:r>
      <w:r w:rsidR="001C01B6" w:rsidRPr="0047462D">
        <w:rPr>
          <w:rFonts w:eastAsia="Times New Roman"/>
          <w:sz w:val="22"/>
          <w:szCs w:val="22"/>
          <w:lang w:val="en-GB"/>
        </w:rPr>
        <w:t> </w:t>
      </w:r>
      <w:r w:rsidR="001C01B6" w:rsidRPr="0047462D">
        <w:rPr>
          <w:rFonts w:eastAsia="Times New Roman"/>
          <w:sz w:val="22"/>
          <w:szCs w:val="22"/>
          <w:lang w:val="el-GR"/>
        </w:rPr>
        <w:t>5.2).</w:t>
      </w:r>
    </w:p>
    <w:p w14:paraId="52D00372" w14:textId="615EE1BE" w:rsidR="001C01B6" w:rsidRPr="0081732C" w:rsidRDefault="001C01B6" w:rsidP="001C01B6">
      <w:pPr>
        <w:pStyle w:val="labeltext"/>
        <w:rPr>
          <w:sz w:val="22"/>
          <w:szCs w:val="22"/>
          <w:lang w:val="el-GR"/>
        </w:rPr>
      </w:pPr>
    </w:p>
    <w:p w14:paraId="1D7249C7" w14:textId="694C0EFA" w:rsidR="00D55234" w:rsidRPr="00F93ECE" w:rsidRDefault="00BA15EF" w:rsidP="00D55234">
      <w:pPr>
        <w:pStyle w:val="labeltext"/>
        <w:rPr>
          <w:sz w:val="22"/>
          <w:szCs w:val="22"/>
          <w:lang w:val="el-GR"/>
        </w:rPr>
      </w:pPr>
      <w:r w:rsidRPr="00F93ECE">
        <w:rPr>
          <w:sz w:val="22"/>
          <w:szCs w:val="22"/>
          <w:lang w:val="el-GR"/>
        </w:rPr>
        <w:t>Λόγω της ποικιλομορφίας στην ωρίμανση των ενζύμων του κυτοχρώματος (CYP) που συμμετέχουν στον μεταβολισμό του ivacaftor, η θεραπεία με το ivacaftor δεν συνιστάται</w:t>
      </w:r>
      <w:r w:rsidRPr="0081732C">
        <w:rPr>
          <w:sz w:val="22"/>
          <w:szCs w:val="22"/>
          <w:lang w:val="el-GR"/>
        </w:rPr>
        <w:t xml:space="preserve"> σε ασθενείς ηλικίας </w:t>
      </w:r>
      <w:r w:rsidR="00D55234" w:rsidRPr="00F93ECE">
        <w:rPr>
          <w:sz w:val="22"/>
          <w:szCs w:val="22"/>
          <w:lang w:val="el-GR"/>
        </w:rPr>
        <w:t>4</w:t>
      </w:r>
      <w:r w:rsidRPr="0081732C">
        <w:rPr>
          <w:sz w:val="22"/>
          <w:szCs w:val="22"/>
          <w:lang w:val="el-GR"/>
        </w:rPr>
        <w:t xml:space="preserve"> μηνών έως κάτω των </w:t>
      </w:r>
      <w:r w:rsidR="00D55234" w:rsidRPr="00F93ECE">
        <w:rPr>
          <w:sz w:val="22"/>
          <w:szCs w:val="22"/>
          <w:lang w:val="el-GR"/>
        </w:rPr>
        <w:t>6</w:t>
      </w:r>
      <w:r w:rsidRPr="0081732C">
        <w:rPr>
          <w:sz w:val="22"/>
          <w:szCs w:val="22"/>
          <w:lang w:val="el-GR"/>
        </w:rPr>
        <w:t> μηνών με ηπατική δυσλειτουργία</w:t>
      </w:r>
      <w:r w:rsidR="00D55234" w:rsidRPr="00F93ECE">
        <w:rPr>
          <w:sz w:val="22"/>
          <w:szCs w:val="22"/>
          <w:lang w:val="el-GR"/>
        </w:rPr>
        <w:t xml:space="preserve">, </w:t>
      </w:r>
      <w:r w:rsidRPr="00F93ECE">
        <w:rPr>
          <w:sz w:val="22"/>
          <w:szCs w:val="22"/>
          <w:lang w:val="el-GR"/>
        </w:rPr>
        <w:t>εκτός εάν τα οφέλη υπερτερούν των κινδύνων</w:t>
      </w:r>
      <w:r w:rsidR="00D55234" w:rsidRPr="00F93ECE">
        <w:rPr>
          <w:sz w:val="22"/>
          <w:szCs w:val="22"/>
          <w:lang w:val="el-GR"/>
        </w:rPr>
        <w:t xml:space="preserve">. </w:t>
      </w:r>
      <w:r w:rsidRPr="0081732C">
        <w:rPr>
          <w:sz w:val="22"/>
          <w:szCs w:val="22"/>
          <w:lang w:val="el-GR"/>
        </w:rPr>
        <w:t>Σ</w:t>
      </w:r>
      <w:r w:rsidRPr="00F93ECE">
        <w:rPr>
          <w:sz w:val="22"/>
          <w:szCs w:val="22"/>
          <w:lang w:val="el-GR"/>
        </w:rPr>
        <w:t>τις περιπτώσεις αυτές, η συνιστώμενη δόση είναι ένας φακε</w:t>
      </w:r>
      <w:r w:rsidR="00D73B42" w:rsidRPr="0081732C">
        <w:rPr>
          <w:sz w:val="22"/>
          <w:szCs w:val="22"/>
          <w:lang w:val="el-GR"/>
        </w:rPr>
        <w:t>λ</w:t>
      </w:r>
      <w:r w:rsidRPr="00F93ECE">
        <w:rPr>
          <w:sz w:val="22"/>
          <w:szCs w:val="22"/>
          <w:lang w:val="el-GR"/>
        </w:rPr>
        <w:t xml:space="preserve">λίσκος </w:t>
      </w:r>
      <w:r w:rsidR="00D55234" w:rsidRPr="00F93ECE">
        <w:rPr>
          <w:sz w:val="22"/>
          <w:szCs w:val="22"/>
          <w:lang w:val="el-GR"/>
        </w:rPr>
        <w:t>(ivacaftor 25</w:t>
      </w:r>
      <w:r w:rsidRPr="0081732C">
        <w:rPr>
          <w:sz w:val="22"/>
          <w:szCs w:val="22"/>
          <w:lang w:val="el-GR"/>
        </w:rPr>
        <w:t> </w:t>
      </w:r>
      <w:r w:rsidR="00D55234" w:rsidRPr="00F93ECE">
        <w:rPr>
          <w:sz w:val="22"/>
          <w:szCs w:val="22"/>
          <w:lang w:val="el-GR"/>
        </w:rPr>
        <w:t xml:space="preserve">mg) </w:t>
      </w:r>
      <w:r w:rsidRPr="0081732C">
        <w:rPr>
          <w:sz w:val="22"/>
          <w:szCs w:val="22"/>
          <w:lang w:val="el-GR"/>
        </w:rPr>
        <w:t>άπαξ ημερησίως ή λιγότερο συχνά</w:t>
      </w:r>
      <w:r w:rsidR="00D55234" w:rsidRPr="00F93ECE">
        <w:rPr>
          <w:sz w:val="22"/>
          <w:szCs w:val="22"/>
          <w:lang w:val="el-GR"/>
        </w:rPr>
        <w:t xml:space="preserve">. </w:t>
      </w:r>
      <w:r w:rsidRPr="0081732C">
        <w:rPr>
          <w:rFonts w:eastAsia="Times New Roman"/>
          <w:sz w:val="22"/>
          <w:szCs w:val="22"/>
          <w:lang w:val="el-GR"/>
        </w:rPr>
        <w:t>Τα διαστήματα μεταξύ των δόσεων θα πρέπει να τροποποιούνται ανάλογα με την κλινική απόκριση και την ανεκτικότητα</w:t>
      </w:r>
      <w:r w:rsidR="00D55234" w:rsidRPr="00F93ECE">
        <w:rPr>
          <w:sz w:val="22"/>
          <w:szCs w:val="22"/>
          <w:lang w:val="el-GR"/>
        </w:rPr>
        <w:t xml:space="preserve"> (</w:t>
      </w:r>
      <w:r w:rsidRPr="0081732C">
        <w:rPr>
          <w:sz w:val="22"/>
          <w:szCs w:val="22"/>
          <w:lang w:val="el-GR"/>
        </w:rPr>
        <w:t>βλ. παραγράφους </w:t>
      </w:r>
      <w:r w:rsidR="00D55234" w:rsidRPr="00F93ECE">
        <w:rPr>
          <w:sz w:val="22"/>
          <w:szCs w:val="22"/>
          <w:lang w:val="el-GR"/>
        </w:rPr>
        <w:t xml:space="preserve">4.4 </w:t>
      </w:r>
      <w:r w:rsidRPr="0081732C">
        <w:rPr>
          <w:sz w:val="22"/>
          <w:szCs w:val="22"/>
          <w:lang w:val="el-GR"/>
        </w:rPr>
        <w:t xml:space="preserve">και </w:t>
      </w:r>
      <w:r w:rsidR="00D55234" w:rsidRPr="00F93ECE">
        <w:rPr>
          <w:sz w:val="22"/>
          <w:szCs w:val="22"/>
          <w:lang w:val="el-GR"/>
        </w:rPr>
        <w:t>5.2).</w:t>
      </w:r>
    </w:p>
    <w:p w14:paraId="10072FEF" w14:textId="77777777" w:rsidR="00D55234" w:rsidRPr="0081732C" w:rsidRDefault="00D55234" w:rsidP="001C01B6">
      <w:pPr>
        <w:pStyle w:val="labeltext"/>
        <w:rPr>
          <w:sz w:val="22"/>
          <w:szCs w:val="22"/>
          <w:lang w:val="el-GR"/>
        </w:rPr>
      </w:pPr>
    </w:p>
    <w:p w14:paraId="112119E3" w14:textId="0C0B0977" w:rsidR="001C01B6" w:rsidRPr="0047462D" w:rsidRDefault="00ED7342" w:rsidP="001C01B6">
      <w:pPr>
        <w:keepNext/>
        <w:tabs>
          <w:tab w:val="left" w:pos="567"/>
        </w:tabs>
        <w:suppressAutoHyphens w:val="0"/>
        <w:spacing w:line="260" w:lineRule="exact"/>
        <w:rPr>
          <w:bCs/>
          <w:iCs/>
          <w:szCs w:val="22"/>
          <w:u w:val="single"/>
          <w:lang w:eastAsia="en-US"/>
        </w:rPr>
      </w:pPr>
      <w:r w:rsidRPr="0047462D">
        <w:rPr>
          <w:bCs/>
          <w:iCs/>
          <w:szCs w:val="22"/>
          <w:u w:val="single"/>
          <w:lang w:eastAsia="en-US"/>
        </w:rPr>
        <w:t>Παιδιατρικός πληθυσμός</w:t>
      </w:r>
    </w:p>
    <w:p w14:paraId="1E76E05E" w14:textId="77777777" w:rsidR="004A0709" w:rsidRPr="0047462D" w:rsidRDefault="004A0709" w:rsidP="001C01B6">
      <w:pPr>
        <w:keepNext/>
        <w:tabs>
          <w:tab w:val="left" w:pos="567"/>
        </w:tabs>
        <w:suppressAutoHyphens w:val="0"/>
        <w:spacing w:line="260" w:lineRule="exact"/>
        <w:rPr>
          <w:bCs/>
          <w:i/>
          <w:szCs w:val="22"/>
          <w:lang w:eastAsia="en-US"/>
        </w:rPr>
      </w:pPr>
    </w:p>
    <w:p w14:paraId="3DEADB67" w14:textId="4772106B" w:rsidR="001C01B6" w:rsidRPr="0047462D" w:rsidRDefault="001C01B6" w:rsidP="001C01B6">
      <w:pPr>
        <w:rPr>
          <w:rFonts w:eastAsia="Times New Roman"/>
          <w:szCs w:val="22"/>
        </w:rPr>
      </w:pPr>
      <w:r w:rsidRPr="0047462D">
        <w:rPr>
          <w:rFonts w:eastAsia="Times New Roman"/>
          <w:szCs w:val="22"/>
        </w:rPr>
        <w:t>Η ασφάλεια και</w:t>
      </w:r>
      <w:r w:rsidR="007403AF" w:rsidRPr="0047462D">
        <w:rPr>
          <w:rFonts w:eastAsia="Times New Roman"/>
          <w:szCs w:val="22"/>
        </w:rPr>
        <w:t xml:space="preserve"> η</w:t>
      </w:r>
      <w:r w:rsidRPr="0047462D">
        <w:rPr>
          <w:rFonts w:eastAsia="Times New Roman"/>
          <w:szCs w:val="22"/>
        </w:rPr>
        <w:t xml:space="preserve"> αποτελεσματικότητα του </w:t>
      </w:r>
      <w:r w:rsidR="007160F9" w:rsidRPr="0047462D">
        <w:rPr>
          <w:szCs w:val="22"/>
        </w:rPr>
        <w:t xml:space="preserve">ivacaftor </w:t>
      </w:r>
      <w:r w:rsidRPr="0047462D">
        <w:rPr>
          <w:rFonts w:eastAsia="Times New Roman"/>
          <w:szCs w:val="22"/>
        </w:rPr>
        <w:t xml:space="preserve">σε παιδιά ηλικίας κάτω των </w:t>
      </w:r>
      <w:r w:rsidR="007A0DE5">
        <w:rPr>
          <w:rFonts w:eastAsia="Times New Roman"/>
          <w:szCs w:val="22"/>
        </w:rPr>
        <w:t>4</w:t>
      </w:r>
      <w:r w:rsidRPr="0047462D">
        <w:rPr>
          <w:rFonts w:eastAsia="Times New Roman"/>
          <w:szCs w:val="22"/>
        </w:rPr>
        <w:t> </w:t>
      </w:r>
      <w:r w:rsidR="00D502D5" w:rsidRPr="0047462D">
        <w:rPr>
          <w:rFonts w:eastAsia="Times New Roman"/>
          <w:szCs w:val="22"/>
        </w:rPr>
        <w:t xml:space="preserve">μηνών </w:t>
      </w:r>
      <w:r w:rsidRPr="0047462D">
        <w:rPr>
          <w:rFonts w:eastAsia="Times New Roman"/>
          <w:szCs w:val="22"/>
        </w:rPr>
        <w:t xml:space="preserve">δεν έχουν </w:t>
      </w:r>
      <w:r w:rsidR="00141D20" w:rsidRPr="0047462D">
        <w:rPr>
          <w:rFonts w:eastAsia="Times New Roman"/>
          <w:szCs w:val="22"/>
        </w:rPr>
        <w:t xml:space="preserve">ακόμα </w:t>
      </w:r>
      <w:r w:rsidRPr="0047462D">
        <w:rPr>
          <w:rFonts w:eastAsia="Times New Roman"/>
          <w:szCs w:val="22"/>
        </w:rPr>
        <w:t>τεκμηριωθεί. Δεν υπάρχουν διαθέσιμα δεδομένα.</w:t>
      </w:r>
    </w:p>
    <w:p w14:paraId="01E66547" w14:textId="77777777" w:rsidR="004A0709" w:rsidRPr="0047462D" w:rsidRDefault="004A0709" w:rsidP="001C01B6">
      <w:pPr>
        <w:rPr>
          <w:rFonts w:eastAsia="Times New Roman"/>
          <w:szCs w:val="22"/>
        </w:rPr>
      </w:pPr>
    </w:p>
    <w:p w14:paraId="75EFD242" w14:textId="38F5F381" w:rsidR="001C01B6" w:rsidRPr="0047462D" w:rsidRDefault="004A0709" w:rsidP="001C01B6">
      <w:pPr>
        <w:rPr>
          <w:rFonts w:eastAsia="Times New Roman"/>
          <w:szCs w:val="22"/>
        </w:rPr>
      </w:pPr>
      <w:r w:rsidRPr="0047462D">
        <w:rPr>
          <w:rFonts w:eastAsia="Times New Roman"/>
          <w:szCs w:val="22"/>
        </w:rPr>
        <w:t>Υπάρχουν περιορισμένα δεδομένα σε ασθενείς ηλικίας κάτω των 6</w:t>
      </w:r>
      <w:r w:rsidRPr="0047462D">
        <w:rPr>
          <w:rFonts w:eastAsia="Times New Roman"/>
          <w:szCs w:val="22"/>
          <w:lang w:val="en-US"/>
        </w:rPr>
        <w:t> </w:t>
      </w:r>
      <w:r w:rsidRPr="0047462D">
        <w:rPr>
          <w:rFonts w:eastAsia="Times New Roman"/>
          <w:szCs w:val="22"/>
        </w:rPr>
        <w:t xml:space="preserve">ετών με μια μετάλλαξη </w:t>
      </w:r>
      <w:r w:rsidRPr="0047462D">
        <w:rPr>
          <w:rFonts w:eastAsia="Times New Roman"/>
          <w:i/>
          <w:iCs/>
          <w:szCs w:val="22"/>
        </w:rPr>
        <w:t>R117H</w:t>
      </w:r>
      <w:r w:rsidRPr="0047462D">
        <w:rPr>
          <w:rFonts w:eastAsia="Times New Roman"/>
          <w:szCs w:val="22"/>
        </w:rPr>
        <w:t xml:space="preserve"> στο γονίδιο </w:t>
      </w:r>
      <w:r w:rsidRPr="0047462D">
        <w:rPr>
          <w:rFonts w:eastAsia="Times New Roman"/>
          <w:i/>
          <w:iCs/>
          <w:szCs w:val="22"/>
        </w:rPr>
        <w:t>CFTR</w:t>
      </w:r>
      <w:r w:rsidRPr="0047462D">
        <w:rPr>
          <w:rFonts w:eastAsia="Times New Roman"/>
          <w:szCs w:val="22"/>
        </w:rPr>
        <w:t>. Τα διαθέσιμα δεδομένα σε ασθενείς ηλικίας 6</w:t>
      </w:r>
      <w:r w:rsidRPr="0047462D">
        <w:rPr>
          <w:rFonts w:eastAsia="Times New Roman"/>
          <w:szCs w:val="22"/>
          <w:lang w:val="en-US"/>
        </w:rPr>
        <w:t> </w:t>
      </w:r>
      <w:r w:rsidRPr="0047462D">
        <w:rPr>
          <w:rFonts w:eastAsia="Times New Roman"/>
          <w:szCs w:val="22"/>
        </w:rPr>
        <w:t>ετών και άνω περιγράφονται στις παραγράφους 4.8, 5.1 και 5.2.</w:t>
      </w:r>
    </w:p>
    <w:p w14:paraId="5CE91A1B" w14:textId="77777777" w:rsidR="004A0709" w:rsidRPr="0047462D" w:rsidRDefault="004A0709" w:rsidP="00BB1AF3">
      <w:pPr>
        <w:rPr>
          <w:rFonts w:eastAsia="Times New Roman"/>
          <w:szCs w:val="22"/>
          <w:u w:val="single"/>
        </w:rPr>
      </w:pPr>
    </w:p>
    <w:p w14:paraId="0C6237FF" w14:textId="7EC81561" w:rsidR="001C01B6" w:rsidRPr="0047462D" w:rsidRDefault="001C01B6" w:rsidP="001C01B6">
      <w:pPr>
        <w:keepNext/>
        <w:rPr>
          <w:rFonts w:eastAsia="Times New Roman"/>
          <w:szCs w:val="22"/>
        </w:rPr>
      </w:pPr>
      <w:r w:rsidRPr="0047462D">
        <w:rPr>
          <w:rFonts w:eastAsia="Times New Roman"/>
          <w:szCs w:val="22"/>
          <w:u w:val="single"/>
        </w:rPr>
        <w:t xml:space="preserve">Τρόπος χορήγησης </w:t>
      </w:r>
    </w:p>
    <w:p w14:paraId="2F0AFB98" w14:textId="77777777" w:rsidR="005D5499" w:rsidRPr="0047462D" w:rsidRDefault="005D5499" w:rsidP="009E50D2">
      <w:pPr>
        <w:keepNext/>
        <w:autoSpaceDE w:val="0"/>
        <w:rPr>
          <w:rFonts w:eastAsia="Times New Roman"/>
          <w:szCs w:val="22"/>
        </w:rPr>
      </w:pPr>
    </w:p>
    <w:p w14:paraId="5362B469" w14:textId="77777777" w:rsidR="001C01B6" w:rsidRPr="0047462D" w:rsidRDefault="009D3E55" w:rsidP="001C01B6">
      <w:pPr>
        <w:autoSpaceDE w:val="0"/>
        <w:rPr>
          <w:szCs w:val="22"/>
        </w:rPr>
      </w:pPr>
      <w:r w:rsidRPr="0047462D">
        <w:rPr>
          <w:rFonts w:eastAsia="Times New Roman"/>
          <w:szCs w:val="22"/>
        </w:rPr>
        <w:t xml:space="preserve">Για από </w:t>
      </w:r>
      <w:r w:rsidR="001C01B6" w:rsidRPr="0047462D">
        <w:rPr>
          <w:rFonts w:eastAsia="Times New Roman"/>
          <w:szCs w:val="22"/>
        </w:rPr>
        <w:t xml:space="preserve">στόματος χρήση. </w:t>
      </w:r>
    </w:p>
    <w:p w14:paraId="0CAFF0D9" w14:textId="77777777" w:rsidR="001C01B6" w:rsidRPr="0047462D" w:rsidRDefault="001C01B6" w:rsidP="001C01B6">
      <w:pPr>
        <w:pStyle w:val="labeltext"/>
        <w:suppressAutoHyphens w:val="0"/>
        <w:rPr>
          <w:rFonts w:eastAsia="MS Mincho"/>
          <w:color w:val="000000"/>
          <w:szCs w:val="22"/>
          <w:lang w:val="el-GR" w:eastAsia="ja-JP"/>
        </w:rPr>
      </w:pPr>
    </w:p>
    <w:p w14:paraId="54B759FF" w14:textId="77777777"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Κάθε φακελλίσκος είναι για μία και μόνο χρήση.</w:t>
      </w:r>
    </w:p>
    <w:p w14:paraId="19046913" w14:textId="77777777" w:rsidR="001C01B6" w:rsidRPr="0047462D" w:rsidRDefault="001C01B6" w:rsidP="001C01B6">
      <w:pPr>
        <w:pStyle w:val="labeltext"/>
        <w:rPr>
          <w:rFonts w:eastAsia="Times New Roman"/>
          <w:sz w:val="22"/>
          <w:szCs w:val="22"/>
          <w:lang w:val="el-GR"/>
        </w:rPr>
      </w:pPr>
    </w:p>
    <w:p w14:paraId="593FC4C9" w14:textId="5F3025CA"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Κάθε φακελλίσκος κοκκίων θα πρέπει να αναμειγνύεται με 5</w:t>
      </w:r>
      <w:r w:rsidRPr="0047462D">
        <w:rPr>
          <w:bCs/>
        </w:rPr>
        <w:t> </w:t>
      </w:r>
      <w:r w:rsidR="00966B5F" w:rsidRPr="0047462D">
        <w:rPr>
          <w:rFonts w:eastAsia="Times New Roman"/>
          <w:sz w:val="22"/>
          <w:szCs w:val="22"/>
          <w:lang w:val="el-GR"/>
        </w:rPr>
        <w:t>m</w:t>
      </w:r>
      <w:r w:rsidR="00966B5F" w:rsidRPr="0047462D">
        <w:rPr>
          <w:rFonts w:eastAsia="Times New Roman"/>
          <w:sz w:val="22"/>
          <w:szCs w:val="22"/>
        </w:rPr>
        <w:t>l</w:t>
      </w:r>
      <w:r w:rsidR="00966B5F" w:rsidRPr="0047462D">
        <w:rPr>
          <w:rFonts w:eastAsia="Times New Roman"/>
          <w:sz w:val="22"/>
          <w:szCs w:val="22"/>
          <w:lang w:val="el-GR"/>
        </w:rPr>
        <w:t xml:space="preserve"> </w:t>
      </w:r>
      <w:r w:rsidRPr="0047462D">
        <w:rPr>
          <w:rFonts w:eastAsia="Times New Roman"/>
          <w:sz w:val="22"/>
          <w:szCs w:val="22"/>
          <w:lang w:val="el-GR"/>
        </w:rPr>
        <w:t xml:space="preserve">μαλακής τροφής κατάλληλης για την ηλικία ή υγρού και να καταναλώνεται </w:t>
      </w:r>
      <w:r w:rsidR="00435AC9" w:rsidRPr="0047462D">
        <w:rPr>
          <w:rFonts w:eastAsia="Times New Roman"/>
          <w:sz w:val="22"/>
          <w:szCs w:val="22"/>
          <w:lang w:val="el-GR"/>
        </w:rPr>
        <w:t xml:space="preserve">πλήρως και </w:t>
      </w:r>
      <w:r w:rsidRPr="0047462D">
        <w:rPr>
          <w:rFonts w:eastAsia="Times New Roman"/>
          <w:sz w:val="22"/>
          <w:szCs w:val="22"/>
          <w:lang w:val="el-GR"/>
        </w:rPr>
        <w:t xml:space="preserve">αμέσως. Η τροφή ή το υγρό θα πρέπει να φυλάσσεται σε θερμοκρασία δωματίου ή μικρότερη. Εάν δεν καταναλωθεί αμέσως, έχει </w:t>
      </w:r>
      <w:r w:rsidR="00435AC9" w:rsidRPr="0047462D">
        <w:rPr>
          <w:rFonts w:eastAsia="Times New Roman"/>
          <w:sz w:val="22"/>
          <w:szCs w:val="22"/>
          <w:lang w:val="el-GR"/>
        </w:rPr>
        <w:t xml:space="preserve">καταδειχθεί </w:t>
      </w:r>
      <w:r w:rsidRPr="0047462D">
        <w:rPr>
          <w:rFonts w:eastAsia="Times New Roman"/>
          <w:sz w:val="22"/>
          <w:szCs w:val="22"/>
          <w:lang w:val="el-GR"/>
        </w:rPr>
        <w:t>ότι το μείγμα είναι σταθερό για μία ώρα και, ως εκ τούτου, θα πρέπει να λαμβάνεται κατά τη διάρκεια αυτής της περιόδου. Ένα γεύμα ή σνακ που περιέχει λίπος θα πρέπει να καταναλώνεται λίγο πριν ή αμέσως μετά τη χορήγηση της δόσης.</w:t>
      </w:r>
    </w:p>
    <w:p w14:paraId="7E6D2669" w14:textId="77777777" w:rsidR="001C01B6" w:rsidRPr="0047462D" w:rsidRDefault="001C01B6" w:rsidP="001C01B6">
      <w:pPr>
        <w:pStyle w:val="labeltext"/>
        <w:rPr>
          <w:b/>
          <w:bCs/>
          <w:lang w:val="el-GR"/>
        </w:rPr>
      </w:pPr>
    </w:p>
    <w:p w14:paraId="3C6790B7" w14:textId="7DECA3DF"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Τροφές </w:t>
      </w:r>
      <w:r w:rsidR="00CE2EA2" w:rsidRPr="0047462D">
        <w:rPr>
          <w:rFonts w:eastAsia="Times New Roman"/>
          <w:sz w:val="22"/>
          <w:szCs w:val="22"/>
          <w:lang w:val="el-GR"/>
        </w:rPr>
        <w:t xml:space="preserve">ή ποτά </w:t>
      </w:r>
      <w:r w:rsidRPr="0047462D">
        <w:rPr>
          <w:rFonts w:eastAsia="Times New Roman"/>
          <w:sz w:val="22"/>
          <w:szCs w:val="22"/>
          <w:lang w:val="el-GR"/>
        </w:rPr>
        <w:t>που περιέχουν γκρέιπφρουτ θα πρέπει να αποφεύγονται κατά τη θεραπεία (βλ. παράγραφο</w:t>
      </w:r>
      <w:r w:rsidRPr="0047462D">
        <w:rPr>
          <w:rFonts w:eastAsia="Times New Roman"/>
          <w:sz w:val="22"/>
          <w:szCs w:val="22"/>
          <w:lang w:val="en-GB"/>
        </w:rPr>
        <w:t> </w:t>
      </w:r>
      <w:r w:rsidRPr="0047462D">
        <w:rPr>
          <w:rFonts w:eastAsia="Times New Roman"/>
          <w:sz w:val="22"/>
          <w:szCs w:val="22"/>
          <w:lang w:val="el-GR"/>
        </w:rPr>
        <w:t>4.5).</w:t>
      </w:r>
    </w:p>
    <w:p w14:paraId="6C279F02" w14:textId="77777777" w:rsidR="001C01B6" w:rsidRPr="0047462D" w:rsidRDefault="001C01B6" w:rsidP="001C01B6">
      <w:pPr>
        <w:pStyle w:val="labeltext"/>
        <w:rPr>
          <w:rFonts w:eastAsia="Times New Roman"/>
          <w:sz w:val="22"/>
          <w:szCs w:val="22"/>
          <w:lang w:val="el-GR"/>
        </w:rPr>
      </w:pPr>
    </w:p>
    <w:p w14:paraId="470C0A76"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4.3</w:t>
      </w:r>
      <w:r w:rsidRPr="0047462D">
        <w:rPr>
          <w:rFonts w:eastAsia="Times New Roman"/>
          <w:b/>
          <w:bCs/>
          <w:szCs w:val="22"/>
          <w:lang w:eastAsia="en-US"/>
        </w:rPr>
        <w:tab/>
      </w:r>
      <w:r w:rsidRPr="0047462D">
        <w:rPr>
          <w:rFonts w:eastAsia="Times New Roman"/>
          <w:b/>
          <w:bCs/>
          <w:szCs w:val="22"/>
        </w:rPr>
        <w:t>Αντενδείξεις</w:t>
      </w:r>
    </w:p>
    <w:p w14:paraId="33FA18B9" w14:textId="77777777" w:rsidR="001C01B6" w:rsidRPr="0047462D" w:rsidRDefault="001C01B6" w:rsidP="001C01B6">
      <w:pPr>
        <w:keepNext/>
        <w:rPr>
          <w:szCs w:val="22"/>
          <w:lang w:eastAsia="en-US"/>
        </w:rPr>
      </w:pPr>
    </w:p>
    <w:p w14:paraId="1C935277" w14:textId="77777777" w:rsidR="001C01B6" w:rsidRPr="0047462D" w:rsidRDefault="001C01B6" w:rsidP="001C01B6">
      <w:pPr>
        <w:pStyle w:val="1"/>
        <w:spacing w:after="0"/>
        <w:ind w:left="0"/>
        <w:rPr>
          <w:b/>
          <w:bCs/>
          <w:szCs w:val="22"/>
          <w:lang w:eastAsia="en-US"/>
        </w:rPr>
      </w:pPr>
      <w:r w:rsidRPr="0047462D">
        <w:rPr>
          <w:rFonts w:eastAsia="Times New Roman"/>
          <w:szCs w:val="22"/>
        </w:rPr>
        <w:t>Υπερευαισθησία στη δραστική ουσία ή σε κάποιο από τα έκδοχα που αναφέρονται στην παράγραφο 6.1.</w:t>
      </w:r>
    </w:p>
    <w:p w14:paraId="5ACF703A" w14:textId="77777777" w:rsidR="001C01B6" w:rsidRPr="0047462D" w:rsidRDefault="001C01B6" w:rsidP="001C01B6">
      <w:pPr>
        <w:tabs>
          <w:tab w:val="left" w:pos="567"/>
        </w:tabs>
        <w:suppressAutoHyphens w:val="0"/>
        <w:spacing w:line="260" w:lineRule="exact"/>
        <w:rPr>
          <w:bCs/>
          <w:szCs w:val="22"/>
          <w:lang w:eastAsia="en-US"/>
        </w:rPr>
      </w:pPr>
    </w:p>
    <w:p w14:paraId="63114878" w14:textId="77777777" w:rsidR="001C01B6" w:rsidRPr="0047462D" w:rsidRDefault="001C01B6" w:rsidP="001C01B6">
      <w:pPr>
        <w:keepNext/>
        <w:ind w:left="567" w:hanging="567"/>
        <w:rPr>
          <w:bCs/>
          <w:i/>
          <w:szCs w:val="22"/>
          <w:lang w:eastAsia="en-US"/>
        </w:rPr>
      </w:pPr>
      <w:r w:rsidRPr="0047462D">
        <w:rPr>
          <w:rFonts w:eastAsia="Times New Roman"/>
          <w:b/>
          <w:bCs/>
          <w:szCs w:val="22"/>
          <w:lang w:eastAsia="en-US"/>
        </w:rPr>
        <w:t>4.4</w:t>
      </w:r>
      <w:r w:rsidRPr="0047462D">
        <w:rPr>
          <w:rFonts w:eastAsia="Times New Roman"/>
          <w:b/>
          <w:bCs/>
          <w:szCs w:val="22"/>
          <w:lang w:eastAsia="en-US"/>
        </w:rPr>
        <w:tab/>
      </w:r>
      <w:r w:rsidRPr="0047462D">
        <w:rPr>
          <w:rFonts w:eastAsia="Times New Roman"/>
          <w:b/>
          <w:bCs/>
          <w:szCs w:val="22"/>
        </w:rPr>
        <w:t>Ειδικές προειδοποιήσεις και προφυλάξεις κατά τη χρήση</w:t>
      </w:r>
      <w:r w:rsidRPr="0047462D">
        <w:rPr>
          <w:rFonts w:eastAsia="Times New Roman"/>
          <w:i/>
          <w:iCs/>
          <w:szCs w:val="22"/>
          <w:lang w:eastAsia="en-US"/>
        </w:rPr>
        <w:t xml:space="preserve"> </w:t>
      </w:r>
    </w:p>
    <w:p w14:paraId="291616E9" w14:textId="77777777" w:rsidR="001C01B6" w:rsidRPr="0047462D" w:rsidRDefault="001C01B6" w:rsidP="001C01B6">
      <w:pPr>
        <w:keepNext/>
        <w:ind w:left="567" w:hanging="567"/>
        <w:rPr>
          <w:bCs/>
          <w:i/>
          <w:szCs w:val="22"/>
          <w:lang w:eastAsia="en-US"/>
        </w:rPr>
      </w:pPr>
    </w:p>
    <w:p w14:paraId="4F79B106" w14:textId="3202FC75" w:rsidR="001C01B6" w:rsidRPr="0047462D" w:rsidRDefault="001C01B6" w:rsidP="001C01B6">
      <w:pPr>
        <w:tabs>
          <w:tab w:val="left" w:pos="0"/>
        </w:tabs>
        <w:rPr>
          <w:bCs/>
          <w:szCs w:val="22"/>
          <w:lang w:eastAsia="en-US"/>
        </w:rPr>
      </w:pPr>
      <w:r w:rsidRPr="0047462D">
        <w:rPr>
          <w:rFonts w:eastAsia="Times New Roman"/>
          <w:szCs w:val="22"/>
        </w:rPr>
        <w:t xml:space="preserve">Μόνο ασθενείς με ΚΙ που είχαν μια </w:t>
      </w:r>
      <w:r w:rsidR="006E1907" w:rsidRPr="0047462D">
        <w:rPr>
          <w:szCs w:val="22"/>
        </w:rPr>
        <w:t>«</w:t>
      </w:r>
      <w:r w:rsidRPr="0047462D">
        <w:rPr>
          <w:szCs w:val="22"/>
        </w:rPr>
        <w:t>gating</w:t>
      </w:r>
      <w:r w:rsidR="006E1907" w:rsidRPr="0047462D">
        <w:rPr>
          <w:szCs w:val="22"/>
        </w:rPr>
        <w:t>»</w:t>
      </w:r>
      <w:r w:rsidRPr="0047462D">
        <w:rPr>
          <w:szCs w:val="22"/>
        </w:rPr>
        <w:t xml:space="preserve"> </w:t>
      </w:r>
      <w:r w:rsidRPr="0047462D">
        <w:rPr>
          <w:rFonts w:eastAsia="Times New Roman"/>
          <w:szCs w:val="22"/>
        </w:rPr>
        <w:t xml:space="preserve">μετάλλαξη (ομάδας ΙΙΙ) </w:t>
      </w:r>
      <w:r w:rsidRPr="0047462D">
        <w:rPr>
          <w:rFonts w:eastAsia="Times New Roman"/>
          <w:i/>
          <w:iCs/>
          <w:szCs w:val="22"/>
        </w:rPr>
        <w:t>G551D</w:t>
      </w:r>
      <w:r w:rsidRPr="0047462D">
        <w:rPr>
          <w:i/>
          <w:szCs w:val="22"/>
        </w:rPr>
        <w:t xml:space="preserve">, G1244E, G1349D, G178R, G551S, S1251N, S1255P, S549N </w:t>
      </w:r>
      <w:r w:rsidRPr="0047462D">
        <w:rPr>
          <w:iCs/>
          <w:szCs w:val="22"/>
        </w:rPr>
        <w:t>ή</w:t>
      </w:r>
      <w:r w:rsidRPr="0047462D">
        <w:rPr>
          <w:i/>
          <w:szCs w:val="22"/>
        </w:rPr>
        <w:t xml:space="preserve"> S549R</w:t>
      </w:r>
      <w:r w:rsidRPr="0047462D">
        <w:rPr>
          <w:rFonts w:eastAsia="Times New Roman"/>
          <w:szCs w:val="22"/>
        </w:rPr>
        <w:t xml:space="preserve"> </w:t>
      </w:r>
      <w:r w:rsidR="00582F38" w:rsidRPr="0047462D">
        <w:rPr>
          <w:rFonts w:eastAsia="Times New Roman"/>
          <w:szCs w:val="22"/>
        </w:rPr>
        <w:t xml:space="preserve">ή μετάλλαξη </w:t>
      </w:r>
      <w:r w:rsidR="00582F38" w:rsidRPr="0047462D">
        <w:rPr>
          <w:bCs/>
          <w:i/>
        </w:rPr>
        <w:t>G970R</w:t>
      </w:r>
      <w:r w:rsidR="00582F38" w:rsidRPr="0047462D">
        <w:rPr>
          <w:bCs/>
        </w:rPr>
        <w:t xml:space="preserve"> </w:t>
      </w:r>
      <w:r w:rsidRPr="0047462D">
        <w:rPr>
          <w:rFonts w:eastAsia="Times New Roman"/>
          <w:szCs w:val="22"/>
        </w:rPr>
        <w:t xml:space="preserve">σε τουλάχιστον ένα αλληλόμορφο του γονιδίου </w:t>
      </w:r>
      <w:r w:rsidRPr="0047462D">
        <w:rPr>
          <w:rFonts w:eastAsia="Times New Roman"/>
          <w:i/>
          <w:iCs/>
          <w:szCs w:val="22"/>
        </w:rPr>
        <w:t>CFTR</w:t>
      </w:r>
      <w:r w:rsidRPr="0047462D">
        <w:rPr>
          <w:rFonts w:eastAsia="Times New Roman"/>
          <w:szCs w:val="22"/>
        </w:rPr>
        <w:t xml:space="preserve"> περιελήφθησαν στις μελέτες 1, 2, 5 και 7 (βλ. παράγραφο 5.1).</w:t>
      </w:r>
    </w:p>
    <w:p w14:paraId="0A891EDB" w14:textId="5D8DC45D" w:rsidR="001C01B6" w:rsidRPr="0047462D" w:rsidRDefault="001C01B6" w:rsidP="001C01B6">
      <w:pPr>
        <w:ind w:left="567" w:hanging="567"/>
        <w:rPr>
          <w:bCs/>
          <w:szCs w:val="22"/>
          <w:lang w:eastAsia="en-US"/>
        </w:rPr>
      </w:pPr>
    </w:p>
    <w:p w14:paraId="4B398C72" w14:textId="77777777" w:rsidR="00735E43" w:rsidRPr="0047462D" w:rsidRDefault="00735E43" w:rsidP="00735E43">
      <w:pPr>
        <w:pStyle w:val="labeltextheading"/>
        <w:keepNext w:val="0"/>
        <w:rPr>
          <w:i w:val="0"/>
          <w:iCs w:val="0"/>
          <w:sz w:val="22"/>
          <w:szCs w:val="22"/>
          <w:u w:val="single"/>
          <w:lang w:val="el-GR"/>
        </w:rPr>
      </w:pPr>
      <w:r w:rsidRPr="0047462D">
        <w:rPr>
          <w:i w:val="0"/>
          <w:iCs w:val="0"/>
          <w:sz w:val="22"/>
          <w:szCs w:val="22"/>
          <w:lang w:val="el-GR"/>
        </w:rPr>
        <w:t xml:space="preserve">Στη μελέτη 6, έχουν καταδειχθεί λιγότερες ενδείξεις θετικής επίδρασης του ivacaftor για ασθενείς με μια μετάλλαξη </w:t>
      </w:r>
      <w:r w:rsidRPr="0047462D">
        <w:rPr>
          <w:iCs w:val="0"/>
          <w:sz w:val="22"/>
          <w:szCs w:val="22"/>
          <w:lang w:val="el-GR"/>
        </w:rPr>
        <w:t>R117H-7T</w:t>
      </w:r>
      <w:r w:rsidRPr="0047462D">
        <w:rPr>
          <w:i w:val="0"/>
          <w:iCs w:val="0"/>
          <w:sz w:val="22"/>
          <w:szCs w:val="22"/>
          <w:lang w:val="el-GR"/>
        </w:rPr>
        <w:t xml:space="preserve"> σχετιζόμενη με λιγότερο σοβαρή νόσο (βλ. παράγραφο 5.1).</w:t>
      </w:r>
    </w:p>
    <w:p w14:paraId="22B31501" w14:textId="77777777" w:rsidR="00735E43" w:rsidRPr="0047462D" w:rsidRDefault="00735E43" w:rsidP="001C01B6">
      <w:pPr>
        <w:ind w:left="567" w:hanging="567"/>
        <w:rPr>
          <w:bCs/>
          <w:szCs w:val="22"/>
          <w:lang w:eastAsia="en-US"/>
        </w:rPr>
      </w:pPr>
    </w:p>
    <w:p w14:paraId="49716BB5" w14:textId="77777777" w:rsidR="001C01B6" w:rsidRPr="0047462D" w:rsidRDefault="001C01B6" w:rsidP="001C01B6">
      <w:r w:rsidRPr="0047462D">
        <w:rPr>
          <w:bCs/>
        </w:rPr>
        <w:t xml:space="preserve">Στη μελέτη 5, συμπεριλήφθησαν τέσσερις ασθενείς με τη μετάλλαξη </w:t>
      </w:r>
      <w:r w:rsidRPr="0047462D">
        <w:rPr>
          <w:bCs/>
          <w:i/>
        </w:rPr>
        <w:t>G970R</w:t>
      </w:r>
      <w:r w:rsidRPr="0047462D">
        <w:rPr>
          <w:bCs/>
        </w:rPr>
        <w:t xml:space="preserve">. Σε τρεις από τους τέσσερις ασθενείς η </w:t>
      </w:r>
      <w:r w:rsidR="0012151B" w:rsidRPr="0047462D">
        <w:rPr>
          <w:bCs/>
        </w:rPr>
        <w:t xml:space="preserve">μεταβολή </w:t>
      </w:r>
      <w:r w:rsidRPr="0047462D">
        <w:rPr>
          <w:bCs/>
        </w:rPr>
        <w:t>στη δοκιμασία του χλωρίου ιδρώτα ήταν &lt;</w:t>
      </w:r>
      <w:r w:rsidR="00010245" w:rsidRPr="0047462D">
        <w:rPr>
          <w:bCs/>
        </w:rPr>
        <w:t> </w:t>
      </w:r>
      <w:r w:rsidRPr="0047462D">
        <w:rPr>
          <w:bCs/>
        </w:rPr>
        <w:t>5 mmol/</w:t>
      </w:r>
      <w:r w:rsidR="005E47BA" w:rsidRPr="0047462D">
        <w:rPr>
          <w:bCs/>
        </w:rPr>
        <w:t>l</w:t>
      </w:r>
      <w:r w:rsidRPr="0047462D">
        <w:rPr>
          <w:bCs/>
        </w:rPr>
        <w:t>, και αυτή η ομάδα δεν εμφάνισε κλινικά σημαντική βελτίωση στον FEV</w:t>
      </w:r>
      <w:r w:rsidRPr="0047462D">
        <w:rPr>
          <w:bCs/>
          <w:vertAlign w:val="subscript"/>
        </w:rPr>
        <w:t>1</w:t>
      </w:r>
      <w:r w:rsidRPr="0047462D">
        <w:rPr>
          <w:bCs/>
        </w:rPr>
        <w:t xml:space="preserve"> μετά από 8 εβδομάδες θεραπείας. Δεν μπόρεσε να τεκμηριωθεί η κλινική αποτελεσματικότητα σε ασθενείς με τη μετάλλαξη </w:t>
      </w:r>
      <w:r w:rsidRPr="0047462D">
        <w:rPr>
          <w:bCs/>
          <w:i/>
        </w:rPr>
        <w:t>G970R</w:t>
      </w:r>
      <w:r w:rsidRPr="0047462D">
        <w:rPr>
          <w:bCs/>
        </w:rPr>
        <w:t xml:space="preserve"> του γονιδίου </w:t>
      </w:r>
      <w:r w:rsidRPr="0047462D">
        <w:rPr>
          <w:bCs/>
          <w:i/>
        </w:rPr>
        <w:t>CFTR</w:t>
      </w:r>
      <w:r w:rsidRPr="0047462D">
        <w:rPr>
          <w:bCs/>
        </w:rPr>
        <w:t xml:space="preserve"> (βλ. παράγραφο 5.1).</w:t>
      </w:r>
    </w:p>
    <w:p w14:paraId="1F3DE8C8" w14:textId="77777777" w:rsidR="001C01B6" w:rsidRPr="0047462D" w:rsidRDefault="001C01B6" w:rsidP="001C01B6">
      <w:pPr>
        <w:ind w:left="567" w:hanging="567"/>
        <w:rPr>
          <w:rFonts w:eastAsia="Times New Roman"/>
          <w:szCs w:val="22"/>
          <w:u w:val="single"/>
        </w:rPr>
      </w:pPr>
    </w:p>
    <w:p w14:paraId="2517F4F5" w14:textId="7A579B64" w:rsidR="001C01B6" w:rsidRPr="0047462D" w:rsidRDefault="001C01B6" w:rsidP="001C01B6">
      <w:pPr>
        <w:tabs>
          <w:tab w:val="left" w:pos="567"/>
        </w:tabs>
        <w:rPr>
          <w:szCs w:val="22"/>
          <w:u w:val="single"/>
          <w:lang w:eastAsia="en-US"/>
        </w:rPr>
      </w:pPr>
      <w:r w:rsidRPr="0047462D">
        <w:rPr>
          <w:rFonts w:eastAsia="Times New Roman"/>
          <w:szCs w:val="22"/>
        </w:rPr>
        <w:t xml:space="preserve">Αποτελέσματα σχετικά με την αποτελεσματικότητα από μια μελέτη </w:t>
      </w:r>
      <w:r w:rsidR="007A0DE5">
        <w:rPr>
          <w:rFonts w:eastAsia="Times New Roman"/>
          <w:szCs w:val="22"/>
        </w:rPr>
        <w:t>φ</w:t>
      </w:r>
      <w:r w:rsidRPr="0047462D">
        <w:rPr>
          <w:rFonts w:eastAsia="Times New Roman"/>
          <w:szCs w:val="22"/>
        </w:rPr>
        <w:t xml:space="preserve">άσης 2 σε ασθενείς με ΚΙ, οι οποίοι </w:t>
      </w:r>
      <w:r w:rsidR="00010245" w:rsidRPr="0047462D">
        <w:rPr>
          <w:rFonts w:eastAsia="Times New Roman"/>
          <w:szCs w:val="22"/>
        </w:rPr>
        <w:t xml:space="preserve">ήταν </w:t>
      </w:r>
      <w:r w:rsidRPr="0047462D">
        <w:rPr>
          <w:rFonts w:eastAsia="Times New Roman"/>
          <w:szCs w:val="22"/>
        </w:rPr>
        <w:t xml:space="preserve">ομόζυγοι για τη μετάλλαξη </w:t>
      </w:r>
      <w:r w:rsidRPr="0047462D">
        <w:rPr>
          <w:rFonts w:eastAsia="Times New Roman"/>
          <w:i/>
          <w:iCs/>
          <w:szCs w:val="22"/>
        </w:rPr>
        <w:t xml:space="preserve">F508del </w:t>
      </w:r>
      <w:r w:rsidRPr="0047462D">
        <w:rPr>
          <w:rFonts w:eastAsia="Times New Roman"/>
          <w:szCs w:val="22"/>
        </w:rPr>
        <w:t xml:space="preserve">στο γονίδιο </w:t>
      </w:r>
      <w:r w:rsidRPr="0047462D">
        <w:rPr>
          <w:rFonts w:eastAsia="Times New Roman"/>
          <w:i/>
          <w:iCs/>
          <w:szCs w:val="22"/>
        </w:rPr>
        <w:t>CFTR</w:t>
      </w:r>
      <w:r w:rsidRPr="0047462D">
        <w:rPr>
          <w:rFonts w:eastAsia="Times New Roman"/>
          <w:iCs/>
          <w:szCs w:val="22"/>
        </w:rPr>
        <w:t>,</w:t>
      </w:r>
      <w:r w:rsidRPr="0047462D">
        <w:rPr>
          <w:rFonts w:eastAsia="Times New Roman"/>
          <w:szCs w:val="22"/>
        </w:rPr>
        <w:t xml:space="preserve"> δεν έδειξαν στατιστικά σημαντική διαφορά στον FEV</w:t>
      </w:r>
      <w:r w:rsidRPr="0047462D">
        <w:rPr>
          <w:rFonts w:eastAsia="Times New Roman"/>
          <w:szCs w:val="22"/>
          <w:vertAlign w:val="subscript"/>
        </w:rPr>
        <w:t>1</w:t>
      </w:r>
      <w:r w:rsidRPr="0047462D">
        <w:rPr>
          <w:rFonts w:eastAsia="Times New Roman"/>
          <w:szCs w:val="22"/>
        </w:rPr>
        <w:t xml:space="preserve"> κατά τη διάρκεια των 16 εβδομάδων θεραπείας με ivacaftor σε σύγκριση με εικονικό φάρμακο (βλ. παράγραφο 5.1).</w:t>
      </w:r>
      <w:r w:rsidRPr="0047462D">
        <w:rPr>
          <w:rFonts w:eastAsia="Times New Roman"/>
          <w:szCs w:val="22"/>
          <w:lang w:eastAsia="en-US"/>
        </w:rPr>
        <w:t xml:space="preserve"> </w:t>
      </w:r>
      <w:r w:rsidRPr="0047462D">
        <w:rPr>
          <w:rFonts w:eastAsia="Times New Roman"/>
          <w:szCs w:val="22"/>
        </w:rPr>
        <w:t xml:space="preserve">Ως εκ τούτου, η χρήση </w:t>
      </w:r>
      <w:r w:rsidR="007160F9" w:rsidRPr="0047462D">
        <w:rPr>
          <w:rFonts w:eastAsia="Times New Roman"/>
          <w:szCs w:val="22"/>
        </w:rPr>
        <w:t xml:space="preserve">του </w:t>
      </w:r>
      <w:r w:rsidR="007160F9" w:rsidRPr="0047462D">
        <w:rPr>
          <w:bCs/>
        </w:rPr>
        <w:t>ivacaftor ως</w:t>
      </w:r>
      <w:r w:rsidR="007160F9" w:rsidRPr="0047462D">
        <w:rPr>
          <w:rFonts w:eastAsia="Times New Roman"/>
          <w:szCs w:val="22"/>
        </w:rPr>
        <w:t xml:space="preserve"> </w:t>
      </w:r>
      <w:r w:rsidR="005E7B0D" w:rsidRPr="0047462D">
        <w:rPr>
          <w:rFonts w:eastAsia="Times New Roman"/>
          <w:szCs w:val="22"/>
        </w:rPr>
        <w:t xml:space="preserve">μονοθεραπεία </w:t>
      </w:r>
      <w:r w:rsidRPr="0047462D">
        <w:rPr>
          <w:rFonts w:eastAsia="Times New Roman"/>
          <w:szCs w:val="22"/>
        </w:rPr>
        <w:t>σε αυτούς τους ασθενείς δε</w:t>
      </w:r>
      <w:r w:rsidR="007C1D4F" w:rsidRPr="0047462D">
        <w:rPr>
          <w:rFonts w:eastAsia="Times New Roman"/>
          <w:szCs w:val="22"/>
        </w:rPr>
        <w:t>ν</w:t>
      </w:r>
      <w:r w:rsidRPr="0047462D">
        <w:rPr>
          <w:rFonts w:eastAsia="Times New Roman"/>
          <w:szCs w:val="22"/>
        </w:rPr>
        <w:t xml:space="preserve"> συνιστάται.</w:t>
      </w:r>
    </w:p>
    <w:p w14:paraId="231D2C9A" w14:textId="77777777" w:rsidR="001C01B6" w:rsidRPr="0047462D" w:rsidRDefault="001C01B6" w:rsidP="001C01B6">
      <w:pPr>
        <w:pStyle w:val="labeltextheading"/>
        <w:keepNext w:val="0"/>
        <w:rPr>
          <w:i w:val="0"/>
          <w:iCs w:val="0"/>
          <w:sz w:val="22"/>
          <w:szCs w:val="22"/>
          <w:u w:val="single"/>
          <w:lang w:val="el-GR"/>
        </w:rPr>
      </w:pPr>
    </w:p>
    <w:p w14:paraId="3144E25E" w14:textId="77777777" w:rsidR="001C01B6" w:rsidRPr="0047462D" w:rsidRDefault="001C01B6" w:rsidP="001C01B6">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Επίδραση στις εξετάσεις ηπατικής λειτουργίας</w:t>
      </w:r>
    </w:p>
    <w:p w14:paraId="3AAD027F" w14:textId="77777777" w:rsidR="00483FB0" w:rsidRPr="0047462D" w:rsidRDefault="00483FB0" w:rsidP="001C01B6">
      <w:pPr>
        <w:pStyle w:val="labeltextheading"/>
        <w:rPr>
          <w:rFonts w:eastAsia="Times New Roman"/>
          <w:i w:val="0"/>
          <w:iCs w:val="0"/>
          <w:sz w:val="22"/>
          <w:szCs w:val="22"/>
          <w:lang w:val="el-GR"/>
        </w:rPr>
      </w:pPr>
    </w:p>
    <w:p w14:paraId="1A458D84" w14:textId="65BB560C" w:rsidR="001C01B6" w:rsidRPr="0047462D" w:rsidRDefault="001C01B6" w:rsidP="002C32E8">
      <w:pPr>
        <w:pStyle w:val="labeltextheading"/>
        <w:keepNext w:val="0"/>
        <w:rPr>
          <w:rFonts w:eastAsia="Times New Roman"/>
          <w:i w:val="0"/>
          <w:iCs w:val="0"/>
          <w:sz w:val="22"/>
          <w:szCs w:val="22"/>
          <w:lang w:val="el-GR"/>
        </w:rPr>
      </w:pPr>
      <w:r w:rsidRPr="0047462D">
        <w:rPr>
          <w:rFonts w:eastAsia="Times New Roman"/>
          <w:i w:val="0"/>
          <w:iCs w:val="0"/>
          <w:sz w:val="22"/>
          <w:szCs w:val="22"/>
          <w:lang w:val="el-GR"/>
        </w:rPr>
        <w:t xml:space="preserve">Μέτριες αυξήσεις τρανσαμινασών (τρανσαμινάση της αλανίνης [ALT] ή ασπαρτική τρανσαμινάση [AST]) </w:t>
      </w:r>
      <w:r w:rsidRPr="0047462D">
        <w:rPr>
          <w:bCs/>
          <w:i w:val="0"/>
          <w:sz w:val="22"/>
          <w:szCs w:val="22"/>
          <w:lang w:val="el-GR"/>
        </w:rPr>
        <w:t xml:space="preserve">είναι συχνές σε άτομα με ΚΙ. </w:t>
      </w:r>
      <w:r w:rsidR="00D90BCC" w:rsidRPr="0047462D">
        <w:rPr>
          <w:rFonts w:eastAsia="Times New Roman"/>
          <w:i w:val="0"/>
          <w:iCs w:val="0"/>
          <w:sz w:val="22"/>
          <w:szCs w:val="22"/>
          <w:lang w:val="el-GR"/>
        </w:rPr>
        <w:t xml:space="preserve">Αυξήσεις των </w:t>
      </w:r>
      <w:r w:rsidR="00D8482A" w:rsidRPr="0047462D">
        <w:rPr>
          <w:rFonts w:eastAsia="Times New Roman"/>
          <w:i w:val="0"/>
          <w:iCs w:val="0"/>
          <w:sz w:val="22"/>
          <w:szCs w:val="22"/>
          <w:lang w:val="el-GR"/>
        </w:rPr>
        <w:t>τρανσαμιν</w:t>
      </w:r>
      <w:r w:rsidR="00D90BCC" w:rsidRPr="0047462D">
        <w:rPr>
          <w:rFonts w:eastAsia="Times New Roman"/>
          <w:i w:val="0"/>
          <w:iCs w:val="0"/>
          <w:sz w:val="22"/>
          <w:szCs w:val="22"/>
          <w:lang w:val="el-GR"/>
        </w:rPr>
        <w:t>ασών</w:t>
      </w:r>
      <w:r w:rsidR="00D8482A" w:rsidRPr="0047462D">
        <w:rPr>
          <w:rFonts w:eastAsia="Times New Roman"/>
          <w:i w:val="0"/>
          <w:iCs w:val="0"/>
          <w:sz w:val="22"/>
          <w:szCs w:val="22"/>
          <w:lang w:val="el-GR"/>
        </w:rPr>
        <w:t xml:space="preserve"> έχουν παρατηρηθεί σε μερικούς ασθενείς που έλαβαν ivacaftor </w:t>
      </w:r>
      <w:r w:rsidR="008A7506" w:rsidRPr="0047462D">
        <w:rPr>
          <w:rFonts w:eastAsia="Times New Roman"/>
          <w:i w:val="0"/>
          <w:iCs w:val="0"/>
          <w:sz w:val="22"/>
          <w:szCs w:val="22"/>
          <w:lang w:val="el-GR"/>
        </w:rPr>
        <w:t>ως μονοθεραπεία</w:t>
      </w:r>
      <w:r w:rsidR="00D8482A" w:rsidRPr="0047462D">
        <w:rPr>
          <w:rFonts w:eastAsia="Times New Roman"/>
          <w:i w:val="0"/>
          <w:iCs w:val="0"/>
          <w:sz w:val="22"/>
          <w:szCs w:val="22"/>
          <w:lang w:val="el-GR"/>
        </w:rPr>
        <w:t>.</w:t>
      </w:r>
      <w:r w:rsidR="00D8482A" w:rsidRPr="0047462D">
        <w:rPr>
          <w:rFonts w:eastAsia="Times New Roman"/>
          <w:lang w:val="el-GR" w:eastAsia="es-ES"/>
        </w:rPr>
        <w:t xml:space="preserve"> </w:t>
      </w:r>
      <w:r w:rsidR="00D90BCC" w:rsidRPr="0047462D">
        <w:rPr>
          <w:rFonts w:eastAsia="Times New Roman"/>
          <w:i w:val="0"/>
          <w:iCs w:val="0"/>
          <w:sz w:val="22"/>
          <w:szCs w:val="22"/>
          <w:lang w:val="el-GR"/>
        </w:rPr>
        <w:t>Συνεπώς, συνιστώνται εξετάσεις ηπατικής λειτουργίας γ</w:t>
      </w:r>
      <w:r w:rsidRPr="0047462D">
        <w:rPr>
          <w:rFonts w:eastAsia="Times New Roman"/>
          <w:i w:val="0"/>
          <w:iCs w:val="0"/>
          <w:sz w:val="22"/>
          <w:szCs w:val="22"/>
          <w:lang w:val="el-GR"/>
        </w:rPr>
        <w:t>ια όλους τους ασθενείς</w:t>
      </w:r>
      <w:r w:rsidR="00A02831" w:rsidRPr="0047462D">
        <w:rPr>
          <w:rFonts w:eastAsia="Times New Roman"/>
          <w:i w:val="0"/>
          <w:iCs w:val="0"/>
          <w:sz w:val="22"/>
          <w:szCs w:val="22"/>
          <w:lang w:val="el-GR"/>
        </w:rPr>
        <w:t xml:space="preserve"> </w:t>
      </w:r>
      <w:r w:rsidRPr="0047462D">
        <w:rPr>
          <w:rFonts w:eastAsia="Times New Roman"/>
          <w:i w:val="0"/>
          <w:iCs w:val="0"/>
          <w:sz w:val="22"/>
          <w:szCs w:val="22"/>
          <w:lang w:val="el-GR"/>
        </w:rPr>
        <w:t>πριν από την έναρξη τ</w:t>
      </w:r>
      <w:r w:rsidR="00D90BCC" w:rsidRPr="0047462D">
        <w:rPr>
          <w:rFonts w:eastAsia="Times New Roman"/>
          <w:i w:val="0"/>
          <w:iCs w:val="0"/>
          <w:sz w:val="22"/>
          <w:szCs w:val="22"/>
          <w:lang w:val="el-GR"/>
        </w:rPr>
        <w:t>ου ivacaftor</w:t>
      </w:r>
      <w:r w:rsidRPr="0047462D">
        <w:rPr>
          <w:rFonts w:eastAsia="Times New Roman"/>
          <w:i w:val="0"/>
          <w:iCs w:val="0"/>
          <w:sz w:val="22"/>
          <w:szCs w:val="22"/>
          <w:lang w:val="el-GR"/>
        </w:rPr>
        <w:t xml:space="preserve">, κάθε 3 μήνες κατά το πρώτο έτος της θεραπείας και ετησίως μετέπειτα. Για </w:t>
      </w:r>
      <w:r w:rsidR="00D90BCC" w:rsidRPr="0047462D">
        <w:rPr>
          <w:rFonts w:eastAsia="Times New Roman"/>
          <w:i w:val="0"/>
          <w:iCs w:val="0"/>
          <w:sz w:val="22"/>
          <w:szCs w:val="22"/>
          <w:lang w:val="el-GR"/>
        </w:rPr>
        <w:t xml:space="preserve">όλους τους </w:t>
      </w:r>
      <w:r w:rsidRPr="0047462D">
        <w:rPr>
          <w:rFonts w:eastAsia="Times New Roman"/>
          <w:i w:val="0"/>
          <w:iCs w:val="0"/>
          <w:sz w:val="22"/>
          <w:szCs w:val="22"/>
          <w:lang w:val="el-GR"/>
        </w:rPr>
        <w:t>ασθενείς με ιστορικό αυξήσεων των τρανσαμινασών, θα πρέπει να εξετάζεται το ενδεχόμενο συχνότερης παρακολούθησης</w:t>
      </w:r>
      <w:r w:rsidR="00D90BCC" w:rsidRPr="0047462D">
        <w:rPr>
          <w:rFonts w:eastAsia="Times New Roman"/>
          <w:i w:val="0"/>
          <w:iCs w:val="0"/>
          <w:sz w:val="22"/>
          <w:szCs w:val="22"/>
          <w:lang w:val="el-GR"/>
        </w:rPr>
        <w:t xml:space="preserve"> των εξετάσεων ηπατικής λειτουργίας</w:t>
      </w:r>
      <w:r w:rsidRPr="0047462D">
        <w:rPr>
          <w:rFonts w:eastAsia="Times New Roman"/>
          <w:i w:val="0"/>
          <w:iCs w:val="0"/>
          <w:sz w:val="22"/>
          <w:szCs w:val="22"/>
          <w:lang w:val="el-GR"/>
        </w:rPr>
        <w:t>.</w:t>
      </w:r>
      <w:r w:rsidR="008A7506" w:rsidRPr="0047462D">
        <w:rPr>
          <w:rFonts w:eastAsia="Times New Roman"/>
          <w:i w:val="0"/>
          <w:iCs w:val="0"/>
          <w:sz w:val="22"/>
          <w:szCs w:val="22"/>
          <w:lang w:val="el-GR"/>
        </w:rPr>
        <w:t xml:space="preserve"> Σε περίπτωση </w:t>
      </w:r>
      <w:r w:rsidR="00D90BCC" w:rsidRPr="0047462D">
        <w:rPr>
          <w:rFonts w:eastAsia="Times New Roman"/>
          <w:i w:val="0"/>
          <w:iCs w:val="0"/>
          <w:sz w:val="22"/>
          <w:szCs w:val="22"/>
          <w:lang w:val="el-GR"/>
        </w:rPr>
        <w:t xml:space="preserve">σημαντικών αυξήσεων των τρανσαμινασών (π.χ. ασθενείς με </w:t>
      </w:r>
      <w:r w:rsidR="008A7506" w:rsidRPr="0047462D">
        <w:rPr>
          <w:rFonts w:eastAsia="Times New Roman"/>
          <w:i w:val="0"/>
          <w:iCs w:val="0"/>
          <w:sz w:val="22"/>
          <w:szCs w:val="22"/>
          <w:lang w:val="el-GR"/>
        </w:rPr>
        <w:t>ALT ή AST &gt;</w:t>
      </w:r>
      <w:r w:rsidR="00B10DF7" w:rsidRPr="0047462D">
        <w:rPr>
          <w:rFonts w:eastAsia="Times New Roman"/>
          <w:i w:val="0"/>
          <w:iCs w:val="0"/>
          <w:sz w:val="22"/>
          <w:szCs w:val="22"/>
          <w:lang w:val="el-GR"/>
        </w:rPr>
        <w:t> </w:t>
      </w:r>
      <w:r w:rsidR="008A7506" w:rsidRPr="0047462D">
        <w:rPr>
          <w:rFonts w:eastAsia="Times New Roman"/>
          <w:i w:val="0"/>
          <w:iCs w:val="0"/>
          <w:sz w:val="22"/>
          <w:szCs w:val="22"/>
          <w:lang w:val="el-GR"/>
        </w:rPr>
        <w:t>5 x το ανώτερο φυσιολογικό όριο [ULN] ή ALT ή AST &gt;</w:t>
      </w:r>
      <w:r w:rsidR="00B10DF7" w:rsidRPr="0047462D">
        <w:rPr>
          <w:rFonts w:eastAsia="Times New Roman"/>
          <w:i w:val="0"/>
          <w:iCs w:val="0"/>
          <w:sz w:val="22"/>
          <w:szCs w:val="22"/>
          <w:lang w:val="el-GR"/>
        </w:rPr>
        <w:t> </w:t>
      </w:r>
      <w:r w:rsidR="008A7506" w:rsidRPr="0047462D">
        <w:rPr>
          <w:rFonts w:eastAsia="Times New Roman"/>
          <w:i w:val="0"/>
          <w:iCs w:val="0"/>
          <w:sz w:val="22"/>
          <w:szCs w:val="22"/>
          <w:lang w:val="el-GR"/>
        </w:rPr>
        <w:t>3</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x</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ULN με χολερυθρίνη &gt;</w:t>
      </w:r>
      <w:r w:rsidR="00B10DF7" w:rsidRPr="0047462D">
        <w:rPr>
          <w:rFonts w:eastAsia="Times New Roman"/>
          <w:i w:val="0"/>
          <w:iCs w:val="0"/>
          <w:sz w:val="22"/>
          <w:szCs w:val="22"/>
          <w:lang w:val="el-GR"/>
        </w:rPr>
        <w:t> </w:t>
      </w:r>
      <w:r w:rsidR="008A7506" w:rsidRPr="0047462D">
        <w:rPr>
          <w:rFonts w:eastAsia="Times New Roman"/>
          <w:i w:val="0"/>
          <w:iCs w:val="0"/>
          <w:sz w:val="22"/>
          <w:szCs w:val="22"/>
          <w:lang w:val="el-GR"/>
        </w:rPr>
        <w:t>2</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x</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ULN</w:t>
      </w:r>
      <w:r w:rsidR="00D90BCC" w:rsidRPr="0047462D">
        <w:rPr>
          <w:rFonts w:eastAsia="Times New Roman"/>
          <w:i w:val="0"/>
          <w:iCs w:val="0"/>
          <w:sz w:val="22"/>
          <w:szCs w:val="22"/>
          <w:lang w:val="el-GR"/>
        </w:rPr>
        <w:t>)</w:t>
      </w:r>
      <w:r w:rsidR="008A7506" w:rsidRPr="0047462D">
        <w:rPr>
          <w:rFonts w:eastAsia="Times New Roman"/>
          <w:i w:val="0"/>
          <w:iCs w:val="0"/>
          <w:sz w:val="22"/>
          <w:szCs w:val="22"/>
          <w:lang w:val="el-GR"/>
        </w:rPr>
        <w:t xml:space="preserve">, η χορήγηση δόσης πρέπει να διακόπτεται </w:t>
      </w:r>
      <w:r w:rsidR="00B10DF7" w:rsidRPr="0047462D">
        <w:rPr>
          <w:rFonts w:eastAsia="Times New Roman"/>
          <w:i w:val="0"/>
          <w:iCs w:val="0"/>
          <w:sz w:val="22"/>
          <w:szCs w:val="22"/>
          <w:lang w:val="el-GR"/>
        </w:rPr>
        <w:t xml:space="preserve">προσωρινά </w:t>
      </w:r>
      <w:r w:rsidR="008A7506" w:rsidRPr="0047462D">
        <w:rPr>
          <w:rFonts w:eastAsia="Times New Roman"/>
          <w:i w:val="0"/>
          <w:iCs w:val="0"/>
          <w:sz w:val="22"/>
          <w:szCs w:val="22"/>
          <w:lang w:val="el-GR"/>
        </w:rPr>
        <w:t>και να παρακολουθούνται στενά οι εργαστηριακές εξετάσεις έως ότου αποκατασταθούν οι μη φυσιολογικές τιμές. Μετά την αποκατάσταση των αυξήσεων των τρανσαμινασών, θα πρέπει να λαμβάνονται υπόψη τα οφέλη και οι κίνδυνοι για τη συνέχιση της θεραπείας (βλ. παράγραφο 4.8).</w:t>
      </w:r>
    </w:p>
    <w:p w14:paraId="7952D073" w14:textId="77777777" w:rsidR="001C01B6" w:rsidRPr="0047462D" w:rsidRDefault="001C01B6" w:rsidP="001C01B6">
      <w:pPr>
        <w:rPr>
          <w:bCs/>
          <w:szCs w:val="22"/>
        </w:rPr>
      </w:pPr>
    </w:p>
    <w:p w14:paraId="7913C143" w14:textId="77777777" w:rsidR="002A61C2" w:rsidRPr="0047462D" w:rsidRDefault="002A61C2" w:rsidP="002A61C2">
      <w:pPr>
        <w:keepNext/>
        <w:rPr>
          <w:rFonts w:eastAsia="Times New Roman"/>
          <w:szCs w:val="22"/>
          <w:u w:val="single"/>
        </w:rPr>
      </w:pPr>
      <w:r w:rsidRPr="0047462D">
        <w:rPr>
          <w:rFonts w:eastAsia="Times New Roman"/>
          <w:szCs w:val="22"/>
          <w:u w:val="single"/>
        </w:rPr>
        <w:t>Ηπατική δυσλειτουργία</w:t>
      </w:r>
    </w:p>
    <w:p w14:paraId="05EA205A" w14:textId="77777777" w:rsidR="00483FB0" w:rsidRPr="0047462D" w:rsidRDefault="00483FB0" w:rsidP="002A61C2">
      <w:pPr>
        <w:keepNext/>
        <w:rPr>
          <w:rFonts w:eastAsia="Times New Roman"/>
          <w:szCs w:val="22"/>
        </w:rPr>
      </w:pPr>
    </w:p>
    <w:p w14:paraId="01E7DDAA" w14:textId="0DF1556D" w:rsidR="002A61C2" w:rsidRPr="0047462D" w:rsidRDefault="002A61C2" w:rsidP="002A61C2">
      <w:pPr>
        <w:rPr>
          <w:szCs w:val="22"/>
          <w:u w:val="single"/>
        </w:rPr>
      </w:pPr>
      <w:r w:rsidRPr="0047462D">
        <w:rPr>
          <w:rFonts w:eastAsia="Times New Roman"/>
          <w:szCs w:val="22"/>
        </w:rPr>
        <w:t xml:space="preserve">Η χρήση του </w:t>
      </w:r>
      <w:r w:rsidRPr="0047462D">
        <w:rPr>
          <w:szCs w:val="22"/>
        </w:rPr>
        <w:t>ivacaftor</w:t>
      </w:r>
      <w:r w:rsidRPr="0047462D">
        <w:rPr>
          <w:rFonts w:eastAsia="Times New Roman"/>
          <w:szCs w:val="22"/>
        </w:rPr>
        <w:t xml:space="preserve"> δεν συνιστάται σε ασθενείς με </w:t>
      </w:r>
      <w:r w:rsidR="00AF5698" w:rsidRPr="0047462D">
        <w:rPr>
          <w:rFonts w:eastAsia="Times New Roman"/>
          <w:szCs w:val="22"/>
        </w:rPr>
        <w:t xml:space="preserve">σοβαρή </w:t>
      </w:r>
      <w:r w:rsidRPr="0047462D">
        <w:rPr>
          <w:rFonts w:eastAsia="Times New Roman"/>
          <w:szCs w:val="22"/>
        </w:rPr>
        <w:t>ηπατική δυσλειτουργία εκτός εάν τα οφέλη αναμένεται να αντισταθμίσουν τους κινδύνους</w:t>
      </w:r>
      <w:r w:rsidR="008A7506" w:rsidRPr="0047462D">
        <w:rPr>
          <w:rFonts w:eastAsia="Times New Roman"/>
          <w:szCs w:val="22"/>
        </w:rPr>
        <w:t xml:space="preserve"> (βλ. παραγράφους 4.2 και 5.2)</w:t>
      </w:r>
      <w:r w:rsidRPr="0047462D">
        <w:rPr>
          <w:rFonts w:eastAsia="Times New Roman"/>
          <w:szCs w:val="22"/>
        </w:rPr>
        <w:t>.</w:t>
      </w:r>
      <w:r w:rsidR="00016E90" w:rsidRPr="0047462D">
        <w:rPr>
          <w:rFonts w:eastAsia="Times New Roman"/>
          <w:szCs w:val="22"/>
        </w:rPr>
        <w:t xml:space="preserve"> Δεν υπάρχουν διαθέσιμα δεδομένα για την ασφάλεια σε βρέφη ηλικίας </w:t>
      </w:r>
      <w:r w:rsidR="007A0DE5">
        <w:rPr>
          <w:rFonts w:eastAsia="Times New Roman"/>
          <w:szCs w:val="22"/>
        </w:rPr>
        <w:t>4</w:t>
      </w:r>
      <w:r w:rsidR="007A0DE5" w:rsidRPr="0047462D">
        <w:rPr>
          <w:rFonts w:eastAsia="Times New Roman"/>
          <w:szCs w:val="22"/>
        </w:rPr>
        <w:t xml:space="preserve"> </w:t>
      </w:r>
      <w:r w:rsidR="00016E90" w:rsidRPr="0047462D">
        <w:rPr>
          <w:rFonts w:eastAsia="Times New Roman"/>
          <w:szCs w:val="22"/>
        </w:rPr>
        <w:t xml:space="preserve">έως κάτω των 12 μηνών με μέτρια ή </w:t>
      </w:r>
      <w:r w:rsidR="006C2CA5" w:rsidRPr="0047462D">
        <w:rPr>
          <w:rFonts w:eastAsia="Times New Roman"/>
          <w:szCs w:val="22"/>
        </w:rPr>
        <w:t xml:space="preserve">σοβαρή </w:t>
      </w:r>
      <w:r w:rsidR="00016E90" w:rsidRPr="0047462D">
        <w:rPr>
          <w:rFonts w:eastAsia="Times New Roman"/>
          <w:szCs w:val="22"/>
        </w:rPr>
        <w:t>ηπατική δυσλειτουργία που έλαβαν θεραπεία με ivacaftor.</w:t>
      </w:r>
    </w:p>
    <w:p w14:paraId="372F6261" w14:textId="77777777" w:rsidR="002A61C2" w:rsidRPr="0047462D" w:rsidRDefault="002A61C2" w:rsidP="002A61C2">
      <w:pPr>
        <w:rPr>
          <w:szCs w:val="22"/>
        </w:rPr>
      </w:pPr>
    </w:p>
    <w:p w14:paraId="2FDDEFBE" w14:textId="77777777" w:rsidR="001C01B6" w:rsidRPr="0047462D" w:rsidRDefault="001C01B6" w:rsidP="001C01B6">
      <w:pPr>
        <w:keepNext/>
        <w:rPr>
          <w:rFonts w:eastAsia="Times New Roman"/>
          <w:szCs w:val="22"/>
          <w:u w:val="single"/>
        </w:rPr>
      </w:pPr>
      <w:r w:rsidRPr="0047462D">
        <w:rPr>
          <w:rFonts w:eastAsia="Times New Roman"/>
          <w:szCs w:val="22"/>
          <w:u w:val="single"/>
        </w:rPr>
        <w:t>Νεφρική δυσλειτουργία</w:t>
      </w:r>
    </w:p>
    <w:p w14:paraId="704327F5" w14:textId="77777777" w:rsidR="00483FB0" w:rsidRPr="0047462D" w:rsidRDefault="00483FB0" w:rsidP="001C01B6">
      <w:pPr>
        <w:keepNext/>
        <w:rPr>
          <w:rFonts w:eastAsia="Times New Roman"/>
          <w:szCs w:val="22"/>
        </w:rPr>
      </w:pPr>
    </w:p>
    <w:p w14:paraId="5B60DD56" w14:textId="493B569B" w:rsidR="001C01B6" w:rsidRPr="0047462D" w:rsidRDefault="001C01B6" w:rsidP="001C01B6">
      <w:pPr>
        <w:pStyle w:val="labeltext"/>
        <w:rPr>
          <w:szCs w:val="22"/>
          <w:lang w:val="el-GR"/>
        </w:rPr>
      </w:pPr>
      <w:r w:rsidRPr="0047462D">
        <w:rPr>
          <w:rFonts w:eastAsia="Times New Roman"/>
          <w:sz w:val="22"/>
          <w:szCs w:val="22"/>
          <w:lang w:val="el-GR"/>
        </w:rPr>
        <w:t xml:space="preserve">Συνιστάται προσοχή κατά τη χρήση του </w:t>
      </w:r>
      <w:r w:rsidRPr="0047462D">
        <w:rPr>
          <w:sz w:val="22"/>
          <w:szCs w:val="22"/>
          <w:lang w:val="en-GB"/>
        </w:rPr>
        <w:t>ivacaftor</w:t>
      </w:r>
      <w:r w:rsidRPr="0047462D">
        <w:rPr>
          <w:rFonts w:eastAsia="Times New Roman"/>
          <w:sz w:val="22"/>
          <w:szCs w:val="22"/>
          <w:lang w:val="el-GR"/>
        </w:rPr>
        <w:t xml:space="preserve"> σε ασθενείς με </w:t>
      </w:r>
      <w:r w:rsidR="00E54BEC" w:rsidRPr="0047462D">
        <w:rPr>
          <w:rFonts w:eastAsia="Times New Roman"/>
          <w:sz w:val="22"/>
          <w:szCs w:val="22"/>
          <w:lang w:val="el-GR"/>
        </w:rPr>
        <w:t xml:space="preserve">σοβαρή </w:t>
      </w:r>
      <w:r w:rsidRPr="0047462D">
        <w:rPr>
          <w:rFonts w:eastAsia="Times New Roman"/>
          <w:sz w:val="22"/>
          <w:szCs w:val="22"/>
          <w:lang w:val="el-GR"/>
        </w:rPr>
        <w:t xml:space="preserve">νεφρική δυσλειτουργία ή νεφρική νόσο τελικού σταδίου </w:t>
      </w:r>
      <w:r w:rsidRPr="0047462D">
        <w:rPr>
          <w:bCs/>
          <w:sz w:val="22"/>
          <w:szCs w:val="22"/>
          <w:lang w:val="el-GR"/>
        </w:rPr>
        <w:t>(βλ. παραγράφους</w:t>
      </w:r>
      <w:r w:rsidRPr="0047462D">
        <w:rPr>
          <w:bCs/>
          <w:sz w:val="22"/>
          <w:szCs w:val="22"/>
        </w:rPr>
        <w:t> </w:t>
      </w:r>
      <w:r w:rsidRPr="0047462D">
        <w:rPr>
          <w:bCs/>
          <w:sz w:val="22"/>
          <w:szCs w:val="22"/>
          <w:lang w:val="el-GR"/>
        </w:rPr>
        <w:t>4.2 και 5.2)</w:t>
      </w:r>
      <w:r w:rsidRPr="0047462D">
        <w:rPr>
          <w:rFonts w:eastAsia="Times New Roman"/>
          <w:sz w:val="22"/>
          <w:szCs w:val="22"/>
          <w:lang w:val="el-GR"/>
        </w:rPr>
        <w:t xml:space="preserve">. </w:t>
      </w:r>
    </w:p>
    <w:p w14:paraId="2E18057C" w14:textId="77777777" w:rsidR="001C01B6" w:rsidRPr="0047462D" w:rsidRDefault="001C01B6" w:rsidP="001C01B6">
      <w:pPr>
        <w:rPr>
          <w:szCs w:val="22"/>
        </w:rPr>
      </w:pPr>
    </w:p>
    <w:p w14:paraId="6A972655" w14:textId="77777777" w:rsidR="001C01B6" w:rsidRPr="0047462D" w:rsidRDefault="001C01B6" w:rsidP="001C01B6">
      <w:pPr>
        <w:keepNext/>
        <w:rPr>
          <w:rFonts w:eastAsia="Times New Roman"/>
          <w:szCs w:val="22"/>
          <w:u w:val="single"/>
        </w:rPr>
      </w:pPr>
      <w:r w:rsidRPr="0047462D">
        <w:rPr>
          <w:rFonts w:eastAsia="Times New Roman"/>
          <w:szCs w:val="22"/>
          <w:u w:val="single"/>
        </w:rPr>
        <w:t>Ασθενείς μετά από μεταμόσχευση οργάνου</w:t>
      </w:r>
    </w:p>
    <w:p w14:paraId="43A6853D" w14:textId="77777777" w:rsidR="00483FB0" w:rsidRPr="0047462D" w:rsidRDefault="00483FB0" w:rsidP="001C01B6">
      <w:pPr>
        <w:keepNext/>
        <w:rPr>
          <w:rFonts w:eastAsia="Times New Roman"/>
          <w:szCs w:val="22"/>
        </w:rPr>
      </w:pPr>
    </w:p>
    <w:p w14:paraId="66524063" w14:textId="77777777" w:rsidR="001C01B6" w:rsidRPr="0047462D" w:rsidRDefault="001C01B6" w:rsidP="001C01B6">
      <w:pPr>
        <w:rPr>
          <w:rFonts w:eastAsia="Times New Roman"/>
          <w:szCs w:val="22"/>
        </w:rPr>
      </w:pPr>
      <w:r w:rsidRPr="0047462D">
        <w:rPr>
          <w:rFonts w:eastAsia="Times New Roman"/>
          <w:szCs w:val="22"/>
        </w:rPr>
        <w:t xml:space="preserve">Το </w:t>
      </w:r>
      <w:r w:rsidRPr="0047462D">
        <w:rPr>
          <w:szCs w:val="22"/>
        </w:rPr>
        <w:t>ivacaftor</w:t>
      </w:r>
      <w:r w:rsidRPr="0047462D">
        <w:rPr>
          <w:rFonts w:eastAsia="Times New Roman"/>
          <w:szCs w:val="22"/>
        </w:rPr>
        <w:t xml:space="preserve"> δεν έχει μελετηθεί σε ασθενείς με ΚΙ που έχουν υποβληθεί σε μεταμόσχευση οργάνου. Συνεπώς, η χρήση σε ασθενείς που έχουν υποβληθεί σε μεταμόσχευση δε</w:t>
      </w:r>
      <w:r w:rsidR="007C1D4F" w:rsidRPr="0047462D">
        <w:rPr>
          <w:rFonts w:eastAsia="Times New Roman"/>
          <w:szCs w:val="22"/>
        </w:rPr>
        <w:t>ν</w:t>
      </w:r>
      <w:r w:rsidRPr="0047462D">
        <w:rPr>
          <w:rFonts w:eastAsia="Times New Roman"/>
          <w:szCs w:val="22"/>
        </w:rPr>
        <w:t xml:space="preserve"> συνιστάται. Βλ. παράγραφο 4.5 για αλληλεπιδράσεις με κυκλοσπορίνη ή τακρόλιμους. </w:t>
      </w:r>
    </w:p>
    <w:p w14:paraId="7C7CFDE3" w14:textId="77777777" w:rsidR="001C01B6" w:rsidRPr="0047462D" w:rsidRDefault="001C01B6" w:rsidP="001C01B6">
      <w:pPr>
        <w:rPr>
          <w:rFonts w:eastAsia="Times New Roman"/>
          <w:szCs w:val="22"/>
          <w:u w:val="single"/>
        </w:rPr>
      </w:pPr>
      <w:r w:rsidRPr="0047462D">
        <w:rPr>
          <w:rFonts w:eastAsia="Times New Roman"/>
          <w:szCs w:val="22"/>
        </w:rPr>
        <w:t xml:space="preserve"> </w:t>
      </w:r>
    </w:p>
    <w:p w14:paraId="6224EB31" w14:textId="77777777" w:rsidR="001C01B6" w:rsidRPr="0047462D" w:rsidRDefault="001C01B6" w:rsidP="001C01B6">
      <w:pPr>
        <w:keepNext/>
        <w:rPr>
          <w:rFonts w:eastAsia="Times New Roman"/>
          <w:szCs w:val="22"/>
          <w:u w:val="single"/>
        </w:rPr>
      </w:pPr>
      <w:r w:rsidRPr="0047462D">
        <w:rPr>
          <w:rFonts w:eastAsia="Times New Roman"/>
          <w:szCs w:val="22"/>
          <w:u w:val="single"/>
        </w:rPr>
        <w:t>Αλληλεπιδράσεις με φαρμακευτικά προϊόντα</w:t>
      </w:r>
    </w:p>
    <w:p w14:paraId="3D5FAF36" w14:textId="77777777" w:rsidR="00483FB0" w:rsidRPr="0047462D" w:rsidRDefault="00483FB0" w:rsidP="001C01B6">
      <w:pPr>
        <w:keepNext/>
        <w:rPr>
          <w:rFonts w:eastAsia="Times New Roman"/>
          <w:szCs w:val="22"/>
        </w:rPr>
      </w:pPr>
    </w:p>
    <w:p w14:paraId="1AD1807D" w14:textId="48A33737" w:rsidR="000375A7" w:rsidRPr="0047462D" w:rsidRDefault="000375A7" w:rsidP="002A61C2">
      <w:pPr>
        <w:pStyle w:val="labeltext"/>
        <w:rPr>
          <w:bCs/>
          <w:sz w:val="22"/>
          <w:szCs w:val="22"/>
          <w:lang w:val="el-GR"/>
        </w:rPr>
      </w:pPr>
      <w:r w:rsidRPr="0047462D">
        <w:rPr>
          <w:bCs/>
          <w:i/>
          <w:sz w:val="22"/>
          <w:szCs w:val="22"/>
          <w:lang w:val="el-GR"/>
        </w:rPr>
        <w:t xml:space="preserve">Επαγωγείς του </w:t>
      </w:r>
      <w:r w:rsidRPr="0047462D">
        <w:rPr>
          <w:bCs/>
          <w:i/>
          <w:sz w:val="22"/>
          <w:szCs w:val="22"/>
        </w:rPr>
        <w:t>CYP</w:t>
      </w:r>
      <w:r w:rsidRPr="0047462D">
        <w:rPr>
          <w:bCs/>
          <w:i/>
          <w:sz w:val="22"/>
          <w:szCs w:val="22"/>
          <w:lang w:val="el-GR"/>
        </w:rPr>
        <w:t>3</w:t>
      </w:r>
      <w:r w:rsidRPr="0047462D">
        <w:rPr>
          <w:bCs/>
          <w:i/>
          <w:sz w:val="22"/>
          <w:szCs w:val="22"/>
        </w:rPr>
        <w:t>A</w:t>
      </w:r>
    </w:p>
    <w:p w14:paraId="69B2EEFC" w14:textId="77777777" w:rsidR="00735E43" w:rsidRPr="0047462D" w:rsidRDefault="00735E43" w:rsidP="002A61C2">
      <w:pPr>
        <w:pStyle w:val="labeltext"/>
        <w:rPr>
          <w:bCs/>
          <w:sz w:val="22"/>
          <w:szCs w:val="22"/>
          <w:lang w:val="el-GR"/>
        </w:rPr>
      </w:pPr>
    </w:p>
    <w:p w14:paraId="723AF507" w14:textId="3BE038FD" w:rsidR="000375A7" w:rsidRPr="0047462D" w:rsidRDefault="002A61C2" w:rsidP="002A61C2">
      <w:pPr>
        <w:pStyle w:val="labeltext"/>
        <w:rPr>
          <w:rFonts w:eastAsia="Times New Roman"/>
          <w:sz w:val="22"/>
          <w:szCs w:val="22"/>
          <w:lang w:val="el-GR"/>
        </w:rPr>
      </w:pPr>
      <w:r w:rsidRPr="0047462D">
        <w:rPr>
          <w:bCs/>
          <w:sz w:val="22"/>
          <w:szCs w:val="22"/>
          <w:lang w:val="el-GR"/>
        </w:rPr>
        <w:t xml:space="preserve">Η έκθεση </w:t>
      </w:r>
      <w:r w:rsidR="00B10DF7" w:rsidRPr="0047462D">
        <w:rPr>
          <w:bCs/>
          <w:sz w:val="22"/>
          <w:szCs w:val="22"/>
          <w:lang w:val="el-GR"/>
        </w:rPr>
        <w:t xml:space="preserve">στο </w:t>
      </w:r>
      <w:r w:rsidRPr="0047462D">
        <w:rPr>
          <w:bCs/>
          <w:sz w:val="22"/>
          <w:szCs w:val="22"/>
        </w:rPr>
        <w:t>ivacaftor</w:t>
      </w:r>
      <w:r w:rsidRPr="0047462D">
        <w:rPr>
          <w:bCs/>
          <w:sz w:val="22"/>
          <w:szCs w:val="22"/>
          <w:lang w:val="el-GR"/>
        </w:rPr>
        <w:t xml:space="preserve"> </w:t>
      </w:r>
      <w:r w:rsidR="00A02831" w:rsidRPr="0047462D">
        <w:rPr>
          <w:bCs/>
          <w:sz w:val="22"/>
          <w:szCs w:val="22"/>
          <w:lang w:val="el-GR"/>
        </w:rPr>
        <w:t xml:space="preserve">μειώνεται σημαντικά </w:t>
      </w:r>
      <w:r w:rsidRPr="0047462D">
        <w:rPr>
          <w:bCs/>
          <w:sz w:val="22"/>
          <w:szCs w:val="22"/>
          <w:lang w:val="el-GR"/>
        </w:rPr>
        <w:t xml:space="preserve">από την ταυτόχρονη χρήση επαγωγέων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με </w:t>
      </w:r>
      <w:r w:rsidR="00B10DF7" w:rsidRPr="0047462D">
        <w:rPr>
          <w:bCs/>
          <w:sz w:val="22"/>
          <w:szCs w:val="22"/>
          <w:lang w:val="el-GR"/>
        </w:rPr>
        <w:t xml:space="preserve">ενδεχόμενο </w:t>
      </w:r>
      <w:r w:rsidRPr="0047462D">
        <w:rPr>
          <w:bCs/>
          <w:sz w:val="22"/>
          <w:szCs w:val="22"/>
          <w:lang w:val="el-GR"/>
        </w:rPr>
        <w:t xml:space="preserve">αποτέλεσμα την απώλεια της αποτελεσματικότητας του </w:t>
      </w:r>
      <w:r w:rsidRPr="0047462D">
        <w:rPr>
          <w:sz w:val="22"/>
          <w:szCs w:val="22"/>
          <w:lang w:val="en-GB"/>
        </w:rPr>
        <w:t>ivacaftor</w:t>
      </w:r>
      <w:r w:rsidRPr="0047462D">
        <w:rPr>
          <w:sz w:val="22"/>
          <w:szCs w:val="22"/>
          <w:lang w:val="el-GR"/>
        </w:rPr>
        <w:t>. Συνεπώς, δεν συνιστάται η συγχορήγηση</w:t>
      </w:r>
      <w:r w:rsidRPr="0047462D">
        <w:rPr>
          <w:bCs/>
          <w:sz w:val="22"/>
          <w:szCs w:val="22"/>
          <w:lang w:val="el-GR"/>
        </w:rPr>
        <w:t xml:space="preserve"> </w:t>
      </w:r>
      <w:r w:rsidR="0034098A" w:rsidRPr="0047462D">
        <w:rPr>
          <w:bCs/>
          <w:sz w:val="22"/>
          <w:szCs w:val="22"/>
          <w:lang w:val="el-GR"/>
        </w:rPr>
        <w:t xml:space="preserve">του </w:t>
      </w:r>
      <w:r w:rsidR="00A02831" w:rsidRPr="0047462D">
        <w:rPr>
          <w:sz w:val="22"/>
          <w:szCs w:val="22"/>
        </w:rPr>
        <w:t>ivacaftor</w:t>
      </w:r>
      <w:r w:rsidR="00A02831" w:rsidRPr="00F93ECE">
        <w:rPr>
          <w:sz w:val="22"/>
          <w:szCs w:val="22"/>
          <w:lang w:val="el-GR"/>
        </w:rPr>
        <w:t xml:space="preserve"> </w:t>
      </w:r>
      <w:r w:rsidRPr="0047462D">
        <w:rPr>
          <w:bCs/>
          <w:sz w:val="22"/>
          <w:szCs w:val="22"/>
          <w:lang w:val="el-GR"/>
        </w:rPr>
        <w:t xml:space="preserve">με ισχυρούς επαγωγείς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(βλ. </w:t>
      </w:r>
      <w:r w:rsidRPr="0047462D">
        <w:rPr>
          <w:rFonts w:eastAsia="Times New Roman"/>
          <w:sz w:val="22"/>
          <w:szCs w:val="22"/>
          <w:lang w:val="el-GR"/>
        </w:rPr>
        <w:t>παράγραφο</w:t>
      </w:r>
      <w:r w:rsidRPr="0047462D">
        <w:rPr>
          <w:bCs/>
          <w:sz w:val="22"/>
          <w:szCs w:val="22"/>
          <w:lang w:val="en-GB"/>
        </w:rPr>
        <w:t> </w:t>
      </w:r>
      <w:r w:rsidRPr="0047462D">
        <w:rPr>
          <w:bCs/>
          <w:sz w:val="22"/>
          <w:szCs w:val="22"/>
          <w:lang w:val="el-GR"/>
        </w:rPr>
        <w:t>4.5).</w:t>
      </w:r>
      <w:r w:rsidRPr="0047462D">
        <w:rPr>
          <w:rFonts w:eastAsia="Times New Roman"/>
          <w:sz w:val="22"/>
          <w:szCs w:val="22"/>
          <w:lang w:val="el-GR"/>
        </w:rPr>
        <w:t xml:space="preserve"> </w:t>
      </w:r>
    </w:p>
    <w:p w14:paraId="5AD70188" w14:textId="77777777" w:rsidR="000375A7" w:rsidRPr="0047462D" w:rsidRDefault="000375A7" w:rsidP="002A61C2">
      <w:pPr>
        <w:pStyle w:val="labeltext"/>
        <w:rPr>
          <w:rFonts w:eastAsia="Times New Roman"/>
          <w:sz w:val="22"/>
          <w:szCs w:val="22"/>
          <w:lang w:val="el-GR"/>
        </w:rPr>
      </w:pPr>
    </w:p>
    <w:p w14:paraId="05629F24" w14:textId="10873974" w:rsidR="005D5499" w:rsidRPr="0047462D" w:rsidRDefault="000375A7" w:rsidP="009E50D2">
      <w:pPr>
        <w:pStyle w:val="labeltext"/>
        <w:keepNext/>
        <w:rPr>
          <w:bCs/>
          <w:i/>
          <w:sz w:val="22"/>
          <w:szCs w:val="22"/>
          <w:lang w:val="el-GR"/>
        </w:rPr>
      </w:pPr>
      <w:r w:rsidRPr="0047462D">
        <w:rPr>
          <w:bCs/>
          <w:i/>
          <w:sz w:val="22"/>
          <w:szCs w:val="22"/>
          <w:lang w:val="el-GR"/>
        </w:rPr>
        <w:t xml:space="preserve">Αναστολείς του </w:t>
      </w:r>
      <w:r w:rsidRPr="0047462D">
        <w:rPr>
          <w:bCs/>
          <w:i/>
          <w:sz w:val="22"/>
          <w:szCs w:val="22"/>
        </w:rPr>
        <w:t>CYP</w:t>
      </w:r>
      <w:r w:rsidRPr="0047462D">
        <w:rPr>
          <w:bCs/>
          <w:i/>
          <w:sz w:val="22"/>
          <w:szCs w:val="22"/>
          <w:lang w:val="el-GR"/>
        </w:rPr>
        <w:t>3</w:t>
      </w:r>
      <w:r w:rsidRPr="0047462D">
        <w:rPr>
          <w:bCs/>
          <w:i/>
          <w:sz w:val="22"/>
          <w:szCs w:val="22"/>
        </w:rPr>
        <w:t>A</w:t>
      </w:r>
    </w:p>
    <w:p w14:paraId="2EB3CCF1" w14:textId="77777777" w:rsidR="00735E43" w:rsidRPr="0047462D" w:rsidRDefault="00735E43" w:rsidP="009E50D2">
      <w:pPr>
        <w:pStyle w:val="labeltext"/>
        <w:keepNext/>
        <w:rPr>
          <w:rFonts w:eastAsia="Times New Roman"/>
          <w:i/>
          <w:sz w:val="22"/>
          <w:szCs w:val="22"/>
          <w:lang w:val="el-GR"/>
        </w:rPr>
      </w:pPr>
    </w:p>
    <w:p w14:paraId="337FEEA9" w14:textId="7E66E114" w:rsidR="001C01B6" w:rsidRPr="0047462D" w:rsidRDefault="00A02831" w:rsidP="00647DE1">
      <w:pPr>
        <w:pStyle w:val="labeltext"/>
        <w:rPr>
          <w:rFonts w:eastAsia="Times New Roman"/>
          <w:sz w:val="22"/>
          <w:szCs w:val="22"/>
          <w:lang w:val="el-GR"/>
        </w:rPr>
      </w:pPr>
      <w:r w:rsidRPr="0047462D">
        <w:rPr>
          <w:bCs/>
          <w:sz w:val="22"/>
          <w:szCs w:val="22"/>
          <w:lang w:val="el-GR"/>
        </w:rPr>
        <w:t xml:space="preserve">Η έκθεση στο ivacaftor αυξάνεται όταν συγχορηγείται με ισχυρούς ή </w:t>
      </w:r>
      <w:r w:rsidR="00B02A9F" w:rsidRPr="0047462D">
        <w:rPr>
          <w:bCs/>
          <w:sz w:val="22"/>
          <w:szCs w:val="22"/>
          <w:lang w:val="el-GR"/>
        </w:rPr>
        <w:t>μέτριους</w:t>
      </w:r>
      <w:r w:rsidRPr="0047462D">
        <w:rPr>
          <w:bCs/>
          <w:sz w:val="22"/>
          <w:szCs w:val="22"/>
          <w:lang w:val="el-GR"/>
        </w:rPr>
        <w:t xml:space="preserve"> αναστολείς του CYP3A</w:t>
      </w:r>
      <w:r w:rsidR="00026C65" w:rsidRPr="00F93ECE">
        <w:rPr>
          <w:bCs/>
          <w:sz w:val="22"/>
          <w:szCs w:val="22"/>
          <w:lang w:val="el-GR"/>
        </w:rPr>
        <w:t>.</w:t>
      </w:r>
      <w:r w:rsidRPr="0047462D">
        <w:rPr>
          <w:bCs/>
          <w:sz w:val="22"/>
          <w:szCs w:val="22"/>
          <w:lang w:val="el-GR"/>
        </w:rPr>
        <w:t xml:space="preserve"> </w:t>
      </w:r>
      <w:r w:rsidR="001C01B6" w:rsidRPr="0047462D">
        <w:rPr>
          <w:bCs/>
          <w:sz w:val="22"/>
          <w:szCs w:val="22"/>
          <w:lang w:val="el-GR"/>
        </w:rPr>
        <w:t xml:space="preserve">Η δόση του </w:t>
      </w:r>
      <w:r w:rsidRPr="0047462D">
        <w:rPr>
          <w:bCs/>
          <w:sz w:val="22"/>
          <w:szCs w:val="22"/>
          <w:lang w:val="el-GR"/>
        </w:rPr>
        <w:t xml:space="preserve">ivacaftor </w:t>
      </w:r>
      <w:r w:rsidR="001C01B6" w:rsidRPr="0047462D">
        <w:rPr>
          <w:bCs/>
          <w:sz w:val="22"/>
          <w:szCs w:val="22"/>
          <w:lang w:val="el-GR"/>
        </w:rPr>
        <w:t xml:space="preserve">πρέπει να προσαρμόζεται όταν συγχορηγείται με ισχυρούς ή </w:t>
      </w:r>
      <w:r w:rsidR="00B02A9F" w:rsidRPr="0047462D">
        <w:rPr>
          <w:bCs/>
          <w:sz w:val="22"/>
          <w:szCs w:val="22"/>
          <w:lang w:val="el-GR"/>
        </w:rPr>
        <w:t>μέτριους</w:t>
      </w:r>
      <w:r w:rsidR="001C01B6" w:rsidRPr="0047462D">
        <w:rPr>
          <w:bCs/>
          <w:sz w:val="22"/>
          <w:szCs w:val="22"/>
          <w:lang w:val="el-GR"/>
        </w:rPr>
        <w:t xml:space="preserve"> αναστολείς του </w:t>
      </w:r>
      <w:r w:rsidR="001C01B6" w:rsidRPr="0047462D">
        <w:rPr>
          <w:bCs/>
          <w:sz w:val="22"/>
          <w:szCs w:val="22"/>
        </w:rPr>
        <w:t>CYP</w:t>
      </w:r>
      <w:r w:rsidR="001C01B6" w:rsidRPr="0047462D">
        <w:rPr>
          <w:bCs/>
          <w:sz w:val="22"/>
          <w:szCs w:val="22"/>
          <w:lang w:val="el-GR"/>
        </w:rPr>
        <w:t>3</w:t>
      </w:r>
      <w:r w:rsidR="001C01B6" w:rsidRPr="0047462D">
        <w:rPr>
          <w:bCs/>
          <w:sz w:val="22"/>
          <w:szCs w:val="22"/>
        </w:rPr>
        <w:t>A</w:t>
      </w:r>
      <w:r w:rsidR="001C01B6" w:rsidRPr="0047462D">
        <w:rPr>
          <w:bCs/>
          <w:sz w:val="22"/>
          <w:szCs w:val="22"/>
          <w:lang w:val="el-GR"/>
        </w:rPr>
        <w:t xml:space="preserve"> </w:t>
      </w:r>
      <w:r w:rsidR="001C01B6" w:rsidRPr="0047462D">
        <w:rPr>
          <w:rFonts w:eastAsia="Times New Roman"/>
          <w:sz w:val="22"/>
          <w:szCs w:val="22"/>
          <w:lang w:val="el-GR"/>
        </w:rPr>
        <w:t xml:space="preserve">(βλ. </w:t>
      </w:r>
      <w:r w:rsidR="00D17FBA" w:rsidRPr="0047462D">
        <w:rPr>
          <w:rFonts w:eastAsia="Times New Roman"/>
          <w:sz w:val="22"/>
          <w:szCs w:val="22"/>
          <w:lang w:val="el-GR"/>
        </w:rPr>
        <w:t>παραγράφους</w:t>
      </w:r>
      <w:r w:rsidR="00D17FBA" w:rsidRPr="0047462D">
        <w:rPr>
          <w:rFonts w:eastAsia="Times New Roman"/>
          <w:sz w:val="22"/>
          <w:szCs w:val="22"/>
          <w:lang w:val="en-GB"/>
        </w:rPr>
        <w:t> </w:t>
      </w:r>
      <w:r w:rsidR="00D17FBA" w:rsidRPr="0047462D">
        <w:rPr>
          <w:rFonts w:eastAsia="Times New Roman"/>
          <w:sz w:val="22"/>
          <w:szCs w:val="22"/>
          <w:lang w:val="el-GR"/>
        </w:rPr>
        <w:t>4.2 και 4.5</w:t>
      </w:r>
      <w:r w:rsidR="001C01B6" w:rsidRPr="0047462D">
        <w:rPr>
          <w:rFonts w:eastAsia="Times New Roman"/>
          <w:sz w:val="22"/>
          <w:szCs w:val="22"/>
          <w:lang w:val="el-GR"/>
        </w:rPr>
        <w:t>)</w:t>
      </w:r>
      <w:r w:rsidR="001C01B6" w:rsidRPr="0047462D">
        <w:rPr>
          <w:bCs/>
          <w:sz w:val="22"/>
          <w:szCs w:val="22"/>
          <w:lang w:val="el-GR"/>
        </w:rPr>
        <w:t>.</w:t>
      </w:r>
      <w:r w:rsidR="00016E90" w:rsidRPr="0047462D">
        <w:rPr>
          <w:bCs/>
          <w:sz w:val="22"/>
          <w:szCs w:val="22"/>
          <w:lang w:val="el-GR"/>
        </w:rPr>
        <w:t xml:space="preserve"> </w:t>
      </w:r>
      <w:r w:rsidR="00016E90" w:rsidRPr="0047462D">
        <w:rPr>
          <w:rFonts w:eastAsia="Times New Roman"/>
          <w:sz w:val="22"/>
          <w:szCs w:val="22"/>
          <w:lang w:val="el-GR"/>
        </w:rPr>
        <w:t xml:space="preserve">Δεν υπάρχουν διαθέσιμα δεδομένα για την ασφάλεια σε βρέφη ηλικίας </w:t>
      </w:r>
      <w:r w:rsidR="007A0DE5">
        <w:rPr>
          <w:rFonts w:eastAsia="Times New Roman"/>
          <w:sz w:val="22"/>
          <w:szCs w:val="22"/>
          <w:lang w:val="el-GR"/>
        </w:rPr>
        <w:t>4</w:t>
      </w:r>
      <w:r w:rsidR="007A0DE5" w:rsidRPr="0047462D">
        <w:rPr>
          <w:rFonts w:eastAsia="Times New Roman"/>
          <w:sz w:val="22"/>
          <w:szCs w:val="22"/>
          <w:lang w:val="el-GR"/>
        </w:rPr>
        <w:t xml:space="preserve"> </w:t>
      </w:r>
      <w:r w:rsidR="00016E90" w:rsidRPr="0047462D">
        <w:rPr>
          <w:rFonts w:eastAsia="Times New Roman"/>
          <w:sz w:val="22"/>
          <w:szCs w:val="22"/>
          <w:lang w:val="el-GR"/>
        </w:rPr>
        <w:t xml:space="preserve">έως κάτω των 12 μηνών που έλαβαν θεραπεία με ivacaftor και </w:t>
      </w:r>
      <w:r w:rsidR="00B02A9F" w:rsidRPr="0047462D">
        <w:rPr>
          <w:rFonts w:eastAsia="Times New Roman"/>
          <w:sz w:val="22"/>
          <w:szCs w:val="22"/>
          <w:lang w:val="el-GR"/>
        </w:rPr>
        <w:t>μέτριους</w:t>
      </w:r>
      <w:r w:rsidR="00016E90" w:rsidRPr="0047462D">
        <w:rPr>
          <w:rFonts w:eastAsia="Times New Roman"/>
          <w:sz w:val="22"/>
          <w:szCs w:val="22"/>
          <w:lang w:val="el-GR"/>
        </w:rPr>
        <w:t xml:space="preserve"> ή ισχυρούς αναστολείς του</w:t>
      </w:r>
      <w:r w:rsidR="00016E90" w:rsidRPr="0047462D">
        <w:rPr>
          <w:lang w:val="el-GR"/>
        </w:rPr>
        <w:t xml:space="preserve"> </w:t>
      </w:r>
      <w:r w:rsidR="00016E90" w:rsidRPr="0047462D">
        <w:rPr>
          <w:rFonts w:eastAsia="Times New Roman"/>
          <w:sz w:val="22"/>
          <w:szCs w:val="22"/>
          <w:lang w:val="el-GR"/>
        </w:rPr>
        <w:t>CYP3A</w:t>
      </w:r>
      <w:r w:rsidRPr="0047462D">
        <w:rPr>
          <w:rFonts w:eastAsia="Times New Roman"/>
          <w:sz w:val="22"/>
          <w:szCs w:val="22"/>
          <w:lang w:val="el-GR"/>
        </w:rPr>
        <w:t xml:space="preserve"> (βλ. παραγράφους 4.2 και 4.5)</w:t>
      </w:r>
      <w:r w:rsidR="00016E90" w:rsidRPr="0047462D">
        <w:rPr>
          <w:rFonts w:eastAsia="Times New Roman"/>
          <w:sz w:val="22"/>
          <w:szCs w:val="22"/>
          <w:lang w:val="el-GR"/>
        </w:rPr>
        <w:t>.</w:t>
      </w:r>
    </w:p>
    <w:p w14:paraId="4DF3A747" w14:textId="721E82C1" w:rsidR="001C01B6" w:rsidRPr="0047462D" w:rsidRDefault="001C01B6" w:rsidP="001C01B6">
      <w:pPr>
        <w:pStyle w:val="labeltext"/>
        <w:rPr>
          <w:sz w:val="22"/>
          <w:szCs w:val="22"/>
          <w:lang w:val="el-GR"/>
        </w:rPr>
      </w:pPr>
    </w:p>
    <w:p w14:paraId="2834E75E" w14:textId="41AFC60C" w:rsidR="00E352A5" w:rsidRPr="0047462D" w:rsidRDefault="00E352A5" w:rsidP="00E352A5">
      <w:pPr>
        <w:keepNext/>
        <w:keepLines/>
        <w:rPr>
          <w:bCs/>
          <w:u w:val="single"/>
        </w:rPr>
      </w:pPr>
      <w:r w:rsidRPr="0047462D">
        <w:rPr>
          <w:bCs/>
          <w:u w:val="single"/>
        </w:rPr>
        <w:t xml:space="preserve">Παιδιατρικός πληθυσμός </w:t>
      </w:r>
    </w:p>
    <w:p w14:paraId="178B2CD6" w14:textId="77777777" w:rsidR="00E352A5" w:rsidRPr="0047462D" w:rsidRDefault="00E352A5" w:rsidP="001C01B6">
      <w:pPr>
        <w:pStyle w:val="labeltext"/>
        <w:rPr>
          <w:sz w:val="22"/>
          <w:szCs w:val="22"/>
          <w:lang w:val="el-GR"/>
        </w:rPr>
      </w:pPr>
    </w:p>
    <w:p w14:paraId="400336B9" w14:textId="2D4D6FA4" w:rsidR="001C01B6" w:rsidRPr="0047462D" w:rsidRDefault="001C01B6" w:rsidP="001C01B6">
      <w:pPr>
        <w:rPr>
          <w:rFonts w:eastAsia="Times New Roman"/>
          <w:szCs w:val="22"/>
        </w:rPr>
      </w:pPr>
      <w:r w:rsidRPr="0047462D">
        <w:rPr>
          <w:rFonts w:eastAsia="Times New Roman"/>
          <w:szCs w:val="22"/>
        </w:rPr>
        <w:t>Έχουν αναφερθεί περιπτώσεις μη συγγενών θολεροτήτων</w:t>
      </w:r>
      <w:r w:rsidR="00E352A5" w:rsidRPr="0047462D">
        <w:rPr>
          <w:rFonts w:eastAsia="Times New Roman"/>
          <w:szCs w:val="22"/>
        </w:rPr>
        <w:t>/καταρράκτη</w:t>
      </w:r>
      <w:r w:rsidRPr="0047462D">
        <w:rPr>
          <w:rFonts w:eastAsia="Times New Roman"/>
          <w:szCs w:val="22"/>
        </w:rPr>
        <w:t xml:space="preserve"> του φακού χωρίς επίπτωση στην όραση σε παιδιατρικούς ασθενείς που έλαβαν θεραπεία με ivacaftor. Αν και ήταν παρόντες άλλοι παράγοντες κινδύνου</w:t>
      </w:r>
      <w:r w:rsidRPr="0047462D">
        <w:t xml:space="preserve"> σε μερικές περιπτώσεις (όπως χρήση κορτικοστεροειδών και έκθεση σε ακτινοβολία), δεν μπορεί να αποκλειστεί πιθανός κίνδυνος που να αποδίδεται </w:t>
      </w:r>
      <w:r w:rsidR="0034098A" w:rsidRPr="0047462D">
        <w:t>στη θεραπεία</w:t>
      </w:r>
      <w:r w:rsidR="00E352A5" w:rsidRPr="0047462D">
        <w:t xml:space="preserve"> με </w:t>
      </w:r>
      <w:r w:rsidR="00E352A5" w:rsidRPr="0047462D">
        <w:rPr>
          <w:rFonts w:eastAsia="Times New Roman"/>
          <w:szCs w:val="22"/>
        </w:rPr>
        <w:t>ivacaftor</w:t>
      </w:r>
      <w:r w:rsidRPr="0047462D">
        <w:t>. Συνιστώνται αρχικές και επαναληπτικές οφθαλμολογικές εξετάσεις σε παιδιατρικούς ασθενείς που ξεκινούν θεραπεία με ivacaftor.</w:t>
      </w:r>
      <w:r w:rsidRPr="0047462D">
        <w:rPr>
          <w:rFonts w:eastAsia="Times New Roman"/>
          <w:szCs w:val="22"/>
        </w:rPr>
        <w:t xml:space="preserve"> </w:t>
      </w:r>
    </w:p>
    <w:p w14:paraId="5657249B" w14:textId="77777777" w:rsidR="001C01B6" w:rsidRPr="0047462D" w:rsidRDefault="001C01B6" w:rsidP="001C01B6">
      <w:pPr>
        <w:rPr>
          <w:rFonts w:eastAsia="Times New Roman"/>
          <w:szCs w:val="22"/>
          <w:u w:val="single"/>
        </w:rPr>
      </w:pPr>
    </w:p>
    <w:p w14:paraId="6824407F" w14:textId="5FA47024" w:rsidR="001C01B6" w:rsidRPr="0047462D" w:rsidRDefault="00483FB0" w:rsidP="001C01B6">
      <w:pPr>
        <w:keepNext/>
        <w:rPr>
          <w:rFonts w:eastAsia="Times New Roman"/>
          <w:szCs w:val="22"/>
          <w:u w:val="single"/>
        </w:rPr>
      </w:pPr>
      <w:r w:rsidRPr="0047462D">
        <w:rPr>
          <w:rFonts w:eastAsia="Times New Roman"/>
          <w:szCs w:val="22"/>
          <w:u w:val="single"/>
        </w:rPr>
        <w:t>Περιεκτικότητα σε λ</w:t>
      </w:r>
      <w:r w:rsidR="001C01B6" w:rsidRPr="0047462D">
        <w:rPr>
          <w:rFonts w:eastAsia="Times New Roman"/>
          <w:szCs w:val="22"/>
          <w:u w:val="single"/>
        </w:rPr>
        <w:t>ακτόζη</w:t>
      </w:r>
    </w:p>
    <w:p w14:paraId="51CB4172" w14:textId="77777777" w:rsidR="00FD0919" w:rsidRPr="0047462D" w:rsidRDefault="00FD0919" w:rsidP="001C01B6">
      <w:pPr>
        <w:keepNext/>
        <w:rPr>
          <w:rFonts w:eastAsia="Times New Roman"/>
          <w:szCs w:val="22"/>
        </w:rPr>
      </w:pPr>
    </w:p>
    <w:p w14:paraId="7D9A8F2C" w14:textId="6F0CC573" w:rsidR="001C01B6" w:rsidRPr="0047462D" w:rsidRDefault="001C01B6" w:rsidP="001C01B6">
      <w:pPr>
        <w:rPr>
          <w:rFonts w:eastAsia="Times New Roman"/>
          <w:szCs w:val="22"/>
        </w:rPr>
      </w:pPr>
      <w:r w:rsidRPr="0047462D">
        <w:rPr>
          <w:rFonts w:eastAsia="Times New Roman"/>
          <w:szCs w:val="22"/>
        </w:rPr>
        <w:t xml:space="preserve">Το </w:t>
      </w:r>
      <w:r w:rsidR="000C6819" w:rsidRPr="0047462D">
        <w:rPr>
          <w:rFonts w:eastAsia="Times New Roman"/>
          <w:szCs w:val="22"/>
          <w:lang w:val="en-US"/>
        </w:rPr>
        <w:t>Kalydeco</w:t>
      </w:r>
      <w:r w:rsidR="00E352A5" w:rsidRPr="0047462D">
        <w:rPr>
          <w:rFonts w:eastAsia="Times New Roman"/>
          <w:szCs w:val="22"/>
        </w:rPr>
        <w:t xml:space="preserve"> </w:t>
      </w:r>
      <w:r w:rsidRPr="0047462D">
        <w:rPr>
          <w:rFonts w:eastAsia="Times New Roman"/>
          <w:szCs w:val="22"/>
        </w:rPr>
        <w:t xml:space="preserve">περιέχει λακτόζη. </w:t>
      </w:r>
      <w:r w:rsidR="00FD256D" w:rsidRPr="0047462D">
        <w:rPr>
          <w:rFonts w:eastAsia="Times New Roman"/>
          <w:szCs w:val="22"/>
        </w:rPr>
        <w:t>Οι α</w:t>
      </w:r>
      <w:r w:rsidRPr="0047462D">
        <w:rPr>
          <w:rFonts w:eastAsia="Times New Roman"/>
          <w:szCs w:val="22"/>
        </w:rPr>
        <w:t xml:space="preserve">σθενείς με σπάνια κληρονομικά προβλήματα δυσανεξίας στη γαλακτόζη, </w:t>
      </w:r>
      <w:r w:rsidR="00FD256D" w:rsidRPr="0047462D">
        <w:rPr>
          <w:rFonts w:eastAsia="Times New Roman"/>
          <w:szCs w:val="22"/>
        </w:rPr>
        <w:t xml:space="preserve">πλήρη </w:t>
      </w:r>
      <w:r w:rsidRPr="0047462D">
        <w:rPr>
          <w:rFonts w:eastAsia="Times New Roman"/>
          <w:szCs w:val="22"/>
        </w:rPr>
        <w:t>ανεπάρκεια</w:t>
      </w:r>
      <w:r w:rsidR="00FD256D" w:rsidRPr="0047462D">
        <w:rPr>
          <w:rFonts w:eastAsia="Times New Roman"/>
          <w:szCs w:val="22"/>
        </w:rPr>
        <w:t xml:space="preserve"> </w:t>
      </w:r>
      <w:r w:rsidRPr="0047462D">
        <w:rPr>
          <w:rFonts w:eastAsia="Times New Roman"/>
          <w:szCs w:val="22"/>
        </w:rPr>
        <w:t xml:space="preserve">λακτάσης ή </w:t>
      </w:r>
      <w:r w:rsidR="00FD256D" w:rsidRPr="0047462D">
        <w:rPr>
          <w:rFonts w:eastAsia="Times New Roman"/>
          <w:szCs w:val="22"/>
        </w:rPr>
        <w:t xml:space="preserve">κακή </w:t>
      </w:r>
      <w:r w:rsidRPr="0047462D">
        <w:rPr>
          <w:rFonts w:eastAsia="Times New Roman"/>
          <w:szCs w:val="22"/>
        </w:rPr>
        <w:t>απορρόφηση γλυκόζης-γαλακτόζης δεν πρέπει να π</w:t>
      </w:r>
      <w:r w:rsidR="00FD256D" w:rsidRPr="0047462D">
        <w:rPr>
          <w:rFonts w:eastAsia="Times New Roman"/>
          <w:szCs w:val="22"/>
        </w:rPr>
        <w:t>ά</w:t>
      </w:r>
      <w:r w:rsidRPr="0047462D">
        <w:rPr>
          <w:rFonts w:eastAsia="Times New Roman"/>
          <w:szCs w:val="22"/>
        </w:rPr>
        <w:t xml:space="preserve">ρουν αυτό το </w:t>
      </w:r>
      <w:r w:rsidR="00736C8E" w:rsidRPr="0047462D">
        <w:rPr>
          <w:rFonts w:eastAsia="Times New Roman"/>
          <w:szCs w:val="22"/>
        </w:rPr>
        <w:t>φάρμακο</w:t>
      </w:r>
      <w:r w:rsidRPr="0047462D">
        <w:rPr>
          <w:rFonts w:eastAsia="Times New Roman"/>
          <w:szCs w:val="22"/>
        </w:rPr>
        <w:t>.</w:t>
      </w:r>
    </w:p>
    <w:p w14:paraId="2D73863E" w14:textId="77777777" w:rsidR="0034098A" w:rsidRPr="0047462D" w:rsidRDefault="0034098A" w:rsidP="001C01B6">
      <w:pPr>
        <w:rPr>
          <w:szCs w:val="22"/>
          <w:lang w:eastAsia="en-US"/>
        </w:rPr>
      </w:pPr>
    </w:p>
    <w:p w14:paraId="43F1CAB8" w14:textId="67ED28CF" w:rsidR="0034098A" w:rsidRPr="0047462D" w:rsidRDefault="00483FB0" w:rsidP="0034098A">
      <w:pPr>
        <w:keepNext/>
        <w:rPr>
          <w:u w:val="single"/>
        </w:rPr>
      </w:pPr>
      <w:r w:rsidRPr="0047462D">
        <w:rPr>
          <w:u w:val="single"/>
        </w:rPr>
        <w:t>Περιεκτικότητα σε ν</w:t>
      </w:r>
      <w:r w:rsidR="0034098A" w:rsidRPr="0047462D">
        <w:rPr>
          <w:u w:val="single"/>
        </w:rPr>
        <w:t>άτριο</w:t>
      </w:r>
    </w:p>
    <w:p w14:paraId="2DFAD8A6" w14:textId="77777777" w:rsidR="00FD0919" w:rsidRPr="0047462D" w:rsidRDefault="00FD0919" w:rsidP="0034098A">
      <w:pPr>
        <w:keepNext/>
        <w:rPr>
          <w:u w:val="single"/>
        </w:rPr>
      </w:pPr>
    </w:p>
    <w:p w14:paraId="0B56300D" w14:textId="77777777" w:rsidR="0034098A" w:rsidRPr="0047462D" w:rsidRDefault="0034098A" w:rsidP="0034098A">
      <w:pPr>
        <w:rPr>
          <w:szCs w:val="22"/>
          <w:lang w:eastAsia="en-US"/>
        </w:rPr>
      </w:pPr>
      <w:r w:rsidRPr="0047462D">
        <w:t>Το φάρμακο αυτό περιέχει λιγότερο από 1 mmol νατρίου (23 mg) ανά δόση, είναι αυτό που ονομάζουμε «ελεύθερο νατρίου».</w:t>
      </w:r>
    </w:p>
    <w:p w14:paraId="047E0ABD" w14:textId="77777777" w:rsidR="001C01B6" w:rsidRPr="0047462D" w:rsidRDefault="001C01B6" w:rsidP="001C01B6">
      <w:pPr>
        <w:rPr>
          <w:szCs w:val="22"/>
          <w:lang w:eastAsia="en-US"/>
        </w:rPr>
      </w:pPr>
    </w:p>
    <w:p w14:paraId="726EA7FC"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4.5</w:t>
      </w:r>
      <w:r w:rsidRPr="0047462D">
        <w:rPr>
          <w:rFonts w:eastAsia="Times New Roman"/>
          <w:b/>
          <w:bCs/>
          <w:szCs w:val="22"/>
          <w:lang w:eastAsia="en-US"/>
        </w:rPr>
        <w:tab/>
      </w:r>
      <w:r w:rsidRPr="0047462D">
        <w:rPr>
          <w:rFonts w:eastAsia="Times New Roman"/>
          <w:b/>
          <w:bCs/>
          <w:szCs w:val="22"/>
        </w:rPr>
        <w:t>Αλληλεπιδράσεις με άλλα φαρμακευτικά προϊόντα και άλλες μορφές αλληλεπίδρασης</w:t>
      </w:r>
    </w:p>
    <w:p w14:paraId="1A2F58A6" w14:textId="77777777" w:rsidR="001C01B6" w:rsidRPr="0047462D" w:rsidRDefault="001C01B6" w:rsidP="001C01B6">
      <w:pPr>
        <w:keepNext/>
        <w:rPr>
          <w:szCs w:val="22"/>
          <w:lang w:eastAsia="en-US"/>
        </w:rPr>
      </w:pPr>
    </w:p>
    <w:p w14:paraId="25689393" w14:textId="787072C6" w:rsidR="001C01B6" w:rsidRPr="0047462D" w:rsidRDefault="001C01B6" w:rsidP="001C01B6">
      <w:pPr>
        <w:pStyle w:val="12"/>
        <w:rPr>
          <w:rFonts w:eastAsia="MS Mincho"/>
          <w:color w:val="000000"/>
          <w:sz w:val="22"/>
          <w:szCs w:val="22"/>
          <w:lang w:eastAsia="ja-JP"/>
        </w:rPr>
      </w:pPr>
      <w:r w:rsidRPr="0047462D">
        <w:rPr>
          <w:rFonts w:eastAsia="Times New Roman"/>
          <w:sz w:val="22"/>
          <w:szCs w:val="22"/>
        </w:rPr>
        <w:t xml:space="preserve">Το ivacaftor είναι ένα υπόστρωμα των CYP3A4 και CYP3A5. Είναι ένας ασθενής αναστολέας του CYP3A και της P-gp και ένας δυνητικός αναστολέας του CYP2C9. </w:t>
      </w:r>
      <w:r w:rsidR="0034098A" w:rsidRPr="0047462D">
        <w:rPr>
          <w:rFonts w:eastAsia="Times New Roman"/>
          <w:sz w:val="22"/>
          <w:szCs w:val="22"/>
        </w:rPr>
        <w:t xml:space="preserve">Μελέτες </w:t>
      </w:r>
      <w:r w:rsidR="0034098A" w:rsidRPr="0047462D">
        <w:rPr>
          <w:rFonts w:eastAsia="Times New Roman"/>
          <w:i/>
          <w:sz w:val="22"/>
          <w:szCs w:val="22"/>
          <w:lang w:val="en-US"/>
        </w:rPr>
        <w:t>i</w:t>
      </w:r>
      <w:r w:rsidR="0034098A" w:rsidRPr="0047462D">
        <w:rPr>
          <w:rFonts w:eastAsia="Times New Roman"/>
          <w:i/>
          <w:sz w:val="22"/>
          <w:szCs w:val="22"/>
        </w:rPr>
        <w:t>n vitro</w:t>
      </w:r>
      <w:r w:rsidR="0034098A" w:rsidRPr="0047462D">
        <w:rPr>
          <w:rFonts w:eastAsia="Times New Roman"/>
          <w:sz w:val="22"/>
          <w:szCs w:val="22"/>
        </w:rPr>
        <w:t xml:space="preserve"> έδειξαν ότι το ivacaftor δεν είναι υπόστρωμα της P</w:t>
      </w:r>
      <w:r w:rsidR="0034098A" w:rsidRPr="0047462D">
        <w:rPr>
          <w:sz w:val="22"/>
          <w:szCs w:val="22"/>
        </w:rPr>
        <w:noBreakHyphen/>
      </w:r>
      <w:r w:rsidR="0034098A" w:rsidRPr="0047462D">
        <w:rPr>
          <w:rFonts w:eastAsia="Times New Roman"/>
          <w:sz w:val="22"/>
          <w:szCs w:val="22"/>
        </w:rPr>
        <w:t>gp.</w:t>
      </w:r>
    </w:p>
    <w:p w14:paraId="37F23BE1" w14:textId="77777777" w:rsidR="001C01B6" w:rsidRPr="0047462D" w:rsidRDefault="001C01B6" w:rsidP="001C01B6">
      <w:pPr>
        <w:pStyle w:val="12"/>
        <w:rPr>
          <w:rFonts w:eastAsia="MS Mincho"/>
          <w:color w:val="000000"/>
          <w:sz w:val="22"/>
          <w:szCs w:val="22"/>
          <w:lang w:eastAsia="ja-JP"/>
        </w:rPr>
      </w:pPr>
    </w:p>
    <w:p w14:paraId="62EFF988" w14:textId="0CF000EE" w:rsidR="001C01B6" w:rsidRPr="0047462D" w:rsidRDefault="001C01B6" w:rsidP="001C01B6">
      <w:pPr>
        <w:pStyle w:val="labeltext"/>
        <w:keepNext/>
        <w:rPr>
          <w:sz w:val="22"/>
          <w:szCs w:val="22"/>
          <w:u w:val="single"/>
          <w:lang w:val="el-GR"/>
        </w:rPr>
      </w:pPr>
      <w:r w:rsidRPr="0047462D">
        <w:rPr>
          <w:rFonts w:eastAsia="Times New Roman"/>
          <w:iCs/>
          <w:sz w:val="22"/>
          <w:szCs w:val="22"/>
          <w:u w:val="single"/>
          <w:lang w:val="el-GR"/>
        </w:rPr>
        <w:t>Φαρμακευτικά προϊόντα που επηρεάζουν τη φαρμακοκινητική του ivacaftor</w:t>
      </w:r>
    </w:p>
    <w:p w14:paraId="2B44CB98" w14:textId="77777777" w:rsidR="001C01B6" w:rsidRPr="0047462D" w:rsidRDefault="001C01B6" w:rsidP="001C01B6">
      <w:pPr>
        <w:pStyle w:val="labeltext"/>
        <w:keepNext/>
        <w:rPr>
          <w:sz w:val="22"/>
          <w:szCs w:val="22"/>
          <w:u w:val="single"/>
          <w:lang w:val="el-GR"/>
        </w:rPr>
      </w:pPr>
    </w:p>
    <w:p w14:paraId="0943635C" w14:textId="42C9FD10" w:rsidR="002A61C2" w:rsidRPr="0047462D" w:rsidRDefault="002A61C2" w:rsidP="002A61C2">
      <w:pPr>
        <w:pStyle w:val="12"/>
        <w:keepNext/>
        <w:rPr>
          <w:rFonts w:eastAsia="Times New Roman"/>
          <w:i/>
          <w:iCs/>
          <w:sz w:val="22"/>
          <w:szCs w:val="22"/>
        </w:rPr>
      </w:pPr>
      <w:r w:rsidRPr="0047462D">
        <w:rPr>
          <w:rFonts w:eastAsia="Times New Roman"/>
          <w:i/>
          <w:iCs/>
          <w:sz w:val="22"/>
          <w:szCs w:val="22"/>
        </w:rPr>
        <w:t>Επαγωγείς του CYP3A</w:t>
      </w:r>
    </w:p>
    <w:p w14:paraId="59FE1B8A" w14:textId="77777777" w:rsidR="00735E43" w:rsidRPr="0047462D" w:rsidRDefault="00735E43" w:rsidP="002A61C2">
      <w:pPr>
        <w:pStyle w:val="12"/>
        <w:keepNext/>
        <w:rPr>
          <w:rFonts w:eastAsia="Times New Roman"/>
          <w:i/>
          <w:iCs/>
          <w:sz w:val="22"/>
          <w:szCs w:val="22"/>
        </w:rPr>
      </w:pPr>
    </w:p>
    <w:p w14:paraId="79476B6D" w14:textId="0B8CE92D" w:rsidR="002A61C2" w:rsidRPr="0047462D" w:rsidRDefault="002A61C2" w:rsidP="002A61C2">
      <w:pPr>
        <w:pStyle w:val="big"/>
        <w:spacing w:before="0" w:beforeAutospacing="0" w:after="0" w:afterAutospacing="0"/>
        <w:rPr>
          <w:sz w:val="22"/>
          <w:szCs w:val="22"/>
        </w:rPr>
      </w:pPr>
      <w:r w:rsidRPr="0047462D">
        <w:rPr>
          <w:sz w:val="22"/>
          <w:szCs w:val="22"/>
        </w:rPr>
        <w:t xml:space="preserve">Η συγχορήγηση του ivacaftor με ριφαμπικίνη, έναν ισχυρό επαγωγέα του CYP3A, μείωσε την έκθεση σε ivacaftor (AUC) </w:t>
      </w:r>
      <w:r w:rsidRPr="0047462D">
        <w:rPr>
          <w:kern w:val="1"/>
          <w:sz w:val="22"/>
          <w:szCs w:val="22"/>
        </w:rPr>
        <w:t>κατά 89% και μείωσε τ</w:t>
      </w:r>
      <w:r w:rsidR="00141D20" w:rsidRPr="0047462D">
        <w:rPr>
          <w:kern w:val="1"/>
          <w:sz w:val="22"/>
          <w:szCs w:val="22"/>
        </w:rPr>
        <w:t>ην έκθεση στ</w:t>
      </w:r>
      <w:r w:rsidRPr="0047462D">
        <w:rPr>
          <w:kern w:val="1"/>
          <w:sz w:val="22"/>
          <w:szCs w:val="22"/>
        </w:rPr>
        <w:t xml:space="preserve">ο </w:t>
      </w:r>
      <w:r w:rsidR="0022785B" w:rsidRPr="0047462D">
        <w:rPr>
          <w:kern w:val="1"/>
          <w:sz w:val="22"/>
          <w:szCs w:val="22"/>
        </w:rPr>
        <w:t>υδροξυμεθυλο-ivacaftor (</w:t>
      </w:r>
      <w:r w:rsidRPr="0047462D">
        <w:rPr>
          <w:kern w:val="1"/>
          <w:sz w:val="22"/>
          <w:szCs w:val="22"/>
        </w:rPr>
        <w:t>M1</w:t>
      </w:r>
      <w:r w:rsidR="0022785B" w:rsidRPr="0047462D">
        <w:rPr>
          <w:kern w:val="1"/>
          <w:sz w:val="22"/>
          <w:szCs w:val="22"/>
        </w:rPr>
        <w:t>)</w:t>
      </w:r>
      <w:r w:rsidRPr="0047462D">
        <w:rPr>
          <w:kern w:val="1"/>
          <w:sz w:val="22"/>
          <w:szCs w:val="22"/>
        </w:rPr>
        <w:t xml:space="preserve"> </w:t>
      </w:r>
      <w:r w:rsidRPr="0047462D">
        <w:rPr>
          <w:sz w:val="22"/>
          <w:szCs w:val="22"/>
        </w:rPr>
        <w:t xml:space="preserve">σε μικρότερο βαθμό από ό,τι </w:t>
      </w:r>
      <w:r w:rsidR="000F034D" w:rsidRPr="0047462D">
        <w:rPr>
          <w:sz w:val="22"/>
          <w:szCs w:val="22"/>
        </w:rPr>
        <w:t>την έκθεση σ</w:t>
      </w:r>
      <w:r w:rsidRPr="0047462D">
        <w:rPr>
          <w:sz w:val="22"/>
          <w:szCs w:val="22"/>
        </w:rPr>
        <w:t>το ivacaftor</w:t>
      </w:r>
      <w:r w:rsidRPr="0047462D">
        <w:rPr>
          <w:kern w:val="1"/>
          <w:sz w:val="22"/>
          <w:szCs w:val="22"/>
        </w:rPr>
        <w:t xml:space="preserve">. Η συγχορήγηση </w:t>
      </w:r>
      <w:r w:rsidR="0034098A" w:rsidRPr="0047462D">
        <w:rPr>
          <w:kern w:val="1"/>
          <w:sz w:val="22"/>
          <w:szCs w:val="22"/>
        </w:rPr>
        <w:t xml:space="preserve">του </w:t>
      </w:r>
      <w:r w:rsidR="008C4AFC" w:rsidRPr="0047462D">
        <w:rPr>
          <w:kern w:val="1"/>
          <w:sz w:val="22"/>
          <w:szCs w:val="22"/>
          <w:lang w:val="en-US"/>
        </w:rPr>
        <w:t>ivacaftor</w:t>
      </w:r>
      <w:r w:rsidR="008C4AFC" w:rsidRPr="00F93ECE">
        <w:rPr>
          <w:kern w:val="1"/>
          <w:sz w:val="22"/>
          <w:szCs w:val="22"/>
        </w:rPr>
        <w:t xml:space="preserve"> </w:t>
      </w:r>
      <w:r w:rsidRPr="0047462D">
        <w:rPr>
          <w:kern w:val="1"/>
          <w:sz w:val="22"/>
          <w:szCs w:val="22"/>
        </w:rPr>
        <w:t xml:space="preserve">με ισχυρούς επαγωγείς του </w:t>
      </w:r>
      <w:r w:rsidRPr="0047462D">
        <w:rPr>
          <w:sz w:val="22"/>
          <w:szCs w:val="22"/>
        </w:rPr>
        <w:t xml:space="preserve">CYP3A, όπως η ριφαμπικίνη, η ριφαμπουτίνη, η φαινοβαρβιτάλη, η καρβαμαζεπίνη, η φαινυτοΐνη και το St. John’s </w:t>
      </w:r>
      <w:r w:rsidRPr="0047462D">
        <w:rPr>
          <w:sz w:val="22"/>
          <w:szCs w:val="22"/>
          <w:lang w:val="en-US"/>
        </w:rPr>
        <w:t>w</w:t>
      </w:r>
      <w:r w:rsidRPr="0047462D">
        <w:rPr>
          <w:sz w:val="22"/>
          <w:szCs w:val="22"/>
        </w:rPr>
        <w:t>ort (</w:t>
      </w:r>
      <w:r w:rsidRPr="0047462D">
        <w:rPr>
          <w:rStyle w:val="Emphasis"/>
          <w:sz w:val="22"/>
          <w:szCs w:val="22"/>
        </w:rPr>
        <w:t xml:space="preserve">Υπερικόν το διάτρητον, </w:t>
      </w:r>
      <w:r w:rsidRPr="0047462D">
        <w:rPr>
          <w:i/>
          <w:sz w:val="22"/>
          <w:szCs w:val="22"/>
        </w:rPr>
        <w:t>Hypericum perforatum</w:t>
      </w:r>
      <w:r w:rsidRPr="0047462D">
        <w:rPr>
          <w:sz w:val="22"/>
          <w:szCs w:val="22"/>
        </w:rPr>
        <w:t>), δεν συνιστάται (βλ. παράγραφο</w:t>
      </w:r>
      <w:r w:rsidRPr="0047462D">
        <w:rPr>
          <w:sz w:val="22"/>
          <w:szCs w:val="22"/>
          <w:lang w:val="en-GB"/>
        </w:rPr>
        <w:t> </w:t>
      </w:r>
      <w:r w:rsidRPr="0047462D">
        <w:rPr>
          <w:sz w:val="22"/>
          <w:szCs w:val="22"/>
        </w:rPr>
        <w:t xml:space="preserve">4.4). </w:t>
      </w:r>
    </w:p>
    <w:p w14:paraId="43F13ED7" w14:textId="77777777" w:rsidR="002A61C2" w:rsidRPr="0047462D" w:rsidRDefault="002A61C2" w:rsidP="002A61C2">
      <w:pPr>
        <w:pStyle w:val="big"/>
        <w:spacing w:before="0" w:beforeAutospacing="0" w:after="0" w:afterAutospacing="0"/>
        <w:rPr>
          <w:bCs/>
          <w:sz w:val="22"/>
          <w:szCs w:val="22"/>
        </w:rPr>
      </w:pPr>
    </w:p>
    <w:p w14:paraId="19049CE4" w14:textId="48116723" w:rsidR="002A61C2" w:rsidRPr="0047462D" w:rsidRDefault="000375A7" w:rsidP="002A61C2">
      <w:pPr>
        <w:pStyle w:val="12"/>
        <w:rPr>
          <w:bCs/>
          <w:sz w:val="22"/>
          <w:szCs w:val="22"/>
        </w:rPr>
      </w:pPr>
      <w:r w:rsidRPr="0047462D">
        <w:rPr>
          <w:bCs/>
          <w:sz w:val="22"/>
          <w:szCs w:val="22"/>
        </w:rPr>
        <w:t xml:space="preserve">Δεν συνιστάται προσαρμογή της δόσης </w:t>
      </w:r>
      <w:r w:rsidR="0034098A" w:rsidRPr="0047462D">
        <w:rPr>
          <w:bCs/>
          <w:sz w:val="22"/>
          <w:szCs w:val="22"/>
        </w:rPr>
        <w:t xml:space="preserve">όταν το </w:t>
      </w:r>
      <w:r w:rsidR="008C4AFC" w:rsidRPr="0047462D">
        <w:rPr>
          <w:bCs/>
          <w:sz w:val="22"/>
          <w:szCs w:val="22"/>
          <w:lang w:val="en-US"/>
        </w:rPr>
        <w:t>ivacaftor</w:t>
      </w:r>
      <w:r w:rsidR="008C4AFC" w:rsidRPr="00F93ECE">
        <w:rPr>
          <w:bCs/>
          <w:sz w:val="22"/>
          <w:szCs w:val="22"/>
        </w:rPr>
        <w:t xml:space="preserve"> </w:t>
      </w:r>
      <w:r w:rsidR="0034098A" w:rsidRPr="0047462D">
        <w:rPr>
          <w:bCs/>
          <w:sz w:val="22"/>
          <w:szCs w:val="22"/>
        </w:rPr>
        <w:t xml:space="preserve">χρησιμοποιείται </w:t>
      </w:r>
      <w:r w:rsidRPr="0047462D">
        <w:rPr>
          <w:bCs/>
          <w:sz w:val="22"/>
          <w:szCs w:val="22"/>
        </w:rPr>
        <w:t xml:space="preserve">με μέτριους </w:t>
      </w:r>
      <w:r w:rsidR="0034098A" w:rsidRPr="0047462D">
        <w:rPr>
          <w:bCs/>
          <w:sz w:val="22"/>
          <w:szCs w:val="22"/>
        </w:rPr>
        <w:t xml:space="preserve">ή ασθενείς </w:t>
      </w:r>
      <w:r w:rsidRPr="0047462D">
        <w:rPr>
          <w:bCs/>
          <w:sz w:val="22"/>
          <w:szCs w:val="22"/>
        </w:rPr>
        <w:t>επαγωγείς του</w:t>
      </w:r>
      <w:r w:rsidRPr="0047462D">
        <w:rPr>
          <w:sz w:val="22"/>
          <w:szCs w:val="22"/>
        </w:rPr>
        <w:t xml:space="preserve"> CYP3A.</w:t>
      </w:r>
    </w:p>
    <w:p w14:paraId="6103A80C" w14:textId="77777777" w:rsidR="002A61C2" w:rsidRPr="0047462D" w:rsidRDefault="002A61C2" w:rsidP="002A61C2">
      <w:pPr>
        <w:pStyle w:val="12"/>
        <w:rPr>
          <w:sz w:val="22"/>
          <w:szCs w:val="22"/>
        </w:rPr>
      </w:pPr>
    </w:p>
    <w:p w14:paraId="6452D0AA" w14:textId="047356FA" w:rsidR="001C01B6" w:rsidRPr="0047462D" w:rsidRDefault="001C01B6" w:rsidP="001C01B6">
      <w:pPr>
        <w:pStyle w:val="labeltext"/>
        <w:keepNext/>
        <w:rPr>
          <w:rFonts w:eastAsia="Times New Roman"/>
          <w:i/>
          <w:iCs/>
          <w:sz w:val="22"/>
          <w:szCs w:val="22"/>
          <w:lang w:val="el-GR"/>
        </w:rPr>
      </w:pPr>
      <w:r w:rsidRPr="0047462D">
        <w:rPr>
          <w:rFonts w:eastAsia="Times New Roman"/>
          <w:i/>
          <w:iCs/>
          <w:sz w:val="22"/>
          <w:szCs w:val="22"/>
          <w:lang w:val="el-GR"/>
        </w:rPr>
        <w:t xml:space="preserve">Αναστολείς </w:t>
      </w:r>
      <w:r w:rsidR="00246C09" w:rsidRPr="0047462D">
        <w:rPr>
          <w:rFonts w:eastAsia="Times New Roman"/>
          <w:i/>
          <w:iCs/>
          <w:sz w:val="22"/>
          <w:szCs w:val="22"/>
          <w:lang w:val="el-GR"/>
        </w:rPr>
        <w:t xml:space="preserve">του </w:t>
      </w:r>
      <w:r w:rsidRPr="0047462D">
        <w:rPr>
          <w:rFonts w:eastAsia="Times New Roman"/>
          <w:i/>
          <w:iCs/>
          <w:sz w:val="22"/>
          <w:szCs w:val="22"/>
          <w:lang w:val="el-GR"/>
        </w:rPr>
        <w:t>CYP3A</w:t>
      </w:r>
    </w:p>
    <w:p w14:paraId="57DC6021" w14:textId="77777777" w:rsidR="00735E43" w:rsidRPr="0047462D" w:rsidRDefault="00735E43" w:rsidP="001C01B6">
      <w:pPr>
        <w:pStyle w:val="labeltext"/>
        <w:keepNext/>
        <w:rPr>
          <w:rFonts w:eastAsia="Times New Roman"/>
          <w:i/>
          <w:iCs/>
          <w:sz w:val="22"/>
          <w:szCs w:val="22"/>
          <w:lang w:val="el-GR"/>
        </w:rPr>
      </w:pPr>
    </w:p>
    <w:p w14:paraId="581BF0B5" w14:textId="5EAE9469"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Το </w:t>
      </w:r>
      <w:r w:rsidR="00FC4B86" w:rsidRPr="0047462D">
        <w:rPr>
          <w:rFonts w:eastAsia="Times New Roman"/>
          <w:sz w:val="22"/>
          <w:szCs w:val="22"/>
        </w:rPr>
        <w:t>i</w:t>
      </w:r>
      <w:r w:rsidRPr="0047462D">
        <w:rPr>
          <w:rFonts w:eastAsia="Times New Roman"/>
          <w:sz w:val="22"/>
          <w:szCs w:val="22"/>
          <w:lang w:val="el-GR"/>
        </w:rPr>
        <w:t>vacaftor είναι ένα ευαίσθητο υπόστρωμα του CYP3A. Η συγχορήγηση με κετοκοναζόλη, έναν ισχυρό αναστολέα του CYP3A, αύξησε την έκθεση σε ivacaftor (που μετριέται ως περιοχή υπό τη</w:t>
      </w:r>
      <w:r w:rsidR="00AB2762" w:rsidRPr="0047462D">
        <w:rPr>
          <w:rFonts w:eastAsia="Times New Roman"/>
          <w:sz w:val="22"/>
          <w:szCs w:val="22"/>
          <w:lang w:val="el-GR"/>
        </w:rPr>
        <w:t>ν</w:t>
      </w:r>
      <w:r w:rsidRPr="0047462D">
        <w:rPr>
          <w:rFonts w:eastAsia="Times New Roman"/>
          <w:sz w:val="22"/>
          <w:szCs w:val="22"/>
          <w:lang w:val="el-GR"/>
        </w:rPr>
        <w:t xml:space="preserve"> καμπύλη [AUC]) κατά 8,5</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141D20" w:rsidRPr="0047462D">
        <w:rPr>
          <w:rFonts w:eastAsia="Times New Roman"/>
          <w:sz w:val="22"/>
          <w:szCs w:val="22"/>
          <w:lang w:val="el-GR"/>
        </w:rPr>
        <w:t>την έκθεση σ</w:t>
      </w:r>
      <w:r w:rsidR="00FA4F12" w:rsidRPr="0047462D">
        <w:rPr>
          <w:rFonts w:eastAsia="Times New Roman"/>
          <w:sz w:val="22"/>
          <w:szCs w:val="22"/>
          <w:lang w:val="el-GR"/>
        </w:rPr>
        <w:t>το</w:t>
      </w:r>
      <w:r w:rsidRPr="0047462D">
        <w:rPr>
          <w:rFonts w:eastAsia="Times New Roman"/>
          <w:sz w:val="22"/>
          <w:szCs w:val="22"/>
          <w:lang w:val="el-GR"/>
        </w:rPr>
        <w:t xml:space="preserve"> M1 σε μικρότερο βαθμό από ό,τι </w:t>
      </w:r>
      <w:r w:rsidR="000F034D" w:rsidRPr="0047462D">
        <w:rPr>
          <w:rFonts w:eastAsia="Times New Roman"/>
          <w:sz w:val="22"/>
          <w:szCs w:val="22"/>
          <w:lang w:val="el-GR"/>
        </w:rPr>
        <w:t>την έκθεση σ</w:t>
      </w:r>
      <w:r w:rsidRPr="0047462D">
        <w:rPr>
          <w:rFonts w:eastAsia="Times New Roman"/>
          <w:sz w:val="22"/>
          <w:szCs w:val="22"/>
          <w:lang w:val="el-GR"/>
        </w:rPr>
        <w:t xml:space="preserve">το ivacaftor. Συνιστάται μείωση της δόσης του </w:t>
      </w:r>
      <w:r w:rsidR="008C4AFC" w:rsidRPr="0047462D">
        <w:rPr>
          <w:rFonts w:eastAsia="Times New Roman"/>
          <w:sz w:val="22"/>
          <w:szCs w:val="22"/>
          <w:lang w:val="el-GR"/>
        </w:rPr>
        <w:t xml:space="preserve">ivacaftor </w:t>
      </w:r>
      <w:r w:rsidRPr="0047462D">
        <w:rPr>
          <w:rFonts w:eastAsia="Times New Roman"/>
          <w:sz w:val="22"/>
          <w:szCs w:val="22"/>
          <w:lang w:val="el-GR"/>
        </w:rPr>
        <w:t>για συγχορήγηση με ισχυρούς αναστολείς του CYP3A, όπως η κετοκοναζόλη, η ιτρακοναζόλη, η ποσακοναζόλη, η βορικοναζόλη, η τελιθρομυκίνη και η κλαριθρομυκίνη</w:t>
      </w:r>
      <w:r w:rsidR="00DD5F09" w:rsidRPr="0047462D">
        <w:rPr>
          <w:rFonts w:eastAsia="Times New Roman"/>
          <w:sz w:val="22"/>
          <w:szCs w:val="22"/>
          <w:lang w:val="el-GR"/>
        </w:rPr>
        <w:t xml:space="preserve"> (βλ. παραγράφους</w:t>
      </w:r>
      <w:r w:rsidR="00DD5F09" w:rsidRPr="0047462D">
        <w:rPr>
          <w:rFonts w:eastAsia="Times New Roman"/>
          <w:sz w:val="22"/>
          <w:szCs w:val="22"/>
          <w:lang w:val="en-GB"/>
        </w:rPr>
        <w:t> </w:t>
      </w:r>
      <w:r w:rsidR="00DD5F09" w:rsidRPr="0047462D">
        <w:rPr>
          <w:rFonts w:eastAsia="Times New Roman"/>
          <w:sz w:val="22"/>
          <w:szCs w:val="22"/>
          <w:lang w:val="el-GR"/>
        </w:rPr>
        <w:t>4.2 και 4.4)</w:t>
      </w:r>
      <w:r w:rsidRPr="0047462D">
        <w:rPr>
          <w:rFonts w:eastAsia="Times New Roman"/>
          <w:sz w:val="22"/>
          <w:szCs w:val="22"/>
          <w:lang w:val="el-GR"/>
        </w:rPr>
        <w:t>.</w:t>
      </w:r>
    </w:p>
    <w:p w14:paraId="42EE3F9F" w14:textId="77777777" w:rsidR="001C01B6" w:rsidRPr="0047462D" w:rsidRDefault="001C01B6" w:rsidP="001C01B6">
      <w:pPr>
        <w:pStyle w:val="labeltext"/>
        <w:rPr>
          <w:rFonts w:eastAsia="Times New Roman"/>
          <w:sz w:val="22"/>
          <w:szCs w:val="22"/>
          <w:lang w:val="el-GR"/>
        </w:rPr>
      </w:pPr>
    </w:p>
    <w:p w14:paraId="490B97DE" w14:textId="7FD921A6" w:rsidR="001C01B6" w:rsidRPr="0047462D" w:rsidRDefault="001C01B6" w:rsidP="00BE430D">
      <w:pPr>
        <w:pStyle w:val="labeltext"/>
        <w:rPr>
          <w:sz w:val="22"/>
          <w:szCs w:val="22"/>
          <w:u w:val="single"/>
          <w:lang w:val="el-GR"/>
        </w:rPr>
      </w:pPr>
      <w:r w:rsidRPr="0047462D">
        <w:rPr>
          <w:rFonts w:eastAsia="Times New Roman"/>
          <w:sz w:val="22"/>
          <w:szCs w:val="22"/>
          <w:lang w:val="el-GR"/>
        </w:rPr>
        <w:t>Η συγχορήγηση με φλουκοναζόλη, ένα</w:t>
      </w:r>
      <w:r w:rsidR="00246C09" w:rsidRPr="0047462D">
        <w:rPr>
          <w:rFonts w:eastAsia="Times New Roman"/>
          <w:sz w:val="22"/>
          <w:szCs w:val="22"/>
          <w:lang w:val="el-GR"/>
        </w:rPr>
        <w:t>ν</w:t>
      </w:r>
      <w:r w:rsidRPr="0047462D">
        <w:rPr>
          <w:rFonts w:eastAsia="Times New Roman"/>
          <w:sz w:val="22"/>
          <w:szCs w:val="22"/>
          <w:lang w:val="el-GR"/>
        </w:rPr>
        <w:t xml:space="preserve"> </w:t>
      </w:r>
      <w:r w:rsidR="00B02A9F" w:rsidRPr="0047462D">
        <w:rPr>
          <w:rFonts w:eastAsia="Times New Roman"/>
          <w:sz w:val="22"/>
          <w:szCs w:val="22"/>
          <w:lang w:val="el-GR"/>
        </w:rPr>
        <w:t>μέτριο</w:t>
      </w:r>
      <w:r w:rsidRPr="0047462D">
        <w:rPr>
          <w:rFonts w:eastAsia="Times New Roman"/>
          <w:sz w:val="22"/>
          <w:szCs w:val="22"/>
          <w:lang w:val="el-GR"/>
        </w:rPr>
        <w:t xml:space="preserve"> αναστολέα του CYP3A, αύξησε την έκθεση σε ivacaftor κατά 3</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0F034D" w:rsidRPr="0047462D">
        <w:rPr>
          <w:rFonts w:eastAsia="Times New Roman"/>
          <w:sz w:val="22"/>
          <w:szCs w:val="22"/>
          <w:lang w:val="el-GR"/>
        </w:rPr>
        <w:t>την έκθεση σ</w:t>
      </w:r>
      <w:r w:rsidR="00FA4F12" w:rsidRPr="0047462D">
        <w:rPr>
          <w:rFonts w:eastAsia="Times New Roman"/>
          <w:sz w:val="22"/>
          <w:szCs w:val="22"/>
          <w:lang w:val="el-GR"/>
        </w:rPr>
        <w:t>το</w:t>
      </w:r>
      <w:r w:rsidRPr="0047462D">
        <w:rPr>
          <w:rFonts w:eastAsia="Times New Roman"/>
          <w:sz w:val="22"/>
          <w:szCs w:val="22"/>
          <w:lang w:val="el-GR"/>
        </w:rPr>
        <w:t xml:space="preserve"> M1 σε μικρότερο βαθμό από ό,τι </w:t>
      </w:r>
      <w:r w:rsidR="000F034D" w:rsidRPr="0047462D">
        <w:rPr>
          <w:rFonts w:eastAsia="Times New Roman"/>
          <w:sz w:val="22"/>
          <w:szCs w:val="22"/>
          <w:lang w:val="el-GR"/>
        </w:rPr>
        <w:t>την έκθεση σ</w:t>
      </w:r>
      <w:r w:rsidRPr="0047462D">
        <w:rPr>
          <w:rFonts w:eastAsia="Times New Roman"/>
          <w:sz w:val="22"/>
          <w:szCs w:val="22"/>
          <w:lang w:val="el-GR"/>
        </w:rPr>
        <w:t>το ivacaftor. Συνιστάται με</w:t>
      </w:r>
      <w:r w:rsidR="00BE430D" w:rsidRPr="0047462D">
        <w:rPr>
          <w:rFonts w:eastAsia="Times New Roman"/>
          <w:sz w:val="22"/>
          <w:szCs w:val="22"/>
          <w:lang w:val="el-GR"/>
        </w:rPr>
        <w:t>ί</w:t>
      </w:r>
      <w:r w:rsidRPr="0047462D">
        <w:rPr>
          <w:rFonts w:eastAsia="Times New Roman"/>
          <w:sz w:val="22"/>
          <w:szCs w:val="22"/>
          <w:lang w:val="el-GR"/>
        </w:rPr>
        <w:t>ω</w:t>
      </w:r>
      <w:r w:rsidR="00BE430D" w:rsidRPr="0047462D">
        <w:rPr>
          <w:rFonts w:eastAsia="Times New Roman"/>
          <w:sz w:val="22"/>
          <w:szCs w:val="22"/>
          <w:lang w:val="el-GR"/>
        </w:rPr>
        <w:t>ση</w:t>
      </w:r>
      <w:r w:rsidRPr="0047462D">
        <w:rPr>
          <w:rFonts w:eastAsia="Times New Roman"/>
          <w:sz w:val="22"/>
          <w:szCs w:val="22"/>
          <w:lang w:val="el-GR"/>
        </w:rPr>
        <w:t xml:space="preserve"> </w:t>
      </w:r>
      <w:r w:rsidR="00BE430D" w:rsidRPr="0047462D">
        <w:rPr>
          <w:rFonts w:eastAsia="Times New Roman"/>
          <w:sz w:val="22"/>
          <w:szCs w:val="22"/>
          <w:lang w:val="el-GR"/>
        </w:rPr>
        <w:t>τ</w:t>
      </w:r>
      <w:r w:rsidRPr="0047462D">
        <w:rPr>
          <w:rFonts w:eastAsia="Times New Roman"/>
          <w:sz w:val="22"/>
          <w:szCs w:val="22"/>
          <w:lang w:val="el-GR"/>
        </w:rPr>
        <w:t>η</w:t>
      </w:r>
      <w:r w:rsidR="00BE430D" w:rsidRPr="0047462D">
        <w:rPr>
          <w:rFonts w:eastAsia="Times New Roman"/>
          <w:sz w:val="22"/>
          <w:szCs w:val="22"/>
          <w:lang w:val="el-GR"/>
        </w:rPr>
        <w:t>ς</w:t>
      </w:r>
      <w:r w:rsidRPr="0047462D">
        <w:rPr>
          <w:rFonts w:eastAsia="Times New Roman"/>
          <w:sz w:val="22"/>
          <w:szCs w:val="22"/>
          <w:lang w:val="el-GR"/>
        </w:rPr>
        <w:t xml:space="preserve"> δόση</w:t>
      </w:r>
      <w:r w:rsidR="00BE430D" w:rsidRPr="0047462D">
        <w:rPr>
          <w:rFonts w:eastAsia="Times New Roman"/>
          <w:sz w:val="22"/>
          <w:szCs w:val="22"/>
          <w:lang w:val="el-GR"/>
        </w:rPr>
        <w:t>ς</w:t>
      </w:r>
      <w:r w:rsidRPr="0047462D">
        <w:rPr>
          <w:rFonts w:eastAsia="Times New Roman"/>
          <w:sz w:val="22"/>
          <w:szCs w:val="22"/>
          <w:lang w:val="el-GR"/>
        </w:rPr>
        <w:t xml:space="preserve"> του </w:t>
      </w:r>
      <w:r w:rsidR="008C4AFC" w:rsidRPr="0047462D">
        <w:rPr>
          <w:rFonts w:eastAsia="Times New Roman"/>
          <w:sz w:val="22"/>
          <w:szCs w:val="22"/>
          <w:lang w:val="el-GR"/>
        </w:rPr>
        <w:t xml:space="preserve">ivacaftor </w:t>
      </w:r>
      <w:r w:rsidRPr="0047462D">
        <w:rPr>
          <w:rFonts w:eastAsia="Times New Roman"/>
          <w:sz w:val="22"/>
          <w:szCs w:val="22"/>
          <w:lang w:val="el-GR"/>
        </w:rPr>
        <w:t xml:space="preserve">για ασθενείς που λαμβάνουν ταυτόχρονα </w:t>
      </w:r>
      <w:r w:rsidR="00B02A9F" w:rsidRPr="0047462D">
        <w:rPr>
          <w:rFonts w:eastAsia="Times New Roman"/>
          <w:sz w:val="22"/>
          <w:szCs w:val="22"/>
          <w:lang w:val="el-GR"/>
        </w:rPr>
        <w:t>μέτριους</w:t>
      </w:r>
      <w:r w:rsidRPr="0047462D">
        <w:rPr>
          <w:rFonts w:eastAsia="Times New Roman"/>
          <w:sz w:val="22"/>
          <w:szCs w:val="22"/>
          <w:lang w:val="el-GR"/>
        </w:rPr>
        <w:t xml:space="preserve"> αναστολείς του CYP3A, όπως η φλουκοναζόλη</w:t>
      </w:r>
      <w:r w:rsidR="008C4AFC" w:rsidRPr="0047462D">
        <w:rPr>
          <w:rFonts w:eastAsia="Times New Roman"/>
          <w:sz w:val="22"/>
          <w:szCs w:val="22"/>
          <w:lang w:val="el-GR"/>
        </w:rPr>
        <w:t>,</w:t>
      </w:r>
      <w:r w:rsidRPr="0047462D">
        <w:rPr>
          <w:rFonts w:eastAsia="Times New Roman"/>
          <w:sz w:val="22"/>
          <w:szCs w:val="22"/>
          <w:lang w:val="el-GR"/>
        </w:rPr>
        <w:t xml:space="preserve"> η ερυθρομυκίνη</w:t>
      </w:r>
      <w:r w:rsidR="008C4AFC" w:rsidRPr="00F93ECE">
        <w:rPr>
          <w:rFonts w:eastAsia="Times New Roman"/>
          <w:sz w:val="22"/>
          <w:szCs w:val="22"/>
          <w:lang w:val="el-GR"/>
        </w:rPr>
        <w:t xml:space="preserve"> </w:t>
      </w:r>
      <w:r w:rsidR="008C4AFC" w:rsidRPr="0047462D">
        <w:rPr>
          <w:rFonts w:eastAsia="Times New Roman"/>
          <w:sz w:val="22"/>
          <w:szCs w:val="22"/>
          <w:lang w:val="el-GR"/>
        </w:rPr>
        <w:t>και η βεραπαμίλη</w:t>
      </w:r>
      <w:r w:rsidR="00DD5F09" w:rsidRPr="0047462D">
        <w:rPr>
          <w:rFonts w:eastAsia="Times New Roman"/>
          <w:sz w:val="22"/>
          <w:szCs w:val="22"/>
          <w:lang w:val="el-GR"/>
        </w:rPr>
        <w:t xml:space="preserve"> (βλ. παραγράφους</w:t>
      </w:r>
      <w:r w:rsidR="00DD5F09" w:rsidRPr="0047462D">
        <w:rPr>
          <w:rFonts w:eastAsia="Times New Roman"/>
          <w:sz w:val="22"/>
          <w:szCs w:val="22"/>
          <w:lang w:val="en-GB"/>
        </w:rPr>
        <w:t> </w:t>
      </w:r>
      <w:r w:rsidR="00DD5F09" w:rsidRPr="0047462D">
        <w:rPr>
          <w:rFonts w:eastAsia="Times New Roman"/>
          <w:sz w:val="22"/>
          <w:szCs w:val="22"/>
          <w:lang w:val="el-GR"/>
        </w:rPr>
        <w:t>4.2 και 4.4)</w:t>
      </w:r>
      <w:r w:rsidRPr="0047462D">
        <w:rPr>
          <w:rFonts w:eastAsia="Times New Roman"/>
          <w:sz w:val="22"/>
          <w:szCs w:val="22"/>
          <w:lang w:val="el-GR"/>
        </w:rPr>
        <w:t xml:space="preserve">. </w:t>
      </w:r>
    </w:p>
    <w:p w14:paraId="5CCE0912" w14:textId="77777777" w:rsidR="001C01B6" w:rsidRPr="0047462D" w:rsidRDefault="001C01B6" w:rsidP="001C01B6">
      <w:pPr>
        <w:pStyle w:val="labeltext"/>
        <w:rPr>
          <w:sz w:val="22"/>
          <w:szCs w:val="22"/>
          <w:u w:val="single"/>
          <w:lang w:val="el-GR"/>
        </w:rPr>
      </w:pPr>
    </w:p>
    <w:p w14:paraId="673EE72E" w14:textId="4BD5BC18" w:rsidR="001C01B6" w:rsidRPr="0047462D" w:rsidRDefault="001C01B6" w:rsidP="001C01B6">
      <w:pPr>
        <w:pStyle w:val="labeltext"/>
        <w:rPr>
          <w:sz w:val="22"/>
          <w:szCs w:val="22"/>
          <w:u w:val="single"/>
          <w:lang w:val="el-GR"/>
        </w:rPr>
      </w:pPr>
      <w:r w:rsidRPr="0047462D">
        <w:rPr>
          <w:rFonts w:eastAsia="Times New Roman"/>
          <w:sz w:val="22"/>
          <w:szCs w:val="22"/>
          <w:lang w:val="el-GR"/>
        </w:rPr>
        <w:t xml:space="preserve">Η συγχορήγηση του </w:t>
      </w:r>
      <w:r w:rsidRPr="0047462D">
        <w:rPr>
          <w:sz w:val="22"/>
          <w:szCs w:val="22"/>
          <w:lang w:val="en-GB"/>
        </w:rPr>
        <w:t>ivacaftor</w:t>
      </w:r>
      <w:r w:rsidRPr="0047462D">
        <w:rPr>
          <w:rFonts w:eastAsia="Times New Roman"/>
          <w:sz w:val="22"/>
          <w:szCs w:val="22"/>
          <w:lang w:val="el-GR"/>
        </w:rPr>
        <w:t xml:space="preserve"> με χυμό γκρέιπφρουτ, ο οποίος περιέχει ένα ή περισσότερα συστατικά που αναστέλλουν μετρίως το CYP3A, μπορεί να αυξήσει την έκθεση στο ivacaftor. Θα πρέπει να αποφεύγονται τροφές </w:t>
      </w:r>
      <w:r w:rsidR="00221812" w:rsidRPr="0047462D">
        <w:rPr>
          <w:rFonts w:eastAsia="Times New Roman"/>
          <w:sz w:val="22"/>
          <w:szCs w:val="22"/>
          <w:lang w:val="el-GR"/>
        </w:rPr>
        <w:t>ή</w:t>
      </w:r>
      <w:r w:rsidR="006928B9" w:rsidRPr="0047462D">
        <w:rPr>
          <w:rFonts w:eastAsia="Times New Roman"/>
          <w:sz w:val="22"/>
          <w:szCs w:val="22"/>
          <w:lang w:val="el-GR"/>
        </w:rPr>
        <w:t xml:space="preserve"> ποτά </w:t>
      </w:r>
      <w:r w:rsidRPr="0047462D">
        <w:rPr>
          <w:rFonts w:eastAsia="Times New Roman"/>
          <w:sz w:val="22"/>
          <w:szCs w:val="22"/>
          <w:lang w:val="el-GR"/>
        </w:rPr>
        <w:t xml:space="preserve">που περιέχουν γκρέιπφρουτ κατά τη θεραπεία με </w:t>
      </w:r>
      <w:r w:rsidR="008C4AFC" w:rsidRPr="0047462D">
        <w:rPr>
          <w:sz w:val="22"/>
          <w:szCs w:val="22"/>
          <w:lang w:val="en-GB"/>
        </w:rPr>
        <w:t>ivacaftor</w:t>
      </w:r>
      <w:r w:rsidR="008C4AFC" w:rsidRPr="00F93ECE">
        <w:rPr>
          <w:sz w:val="22"/>
          <w:szCs w:val="22"/>
          <w:lang w:val="el-GR"/>
        </w:rPr>
        <w:t xml:space="preserve"> </w:t>
      </w:r>
      <w:r w:rsidR="00DD5F09" w:rsidRPr="0047462D">
        <w:rPr>
          <w:rFonts w:eastAsia="Times New Roman"/>
          <w:sz w:val="22"/>
          <w:szCs w:val="22"/>
          <w:lang w:val="el-GR"/>
        </w:rPr>
        <w:t>(βλ. παράγραφο</w:t>
      </w:r>
      <w:r w:rsidR="00DD5F09" w:rsidRPr="0047462D">
        <w:rPr>
          <w:rFonts w:eastAsia="Times New Roman"/>
          <w:sz w:val="22"/>
          <w:szCs w:val="22"/>
          <w:lang w:val="en-GB"/>
        </w:rPr>
        <w:t> </w:t>
      </w:r>
      <w:r w:rsidR="00DD5F09" w:rsidRPr="0047462D">
        <w:rPr>
          <w:rFonts w:eastAsia="Times New Roman"/>
          <w:sz w:val="22"/>
          <w:szCs w:val="22"/>
          <w:lang w:val="el-GR"/>
        </w:rPr>
        <w:t>4.2)</w:t>
      </w:r>
      <w:r w:rsidRPr="0047462D">
        <w:rPr>
          <w:rFonts w:eastAsia="Times New Roman"/>
          <w:sz w:val="22"/>
          <w:szCs w:val="22"/>
          <w:lang w:val="el-GR"/>
        </w:rPr>
        <w:t>.</w:t>
      </w:r>
    </w:p>
    <w:p w14:paraId="7337C246" w14:textId="6BF89FD2" w:rsidR="001C01B6" w:rsidRPr="0047462D" w:rsidRDefault="001C01B6" w:rsidP="001C01B6">
      <w:pPr>
        <w:pStyle w:val="labeltext"/>
        <w:rPr>
          <w:sz w:val="22"/>
          <w:szCs w:val="22"/>
          <w:u w:val="single"/>
          <w:lang w:val="el-GR"/>
        </w:rPr>
      </w:pPr>
    </w:p>
    <w:p w14:paraId="1E628FF7" w14:textId="77777777" w:rsidR="008C4AFC" w:rsidRPr="00302790" w:rsidRDefault="008C4AFC" w:rsidP="008C4AFC">
      <w:pPr>
        <w:keepNext/>
        <w:rPr>
          <w:rFonts w:eastAsia="MS Mincho"/>
          <w:bCs/>
          <w:i/>
          <w:iCs/>
          <w:szCs w:val="22"/>
          <w:lang w:eastAsia="ja-JP"/>
        </w:rPr>
      </w:pPr>
      <w:r w:rsidRPr="00302790">
        <w:rPr>
          <w:rFonts w:eastAsia="MS Mincho"/>
          <w:bCs/>
          <w:i/>
          <w:iCs/>
          <w:szCs w:val="22"/>
          <w:lang w:eastAsia="ja-JP"/>
        </w:rPr>
        <w:t>Πιθανότητα αλληλεπίδρασης του ivacaftor με μεταφορείς</w:t>
      </w:r>
    </w:p>
    <w:p w14:paraId="4639CB40" w14:textId="77777777" w:rsidR="008C4AFC" w:rsidRPr="0047462D" w:rsidRDefault="008C4AFC" w:rsidP="008C4AFC">
      <w:pPr>
        <w:keepNext/>
        <w:rPr>
          <w:rFonts w:eastAsia="MS Mincho"/>
          <w:bCs/>
          <w:szCs w:val="22"/>
          <w:lang w:eastAsia="ja-JP"/>
        </w:rPr>
      </w:pPr>
    </w:p>
    <w:p w14:paraId="32372BE5" w14:textId="64E2DB8F" w:rsidR="008C4AFC" w:rsidRPr="0047462D" w:rsidRDefault="008C4AFC" w:rsidP="008C4AFC">
      <w:pPr>
        <w:rPr>
          <w:rFonts w:eastAsia="MS Mincho"/>
          <w:bCs/>
          <w:szCs w:val="22"/>
          <w:lang w:eastAsia="ja-JP"/>
        </w:rPr>
      </w:pPr>
      <w:r w:rsidRPr="0047462D">
        <w:rPr>
          <w:rFonts w:eastAsia="MS Mincho"/>
          <w:bCs/>
          <w:szCs w:val="22"/>
          <w:lang w:eastAsia="ja-JP"/>
        </w:rPr>
        <w:t xml:space="preserve">Μελέτες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έδειξαν </w:t>
      </w:r>
      <w:r w:rsidRPr="0047462D">
        <w:rPr>
          <w:rFonts w:eastAsia="Times New Roman"/>
          <w:szCs w:val="22"/>
        </w:rPr>
        <w:t>ότι το ivacaftor δεν είναι υπόστρωμα</w:t>
      </w:r>
      <w:r w:rsidRPr="0047462D">
        <w:rPr>
          <w:rFonts w:eastAsia="MS Mincho"/>
          <w:bCs/>
          <w:szCs w:val="22"/>
          <w:lang w:eastAsia="ja-JP"/>
        </w:rPr>
        <w:t xml:space="preserve"> του OATP1B1 ή του OATP1B3. Το </w:t>
      </w:r>
      <w:r w:rsidRPr="0047462D">
        <w:rPr>
          <w:rFonts w:eastAsia="MS Mincho"/>
          <w:bCs/>
          <w:szCs w:val="22"/>
          <w:lang w:val="en-US" w:eastAsia="ja-JP"/>
        </w:rPr>
        <w:t>i</w:t>
      </w:r>
      <w:r w:rsidRPr="0047462D">
        <w:rPr>
          <w:rFonts w:eastAsia="MS Mincho"/>
          <w:bCs/>
          <w:szCs w:val="22"/>
          <w:lang w:eastAsia="ja-JP"/>
        </w:rPr>
        <w:t xml:space="preserve">vacaftor και οι μεταβολίτες του είναι υποστρώματα της BCRP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w:t>
      </w:r>
      <w:r w:rsidRPr="0047462D">
        <w:t>Λόγω της υψηλής ενδογενούς διαπερατότητάς του και της μικρής πιθανότητας να απεκκρίνεται άθικτο, η συγχορήγηση αναστολέων της BCRP δεν αναμένεται να μεταβάλει την έκθεση στο ivacaftor και τον M1</w:t>
      </w:r>
      <w:r w:rsidR="00107CBC" w:rsidRPr="0047462D">
        <w:noBreakHyphen/>
      </w:r>
      <w:r w:rsidRPr="0047462D">
        <w:t>IVA, ενώ τυχόν δυνητικές μεταβολές στις εκθέσεις στον M6</w:t>
      </w:r>
      <w:r w:rsidR="00107CBC" w:rsidRPr="00F93ECE">
        <w:noBreakHyphen/>
      </w:r>
      <w:r w:rsidRPr="0047462D">
        <w:t>IVA δεν αναμένεται να είναι κλινικά σημαντικές</w:t>
      </w:r>
      <w:r w:rsidRPr="0047462D">
        <w:rPr>
          <w:rFonts w:eastAsia="MS Mincho"/>
          <w:bCs/>
          <w:szCs w:val="22"/>
          <w:lang w:eastAsia="ja-JP"/>
        </w:rPr>
        <w:t>.</w:t>
      </w:r>
    </w:p>
    <w:p w14:paraId="3C183A4B" w14:textId="77777777" w:rsidR="008C4AFC" w:rsidRPr="0047462D" w:rsidRDefault="008C4AFC" w:rsidP="001C01B6">
      <w:pPr>
        <w:pStyle w:val="labeltext"/>
        <w:rPr>
          <w:sz w:val="22"/>
          <w:szCs w:val="22"/>
          <w:u w:val="single"/>
          <w:lang w:val="el-GR"/>
        </w:rPr>
      </w:pPr>
    </w:p>
    <w:p w14:paraId="3D24ED38" w14:textId="3C60AB61" w:rsidR="001C01B6" w:rsidRPr="0047462D" w:rsidRDefault="001C01B6" w:rsidP="001C01B6">
      <w:pPr>
        <w:pStyle w:val="12"/>
        <w:keepNext/>
        <w:rPr>
          <w:rFonts w:eastAsia="Times New Roman"/>
          <w:i/>
          <w:iCs/>
          <w:sz w:val="22"/>
          <w:szCs w:val="22"/>
        </w:rPr>
      </w:pPr>
      <w:r w:rsidRPr="0047462D">
        <w:rPr>
          <w:rFonts w:eastAsia="Times New Roman"/>
          <w:i/>
          <w:iCs/>
          <w:sz w:val="22"/>
          <w:szCs w:val="22"/>
        </w:rPr>
        <w:t>Σιπροφλοξασίνη</w:t>
      </w:r>
    </w:p>
    <w:p w14:paraId="639B7676" w14:textId="77777777" w:rsidR="00735E43" w:rsidRPr="0047462D" w:rsidRDefault="00735E43" w:rsidP="001C01B6">
      <w:pPr>
        <w:pStyle w:val="12"/>
        <w:keepNext/>
        <w:rPr>
          <w:rFonts w:eastAsia="Times New Roman"/>
          <w:i/>
          <w:iCs/>
          <w:sz w:val="22"/>
          <w:szCs w:val="22"/>
        </w:rPr>
      </w:pPr>
    </w:p>
    <w:p w14:paraId="4CAD4580" w14:textId="2CA9FE93" w:rsidR="001C01B6" w:rsidRPr="0047462D" w:rsidRDefault="001C01B6" w:rsidP="001C01B6">
      <w:pPr>
        <w:pStyle w:val="big"/>
        <w:spacing w:before="0" w:beforeAutospacing="0" w:after="0" w:afterAutospacing="0"/>
        <w:rPr>
          <w:bCs/>
          <w:sz w:val="22"/>
          <w:szCs w:val="22"/>
        </w:rPr>
      </w:pPr>
      <w:r w:rsidRPr="0047462D">
        <w:rPr>
          <w:sz w:val="22"/>
          <w:szCs w:val="22"/>
        </w:rPr>
        <w:t>Η συγχορήγηση της σιπροφλοξασίνης με ivacaftor δεν επηρέασε την έκθεση σε ivacaftor</w:t>
      </w:r>
      <w:r w:rsidRPr="0047462D">
        <w:rPr>
          <w:kern w:val="2"/>
          <w:sz w:val="22"/>
          <w:szCs w:val="22"/>
        </w:rPr>
        <w:t xml:space="preserve">. </w:t>
      </w:r>
      <w:r w:rsidRPr="0047462D">
        <w:rPr>
          <w:sz w:val="22"/>
          <w:szCs w:val="22"/>
        </w:rPr>
        <w:t xml:space="preserve">Δεν απαιτείται ρύθμιση της δόσης όταν το </w:t>
      </w:r>
      <w:r w:rsidR="008C4AFC" w:rsidRPr="0047462D">
        <w:rPr>
          <w:sz w:val="22"/>
          <w:szCs w:val="22"/>
        </w:rPr>
        <w:t xml:space="preserve">ivacaftor </w:t>
      </w:r>
      <w:r w:rsidRPr="0047462D">
        <w:rPr>
          <w:sz w:val="22"/>
          <w:szCs w:val="22"/>
        </w:rPr>
        <w:t>συγχορηγείται με σιπροφλοξασίνη.</w:t>
      </w:r>
    </w:p>
    <w:p w14:paraId="2E501645" w14:textId="77777777" w:rsidR="001C01B6" w:rsidRPr="0047462D" w:rsidRDefault="001C01B6" w:rsidP="001C01B6">
      <w:pPr>
        <w:pStyle w:val="12"/>
        <w:rPr>
          <w:sz w:val="22"/>
          <w:szCs w:val="22"/>
        </w:rPr>
      </w:pPr>
    </w:p>
    <w:p w14:paraId="51731594" w14:textId="0433F884" w:rsidR="001C01B6" w:rsidRPr="0047462D" w:rsidRDefault="001C01B6" w:rsidP="001C01B6">
      <w:pPr>
        <w:pStyle w:val="labeltext"/>
        <w:keepNext/>
        <w:rPr>
          <w:szCs w:val="22"/>
          <w:u w:val="single"/>
          <w:lang w:val="el-GR" w:eastAsia="en-US"/>
        </w:rPr>
      </w:pPr>
      <w:r w:rsidRPr="0047462D">
        <w:rPr>
          <w:rFonts w:eastAsia="Times New Roman"/>
          <w:iCs/>
          <w:sz w:val="22"/>
          <w:szCs w:val="22"/>
          <w:u w:val="single"/>
          <w:lang w:val="el-GR"/>
        </w:rPr>
        <w:t>Φαρμακευτικά προϊόντα που επηρεάζονται από το ivacaftor</w:t>
      </w:r>
    </w:p>
    <w:p w14:paraId="470FB7AA" w14:textId="77777777" w:rsidR="001C01B6" w:rsidRPr="0047462D" w:rsidRDefault="001C01B6">
      <w:pPr>
        <w:keepNext/>
        <w:rPr>
          <w:szCs w:val="22"/>
          <w:lang w:eastAsia="en-US"/>
        </w:rPr>
      </w:pPr>
    </w:p>
    <w:p w14:paraId="4105D9FC" w14:textId="7AB5B8C5" w:rsidR="00677D05" w:rsidRPr="0047462D" w:rsidRDefault="00677D05">
      <w:pPr>
        <w:keepNext/>
        <w:rPr>
          <w:szCs w:val="22"/>
          <w:lang w:eastAsia="en-US"/>
        </w:rPr>
      </w:pPr>
      <w:r w:rsidRPr="0047462D">
        <w:rPr>
          <w:szCs w:val="22"/>
          <w:lang w:eastAsia="en-US"/>
        </w:rPr>
        <w:t xml:space="preserve">Η χορήγηση του ivacaftor μπορεί να αυξήσει τη συστηματική έκθεση σε φαρμακευτικά προϊόντα που είναι ευαίσθητα υποστρώματα του </w:t>
      </w:r>
      <w:r w:rsidR="00FF22E2" w:rsidRPr="0047462D">
        <w:rPr>
          <w:szCs w:val="22"/>
          <w:lang w:eastAsia="en-US"/>
        </w:rPr>
        <w:t xml:space="preserve">CYP2C9 </w:t>
      </w:r>
      <w:r w:rsidRPr="0047462D">
        <w:rPr>
          <w:szCs w:val="22"/>
          <w:lang w:eastAsia="en-US"/>
        </w:rPr>
        <w:t>ή/και της P</w:t>
      </w:r>
      <w:r w:rsidR="00D51E51" w:rsidRPr="0047462D">
        <w:rPr>
          <w:szCs w:val="22"/>
        </w:rPr>
        <w:noBreakHyphen/>
      </w:r>
      <w:r w:rsidRPr="0047462D">
        <w:rPr>
          <w:szCs w:val="22"/>
          <w:lang w:eastAsia="en-US"/>
        </w:rPr>
        <w:t xml:space="preserve">gp ή/και του </w:t>
      </w:r>
      <w:r w:rsidR="00144A84" w:rsidRPr="0047462D">
        <w:rPr>
          <w:szCs w:val="22"/>
        </w:rPr>
        <w:t>CYP3A</w:t>
      </w:r>
      <w:r w:rsidRPr="0047462D">
        <w:rPr>
          <w:szCs w:val="22"/>
          <w:lang w:eastAsia="en-US"/>
        </w:rPr>
        <w:t>, πράγμα που μπορεί να αυξήσει ή να παρατείνει τη θεραπευτική τους επίδραση και τις ανεπιθύμητες ενέργειές τους.</w:t>
      </w:r>
    </w:p>
    <w:p w14:paraId="18888199" w14:textId="77777777" w:rsidR="00677D05" w:rsidRPr="0047462D" w:rsidRDefault="00677D05">
      <w:pPr>
        <w:keepNext/>
        <w:rPr>
          <w:szCs w:val="22"/>
          <w:lang w:eastAsia="en-US"/>
        </w:rPr>
      </w:pPr>
    </w:p>
    <w:p w14:paraId="47E09762" w14:textId="6F878F05" w:rsidR="0034098A" w:rsidRPr="0047462D" w:rsidRDefault="0034098A" w:rsidP="0034098A">
      <w:pPr>
        <w:keepNext/>
        <w:rPr>
          <w:i/>
          <w:iCs/>
        </w:rPr>
      </w:pPr>
      <w:r w:rsidRPr="0047462D">
        <w:rPr>
          <w:i/>
          <w:iCs/>
        </w:rPr>
        <w:t>Υποστρώματα του CYP2C9</w:t>
      </w:r>
    </w:p>
    <w:p w14:paraId="3E86A442" w14:textId="77777777" w:rsidR="001C2CBC" w:rsidRPr="0047462D" w:rsidRDefault="001C2CBC" w:rsidP="0034098A">
      <w:pPr>
        <w:keepNext/>
        <w:rPr>
          <w:rFonts w:eastAsia="Times New Roman"/>
          <w:i/>
          <w:iCs/>
          <w:szCs w:val="22"/>
          <w:lang w:eastAsia="en-US"/>
        </w:rPr>
      </w:pPr>
    </w:p>
    <w:p w14:paraId="0E1C6B6A" w14:textId="10980933" w:rsidR="0034098A" w:rsidRPr="0047462D" w:rsidRDefault="0034098A" w:rsidP="0034098A">
      <w:pPr>
        <w:rPr>
          <w:rFonts w:eastAsia="Times New Roman"/>
          <w:szCs w:val="22"/>
        </w:rPr>
      </w:pPr>
      <w:r w:rsidRPr="0047462D">
        <w:rPr>
          <w:szCs w:val="22"/>
        </w:rPr>
        <w:t xml:space="preserve">Το </w:t>
      </w:r>
      <w:r w:rsidRPr="0047462D">
        <w:rPr>
          <w:szCs w:val="22"/>
          <w:lang w:val="en-US"/>
        </w:rPr>
        <w:t>i</w:t>
      </w:r>
      <w:r w:rsidRPr="0047462D">
        <w:rPr>
          <w:szCs w:val="22"/>
        </w:rPr>
        <w:t xml:space="preserve">vacaftor μπορεί να αναστείλει το CYP2C9. Ως εκ τούτου, συνιστάται η παρακολούθηση του διεθνούς κανονικοποιημένου πηλίκου (INR) κατά τη συγχορήγηση της βαρφαρίνης με το </w:t>
      </w:r>
      <w:r w:rsidR="008C4AFC" w:rsidRPr="0047462D">
        <w:rPr>
          <w:szCs w:val="22"/>
        </w:rPr>
        <w:t>ivacaftor</w:t>
      </w:r>
      <w:r w:rsidRPr="0047462D">
        <w:rPr>
          <w:szCs w:val="22"/>
        </w:rPr>
        <w:t xml:space="preserve">. </w:t>
      </w:r>
      <w:r w:rsidRPr="0047462D">
        <w:t>Άλλα φαρμακευτικά προϊόντα για τα οποία μπορεί να αυξηθεί η έκθεση είναι η γλιµεπιρίδη και η γλιπιζίδη. Αυτά τα φαρμακευτικά προϊόντα πρέπει να χρησιμοποιούνται με προσοχή</w:t>
      </w:r>
      <w:r w:rsidRPr="0047462D">
        <w:rPr>
          <w:rFonts w:eastAsia="Times New Roman"/>
          <w:szCs w:val="22"/>
        </w:rPr>
        <w:t>.</w:t>
      </w:r>
    </w:p>
    <w:p w14:paraId="735168B1" w14:textId="77777777" w:rsidR="0034098A" w:rsidRPr="0047462D" w:rsidRDefault="0034098A" w:rsidP="00BB1AF3">
      <w:pPr>
        <w:rPr>
          <w:szCs w:val="22"/>
          <w:lang w:eastAsia="en-US"/>
        </w:rPr>
      </w:pPr>
    </w:p>
    <w:p w14:paraId="152A4E6E" w14:textId="4E58521D" w:rsidR="001B3411" w:rsidRPr="0047462D" w:rsidRDefault="001B3411" w:rsidP="001B3411">
      <w:pPr>
        <w:keepNext/>
        <w:rPr>
          <w:i/>
          <w:iCs/>
          <w:szCs w:val="22"/>
        </w:rPr>
      </w:pPr>
      <w:r w:rsidRPr="0047462D">
        <w:rPr>
          <w:rFonts w:eastAsia="Times New Roman"/>
          <w:i/>
          <w:iCs/>
          <w:szCs w:val="22"/>
        </w:rPr>
        <w:t>Διγοξίνη</w:t>
      </w:r>
      <w:r w:rsidRPr="0047462D">
        <w:rPr>
          <w:i/>
          <w:iCs/>
          <w:szCs w:val="22"/>
        </w:rPr>
        <w:t xml:space="preserve"> και άλλα υποστρώματα της P</w:t>
      </w:r>
      <w:r w:rsidR="00677D05" w:rsidRPr="0047462D">
        <w:rPr>
          <w:i/>
          <w:iCs/>
        </w:rPr>
        <w:noBreakHyphen/>
      </w:r>
      <w:r w:rsidRPr="0047462D">
        <w:rPr>
          <w:i/>
          <w:iCs/>
          <w:szCs w:val="22"/>
        </w:rPr>
        <w:t>gp</w:t>
      </w:r>
    </w:p>
    <w:p w14:paraId="2D531015" w14:textId="77777777" w:rsidR="001C2CBC" w:rsidRPr="0047462D" w:rsidRDefault="001C2CBC" w:rsidP="001B3411">
      <w:pPr>
        <w:keepNext/>
        <w:rPr>
          <w:i/>
          <w:iCs/>
          <w:szCs w:val="22"/>
        </w:rPr>
      </w:pPr>
    </w:p>
    <w:p w14:paraId="130F9CD1" w14:textId="733A4465" w:rsidR="006928B9" w:rsidRPr="0047462D" w:rsidRDefault="001B3411" w:rsidP="006928B9">
      <w:pPr>
        <w:rPr>
          <w:rFonts w:eastAsia="Times New Roman"/>
          <w:szCs w:val="22"/>
        </w:rPr>
      </w:pPr>
      <w:r w:rsidRPr="0047462D">
        <w:rPr>
          <w:rFonts w:eastAsia="Times New Roman"/>
          <w:szCs w:val="22"/>
        </w:rPr>
        <w:t>Η συγχορήγηση με διγοξίνη, ένα ευαίσθητο υπόστρωμα της P</w:t>
      </w:r>
      <w:r w:rsidRPr="0047462D">
        <w:rPr>
          <w:rFonts w:eastAsia="Times New Roman"/>
          <w:szCs w:val="22"/>
        </w:rPr>
        <w:noBreakHyphen/>
        <w:t>gp, αύξησε την έκθεση σε διγοξίνη κατά 1,3 φορές, σε συμφωνία με ασθενή αναστολή της P</w:t>
      </w:r>
      <w:r w:rsidRPr="0047462D">
        <w:rPr>
          <w:rFonts w:eastAsia="Times New Roman"/>
          <w:szCs w:val="22"/>
        </w:rPr>
        <w:noBreakHyphen/>
        <w:t>gp από το ivacaftor.</w:t>
      </w:r>
      <w:r w:rsidRPr="0047462D">
        <w:rPr>
          <w:rFonts w:eastAsia="Times New Roman"/>
          <w:szCs w:val="22"/>
          <w:lang w:eastAsia="en-US"/>
        </w:rPr>
        <w:t xml:space="preserve"> </w:t>
      </w:r>
      <w:r w:rsidR="006928B9" w:rsidRPr="0047462D">
        <w:rPr>
          <w:rFonts w:eastAsia="Times New Roman"/>
          <w:szCs w:val="22"/>
        </w:rPr>
        <w:t xml:space="preserve">Η χορήγηση του </w:t>
      </w:r>
      <w:r w:rsidR="008C4AFC" w:rsidRPr="0047462D">
        <w:rPr>
          <w:szCs w:val="22"/>
        </w:rPr>
        <w:t xml:space="preserve">ivacaftor </w:t>
      </w:r>
      <w:r w:rsidR="006928B9" w:rsidRPr="0047462D">
        <w:rPr>
          <w:rFonts w:eastAsia="Times New Roman"/>
          <w:szCs w:val="22"/>
        </w:rPr>
        <w:t>μπορεί να αυξήσει τη συστηματική έκθεση σε φαρμακευτικά προϊόντα που είναι ευαίσθητα υποστρώματα της P</w:t>
      </w:r>
      <w:r w:rsidR="00677D05" w:rsidRPr="0047462D">
        <w:rPr>
          <w:u w:val="single"/>
        </w:rPr>
        <w:noBreakHyphen/>
      </w:r>
      <w:r w:rsidR="006928B9" w:rsidRPr="0047462D">
        <w:rPr>
          <w:rFonts w:eastAsia="Times New Roman"/>
          <w:szCs w:val="22"/>
        </w:rPr>
        <w:t>gp, πράγμα που μπορεί να αυξήσει ή να παρατείνει τη θεραπευτική τους επίδραση και τις ανεπιθύμητες ενέργειές τους.</w:t>
      </w:r>
      <w:r w:rsidRPr="0047462D">
        <w:rPr>
          <w:rFonts w:eastAsia="Times New Roman"/>
          <w:szCs w:val="22"/>
        </w:rPr>
        <w:t xml:space="preserve"> Απαιτείται προσοχή και κατάλληλη παρακολούθηση κατά τη συγχορήγηση με διγοξίνη ή άλλα υποστρώματα της P</w:t>
      </w:r>
      <w:r w:rsidRPr="0047462D">
        <w:rPr>
          <w:rFonts w:eastAsia="Times New Roman"/>
          <w:szCs w:val="22"/>
        </w:rPr>
        <w:noBreakHyphen/>
        <w:t>gp με στενό θεραπευτικό δείκτη, όπως κυκλοσπορίνη, εβερόλιμους, σιρόλιμους ή τακρόλιμους.</w:t>
      </w:r>
    </w:p>
    <w:p w14:paraId="58FFC302" w14:textId="77777777" w:rsidR="006928B9" w:rsidRPr="0047462D" w:rsidRDefault="006928B9" w:rsidP="001C01B6">
      <w:pPr>
        <w:rPr>
          <w:rFonts w:eastAsia="Times New Roman"/>
          <w:szCs w:val="22"/>
          <w:lang w:eastAsia="en-US"/>
        </w:rPr>
      </w:pPr>
    </w:p>
    <w:p w14:paraId="66E90FB2" w14:textId="669CBE88" w:rsidR="006928B9" w:rsidRPr="0047462D" w:rsidRDefault="006928B9" w:rsidP="009A2EEC">
      <w:pPr>
        <w:pStyle w:val="CommentText"/>
        <w:keepNext/>
        <w:rPr>
          <w:i/>
          <w:iCs/>
          <w:sz w:val="22"/>
          <w:szCs w:val="22"/>
        </w:rPr>
      </w:pPr>
      <w:r w:rsidRPr="0047462D">
        <w:rPr>
          <w:i/>
          <w:iCs/>
          <w:sz w:val="22"/>
          <w:szCs w:val="22"/>
        </w:rPr>
        <w:t xml:space="preserve">Υποστρώματα του CYP3A </w:t>
      </w:r>
    </w:p>
    <w:p w14:paraId="26465D7F" w14:textId="77777777" w:rsidR="001C2CBC" w:rsidRPr="0047462D" w:rsidRDefault="001C2CBC" w:rsidP="009A2EEC">
      <w:pPr>
        <w:pStyle w:val="CommentText"/>
        <w:keepNext/>
        <w:rPr>
          <w:i/>
          <w:iCs/>
          <w:szCs w:val="22"/>
        </w:rPr>
      </w:pPr>
    </w:p>
    <w:p w14:paraId="160C160E" w14:textId="77777777" w:rsidR="006928B9" w:rsidRPr="0047462D" w:rsidRDefault="001C01B6" w:rsidP="006928B9">
      <w:pPr>
        <w:rPr>
          <w:rFonts w:eastAsia="Times New Roman"/>
          <w:szCs w:val="22"/>
          <w:lang w:eastAsia="en-US"/>
        </w:rPr>
      </w:pPr>
      <w:r w:rsidRPr="0047462D">
        <w:rPr>
          <w:rFonts w:eastAsia="Times New Roman"/>
          <w:szCs w:val="22"/>
        </w:rPr>
        <w:t>Η συγχορήγηση με (από στόματος) μιδαζολάμη, ένα ευαίσθητο υπόστρωμα του CYP3A, αύξησε την έκθεση σε μιδαζολάμη κατά 1,5 φορές, σε συμφωνία με ασθενή αναστολή του CYP3A από το ivacaftor.</w:t>
      </w:r>
      <w:r w:rsidRPr="0047462D">
        <w:rPr>
          <w:rFonts w:eastAsia="Times New Roman"/>
          <w:szCs w:val="22"/>
          <w:lang w:eastAsia="en-US"/>
        </w:rPr>
        <w:t xml:space="preserve"> </w:t>
      </w:r>
      <w:r w:rsidR="00736C8E" w:rsidRPr="0047462D">
        <w:rPr>
          <w:rFonts w:eastAsia="Times New Roman"/>
          <w:szCs w:val="22"/>
        </w:rPr>
        <w:t xml:space="preserve">Δεν απαιτείται ρύθμιση της δόσης των υποστρωμάτων </w:t>
      </w:r>
      <w:r w:rsidR="006928B9" w:rsidRPr="0047462D">
        <w:rPr>
          <w:rFonts w:eastAsia="Times New Roman"/>
          <w:szCs w:val="22"/>
        </w:rPr>
        <w:t xml:space="preserve">του </w:t>
      </w:r>
      <w:r w:rsidR="006928B9" w:rsidRPr="0047462D">
        <w:rPr>
          <w:szCs w:val="22"/>
        </w:rPr>
        <w:t xml:space="preserve">CYP3A, όπως </w:t>
      </w:r>
      <w:r w:rsidR="006928B9" w:rsidRPr="0047462D">
        <w:rPr>
          <w:rFonts w:eastAsia="Times New Roman"/>
          <w:szCs w:val="22"/>
        </w:rPr>
        <w:t xml:space="preserve">μιδαζολάμη, αλπραζολάμη, διαζεπάμη ή τριαζολάμη, </w:t>
      </w:r>
      <w:r w:rsidR="00736C8E" w:rsidRPr="0047462D">
        <w:rPr>
          <w:rFonts w:eastAsia="Times New Roman"/>
          <w:szCs w:val="22"/>
        </w:rPr>
        <w:t xml:space="preserve">όταν αυτά συγχορηγούνται με </w:t>
      </w:r>
      <w:r w:rsidR="006928B9" w:rsidRPr="0047462D">
        <w:rPr>
          <w:rFonts w:eastAsia="Times New Roman"/>
          <w:szCs w:val="22"/>
        </w:rPr>
        <w:t xml:space="preserve">το </w:t>
      </w:r>
      <w:r w:rsidR="006928B9" w:rsidRPr="0047462D">
        <w:rPr>
          <w:szCs w:val="22"/>
        </w:rPr>
        <w:t>ivacaftor</w:t>
      </w:r>
      <w:r w:rsidR="006928B9" w:rsidRPr="0047462D">
        <w:rPr>
          <w:rFonts w:eastAsia="Times New Roman"/>
          <w:szCs w:val="22"/>
        </w:rPr>
        <w:t>.</w:t>
      </w:r>
    </w:p>
    <w:p w14:paraId="68B6CA43" w14:textId="77777777" w:rsidR="006928B9" w:rsidRPr="0047462D" w:rsidRDefault="006928B9" w:rsidP="001C01B6">
      <w:pPr>
        <w:rPr>
          <w:rFonts w:eastAsia="Times New Roman"/>
          <w:szCs w:val="22"/>
          <w:lang w:eastAsia="en-US"/>
        </w:rPr>
      </w:pPr>
    </w:p>
    <w:p w14:paraId="477A4880" w14:textId="77777777" w:rsidR="00BB6327" w:rsidRPr="0047462D" w:rsidRDefault="00BB6327" w:rsidP="001C01B6">
      <w:pPr>
        <w:keepNext/>
        <w:rPr>
          <w:i/>
        </w:rPr>
      </w:pPr>
      <w:r w:rsidRPr="0047462D">
        <w:rPr>
          <w:i/>
        </w:rPr>
        <w:t>Ορμονικά αντισυλληπτικά</w:t>
      </w:r>
    </w:p>
    <w:p w14:paraId="393C4060" w14:textId="77777777" w:rsidR="00F738E0" w:rsidRPr="0047462D" w:rsidRDefault="00F738E0" w:rsidP="001C01B6">
      <w:pPr>
        <w:keepNext/>
        <w:rPr>
          <w:rFonts w:eastAsia="Times New Roman"/>
          <w:szCs w:val="22"/>
          <w:u w:val="single"/>
        </w:rPr>
      </w:pPr>
    </w:p>
    <w:p w14:paraId="577E6F9A" w14:textId="77777777" w:rsidR="001C01B6" w:rsidRPr="0047462D" w:rsidRDefault="001C01B6" w:rsidP="001C01B6">
      <w:pPr>
        <w:rPr>
          <w:rFonts w:eastAsia="MS Mincho"/>
          <w:bCs/>
          <w:szCs w:val="22"/>
          <w:lang w:eastAsia="ja-JP"/>
        </w:rPr>
      </w:pPr>
      <w:r w:rsidRPr="0047462D">
        <w:rPr>
          <w:rFonts w:eastAsia="Times New Roman"/>
          <w:szCs w:val="22"/>
        </w:rPr>
        <w:t xml:space="preserve">Το </w:t>
      </w:r>
      <w:r w:rsidR="00957CA7" w:rsidRPr="0047462D">
        <w:rPr>
          <w:rFonts w:eastAsia="Times New Roman"/>
          <w:szCs w:val="22"/>
          <w:lang w:val="en-US"/>
        </w:rPr>
        <w:t>i</w:t>
      </w:r>
      <w:r w:rsidR="00957CA7" w:rsidRPr="0047462D">
        <w:rPr>
          <w:rFonts w:eastAsia="Times New Roman"/>
          <w:szCs w:val="22"/>
        </w:rPr>
        <w:t xml:space="preserve">vacaftor </w:t>
      </w:r>
      <w:r w:rsidRPr="0047462D">
        <w:rPr>
          <w:rFonts w:eastAsia="Times New Roman"/>
          <w:szCs w:val="22"/>
        </w:rPr>
        <w:t>έχει μελετηθεί με από στόματος αντισυλληπτικό οιστρογόνου/προγεστερόνης και βρέθηκε ότι δεν έχει σημαντική επίδραση στις εκθέσεις στο από στόματος αντισυλληπτικό. Ως εκ τούτου, δεν απαιτείται ρύθμιση της δόσης των από στόματος αντισυλληπτικών.</w:t>
      </w:r>
    </w:p>
    <w:p w14:paraId="7E8611CB" w14:textId="77777777" w:rsidR="00EC2ACE" w:rsidRPr="0047462D" w:rsidRDefault="00EC2ACE" w:rsidP="001C01B6">
      <w:pPr>
        <w:rPr>
          <w:rFonts w:eastAsia="MS Mincho"/>
          <w:bCs/>
          <w:szCs w:val="22"/>
          <w:lang w:eastAsia="ja-JP"/>
        </w:rPr>
      </w:pPr>
    </w:p>
    <w:p w14:paraId="78658B15" w14:textId="77777777" w:rsidR="005D5499" w:rsidRPr="0047462D" w:rsidRDefault="002A61C2" w:rsidP="009E50D2">
      <w:pPr>
        <w:pStyle w:val="Web1"/>
        <w:keepNext/>
        <w:spacing w:before="0" w:after="0"/>
        <w:rPr>
          <w:noProof/>
          <w:sz w:val="22"/>
          <w:szCs w:val="22"/>
          <w:u w:val="single"/>
          <w:lang w:val="el-GR"/>
        </w:rPr>
      </w:pPr>
      <w:r w:rsidRPr="0047462D">
        <w:rPr>
          <w:noProof/>
          <w:sz w:val="22"/>
          <w:szCs w:val="22"/>
          <w:u w:val="single"/>
          <w:lang w:val="el-GR"/>
        </w:rPr>
        <w:t>Παιδιατρικός πληθυσμός</w:t>
      </w:r>
    </w:p>
    <w:p w14:paraId="6A95AC06" w14:textId="77777777" w:rsidR="00F738E0" w:rsidRPr="0047462D" w:rsidRDefault="00F738E0" w:rsidP="00EB5A36">
      <w:pPr>
        <w:pStyle w:val="labeltext"/>
        <w:keepNext/>
        <w:rPr>
          <w:noProof/>
          <w:sz w:val="22"/>
          <w:szCs w:val="22"/>
          <w:lang w:val="el-GR"/>
        </w:rPr>
      </w:pPr>
    </w:p>
    <w:p w14:paraId="0AF544B7" w14:textId="77777777" w:rsidR="001C01B6" w:rsidRPr="0047462D" w:rsidRDefault="002A61C2" w:rsidP="002A61C2">
      <w:pPr>
        <w:pStyle w:val="labeltext"/>
        <w:rPr>
          <w:noProof/>
          <w:sz w:val="22"/>
          <w:szCs w:val="22"/>
          <w:lang w:val="el-GR"/>
        </w:rPr>
      </w:pPr>
      <w:r w:rsidRPr="0047462D">
        <w:rPr>
          <w:noProof/>
          <w:sz w:val="22"/>
          <w:szCs w:val="22"/>
          <w:lang w:val="el-GR"/>
        </w:rPr>
        <w:t>Μελέτες αλληλεπιδράσεων έχουν πραγματοποιηθεί μόνο σε ενήλικες.</w:t>
      </w:r>
    </w:p>
    <w:p w14:paraId="7E59CE7C" w14:textId="77777777" w:rsidR="002A61C2" w:rsidRPr="0047462D" w:rsidRDefault="002A61C2" w:rsidP="002A61C2">
      <w:pPr>
        <w:pStyle w:val="labeltext"/>
        <w:rPr>
          <w:sz w:val="22"/>
          <w:szCs w:val="22"/>
          <w:u w:val="single"/>
          <w:lang w:val="el-GR"/>
        </w:rPr>
      </w:pPr>
    </w:p>
    <w:p w14:paraId="5653591E" w14:textId="77777777" w:rsidR="001C01B6" w:rsidRPr="0047462D" w:rsidRDefault="001C01B6" w:rsidP="001C01B6">
      <w:pPr>
        <w:keepNext/>
        <w:ind w:left="567" w:hanging="567"/>
        <w:rPr>
          <w:i/>
          <w:iCs/>
          <w:szCs w:val="22"/>
          <w:lang w:eastAsia="en-US"/>
        </w:rPr>
      </w:pPr>
      <w:r w:rsidRPr="0047462D">
        <w:rPr>
          <w:rFonts w:eastAsia="Times New Roman"/>
          <w:b/>
          <w:bCs/>
          <w:szCs w:val="22"/>
          <w:lang w:eastAsia="en-US"/>
        </w:rPr>
        <w:t>4.6</w:t>
      </w:r>
      <w:r w:rsidRPr="0047462D">
        <w:rPr>
          <w:rFonts w:eastAsia="Times New Roman"/>
          <w:b/>
          <w:bCs/>
          <w:szCs w:val="22"/>
          <w:lang w:eastAsia="en-US"/>
        </w:rPr>
        <w:tab/>
      </w:r>
      <w:r w:rsidRPr="0047462D">
        <w:rPr>
          <w:rFonts w:eastAsia="Times New Roman"/>
          <w:b/>
          <w:bCs/>
          <w:szCs w:val="22"/>
        </w:rPr>
        <w:t>Γονιμότητα, κύηση και γαλουχία</w:t>
      </w:r>
    </w:p>
    <w:p w14:paraId="568EA74B" w14:textId="77777777" w:rsidR="001C01B6" w:rsidRPr="0047462D" w:rsidRDefault="001C01B6" w:rsidP="001C01B6">
      <w:pPr>
        <w:keepNext/>
        <w:rPr>
          <w:i/>
          <w:iCs/>
          <w:szCs w:val="22"/>
          <w:lang w:eastAsia="en-US"/>
        </w:rPr>
      </w:pPr>
    </w:p>
    <w:p w14:paraId="39B4C874" w14:textId="77777777" w:rsidR="001C01B6" w:rsidRPr="0047462D" w:rsidRDefault="007403AF" w:rsidP="001C01B6">
      <w:pPr>
        <w:pStyle w:val="labeltext"/>
        <w:keepNext/>
        <w:rPr>
          <w:rFonts w:eastAsia="Times New Roman"/>
          <w:sz w:val="22"/>
          <w:szCs w:val="22"/>
          <w:u w:val="single"/>
          <w:lang w:val="el-GR"/>
        </w:rPr>
      </w:pPr>
      <w:r w:rsidRPr="0047462D">
        <w:rPr>
          <w:rFonts w:eastAsia="Times New Roman"/>
          <w:sz w:val="22"/>
          <w:szCs w:val="22"/>
          <w:u w:val="single"/>
          <w:lang w:val="el-GR"/>
        </w:rPr>
        <w:t>Κύηση</w:t>
      </w:r>
    </w:p>
    <w:p w14:paraId="677AECAB" w14:textId="77777777" w:rsidR="00EC2ACE" w:rsidRPr="0047462D" w:rsidRDefault="00EC2ACE" w:rsidP="001C01B6">
      <w:pPr>
        <w:pStyle w:val="labeltext"/>
        <w:keepNext/>
        <w:rPr>
          <w:rFonts w:eastAsia="Times New Roman"/>
          <w:sz w:val="22"/>
          <w:szCs w:val="22"/>
          <w:lang w:val="el-GR"/>
        </w:rPr>
      </w:pPr>
    </w:p>
    <w:p w14:paraId="71D656DA" w14:textId="588CA941" w:rsidR="001C01B6" w:rsidRPr="0047462D" w:rsidRDefault="00DD5F09" w:rsidP="001C01B6">
      <w:pPr>
        <w:pStyle w:val="labeltext"/>
        <w:rPr>
          <w:szCs w:val="22"/>
          <w:lang w:val="el-GR" w:eastAsia="en-US"/>
        </w:rPr>
      </w:pPr>
      <w:r w:rsidRPr="0047462D">
        <w:rPr>
          <w:sz w:val="22"/>
          <w:lang w:val="el-GR"/>
        </w:rPr>
        <w:t xml:space="preserve">Δεν διατίθενται ή είναι περιορισμένα τα δεδομένα (περιπτώσεις έκβασης εγκυμοσύνης λιγότερες από 300) από την χρήση του </w:t>
      </w:r>
      <w:r w:rsidRPr="0047462D">
        <w:rPr>
          <w:rFonts w:eastAsia="Times New Roman"/>
          <w:sz w:val="22"/>
          <w:szCs w:val="22"/>
          <w:lang w:val="el-GR"/>
        </w:rPr>
        <w:t>ivacaftor</w:t>
      </w:r>
      <w:r w:rsidRPr="0047462D">
        <w:rPr>
          <w:sz w:val="22"/>
          <w:lang w:val="el-GR"/>
        </w:rPr>
        <w:t xml:space="preserve"> στις έγκυες γυναίκες.</w:t>
      </w:r>
      <w:r w:rsidR="001C01B6" w:rsidRPr="0047462D">
        <w:rPr>
          <w:rFonts w:eastAsia="Times New Roman"/>
          <w:sz w:val="22"/>
          <w:szCs w:val="22"/>
          <w:lang w:val="el-GR"/>
        </w:rPr>
        <w:t xml:space="preserve"> </w:t>
      </w:r>
      <w:r w:rsidR="00647DE1" w:rsidRPr="0047462D">
        <w:rPr>
          <w:sz w:val="22"/>
          <w:lang w:val="el-GR"/>
        </w:rPr>
        <w:t>Μελέτες σε ζώα δεν κατέδειξαν άμεση ή έμμεση τοξικότητα στην αναπαραγωγική ικανότητα (βλέπε</w:t>
      </w:r>
      <w:r w:rsidR="003F71E1" w:rsidRPr="0047462D">
        <w:rPr>
          <w:sz w:val="22"/>
          <w:lang w:val="el-GR"/>
        </w:rPr>
        <w:t xml:space="preserve"> παράγραφο</w:t>
      </w:r>
      <w:r w:rsidR="00647DE1" w:rsidRPr="0047462D">
        <w:rPr>
          <w:sz w:val="22"/>
          <w:lang w:val="el-GR"/>
        </w:rPr>
        <w:t xml:space="preserve"> 5.3). </w:t>
      </w:r>
      <w:r w:rsidRPr="0047462D">
        <w:rPr>
          <w:sz w:val="22"/>
          <w:szCs w:val="22"/>
          <w:lang w:val="el-GR"/>
        </w:rPr>
        <w:t xml:space="preserve">Σαν προληπτικό μέτρο, </w:t>
      </w:r>
      <w:r w:rsidR="00647DE1" w:rsidRPr="0047462D">
        <w:rPr>
          <w:sz w:val="22"/>
          <w:szCs w:val="22"/>
          <w:lang w:val="el-GR"/>
        </w:rPr>
        <w:t>είναι προτιμητέο</w:t>
      </w:r>
      <w:r w:rsidRPr="0047462D">
        <w:rPr>
          <w:sz w:val="22"/>
          <w:szCs w:val="22"/>
          <w:lang w:val="el-GR"/>
        </w:rPr>
        <w:t xml:space="preserve"> να αποφεύγεται η χρήση του </w:t>
      </w:r>
      <w:r w:rsidR="002B4A4B" w:rsidRPr="0047462D">
        <w:rPr>
          <w:sz w:val="22"/>
          <w:szCs w:val="22"/>
          <w:lang w:val="en-GB"/>
        </w:rPr>
        <w:t>ivacaftor</w:t>
      </w:r>
      <w:r w:rsidR="002B4A4B" w:rsidRPr="00F93ECE">
        <w:rPr>
          <w:sz w:val="22"/>
          <w:szCs w:val="22"/>
          <w:lang w:val="el-GR"/>
        </w:rPr>
        <w:t xml:space="preserve"> </w:t>
      </w:r>
      <w:r w:rsidRPr="0047462D">
        <w:rPr>
          <w:sz w:val="22"/>
          <w:szCs w:val="22"/>
          <w:lang w:val="el-GR"/>
        </w:rPr>
        <w:t>κατά τη διάρκεια της εγκυμοσύνης.</w:t>
      </w:r>
    </w:p>
    <w:p w14:paraId="46CED744" w14:textId="77777777" w:rsidR="001C01B6" w:rsidRPr="0047462D" w:rsidRDefault="001C01B6" w:rsidP="001C01B6">
      <w:pPr>
        <w:rPr>
          <w:szCs w:val="22"/>
          <w:lang w:eastAsia="en-US"/>
        </w:rPr>
      </w:pPr>
    </w:p>
    <w:p w14:paraId="08251F1A" w14:textId="77777777" w:rsidR="001C01B6" w:rsidRPr="0047462D" w:rsidRDefault="001C01B6" w:rsidP="001C01B6">
      <w:pPr>
        <w:keepNext/>
        <w:rPr>
          <w:rFonts w:eastAsia="Times New Roman"/>
          <w:szCs w:val="22"/>
          <w:u w:val="single"/>
        </w:rPr>
      </w:pPr>
      <w:r w:rsidRPr="0047462D">
        <w:rPr>
          <w:rFonts w:eastAsia="Times New Roman"/>
          <w:szCs w:val="22"/>
          <w:u w:val="single"/>
        </w:rPr>
        <w:t>Θηλασμός</w:t>
      </w:r>
    </w:p>
    <w:p w14:paraId="1326E24B" w14:textId="77777777" w:rsidR="00B274D6" w:rsidRPr="0047462D" w:rsidRDefault="00B274D6" w:rsidP="001C01B6">
      <w:pPr>
        <w:keepNext/>
        <w:rPr>
          <w:rFonts w:eastAsia="Times New Roman"/>
          <w:szCs w:val="22"/>
        </w:rPr>
      </w:pPr>
    </w:p>
    <w:p w14:paraId="55C4136A" w14:textId="2745F99B" w:rsidR="001C01B6" w:rsidRPr="0047462D" w:rsidRDefault="001C01B6" w:rsidP="001C01B6">
      <w:pPr>
        <w:pStyle w:val="labeltext"/>
        <w:rPr>
          <w:szCs w:val="22"/>
          <w:lang w:val="el-GR"/>
        </w:rPr>
      </w:pPr>
      <w:r w:rsidRPr="0047462D">
        <w:rPr>
          <w:rFonts w:eastAsia="Times New Roman"/>
          <w:sz w:val="22"/>
          <w:szCs w:val="22"/>
          <w:lang w:val="el-GR"/>
        </w:rPr>
        <w:t>Δεν είναι γνωστό εάν το ivacaftor ή</w:t>
      </w:r>
      <w:r w:rsidR="00FA4F12" w:rsidRPr="0047462D">
        <w:rPr>
          <w:rFonts w:eastAsia="Times New Roman"/>
          <w:sz w:val="22"/>
          <w:szCs w:val="22"/>
          <w:lang w:val="el-GR"/>
        </w:rPr>
        <w:t>/</w:t>
      </w:r>
      <w:r w:rsidRPr="0047462D">
        <w:rPr>
          <w:rFonts w:eastAsia="Times New Roman"/>
          <w:sz w:val="22"/>
          <w:szCs w:val="22"/>
          <w:lang w:val="el-GR"/>
        </w:rPr>
        <w:t xml:space="preserve">και οι μεταβολίτες του </w:t>
      </w:r>
      <w:r w:rsidRPr="0047462D">
        <w:rPr>
          <w:sz w:val="22"/>
          <w:szCs w:val="22"/>
          <w:lang w:val="el-GR"/>
        </w:rPr>
        <w:t>απ</w:t>
      </w:r>
      <w:r w:rsidRPr="0047462D">
        <w:rPr>
          <w:rFonts w:eastAsia="Times New Roman"/>
          <w:sz w:val="22"/>
          <w:szCs w:val="22"/>
          <w:lang w:val="el-GR"/>
        </w:rPr>
        <w:t xml:space="preserve">εκκρίνονται στο ανθρώπινο γάλα. </w:t>
      </w:r>
      <w:r w:rsidR="00DD5F09" w:rsidRPr="0047462D">
        <w:rPr>
          <w:sz w:val="22"/>
          <w:lang w:val="el-GR"/>
        </w:rPr>
        <w:t xml:space="preserve">Τα διαθέσιμα φαρμακοκινητικά δεδομένα σε ζώα έδειξαν απέκκριση του </w:t>
      </w:r>
      <w:r w:rsidR="00DD5F09" w:rsidRPr="0047462D">
        <w:rPr>
          <w:rFonts w:eastAsia="Times New Roman"/>
          <w:sz w:val="22"/>
          <w:szCs w:val="22"/>
          <w:lang w:val="el-GR"/>
        </w:rPr>
        <w:t>ivacaftor</w:t>
      </w:r>
      <w:r w:rsidR="00DD5F09" w:rsidRPr="0047462D">
        <w:rPr>
          <w:sz w:val="22"/>
          <w:lang w:val="el-GR"/>
        </w:rPr>
        <w:t xml:space="preserve"> </w:t>
      </w:r>
      <w:r w:rsidR="00DD5F09" w:rsidRPr="0047462D">
        <w:rPr>
          <w:rFonts w:eastAsia="Times New Roman"/>
          <w:sz w:val="22"/>
          <w:szCs w:val="22"/>
          <w:lang w:val="el-GR"/>
        </w:rPr>
        <w:t xml:space="preserve">στο γάλα θηλαζουσών θηλυκών επίμυων. Έτσι, </w:t>
      </w:r>
      <w:r w:rsidR="00DD5F09" w:rsidRPr="0047462D">
        <w:rPr>
          <w:sz w:val="22"/>
          <w:lang w:val="el-GR"/>
        </w:rPr>
        <w:t xml:space="preserve">ο κίνδυνος στα νεογέννητα/βρέφη δεν μπορεί να αποκλειστεί. </w:t>
      </w:r>
      <w:r w:rsidR="00DD5F09" w:rsidRPr="0047462D">
        <w:rPr>
          <w:noProof/>
          <w:sz w:val="22"/>
          <w:lang w:val="el-GR"/>
        </w:rPr>
        <w:t>Πρέπει να αποφασιστεί εάν θα διακοπεί ο θηλασμός ή θα διακοπεί/θα αποφευχθεί η θεραπεία</w:t>
      </w:r>
      <w:r w:rsidR="00447796" w:rsidRPr="0047462D">
        <w:rPr>
          <w:noProof/>
          <w:sz w:val="22"/>
          <w:lang w:val="el-GR"/>
        </w:rPr>
        <w:t xml:space="preserve"> με </w:t>
      </w:r>
      <w:r w:rsidR="002B4A4B" w:rsidRPr="0047462D">
        <w:rPr>
          <w:sz w:val="22"/>
          <w:szCs w:val="22"/>
          <w:lang w:val="en-GB"/>
        </w:rPr>
        <w:t>ivacaftor</w:t>
      </w:r>
      <w:r w:rsidR="00DD5F09" w:rsidRPr="0047462D">
        <w:rPr>
          <w:noProof/>
          <w:sz w:val="22"/>
          <w:lang w:val="el-GR"/>
        </w:rPr>
        <w:t xml:space="preserve">, λαμβάνοντας υπόψη το όφελος του θηλασμού για το παιδί και το όφελος της θεραπείας για τη </w:t>
      </w:r>
      <w:r w:rsidR="00447796" w:rsidRPr="0047462D">
        <w:rPr>
          <w:noProof/>
          <w:sz w:val="22"/>
          <w:lang w:val="el-GR"/>
        </w:rPr>
        <w:t>γυναίκα</w:t>
      </w:r>
      <w:r w:rsidR="00DD5F09" w:rsidRPr="0047462D">
        <w:rPr>
          <w:noProof/>
          <w:sz w:val="22"/>
          <w:lang w:val="el-GR"/>
        </w:rPr>
        <w:t>.</w:t>
      </w:r>
    </w:p>
    <w:p w14:paraId="5E299DE0" w14:textId="77777777" w:rsidR="001C01B6" w:rsidRPr="0047462D" w:rsidRDefault="001C01B6" w:rsidP="001C01B6">
      <w:pPr>
        <w:pStyle w:val="1"/>
        <w:tabs>
          <w:tab w:val="left" w:pos="0"/>
        </w:tabs>
        <w:spacing w:after="0"/>
        <w:ind w:left="0"/>
        <w:rPr>
          <w:szCs w:val="22"/>
        </w:rPr>
      </w:pPr>
    </w:p>
    <w:p w14:paraId="7D9A8871" w14:textId="77777777" w:rsidR="001C01B6" w:rsidRPr="0047462D" w:rsidRDefault="001C01B6" w:rsidP="001C01B6">
      <w:pPr>
        <w:pStyle w:val="1"/>
        <w:keepNext/>
        <w:tabs>
          <w:tab w:val="left" w:pos="0"/>
        </w:tabs>
        <w:spacing w:after="0"/>
        <w:ind w:left="0"/>
        <w:rPr>
          <w:rFonts w:eastAsia="Times New Roman"/>
          <w:szCs w:val="22"/>
          <w:u w:val="single"/>
        </w:rPr>
      </w:pPr>
      <w:r w:rsidRPr="0047462D">
        <w:rPr>
          <w:rFonts w:eastAsia="Times New Roman"/>
          <w:szCs w:val="22"/>
          <w:u w:val="single"/>
        </w:rPr>
        <w:t>Γονιμότητα</w:t>
      </w:r>
    </w:p>
    <w:p w14:paraId="2C7150BC" w14:textId="77777777" w:rsidR="00B274D6" w:rsidRPr="0047462D" w:rsidRDefault="00B274D6" w:rsidP="001C01B6">
      <w:pPr>
        <w:pStyle w:val="1"/>
        <w:keepNext/>
        <w:tabs>
          <w:tab w:val="left" w:pos="0"/>
        </w:tabs>
        <w:spacing w:after="0"/>
        <w:ind w:left="0"/>
        <w:rPr>
          <w:rFonts w:eastAsia="Times New Roman"/>
          <w:color w:val="000000"/>
          <w:szCs w:val="22"/>
        </w:rPr>
      </w:pPr>
    </w:p>
    <w:p w14:paraId="1233158A" w14:textId="77777777" w:rsidR="00BB6327" w:rsidRPr="0047462D" w:rsidRDefault="00BB6327" w:rsidP="00BB6327">
      <w:pPr>
        <w:rPr>
          <w:rFonts w:eastAsia="Calibri"/>
        </w:rPr>
      </w:pPr>
      <w:r w:rsidRPr="0047462D">
        <w:t>Δεν διατίθενται δεδομένα για την επίδραση του ivacaftor στη γονιμότητα στον άνθρωπο. Το ivacaftor είχε μια επίδραση στη γονιμότητα των επίμυων (βλ. παράγραφο 5.3).</w:t>
      </w:r>
    </w:p>
    <w:p w14:paraId="4CCE0F6C" w14:textId="77777777" w:rsidR="00BB6327" w:rsidRPr="0047462D" w:rsidRDefault="00BB6327" w:rsidP="001C01B6">
      <w:pPr>
        <w:rPr>
          <w:bCs/>
          <w:szCs w:val="22"/>
          <w:lang w:eastAsia="en-US"/>
        </w:rPr>
      </w:pPr>
    </w:p>
    <w:p w14:paraId="1832763B" w14:textId="77777777" w:rsidR="001C01B6" w:rsidRPr="0047462D" w:rsidRDefault="001C01B6" w:rsidP="001C01B6">
      <w:pPr>
        <w:keepNext/>
        <w:rPr>
          <w:rFonts w:eastAsia="Times New Roman"/>
          <w:szCs w:val="22"/>
        </w:rPr>
      </w:pPr>
      <w:r w:rsidRPr="0047462D">
        <w:rPr>
          <w:rFonts w:eastAsia="Times New Roman"/>
          <w:b/>
          <w:bCs/>
          <w:szCs w:val="22"/>
          <w:lang w:eastAsia="en-US"/>
        </w:rPr>
        <w:t>4.7</w:t>
      </w:r>
      <w:r w:rsidRPr="0047462D">
        <w:rPr>
          <w:rFonts w:eastAsia="Times New Roman"/>
          <w:b/>
          <w:bCs/>
          <w:szCs w:val="22"/>
          <w:lang w:eastAsia="en-US"/>
        </w:rPr>
        <w:tab/>
      </w:r>
      <w:r w:rsidRPr="0047462D">
        <w:rPr>
          <w:rFonts w:eastAsia="Times New Roman"/>
          <w:b/>
          <w:bCs/>
          <w:szCs w:val="22"/>
        </w:rPr>
        <w:t>Επιδράσεις στην ικανότητα οδήγησης και χειρισμού μηχ</w:t>
      </w:r>
      <w:r w:rsidR="008808C5" w:rsidRPr="0047462D">
        <w:rPr>
          <w:rFonts w:eastAsia="Times New Roman"/>
          <w:b/>
          <w:bCs/>
          <w:szCs w:val="22"/>
        </w:rPr>
        <w:t>ανημάτων</w:t>
      </w:r>
    </w:p>
    <w:p w14:paraId="62EE80A9" w14:textId="77777777" w:rsidR="001C01B6" w:rsidRPr="0047462D" w:rsidRDefault="001C01B6" w:rsidP="001C01B6">
      <w:pPr>
        <w:keepNext/>
        <w:rPr>
          <w:rFonts w:eastAsia="Times New Roman"/>
          <w:szCs w:val="22"/>
        </w:rPr>
      </w:pPr>
    </w:p>
    <w:p w14:paraId="72CABB51" w14:textId="1741B01C" w:rsidR="001C01B6" w:rsidRPr="0047462D" w:rsidRDefault="001C01B6" w:rsidP="001C01B6">
      <w:pPr>
        <w:rPr>
          <w:rFonts w:eastAsia="Times New Roman"/>
          <w:szCs w:val="22"/>
        </w:rPr>
      </w:pPr>
      <w:r w:rsidRPr="0047462D">
        <w:rPr>
          <w:noProof/>
          <w:szCs w:val="22"/>
        </w:rPr>
        <w:t xml:space="preserve">Το </w:t>
      </w:r>
      <w:r w:rsidR="002B4A4B" w:rsidRPr="0047462D">
        <w:rPr>
          <w:szCs w:val="22"/>
          <w:lang w:val="en-GB"/>
        </w:rPr>
        <w:t>ivacaftor</w:t>
      </w:r>
      <w:r w:rsidR="002B4A4B" w:rsidRPr="00F93ECE">
        <w:rPr>
          <w:szCs w:val="22"/>
        </w:rPr>
        <w:t xml:space="preserve"> </w:t>
      </w:r>
      <w:r w:rsidRPr="0047462D">
        <w:rPr>
          <w:noProof/>
          <w:szCs w:val="22"/>
        </w:rPr>
        <w:t xml:space="preserve">έχει μικρή επίδραση στην ικανότητα οδήγησης και χειρισμού μηχανημάτων. Το </w:t>
      </w:r>
      <w:r w:rsidRPr="0047462D">
        <w:rPr>
          <w:szCs w:val="22"/>
        </w:rPr>
        <w:t>ivacaftor</w:t>
      </w:r>
      <w:r w:rsidRPr="0047462D">
        <w:rPr>
          <w:rFonts w:eastAsia="Times New Roman"/>
          <w:szCs w:val="22"/>
        </w:rPr>
        <w:t xml:space="preserve"> μπορεί να προκαλέσει ζάλη (βλ. παράγραφο 4.8) και, συνεπώς, θα πρέπει να δίνεται συμβουλή στους ασθενείς που εμφανίζουν ζάλη να μην οδηγούν </w:t>
      </w:r>
      <w:r w:rsidR="00216350" w:rsidRPr="0047462D">
        <w:rPr>
          <w:rFonts w:eastAsia="Times New Roman"/>
          <w:szCs w:val="22"/>
        </w:rPr>
        <w:t>και να μη</w:t>
      </w:r>
      <w:r w:rsidRPr="0047462D">
        <w:rPr>
          <w:rFonts w:eastAsia="Times New Roman"/>
          <w:szCs w:val="22"/>
        </w:rPr>
        <w:t xml:space="preserve"> χειρίζονται μηχανήματα έως ότου υποχωρήσουν τα συμπτώματα.</w:t>
      </w:r>
    </w:p>
    <w:p w14:paraId="66811027" w14:textId="77777777" w:rsidR="001C01B6" w:rsidRPr="0047462D" w:rsidRDefault="001C01B6" w:rsidP="001C01B6">
      <w:pPr>
        <w:rPr>
          <w:szCs w:val="22"/>
          <w:lang w:eastAsia="en-US"/>
        </w:rPr>
      </w:pPr>
    </w:p>
    <w:p w14:paraId="0055A095" w14:textId="77777777" w:rsidR="001C01B6" w:rsidRPr="0047462D" w:rsidRDefault="001C01B6" w:rsidP="001C01B6">
      <w:pPr>
        <w:keepNext/>
        <w:rPr>
          <w:szCs w:val="22"/>
          <w:lang w:eastAsia="en-US"/>
        </w:rPr>
      </w:pPr>
      <w:r w:rsidRPr="0047462D">
        <w:rPr>
          <w:rFonts w:eastAsia="Times New Roman"/>
          <w:b/>
          <w:bCs/>
          <w:szCs w:val="22"/>
          <w:lang w:eastAsia="en-US"/>
        </w:rPr>
        <w:t>4.8</w:t>
      </w:r>
      <w:r w:rsidRPr="0047462D">
        <w:rPr>
          <w:rFonts w:eastAsia="Times New Roman"/>
          <w:b/>
          <w:bCs/>
          <w:szCs w:val="22"/>
          <w:lang w:eastAsia="en-US"/>
        </w:rPr>
        <w:tab/>
      </w:r>
      <w:r w:rsidRPr="0047462D">
        <w:rPr>
          <w:rFonts w:eastAsia="Times New Roman"/>
          <w:b/>
          <w:bCs/>
          <w:szCs w:val="22"/>
        </w:rPr>
        <w:t>Aνεπιθύμητες ενέργειες</w:t>
      </w:r>
    </w:p>
    <w:p w14:paraId="6FFE23A1" w14:textId="77777777" w:rsidR="001C01B6" w:rsidRPr="0047462D" w:rsidRDefault="001C01B6" w:rsidP="001C01B6">
      <w:pPr>
        <w:pStyle w:val="labeltext"/>
        <w:keepNext/>
        <w:suppressAutoHyphens w:val="0"/>
        <w:rPr>
          <w:szCs w:val="22"/>
          <w:lang w:val="el-GR" w:eastAsia="en-US"/>
        </w:rPr>
      </w:pPr>
    </w:p>
    <w:p w14:paraId="03A9DDD7" w14:textId="77777777" w:rsidR="001C01B6" w:rsidRPr="0047462D" w:rsidRDefault="001C01B6" w:rsidP="001C01B6">
      <w:pPr>
        <w:pStyle w:val="labeltext"/>
        <w:keepNext/>
        <w:rPr>
          <w:rFonts w:eastAsia="Times New Roman"/>
          <w:sz w:val="22"/>
          <w:szCs w:val="22"/>
          <w:u w:val="single"/>
          <w:lang w:val="el-GR"/>
        </w:rPr>
      </w:pPr>
      <w:r w:rsidRPr="0047462D">
        <w:rPr>
          <w:rFonts w:eastAsia="Times New Roman"/>
          <w:sz w:val="22"/>
          <w:szCs w:val="22"/>
          <w:u w:val="single"/>
          <w:lang w:val="el-GR"/>
        </w:rPr>
        <w:t>Σύνοψη του προφίλ ασφάλειας</w:t>
      </w:r>
    </w:p>
    <w:p w14:paraId="26B036D5" w14:textId="77777777" w:rsidR="00B274D6" w:rsidRPr="0047462D" w:rsidRDefault="00B274D6" w:rsidP="001C01B6">
      <w:pPr>
        <w:pStyle w:val="labeltext"/>
        <w:keepNext/>
        <w:rPr>
          <w:rFonts w:eastAsia="Times New Roman"/>
          <w:sz w:val="22"/>
          <w:szCs w:val="22"/>
          <w:lang w:val="el-GR"/>
        </w:rPr>
      </w:pPr>
    </w:p>
    <w:p w14:paraId="513445EC" w14:textId="663ABC2E" w:rsidR="001C01B6" w:rsidRPr="0047462D" w:rsidRDefault="001C01B6" w:rsidP="002C32E8">
      <w:pPr>
        <w:pStyle w:val="labeltext"/>
        <w:spacing w:line="260" w:lineRule="exact"/>
        <w:rPr>
          <w:bCs/>
          <w:sz w:val="22"/>
          <w:szCs w:val="22"/>
          <w:lang w:val="el-GR"/>
        </w:rPr>
      </w:pPr>
      <w:r w:rsidRPr="0047462D">
        <w:rPr>
          <w:bCs/>
          <w:sz w:val="22"/>
          <w:szCs w:val="22"/>
          <w:lang w:val="el-GR"/>
        </w:rPr>
        <w:t xml:space="preserve">Οι πιο συχνές ανεπιθύμητες ενέργειες που παρουσιάστηκαν σε ασθενείς ηλικίας 6 ετών και άνω </w:t>
      </w:r>
      <w:r w:rsidR="002B4A4B" w:rsidRPr="0047462D">
        <w:rPr>
          <w:bCs/>
          <w:sz w:val="22"/>
          <w:szCs w:val="22"/>
          <w:lang w:val="el-GR"/>
        </w:rPr>
        <w:t>είναι</w:t>
      </w:r>
      <w:r w:rsidRPr="0047462D">
        <w:rPr>
          <w:bCs/>
          <w:sz w:val="22"/>
          <w:szCs w:val="22"/>
          <w:lang w:val="el-GR"/>
        </w:rPr>
        <w:t xml:space="preserve"> </w:t>
      </w:r>
      <w:r w:rsidRPr="0047462D">
        <w:rPr>
          <w:rFonts w:eastAsia="Times New Roman"/>
          <w:sz w:val="22"/>
          <w:szCs w:val="22"/>
          <w:lang w:val="el-GR"/>
        </w:rPr>
        <w:t xml:space="preserve">κεφαλαλγία (23,9%), </w:t>
      </w:r>
      <w:r w:rsidRPr="0047462D">
        <w:rPr>
          <w:bCs/>
          <w:sz w:val="22"/>
          <w:szCs w:val="22"/>
          <w:lang w:val="el-GR"/>
        </w:rPr>
        <w:t>στοματοφαρυγγικό άλγος</w:t>
      </w:r>
      <w:r w:rsidRPr="0047462D">
        <w:rPr>
          <w:rFonts w:eastAsia="Times New Roman"/>
          <w:sz w:val="22"/>
          <w:szCs w:val="22"/>
          <w:lang w:val="el-GR"/>
        </w:rPr>
        <w:t xml:space="preserve"> (22,0%), </w:t>
      </w:r>
      <w:r w:rsidRPr="0047462D">
        <w:rPr>
          <w:bCs/>
          <w:sz w:val="22"/>
          <w:szCs w:val="22"/>
          <w:lang w:val="el-GR"/>
        </w:rPr>
        <w:t>λοίμωξη του ανώτερου αναπνευστικού συστήματος</w:t>
      </w:r>
      <w:r w:rsidRPr="0047462D">
        <w:rPr>
          <w:rFonts w:eastAsia="Times New Roman"/>
          <w:sz w:val="22"/>
          <w:szCs w:val="22"/>
          <w:lang w:val="el-GR"/>
        </w:rPr>
        <w:t xml:space="preserve"> (22,0%), ρινική συμφόρηση (20,2%), </w:t>
      </w:r>
      <w:r w:rsidRPr="0047462D">
        <w:rPr>
          <w:bCs/>
          <w:sz w:val="22"/>
          <w:szCs w:val="22"/>
          <w:lang w:val="el-GR"/>
        </w:rPr>
        <w:t>κοιλιακό άλγος (15,6%), ρινοφαρυγγίτιδα</w:t>
      </w:r>
      <w:r w:rsidRPr="0047462D">
        <w:rPr>
          <w:rFonts w:eastAsia="Times New Roman"/>
          <w:sz w:val="22"/>
          <w:szCs w:val="22"/>
          <w:lang w:val="el-GR"/>
        </w:rPr>
        <w:t xml:space="preserve"> (14,7%), </w:t>
      </w:r>
      <w:r w:rsidRPr="0047462D">
        <w:rPr>
          <w:bCs/>
          <w:sz w:val="22"/>
          <w:szCs w:val="22"/>
          <w:lang w:val="el-GR"/>
        </w:rPr>
        <w:t xml:space="preserve">διάρροια (12,8%), ζάλη (9,2%), εξάνθημα (12,8%) και βακτήρια στα πτύελα (12,8%). Οι αυξήσεις των τρανσαμινασών εμφανίστηκαν στο 12,8% των ασθενών που έλαβαν θεραπεία με </w:t>
      </w:r>
      <w:r w:rsidRPr="0047462D">
        <w:rPr>
          <w:sz w:val="22"/>
          <w:szCs w:val="22"/>
          <w:lang w:val="en-GB"/>
        </w:rPr>
        <w:t>ivacaftor</w:t>
      </w:r>
      <w:r w:rsidRPr="0047462D">
        <w:rPr>
          <w:sz w:val="22"/>
          <w:szCs w:val="22"/>
          <w:lang w:val="el-GR"/>
        </w:rPr>
        <w:t xml:space="preserve"> έναντι</w:t>
      </w:r>
      <w:r w:rsidRPr="0047462D">
        <w:rPr>
          <w:sz w:val="22"/>
          <w:lang w:val="el-GR"/>
        </w:rPr>
        <w:t xml:space="preserve"> </w:t>
      </w:r>
      <w:r w:rsidRPr="0047462D">
        <w:rPr>
          <w:sz w:val="22"/>
          <w:szCs w:val="22"/>
          <w:lang w:val="el-GR"/>
        </w:rPr>
        <w:t>11,5%</w:t>
      </w:r>
      <w:r w:rsidRPr="0047462D">
        <w:rPr>
          <w:bCs/>
          <w:sz w:val="22"/>
          <w:szCs w:val="22"/>
          <w:lang w:val="el-GR"/>
        </w:rPr>
        <w:t xml:space="preserve"> των ασθενών που έλαβαν θεραπεία με εικονικό φάρμακο.</w:t>
      </w:r>
    </w:p>
    <w:p w14:paraId="5D6B3F95" w14:textId="77777777" w:rsidR="001C01B6" w:rsidRPr="0047462D" w:rsidRDefault="001C01B6" w:rsidP="001C01B6">
      <w:pPr>
        <w:pStyle w:val="labeltext"/>
        <w:spacing w:line="260" w:lineRule="exact"/>
        <w:rPr>
          <w:bCs/>
          <w:sz w:val="22"/>
          <w:szCs w:val="22"/>
          <w:lang w:val="el-GR"/>
        </w:rPr>
      </w:pPr>
    </w:p>
    <w:p w14:paraId="76731097" w14:textId="77777777" w:rsidR="001C01B6" w:rsidRPr="0047462D" w:rsidRDefault="001C01B6" w:rsidP="001C01B6">
      <w:pPr>
        <w:pStyle w:val="labeltext"/>
        <w:spacing w:line="260" w:lineRule="exact"/>
        <w:rPr>
          <w:bCs/>
          <w:sz w:val="22"/>
          <w:szCs w:val="22"/>
          <w:lang w:val="el-GR"/>
        </w:rPr>
      </w:pPr>
      <w:r w:rsidRPr="0047462D">
        <w:rPr>
          <w:bCs/>
          <w:sz w:val="22"/>
          <w:szCs w:val="22"/>
          <w:lang w:val="el-GR"/>
        </w:rPr>
        <w:t xml:space="preserve">Σε ασθενείς ηλικίας 2 έως κάτω των 6 ετών οι πιο συχνές ανεπιθύμητες ενέργειες ήταν </w:t>
      </w:r>
      <w:r w:rsidRPr="0047462D">
        <w:rPr>
          <w:rFonts w:eastAsia="Times New Roman"/>
          <w:sz w:val="22"/>
          <w:szCs w:val="22"/>
          <w:lang w:val="el-GR"/>
        </w:rPr>
        <w:t xml:space="preserve">ρινική συμφόρηση (26,5%), </w:t>
      </w:r>
      <w:r w:rsidRPr="0047462D">
        <w:rPr>
          <w:bCs/>
          <w:sz w:val="22"/>
          <w:szCs w:val="22"/>
          <w:lang w:val="el-GR"/>
        </w:rPr>
        <w:t>λοίμωξη του ανώτερου αναπνευστικού συστήματος</w:t>
      </w:r>
      <w:r w:rsidRPr="0047462D">
        <w:rPr>
          <w:rFonts w:eastAsia="Times New Roman"/>
          <w:sz w:val="22"/>
          <w:szCs w:val="22"/>
          <w:lang w:val="el-GR"/>
        </w:rPr>
        <w:t xml:space="preserve"> (23,5%), </w:t>
      </w:r>
      <w:r w:rsidRPr="0047462D">
        <w:rPr>
          <w:bCs/>
          <w:sz w:val="22"/>
          <w:szCs w:val="22"/>
          <w:lang w:val="el-GR"/>
        </w:rPr>
        <w:t>αυξήσεις των τρανσαμινασών</w:t>
      </w:r>
      <w:r w:rsidRPr="0047462D">
        <w:rPr>
          <w:rFonts w:eastAsia="Times New Roman"/>
          <w:sz w:val="22"/>
          <w:szCs w:val="22"/>
          <w:lang w:val="el-GR"/>
        </w:rPr>
        <w:t xml:space="preserve"> (14,7%), </w:t>
      </w:r>
      <w:r w:rsidRPr="0047462D">
        <w:rPr>
          <w:bCs/>
          <w:sz w:val="22"/>
          <w:szCs w:val="22"/>
          <w:lang w:val="el-GR"/>
        </w:rPr>
        <w:t>εξάνθημα (11,8%) και βακτήρια στα πτύελα (11,8%).</w:t>
      </w:r>
    </w:p>
    <w:p w14:paraId="37506C6A" w14:textId="77777777" w:rsidR="001C01B6" w:rsidRPr="0047462D" w:rsidRDefault="001C01B6" w:rsidP="001C01B6">
      <w:pPr>
        <w:pStyle w:val="labeltext"/>
        <w:spacing w:line="260" w:lineRule="exact"/>
        <w:rPr>
          <w:bCs/>
          <w:sz w:val="22"/>
          <w:szCs w:val="22"/>
          <w:lang w:val="el-GR"/>
        </w:rPr>
      </w:pPr>
    </w:p>
    <w:p w14:paraId="235BE637" w14:textId="77777777" w:rsidR="001C01B6" w:rsidRPr="0047462D" w:rsidRDefault="001C01B6" w:rsidP="001C01B6">
      <w:pPr>
        <w:pStyle w:val="labeltext"/>
        <w:spacing w:line="260" w:lineRule="exact"/>
        <w:rPr>
          <w:bCs/>
          <w:sz w:val="22"/>
          <w:szCs w:val="22"/>
          <w:lang w:val="el-GR"/>
        </w:rPr>
      </w:pPr>
      <w:r w:rsidRPr="0047462D">
        <w:rPr>
          <w:bCs/>
          <w:sz w:val="22"/>
          <w:szCs w:val="22"/>
          <w:lang w:val="el-GR"/>
        </w:rPr>
        <w:t xml:space="preserve">Στις σοβαρές ανεπιθύμητες ενέργειες σε ασθενείς που λάμβαναν </w:t>
      </w:r>
      <w:r w:rsidRPr="0047462D">
        <w:rPr>
          <w:bCs/>
          <w:sz w:val="22"/>
          <w:szCs w:val="22"/>
        </w:rPr>
        <w:t>ivacaftor</w:t>
      </w:r>
      <w:r w:rsidRPr="0047462D">
        <w:rPr>
          <w:bCs/>
          <w:sz w:val="22"/>
          <w:szCs w:val="22"/>
          <w:lang w:val="el-GR"/>
        </w:rPr>
        <w:t xml:space="preserve"> περιλαμβάνονταν κοιλιακό άλγος και αυξήσεις των τρανσαμινασών (βλ. παράγραφο 4.4).</w:t>
      </w:r>
    </w:p>
    <w:p w14:paraId="179B9F4E" w14:textId="77777777" w:rsidR="001C01B6" w:rsidRPr="0047462D" w:rsidRDefault="001C01B6" w:rsidP="001C01B6">
      <w:pPr>
        <w:pStyle w:val="labeltext"/>
        <w:spacing w:line="260" w:lineRule="exact"/>
        <w:rPr>
          <w:bCs/>
          <w:sz w:val="22"/>
          <w:szCs w:val="22"/>
          <w:lang w:val="el-GR"/>
        </w:rPr>
      </w:pPr>
    </w:p>
    <w:p w14:paraId="483B2636" w14:textId="77777777" w:rsidR="001C01B6" w:rsidRPr="0047462D" w:rsidRDefault="00645718" w:rsidP="001C01B6">
      <w:pPr>
        <w:pStyle w:val="labeltext"/>
        <w:keepNext/>
        <w:spacing w:line="260" w:lineRule="exact"/>
        <w:rPr>
          <w:rFonts w:eastAsia="Times New Roman"/>
          <w:sz w:val="22"/>
          <w:szCs w:val="22"/>
          <w:u w:val="single"/>
          <w:lang w:val="el-GR"/>
        </w:rPr>
      </w:pPr>
      <w:r w:rsidRPr="0047462D">
        <w:rPr>
          <w:rFonts w:eastAsia="Times New Roman"/>
          <w:sz w:val="22"/>
          <w:szCs w:val="22"/>
          <w:u w:val="single"/>
          <w:lang w:val="el-GR"/>
        </w:rPr>
        <w:t>Κατάλογος</w:t>
      </w:r>
      <w:r w:rsidR="001C01B6" w:rsidRPr="0047462D">
        <w:rPr>
          <w:rFonts w:eastAsia="Times New Roman"/>
          <w:sz w:val="22"/>
          <w:szCs w:val="22"/>
          <w:u w:val="single"/>
          <w:lang w:val="el-GR"/>
        </w:rPr>
        <w:t xml:space="preserve"> ανεπιθύμητων ενεργειών</w:t>
      </w:r>
      <w:r w:rsidRPr="0047462D">
        <w:rPr>
          <w:rFonts w:eastAsia="Times New Roman"/>
          <w:sz w:val="22"/>
          <w:szCs w:val="22"/>
          <w:u w:val="single"/>
          <w:lang w:val="el-GR"/>
        </w:rPr>
        <w:t xml:space="preserve"> σε μορφή πίνακα</w:t>
      </w:r>
    </w:p>
    <w:p w14:paraId="2035CC45" w14:textId="77777777" w:rsidR="00B274D6" w:rsidRPr="0047462D" w:rsidRDefault="00B274D6" w:rsidP="001C01B6">
      <w:pPr>
        <w:pStyle w:val="labeltext"/>
        <w:keepNext/>
        <w:spacing w:line="260" w:lineRule="exact"/>
        <w:rPr>
          <w:rFonts w:eastAsia="Times New Roman"/>
          <w:sz w:val="22"/>
          <w:szCs w:val="22"/>
          <w:lang w:val="el-GR"/>
        </w:rPr>
      </w:pPr>
    </w:p>
    <w:p w14:paraId="4AEA4710" w14:textId="03E846BB"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Ο Πίνακας</w:t>
      </w:r>
      <w:r w:rsidR="002E6D24" w:rsidRPr="0047462D">
        <w:rPr>
          <w:rFonts w:eastAsia="Times New Roman"/>
          <w:sz w:val="22"/>
          <w:szCs w:val="22"/>
          <w:lang w:val="en-GB"/>
        </w:rPr>
        <w:t> </w:t>
      </w:r>
      <w:r w:rsidRPr="0047462D">
        <w:rPr>
          <w:rFonts w:eastAsia="Times New Roman"/>
          <w:sz w:val="22"/>
          <w:szCs w:val="22"/>
          <w:lang w:val="el-GR"/>
        </w:rPr>
        <w:t xml:space="preserve">2 απεικονίζει τις ανεπιθύμητες ενέργειες που παρατηρήθηκαν με το </w:t>
      </w:r>
      <w:r w:rsidRPr="0047462D">
        <w:rPr>
          <w:sz w:val="22"/>
          <w:szCs w:val="22"/>
          <w:lang w:val="en-GB"/>
        </w:rPr>
        <w:t>ivacaftor</w:t>
      </w:r>
      <w:r w:rsidRPr="0047462D">
        <w:rPr>
          <w:rFonts w:eastAsia="Times New Roman"/>
          <w:sz w:val="22"/>
          <w:szCs w:val="22"/>
          <w:lang w:val="el-GR"/>
        </w:rPr>
        <w:t xml:space="preserve"> σε κλινικές μελέτες (ελεγχόμενες με εικονικό φάρμακο και μη ελεγχόμενες μελέτες), στις οποίες η διάρκεια της έκθεσης σε </w:t>
      </w:r>
      <w:r w:rsidRPr="0047462D">
        <w:rPr>
          <w:sz w:val="22"/>
          <w:szCs w:val="22"/>
          <w:lang w:val="en-GB"/>
        </w:rPr>
        <w:t>ivacaftor</w:t>
      </w:r>
      <w:r w:rsidRPr="0047462D">
        <w:rPr>
          <w:rFonts w:eastAsia="Times New Roman"/>
          <w:sz w:val="22"/>
          <w:szCs w:val="22"/>
          <w:lang w:val="el-GR"/>
        </w:rPr>
        <w:t xml:space="preserve"> κυμαινόταν από 16</w:t>
      </w:r>
      <w:r w:rsidR="002C32E8" w:rsidRPr="0047462D">
        <w:rPr>
          <w:rFonts w:eastAsia="Times New Roman"/>
          <w:sz w:val="22"/>
          <w:szCs w:val="22"/>
          <w:lang w:val="en-GB"/>
        </w:rPr>
        <w:t> </w:t>
      </w:r>
      <w:r w:rsidRPr="0047462D">
        <w:rPr>
          <w:rFonts w:eastAsia="Times New Roman"/>
          <w:sz w:val="22"/>
          <w:szCs w:val="22"/>
          <w:lang w:val="el-GR"/>
        </w:rPr>
        <w:t>εβδομάδες μέχρι 144</w:t>
      </w:r>
      <w:r w:rsidRPr="0047462D">
        <w:rPr>
          <w:rFonts w:eastAsia="Times New Roman"/>
          <w:sz w:val="22"/>
          <w:szCs w:val="22"/>
          <w:lang w:val="en-GB"/>
        </w:rPr>
        <w:t> </w:t>
      </w:r>
      <w:r w:rsidRPr="0047462D">
        <w:rPr>
          <w:rFonts w:eastAsia="Times New Roman"/>
          <w:sz w:val="22"/>
          <w:szCs w:val="22"/>
          <w:lang w:val="el-GR"/>
        </w:rPr>
        <w:t>εβδομάδες. Η συχνότητα των ανεπιθύμητων ενεργειών ορίζεται ως εξής: πολύ συχνές (</w:t>
      </w:r>
      <w:r w:rsidRPr="0047462D">
        <w:rPr>
          <w:b/>
          <w:noProof/>
        </w:rPr>
        <w:sym w:font="Symbol" w:char="F0B3"/>
      </w:r>
      <w:r w:rsidR="00216350" w:rsidRPr="0047462D">
        <w:rPr>
          <w:bCs/>
          <w:noProof/>
        </w:rPr>
        <w:t> </w:t>
      </w:r>
      <w:r w:rsidRPr="0047462D">
        <w:rPr>
          <w:rFonts w:eastAsia="Times New Roman"/>
          <w:sz w:val="22"/>
          <w:szCs w:val="22"/>
          <w:lang w:val="el-GR"/>
        </w:rPr>
        <w:t>1/10), συχνές (≥</w:t>
      </w:r>
      <w:r w:rsidR="00216350" w:rsidRPr="0047462D">
        <w:rPr>
          <w:rFonts w:eastAsia="Times New Roman"/>
          <w:sz w:val="22"/>
          <w:szCs w:val="22"/>
        </w:rPr>
        <w:t> </w:t>
      </w:r>
      <w:r w:rsidRPr="0047462D">
        <w:rPr>
          <w:rFonts w:eastAsia="Times New Roman"/>
          <w:sz w:val="22"/>
          <w:szCs w:val="22"/>
          <w:lang w:val="el-GR"/>
        </w:rPr>
        <w:t>1/100 έως &lt;</w:t>
      </w:r>
      <w:r w:rsidR="00216350" w:rsidRPr="0047462D">
        <w:rPr>
          <w:rFonts w:eastAsia="Times New Roman"/>
          <w:sz w:val="22"/>
          <w:szCs w:val="22"/>
        </w:rPr>
        <w:t> </w:t>
      </w:r>
      <w:r w:rsidRPr="0047462D">
        <w:rPr>
          <w:rFonts w:eastAsia="Times New Roman"/>
          <w:sz w:val="22"/>
          <w:szCs w:val="22"/>
          <w:lang w:val="el-GR"/>
        </w:rPr>
        <w:t>1/10), όχι συχνές (</w:t>
      </w:r>
      <w:r w:rsidRPr="0047462D">
        <w:rPr>
          <w:rFonts w:eastAsia="Times New Roman"/>
          <w:sz w:val="22"/>
          <w:szCs w:val="22"/>
          <w:lang w:val="el-GR"/>
        </w:rPr>
        <w:sym w:font="Symbol" w:char="F0B3"/>
      </w:r>
      <w:r w:rsidR="00216350" w:rsidRPr="0047462D">
        <w:rPr>
          <w:rFonts w:eastAsia="Times New Roman"/>
          <w:sz w:val="22"/>
          <w:szCs w:val="22"/>
        </w:rPr>
        <w:t> </w:t>
      </w:r>
      <w:r w:rsidRPr="0047462D">
        <w:rPr>
          <w:rFonts w:eastAsia="Times New Roman"/>
          <w:sz w:val="22"/>
          <w:szCs w:val="22"/>
          <w:lang w:val="el-GR"/>
        </w:rPr>
        <w:t>1/1.000 έως &lt;</w:t>
      </w:r>
      <w:r w:rsidR="00216350" w:rsidRPr="0047462D">
        <w:rPr>
          <w:rFonts w:eastAsia="Times New Roman"/>
          <w:sz w:val="22"/>
          <w:szCs w:val="22"/>
        </w:rPr>
        <w:t> </w:t>
      </w:r>
      <w:r w:rsidRPr="0047462D">
        <w:rPr>
          <w:rFonts w:eastAsia="Times New Roman"/>
          <w:sz w:val="22"/>
          <w:szCs w:val="22"/>
          <w:lang w:val="el-GR"/>
        </w:rPr>
        <w:t>1/100), σπάνιες (</w:t>
      </w:r>
      <w:r w:rsidRPr="0047462D">
        <w:rPr>
          <w:rFonts w:eastAsia="Times New Roman"/>
          <w:sz w:val="22"/>
          <w:szCs w:val="22"/>
          <w:lang w:val="el-GR"/>
        </w:rPr>
        <w:sym w:font="Symbol" w:char="F0B3"/>
      </w:r>
      <w:r w:rsidR="00216350" w:rsidRPr="0047462D">
        <w:rPr>
          <w:rFonts w:eastAsia="Times New Roman"/>
          <w:sz w:val="22"/>
          <w:szCs w:val="22"/>
        </w:rPr>
        <w:t> </w:t>
      </w:r>
      <w:r w:rsidRPr="0047462D">
        <w:rPr>
          <w:rFonts w:eastAsia="Times New Roman"/>
          <w:sz w:val="22"/>
          <w:szCs w:val="22"/>
          <w:lang w:val="el-GR"/>
        </w:rPr>
        <w:t>1/10.000 έως &lt;</w:t>
      </w:r>
      <w:r w:rsidR="00216350" w:rsidRPr="0047462D">
        <w:rPr>
          <w:rFonts w:eastAsia="Times New Roman"/>
          <w:sz w:val="22"/>
          <w:szCs w:val="22"/>
        </w:rPr>
        <w:t> </w:t>
      </w:r>
      <w:r w:rsidRPr="0047462D">
        <w:rPr>
          <w:rFonts w:eastAsia="Times New Roman"/>
          <w:sz w:val="22"/>
          <w:szCs w:val="22"/>
          <w:lang w:val="el-GR"/>
        </w:rPr>
        <w:t>1/1.000), πολύ σπάνιες (&lt;</w:t>
      </w:r>
      <w:r w:rsidR="00216350" w:rsidRPr="0047462D">
        <w:rPr>
          <w:rFonts w:eastAsia="Times New Roman"/>
          <w:sz w:val="22"/>
          <w:szCs w:val="22"/>
        </w:rPr>
        <w:t> </w:t>
      </w:r>
      <w:r w:rsidRPr="0047462D">
        <w:rPr>
          <w:rFonts w:eastAsia="Times New Roman"/>
          <w:sz w:val="22"/>
          <w:szCs w:val="22"/>
          <w:lang w:val="el-GR"/>
        </w:rPr>
        <w:t>1/10.000)</w:t>
      </w:r>
      <w:r w:rsidR="00981377" w:rsidRPr="0047462D">
        <w:rPr>
          <w:rFonts w:eastAsia="Times New Roman"/>
          <w:sz w:val="22"/>
          <w:szCs w:val="22"/>
          <w:lang w:val="el-GR"/>
        </w:rPr>
        <w:t>, μη γνωστές (δεν μπορούν να εκτιμηθούν με βάση τα διαθέσιμα δεδομένα)</w:t>
      </w:r>
      <w:r w:rsidRPr="0047462D">
        <w:rPr>
          <w:rFonts w:eastAsia="Times New Roman"/>
          <w:sz w:val="22"/>
          <w:szCs w:val="22"/>
          <w:lang w:val="el-GR"/>
        </w:rPr>
        <w:t>.</w:t>
      </w:r>
      <w:r w:rsidRPr="0047462D">
        <w:rPr>
          <w:sz w:val="22"/>
          <w:szCs w:val="22"/>
          <w:lang w:val="el-GR"/>
        </w:rPr>
        <w:t xml:space="preserve"> Εντός κάθε κατηγορίας συχνότητας εμφάνισης, οι ανεπιθύμητες ενέργειες παρατίθενται κατά φθίνουσα σειρά σοβαρότητας.</w:t>
      </w:r>
    </w:p>
    <w:p w14:paraId="18B4FC0B" w14:textId="77777777" w:rsidR="001C01B6" w:rsidRPr="0047462D" w:rsidRDefault="001C01B6" w:rsidP="001C01B6">
      <w:pPr>
        <w:rPr>
          <w:rFonts w:eastAsia="Times New Roman"/>
          <w:b/>
          <w:bCs/>
          <w:szCs w:val="22"/>
        </w:rPr>
      </w:pPr>
    </w:p>
    <w:p w14:paraId="7235F38E" w14:textId="619DBA0F" w:rsidR="00B274D6" w:rsidRPr="0047462D" w:rsidRDefault="00B274D6" w:rsidP="00EB5A36">
      <w:pPr>
        <w:keepNext/>
        <w:spacing w:after="120"/>
        <w:ind w:left="1276" w:hanging="1134"/>
        <w:rPr>
          <w:b/>
        </w:rPr>
      </w:pPr>
      <w:r w:rsidRPr="0047462D">
        <w:rPr>
          <w:b/>
        </w:rPr>
        <w:t>Πίνακας 2: Ανεπιθύμητες ενέργειες</w:t>
      </w:r>
    </w:p>
    <w:tbl>
      <w:tblPr>
        <w:tblW w:w="9297" w:type="dxa"/>
        <w:tblInd w:w="-5" w:type="dxa"/>
        <w:tblLayout w:type="fixed"/>
        <w:tblLook w:val="0000" w:firstRow="0" w:lastRow="0" w:firstColumn="0" w:lastColumn="0" w:noHBand="0" w:noVBand="0"/>
      </w:tblPr>
      <w:tblGrid>
        <w:gridCol w:w="3126"/>
        <w:gridCol w:w="2916"/>
        <w:gridCol w:w="3255"/>
      </w:tblGrid>
      <w:tr w:rsidR="001C01B6" w:rsidRPr="0047462D" w14:paraId="04016FD4" w14:textId="77777777">
        <w:trPr>
          <w:cantSplit/>
          <w:trHeight w:val="818"/>
          <w:tblHeader/>
        </w:trPr>
        <w:tc>
          <w:tcPr>
            <w:tcW w:w="3126" w:type="dxa"/>
            <w:tcBorders>
              <w:top w:val="single" w:sz="4" w:space="0" w:color="000000"/>
              <w:left w:val="single" w:sz="4" w:space="0" w:color="000000"/>
              <w:bottom w:val="single" w:sz="4" w:space="0" w:color="000000"/>
            </w:tcBorders>
            <w:shd w:val="clear" w:color="auto" w:fill="auto"/>
          </w:tcPr>
          <w:p w14:paraId="0BF352A4" w14:textId="77777777" w:rsidR="001C01B6" w:rsidRPr="0047462D" w:rsidRDefault="001C01B6" w:rsidP="00A920CD">
            <w:pPr>
              <w:keepNext/>
              <w:rPr>
                <w:rFonts w:eastAsia="Times New Roman"/>
                <w:szCs w:val="22"/>
              </w:rPr>
            </w:pPr>
            <w:r w:rsidRPr="0047462D">
              <w:rPr>
                <w:rFonts w:eastAsia="Times New Roman"/>
                <w:b/>
                <w:bCs/>
                <w:szCs w:val="22"/>
              </w:rPr>
              <w:t>Kατηγορία/οργανικό σύστημα</w:t>
            </w:r>
          </w:p>
          <w:p w14:paraId="10B604D8" w14:textId="77777777" w:rsidR="001C01B6" w:rsidRPr="0047462D" w:rsidRDefault="001C01B6" w:rsidP="00A240EC">
            <w:pPr>
              <w:keepNext/>
              <w:rPr>
                <w:rFonts w:eastAsia="Times New Roman"/>
                <w:b/>
                <w:bCs/>
                <w:szCs w:val="22"/>
              </w:rPr>
            </w:pPr>
          </w:p>
        </w:tc>
        <w:tc>
          <w:tcPr>
            <w:tcW w:w="2916" w:type="dxa"/>
            <w:tcBorders>
              <w:top w:val="single" w:sz="4" w:space="0" w:color="000000"/>
              <w:left w:val="single" w:sz="4" w:space="0" w:color="000000"/>
              <w:bottom w:val="single" w:sz="4" w:space="0" w:color="000000"/>
            </w:tcBorders>
            <w:shd w:val="clear" w:color="auto" w:fill="auto"/>
          </w:tcPr>
          <w:p w14:paraId="31E48CD7" w14:textId="77777777" w:rsidR="001C01B6" w:rsidRPr="0047462D" w:rsidRDefault="001C01B6" w:rsidP="00A240EC">
            <w:pPr>
              <w:keepNext/>
              <w:jc w:val="center"/>
              <w:rPr>
                <w:b/>
                <w:bCs/>
                <w:szCs w:val="22"/>
              </w:rPr>
            </w:pPr>
            <w:r w:rsidRPr="0047462D">
              <w:rPr>
                <w:rFonts w:eastAsia="Times New Roman"/>
                <w:b/>
                <w:bCs/>
                <w:szCs w:val="22"/>
              </w:rPr>
              <w:t>Ανεπιθύμητες ενέργειες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7FBDAB1" w14:textId="77777777" w:rsidR="001C01B6" w:rsidRPr="0047462D" w:rsidRDefault="001C01B6" w:rsidP="00A240EC">
            <w:pPr>
              <w:keepNext/>
              <w:jc w:val="center"/>
              <w:rPr>
                <w:rFonts w:eastAsia="Times New Roman"/>
                <w:szCs w:val="22"/>
              </w:rPr>
            </w:pPr>
            <w:r w:rsidRPr="0047462D">
              <w:rPr>
                <w:rFonts w:eastAsia="Times New Roman"/>
                <w:b/>
                <w:bCs/>
                <w:szCs w:val="22"/>
              </w:rPr>
              <w:t>Συχνότητα</w:t>
            </w:r>
          </w:p>
        </w:tc>
      </w:tr>
      <w:tr w:rsidR="001C01B6" w:rsidRPr="0047462D" w14:paraId="6227CB16" w14:textId="77777777">
        <w:trPr>
          <w:cantSplit/>
          <w:trHeight w:val="128"/>
        </w:trPr>
        <w:tc>
          <w:tcPr>
            <w:tcW w:w="3126" w:type="dxa"/>
            <w:vMerge w:val="restart"/>
            <w:tcBorders>
              <w:top w:val="single" w:sz="4" w:space="0" w:color="000000"/>
              <w:left w:val="single" w:sz="4" w:space="0" w:color="000000"/>
            </w:tcBorders>
            <w:shd w:val="clear" w:color="auto" w:fill="auto"/>
          </w:tcPr>
          <w:p w14:paraId="462BBBFB" w14:textId="77777777" w:rsidR="001C01B6" w:rsidRPr="0047462D" w:rsidRDefault="001C01B6" w:rsidP="00A920CD">
            <w:pPr>
              <w:keepNext/>
              <w:rPr>
                <w:rFonts w:eastAsia="Times New Roman"/>
                <w:szCs w:val="22"/>
              </w:rPr>
            </w:pPr>
            <w:r w:rsidRPr="0047462D">
              <w:rPr>
                <w:rFonts w:eastAsia="Times New Roman"/>
                <w:szCs w:val="22"/>
              </w:rPr>
              <w:t>Λοιμώξεις και παρασιτώσεις</w:t>
            </w:r>
          </w:p>
        </w:tc>
        <w:tc>
          <w:tcPr>
            <w:tcW w:w="2916" w:type="dxa"/>
            <w:tcBorders>
              <w:top w:val="single" w:sz="4" w:space="0" w:color="000000"/>
              <w:left w:val="single" w:sz="4" w:space="0" w:color="000000"/>
              <w:bottom w:val="single" w:sz="4" w:space="0" w:color="000000"/>
            </w:tcBorders>
            <w:shd w:val="clear" w:color="auto" w:fill="auto"/>
          </w:tcPr>
          <w:p w14:paraId="16D76D38" w14:textId="77777777" w:rsidR="001C01B6" w:rsidRPr="0047462D" w:rsidRDefault="001C01B6" w:rsidP="00A240EC">
            <w:pPr>
              <w:keepNext/>
              <w:rPr>
                <w:rFonts w:eastAsia="Times New Roman"/>
                <w:szCs w:val="22"/>
              </w:rPr>
            </w:pPr>
            <w:r w:rsidRPr="0047462D">
              <w:rPr>
                <w:rFonts w:eastAsia="Times New Roman"/>
                <w:szCs w:val="22"/>
              </w:rPr>
              <w:t>Λοίμωξη του ανώτερου αναπνευστικού συστήματος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185B96F"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5AA6EDA8" w14:textId="77777777">
        <w:trPr>
          <w:cantSplit/>
          <w:trHeight w:val="128"/>
        </w:trPr>
        <w:tc>
          <w:tcPr>
            <w:tcW w:w="3126" w:type="dxa"/>
            <w:vMerge/>
            <w:tcBorders>
              <w:left w:val="single" w:sz="4" w:space="0" w:color="000000"/>
            </w:tcBorders>
            <w:shd w:val="clear" w:color="auto" w:fill="auto"/>
          </w:tcPr>
          <w:p w14:paraId="2BA6FD2F"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404BC705" w14:textId="77777777" w:rsidR="001C01B6" w:rsidRPr="0047462D" w:rsidRDefault="001C01B6" w:rsidP="00A240EC">
            <w:pPr>
              <w:keepNext/>
              <w:rPr>
                <w:rFonts w:eastAsia="Times New Roman"/>
                <w:szCs w:val="22"/>
              </w:rPr>
            </w:pPr>
            <w:r w:rsidRPr="0047462D">
              <w:rPr>
                <w:rFonts w:eastAsia="Times New Roman"/>
                <w:szCs w:val="22"/>
              </w:rPr>
              <w:t>Ρινοφαρυγγίτιδα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361EE794"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41A535E3" w14:textId="77777777">
        <w:trPr>
          <w:cantSplit/>
          <w:trHeight w:val="127"/>
        </w:trPr>
        <w:tc>
          <w:tcPr>
            <w:tcW w:w="3126" w:type="dxa"/>
            <w:vMerge/>
            <w:tcBorders>
              <w:left w:val="single" w:sz="4" w:space="0" w:color="000000"/>
              <w:bottom w:val="single" w:sz="4" w:space="0" w:color="000000"/>
            </w:tcBorders>
            <w:shd w:val="clear" w:color="auto" w:fill="auto"/>
          </w:tcPr>
          <w:p w14:paraId="50F83E84"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5E832ACA" w14:textId="77777777" w:rsidR="001C01B6" w:rsidRPr="0047462D" w:rsidRDefault="001C01B6" w:rsidP="00A240EC">
            <w:pPr>
              <w:keepNext/>
              <w:rPr>
                <w:rFonts w:eastAsia="Times New Roman"/>
                <w:szCs w:val="22"/>
              </w:rPr>
            </w:pPr>
            <w:r w:rsidRPr="0047462D">
              <w:rPr>
                <w:rFonts w:eastAsia="Times New Roman"/>
                <w:szCs w:val="22"/>
              </w:rPr>
              <w:t>Ρινίτιδα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90D633E" w14:textId="77777777" w:rsidR="001C01B6" w:rsidRPr="0047462D" w:rsidRDefault="001C01B6" w:rsidP="00A240EC">
            <w:pPr>
              <w:keepNext/>
              <w:rPr>
                <w:rFonts w:eastAsia="Times New Roman"/>
                <w:szCs w:val="22"/>
              </w:rPr>
            </w:pPr>
            <w:r w:rsidRPr="0047462D">
              <w:rPr>
                <w:rFonts w:eastAsia="Times New Roman"/>
                <w:szCs w:val="22"/>
              </w:rPr>
              <w:t>συχνές</w:t>
            </w:r>
            <w:r w:rsidRPr="0047462D">
              <w:rPr>
                <w:rFonts w:eastAsia="Times New Roman"/>
                <w:szCs w:val="22"/>
                <w:lang w:eastAsia="en-US"/>
              </w:rPr>
              <w:t xml:space="preserve"> </w:t>
            </w:r>
          </w:p>
        </w:tc>
      </w:tr>
      <w:tr w:rsidR="001C01B6" w:rsidRPr="0047462D" w14:paraId="22AEC132" w14:textId="77777777">
        <w:trPr>
          <w:cantSplit/>
        </w:trPr>
        <w:tc>
          <w:tcPr>
            <w:tcW w:w="3126" w:type="dxa"/>
            <w:vMerge w:val="restart"/>
            <w:tcBorders>
              <w:top w:val="single" w:sz="4" w:space="0" w:color="000000"/>
              <w:left w:val="single" w:sz="4" w:space="0" w:color="000000"/>
            </w:tcBorders>
            <w:shd w:val="clear" w:color="auto" w:fill="auto"/>
          </w:tcPr>
          <w:p w14:paraId="7A1122AC" w14:textId="77777777" w:rsidR="001C01B6" w:rsidRPr="0047462D" w:rsidRDefault="001C01B6" w:rsidP="00A920CD">
            <w:pPr>
              <w:keepNext/>
              <w:rPr>
                <w:rFonts w:eastAsia="Times New Roman"/>
                <w:szCs w:val="22"/>
              </w:rPr>
            </w:pPr>
            <w:r w:rsidRPr="0047462D">
              <w:rPr>
                <w:rFonts w:eastAsia="Times New Roman"/>
                <w:szCs w:val="22"/>
              </w:rPr>
              <w:t xml:space="preserve">Διαταραχές του νευρικού συστήματος </w:t>
            </w:r>
          </w:p>
        </w:tc>
        <w:tc>
          <w:tcPr>
            <w:tcW w:w="2916" w:type="dxa"/>
            <w:tcBorders>
              <w:top w:val="single" w:sz="4" w:space="0" w:color="000000"/>
              <w:left w:val="single" w:sz="4" w:space="0" w:color="000000"/>
              <w:bottom w:val="single" w:sz="4" w:space="0" w:color="000000"/>
            </w:tcBorders>
            <w:shd w:val="clear" w:color="auto" w:fill="auto"/>
          </w:tcPr>
          <w:p w14:paraId="7E6C1F2F" w14:textId="77777777" w:rsidR="001C01B6" w:rsidRPr="0047462D" w:rsidRDefault="001C01B6" w:rsidP="00A240EC">
            <w:pPr>
              <w:keepNext/>
              <w:rPr>
                <w:rFonts w:eastAsia="Times New Roman"/>
                <w:szCs w:val="22"/>
              </w:rPr>
            </w:pPr>
            <w:r w:rsidRPr="0047462D">
              <w:rPr>
                <w:rFonts w:eastAsia="Times New Roman"/>
                <w:szCs w:val="22"/>
              </w:rPr>
              <w:t>Κεφαλαλγία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4F55446"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4BC9509E" w14:textId="77777777">
        <w:trPr>
          <w:cantSplit/>
        </w:trPr>
        <w:tc>
          <w:tcPr>
            <w:tcW w:w="3126" w:type="dxa"/>
            <w:vMerge/>
            <w:tcBorders>
              <w:left w:val="single" w:sz="4" w:space="0" w:color="000000"/>
              <w:bottom w:val="single" w:sz="4" w:space="0" w:color="000000"/>
            </w:tcBorders>
            <w:shd w:val="clear" w:color="auto" w:fill="auto"/>
          </w:tcPr>
          <w:p w14:paraId="253664BF"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2C3B51A" w14:textId="77777777" w:rsidR="001C01B6" w:rsidRPr="0047462D" w:rsidRDefault="001C01B6" w:rsidP="00A240EC">
            <w:pPr>
              <w:keepNext/>
              <w:rPr>
                <w:rFonts w:eastAsia="Times New Roman"/>
                <w:szCs w:val="22"/>
              </w:rPr>
            </w:pPr>
            <w:r w:rsidRPr="0047462D">
              <w:rPr>
                <w:rFonts w:eastAsia="Times New Roman"/>
                <w:szCs w:val="22"/>
              </w:rPr>
              <w:t>Ζάλη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9076563" w14:textId="77777777" w:rsidR="001C01B6" w:rsidRPr="0047462D" w:rsidRDefault="001C01B6" w:rsidP="00A240EC">
            <w:pPr>
              <w:keepNext/>
              <w:rPr>
                <w:rFonts w:eastAsia="Times New Roman"/>
                <w:szCs w:val="22"/>
              </w:rPr>
            </w:pPr>
            <w:r w:rsidRPr="0047462D">
              <w:rPr>
                <w:rFonts w:eastAsia="Times New Roman"/>
                <w:szCs w:val="22"/>
              </w:rPr>
              <w:t>πολύ συχνές</w:t>
            </w:r>
          </w:p>
        </w:tc>
      </w:tr>
      <w:tr w:rsidR="001C01B6" w:rsidRPr="0047462D" w14:paraId="3EB9812D" w14:textId="77777777">
        <w:trPr>
          <w:cantSplit/>
          <w:trHeight w:val="263"/>
        </w:trPr>
        <w:tc>
          <w:tcPr>
            <w:tcW w:w="3126" w:type="dxa"/>
            <w:vMerge w:val="restart"/>
            <w:tcBorders>
              <w:top w:val="single" w:sz="4" w:space="0" w:color="000000"/>
              <w:left w:val="single" w:sz="4" w:space="0" w:color="000000"/>
            </w:tcBorders>
            <w:shd w:val="clear" w:color="auto" w:fill="auto"/>
          </w:tcPr>
          <w:p w14:paraId="0526AC72" w14:textId="77777777" w:rsidR="001C01B6" w:rsidRPr="0047462D" w:rsidRDefault="001C01B6" w:rsidP="00A920CD">
            <w:pPr>
              <w:keepNext/>
              <w:rPr>
                <w:rFonts w:eastAsia="Times New Roman"/>
                <w:szCs w:val="22"/>
              </w:rPr>
            </w:pPr>
            <w:r w:rsidRPr="0047462D">
              <w:rPr>
                <w:noProof/>
              </w:rPr>
              <w:t>Διαταραχές του ωτός και του λαβυρίνθου</w:t>
            </w:r>
          </w:p>
        </w:tc>
        <w:tc>
          <w:tcPr>
            <w:tcW w:w="2916" w:type="dxa"/>
            <w:tcBorders>
              <w:top w:val="single" w:sz="4" w:space="0" w:color="000000"/>
              <w:left w:val="single" w:sz="4" w:space="0" w:color="000000"/>
              <w:bottom w:val="single" w:sz="4" w:space="0" w:color="000000"/>
            </w:tcBorders>
            <w:shd w:val="clear" w:color="auto" w:fill="auto"/>
          </w:tcPr>
          <w:p w14:paraId="37B24C3C" w14:textId="77777777" w:rsidR="001C01B6" w:rsidRPr="0047462D" w:rsidRDefault="00645718" w:rsidP="00A240EC">
            <w:pPr>
              <w:keepNext/>
              <w:rPr>
                <w:rFonts w:eastAsia="Times New Roman"/>
                <w:szCs w:val="22"/>
              </w:rPr>
            </w:pPr>
            <w:r w:rsidRPr="0047462D">
              <w:rPr>
                <w:rFonts w:eastAsia="Times New Roman"/>
                <w:szCs w:val="22"/>
              </w:rPr>
              <w:t>Ωταλγία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E2363D3"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0C9D7186" w14:textId="77777777">
        <w:trPr>
          <w:cantSplit/>
          <w:trHeight w:val="263"/>
        </w:trPr>
        <w:tc>
          <w:tcPr>
            <w:tcW w:w="3126" w:type="dxa"/>
            <w:vMerge/>
            <w:tcBorders>
              <w:left w:val="single" w:sz="4" w:space="0" w:color="000000"/>
            </w:tcBorders>
            <w:shd w:val="clear" w:color="auto" w:fill="auto"/>
          </w:tcPr>
          <w:p w14:paraId="6D9D67EC"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AA8BB00" w14:textId="77777777" w:rsidR="001C01B6" w:rsidRPr="0047462D" w:rsidRDefault="001C01B6" w:rsidP="00A240EC">
            <w:pPr>
              <w:keepNext/>
              <w:rPr>
                <w:rFonts w:eastAsia="Times New Roman"/>
                <w:szCs w:val="22"/>
              </w:rPr>
            </w:pPr>
            <w:r w:rsidRPr="0047462D">
              <w:rPr>
                <w:rFonts w:eastAsia="Times New Roman"/>
                <w:szCs w:val="22"/>
              </w:rPr>
              <w:t>Δυσφορία του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61AC8FD"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19944DDD" w14:textId="77777777">
        <w:trPr>
          <w:cantSplit/>
          <w:trHeight w:val="263"/>
        </w:trPr>
        <w:tc>
          <w:tcPr>
            <w:tcW w:w="3126" w:type="dxa"/>
            <w:vMerge/>
            <w:tcBorders>
              <w:left w:val="single" w:sz="4" w:space="0" w:color="000000"/>
            </w:tcBorders>
            <w:shd w:val="clear" w:color="auto" w:fill="auto"/>
          </w:tcPr>
          <w:p w14:paraId="0F18CC78"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568C034" w14:textId="77777777" w:rsidR="001C01B6" w:rsidRPr="0047462D" w:rsidRDefault="001C01B6" w:rsidP="00A240EC">
            <w:pPr>
              <w:keepNext/>
              <w:rPr>
                <w:rFonts w:eastAsia="Times New Roman"/>
                <w:szCs w:val="22"/>
              </w:rPr>
            </w:pPr>
            <w:r w:rsidRPr="0047462D">
              <w:rPr>
                <w:rFonts w:eastAsia="Times New Roman"/>
                <w:szCs w:val="22"/>
              </w:rPr>
              <w:t>Εμβοές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EA275F6"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39A6A69C" w14:textId="77777777">
        <w:trPr>
          <w:cantSplit/>
          <w:trHeight w:val="263"/>
        </w:trPr>
        <w:tc>
          <w:tcPr>
            <w:tcW w:w="3126" w:type="dxa"/>
            <w:vMerge/>
            <w:tcBorders>
              <w:left w:val="single" w:sz="4" w:space="0" w:color="000000"/>
            </w:tcBorders>
            <w:shd w:val="clear" w:color="auto" w:fill="auto"/>
          </w:tcPr>
          <w:p w14:paraId="697BD58C"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EBC59E3" w14:textId="77777777" w:rsidR="001C01B6" w:rsidRPr="0047462D" w:rsidRDefault="001C01B6" w:rsidP="00A240EC">
            <w:pPr>
              <w:keepNext/>
              <w:rPr>
                <w:rFonts w:eastAsia="Times New Roman"/>
                <w:szCs w:val="22"/>
              </w:rPr>
            </w:pPr>
            <w:r w:rsidRPr="0047462D">
              <w:rPr>
                <w:rFonts w:eastAsia="Times New Roman"/>
                <w:szCs w:val="22"/>
              </w:rPr>
              <w:t xml:space="preserve">Υπεραιμία </w:t>
            </w:r>
            <w:r w:rsidR="00437D38" w:rsidRPr="0047462D">
              <w:rPr>
                <w:rFonts w:eastAsia="Times New Roman"/>
                <w:szCs w:val="22"/>
              </w:rPr>
              <w:t>του τυμπανικού υμένα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AD1473D"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09FB4168" w14:textId="77777777">
        <w:trPr>
          <w:cantSplit/>
          <w:trHeight w:val="263"/>
        </w:trPr>
        <w:tc>
          <w:tcPr>
            <w:tcW w:w="3126" w:type="dxa"/>
            <w:vMerge/>
            <w:tcBorders>
              <w:left w:val="single" w:sz="4" w:space="0" w:color="000000"/>
            </w:tcBorders>
            <w:shd w:val="clear" w:color="auto" w:fill="auto"/>
          </w:tcPr>
          <w:p w14:paraId="49527208"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7AED820E" w14:textId="77777777" w:rsidR="001C01B6" w:rsidRPr="0047462D" w:rsidRDefault="00645718" w:rsidP="00A240EC">
            <w:pPr>
              <w:keepNext/>
              <w:rPr>
                <w:rFonts w:eastAsia="Times New Roman"/>
                <w:szCs w:val="22"/>
              </w:rPr>
            </w:pPr>
            <w:r w:rsidRPr="0047462D">
              <w:rPr>
                <w:rFonts w:eastAsia="Times New Roman"/>
                <w:szCs w:val="22"/>
              </w:rPr>
              <w:t>Αιθουσαία διαταραχή</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4A35B89"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2297FFBE" w14:textId="77777777">
        <w:trPr>
          <w:cantSplit/>
          <w:trHeight w:val="263"/>
        </w:trPr>
        <w:tc>
          <w:tcPr>
            <w:tcW w:w="3126" w:type="dxa"/>
            <w:vMerge/>
            <w:tcBorders>
              <w:left w:val="single" w:sz="4" w:space="0" w:color="000000"/>
            </w:tcBorders>
            <w:shd w:val="clear" w:color="auto" w:fill="auto"/>
          </w:tcPr>
          <w:p w14:paraId="0708F3D3"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7D7E8C3D" w14:textId="77777777" w:rsidR="001C01B6" w:rsidRPr="0047462D" w:rsidRDefault="001C01B6" w:rsidP="00A240EC">
            <w:pPr>
              <w:keepNext/>
              <w:rPr>
                <w:rFonts w:eastAsia="Times New Roman"/>
                <w:szCs w:val="22"/>
              </w:rPr>
            </w:pPr>
            <w:r w:rsidRPr="0047462D">
              <w:rPr>
                <w:rFonts w:eastAsia="Times New Roman"/>
                <w:szCs w:val="22"/>
              </w:rPr>
              <w:t>Συμφόρηση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AD6EEE7"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025CB0D9" w14:textId="77777777">
        <w:trPr>
          <w:cantSplit/>
          <w:trHeight w:val="263"/>
        </w:trPr>
        <w:tc>
          <w:tcPr>
            <w:tcW w:w="3126" w:type="dxa"/>
            <w:vMerge w:val="restart"/>
            <w:tcBorders>
              <w:top w:val="single" w:sz="4" w:space="0" w:color="000000"/>
              <w:left w:val="single" w:sz="4" w:space="0" w:color="000000"/>
            </w:tcBorders>
            <w:shd w:val="clear" w:color="auto" w:fill="auto"/>
          </w:tcPr>
          <w:p w14:paraId="3C3ADE30" w14:textId="77777777" w:rsidR="001C01B6" w:rsidRPr="0047462D" w:rsidRDefault="001C01B6" w:rsidP="00A920CD">
            <w:pPr>
              <w:keepNext/>
              <w:rPr>
                <w:rFonts w:eastAsia="Times New Roman"/>
                <w:szCs w:val="22"/>
              </w:rPr>
            </w:pPr>
            <w:r w:rsidRPr="0047462D">
              <w:rPr>
                <w:rFonts w:eastAsia="Times New Roman"/>
                <w:szCs w:val="22"/>
              </w:rPr>
              <w:t>Διαταραχές του αναπνευστικού συστήματος</w:t>
            </w:r>
            <w:r w:rsidRPr="0047462D">
              <w:rPr>
                <w:rFonts w:eastAsia="Arial0"/>
                <w:szCs w:val="22"/>
              </w:rPr>
              <w:t xml:space="preserve">, </w:t>
            </w:r>
            <w:r w:rsidRPr="0047462D">
              <w:rPr>
                <w:rFonts w:eastAsia="Times New Roman"/>
                <w:szCs w:val="22"/>
              </w:rPr>
              <w:t>του θώρακα και του μεσοθωράκιου</w:t>
            </w:r>
          </w:p>
        </w:tc>
        <w:tc>
          <w:tcPr>
            <w:tcW w:w="2916" w:type="dxa"/>
            <w:tcBorders>
              <w:top w:val="single" w:sz="4" w:space="0" w:color="000000"/>
              <w:left w:val="single" w:sz="4" w:space="0" w:color="000000"/>
              <w:bottom w:val="single" w:sz="4" w:space="0" w:color="000000"/>
            </w:tcBorders>
            <w:shd w:val="clear" w:color="auto" w:fill="auto"/>
          </w:tcPr>
          <w:p w14:paraId="396A99D3" w14:textId="77777777" w:rsidR="001C01B6" w:rsidRPr="0047462D" w:rsidRDefault="001C01B6" w:rsidP="00A240EC">
            <w:pPr>
              <w:keepNext/>
              <w:rPr>
                <w:rFonts w:eastAsia="Times New Roman"/>
                <w:szCs w:val="22"/>
              </w:rPr>
            </w:pPr>
            <w:r w:rsidRPr="0047462D">
              <w:rPr>
                <w:rFonts w:eastAsia="Times New Roman"/>
                <w:szCs w:val="22"/>
              </w:rPr>
              <w:t>Στοματοφαρυγγικό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99C0AF2"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2C3E9022" w14:textId="77777777">
        <w:trPr>
          <w:cantSplit/>
          <w:trHeight w:val="128"/>
        </w:trPr>
        <w:tc>
          <w:tcPr>
            <w:tcW w:w="3126" w:type="dxa"/>
            <w:vMerge/>
            <w:tcBorders>
              <w:left w:val="single" w:sz="4" w:space="0" w:color="000000"/>
            </w:tcBorders>
            <w:shd w:val="clear" w:color="auto" w:fill="auto"/>
          </w:tcPr>
          <w:p w14:paraId="38F91A86"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477B482B" w14:textId="77777777" w:rsidR="001C01B6" w:rsidRPr="0047462D" w:rsidRDefault="001C01B6" w:rsidP="00A240EC">
            <w:pPr>
              <w:keepNext/>
              <w:rPr>
                <w:rFonts w:eastAsia="Times New Roman"/>
                <w:szCs w:val="22"/>
              </w:rPr>
            </w:pPr>
            <w:r w:rsidRPr="0047462D">
              <w:rPr>
                <w:rFonts w:eastAsia="Times New Roman"/>
                <w:szCs w:val="22"/>
              </w:rPr>
              <w:t>Ρινική συμφόρηση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F8C8105"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17B1AF43" w14:textId="77777777">
        <w:trPr>
          <w:cantSplit/>
          <w:trHeight w:val="128"/>
        </w:trPr>
        <w:tc>
          <w:tcPr>
            <w:tcW w:w="3126" w:type="dxa"/>
            <w:vMerge/>
            <w:tcBorders>
              <w:left w:val="single" w:sz="4" w:space="0" w:color="000000"/>
            </w:tcBorders>
            <w:shd w:val="clear" w:color="auto" w:fill="auto"/>
          </w:tcPr>
          <w:p w14:paraId="772C30BB"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7556619A" w14:textId="77777777" w:rsidR="001C01B6" w:rsidRPr="0047462D" w:rsidRDefault="001C01B6" w:rsidP="00A240EC">
            <w:pPr>
              <w:keepNext/>
              <w:rPr>
                <w:rFonts w:eastAsia="Times New Roman"/>
                <w:szCs w:val="22"/>
              </w:rPr>
            </w:pPr>
            <w:r w:rsidRPr="0047462D">
              <w:rPr>
                <w:rFonts w:eastAsia="Times New Roman"/>
                <w:szCs w:val="22"/>
              </w:rPr>
              <w:t>Συμφόρηση κόλπων</w:t>
            </w:r>
            <w:r w:rsidR="00E24043" w:rsidRPr="0047462D">
              <w:rPr>
                <w:rFonts w:eastAsia="Times New Roman"/>
                <w:szCs w:val="22"/>
                <w:lang w:val="en-US"/>
              </w:rPr>
              <w:t xml:space="preserve"> </w:t>
            </w:r>
            <w:r w:rsidR="00E24043" w:rsidRPr="0047462D">
              <w:rPr>
                <w:rFonts w:eastAsia="Times New Roman"/>
                <w:szCs w:val="22"/>
              </w:rPr>
              <w:t>του προσώπου</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DEB51E6" w14:textId="77777777" w:rsidR="001C01B6" w:rsidRPr="0047462D" w:rsidRDefault="001C01B6" w:rsidP="00A240EC">
            <w:pPr>
              <w:keepNext/>
              <w:rPr>
                <w:szCs w:val="22"/>
              </w:rPr>
            </w:pPr>
            <w:r w:rsidRPr="0047462D">
              <w:rPr>
                <w:rFonts w:eastAsia="Times New Roman"/>
                <w:szCs w:val="22"/>
              </w:rPr>
              <w:t>συχνές</w:t>
            </w:r>
          </w:p>
        </w:tc>
      </w:tr>
      <w:tr w:rsidR="001C01B6" w:rsidRPr="0047462D" w14:paraId="3841719E" w14:textId="77777777">
        <w:trPr>
          <w:cantSplit/>
          <w:trHeight w:val="127"/>
        </w:trPr>
        <w:tc>
          <w:tcPr>
            <w:tcW w:w="3126" w:type="dxa"/>
            <w:vMerge/>
            <w:tcBorders>
              <w:left w:val="single" w:sz="4" w:space="0" w:color="000000"/>
              <w:bottom w:val="single" w:sz="4" w:space="0" w:color="000000"/>
            </w:tcBorders>
            <w:shd w:val="clear" w:color="auto" w:fill="auto"/>
          </w:tcPr>
          <w:p w14:paraId="169D547D"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2CBF0D43" w14:textId="77777777" w:rsidR="001C01B6" w:rsidRPr="0047462D" w:rsidRDefault="001C01B6" w:rsidP="00A240EC">
            <w:pPr>
              <w:keepNext/>
              <w:rPr>
                <w:rFonts w:eastAsia="Times New Roman"/>
                <w:szCs w:val="22"/>
              </w:rPr>
            </w:pPr>
            <w:r w:rsidRPr="0047462D">
              <w:rPr>
                <w:rFonts w:eastAsia="Times New Roman"/>
                <w:szCs w:val="22"/>
              </w:rPr>
              <w:t>Φαρυγγικό ερύθημα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386C929D"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851216" w:rsidRPr="0047462D" w14:paraId="004866C9" w14:textId="77777777">
        <w:trPr>
          <w:cantSplit/>
          <w:trHeight w:val="375"/>
        </w:trPr>
        <w:tc>
          <w:tcPr>
            <w:tcW w:w="3126" w:type="dxa"/>
            <w:vMerge w:val="restart"/>
            <w:tcBorders>
              <w:top w:val="single" w:sz="4" w:space="0" w:color="000000"/>
              <w:left w:val="single" w:sz="4" w:space="0" w:color="000000"/>
            </w:tcBorders>
            <w:shd w:val="clear" w:color="auto" w:fill="auto"/>
          </w:tcPr>
          <w:p w14:paraId="41B09968" w14:textId="77777777" w:rsidR="00851216" w:rsidRPr="0047462D" w:rsidRDefault="00851216" w:rsidP="00A920CD">
            <w:pPr>
              <w:keepNext/>
              <w:rPr>
                <w:rFonts w:eastAsia="Times New Roman"/>
                <w:szCs w:val="22"/>
              </w:rPr>
            </w:pPr>
            <w:r w:rsidRPr="0047462D">
              <w:rPr>
                <w:rFonts w:eastAsia="Times New Roman"/>
                <w:szCs w:val="22"/>
              </w:rPr>
              <w:t>Διαταραχές του γαστρεντερικού</w:t>
            </w:r>
          </w:p>
        </w:tc>
        <w:tc>
          <w:tcPr>
            <w:tcW w:w="2916" w:type="dxa"/>
            <w:tcBorders>
              <w:top w:val="single" w:sz="4" w:space="0" w:color="000000"/>
              <w:left w:val="single" w:sz="4" w:space="0" w:color="000000"/>
              <w:bottom w:val="single" w:sz="4" w:space="0" w:color="000000"/>
            </w:tcBorders>
            <w:shd w:val="clear" w:color="auto" w:fill="auto"/>
          </w:tcPr>
          <w:p w14:paraId="2EFA10E9" w14:textId="77777777" w:rsidR="00851216" w:rsidRPr="0047462D" w:rsidRDefault="00851216" w:rsidP="00A240EC">
            <w:pPr>
              <w:keepNext/>
              <w:rPr>
                <w:rFonts w:eastAsia="Times New Roman"/>
                <w:szCs w:val="22"/>
              </w:rPr>
            </w:pPr>
            <w:r w:rsidRPr="0047462D">
              <w:rPr>
                <w:rFonts w:eastAsia="Times New Roman"/>
                <w:szCs w:val="22"/>
              </w:rPr>
              <w:t>Κοιλιακό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A678439" w14:textId="77777777" w:rsidR="00851216" w:rsidRPr="0047462D" w:rsidRDefault="00851216" w:rsidP="00A240EC">
            <w:pPr>
              <w:keepNext/>
              <w:rPr>
                <w:szCs w:val="22"/>
              </w:rPr>
            </w:pPr>
            <w:r w:rsidRPr="0047462D">
              <w:rPr>
                <w:rFonts w:eastAsia="Times New Roman"/>
                <w:szCs w:val="22"/>
              </w:rPr>
              <w:t>πολύ συχνές</w:t>
            </w:r>
          </w:p>
        </w:tc>
      </w:tr>
      <w:tr w:rsidR="00851216" w:rsidRPr="0047462D" w14:paraId="5C0F8C25" w14:textId="77777777" w:rsidTr="009B437C">
        <w:trPr>
          <w:cantSplit/>
          <w:trHeight w:val="375"/>
        </w:trPr>
        <w:tc>
          <w:tcPr>
            <w:tcW w:w="3126" w:type="dxa"/>
            <w:vMerge/>
            <w:tcBorders>
              <w:left w:val="single" w:sz="4" w:space="0" w:color="000000"/>
            </w:tcBorders>
            <w:shd w:val="clear" w:color="auto" w:fill="auto"/>
          </w:tcPr>
          <w:p w14:paraId="749BEBF5" w14:textId="77777777" w:rsidR="00851216" w:rsidRPr="0047462D" w:rsidRDefault="0085121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1CB80607" w14:textId="77777777" w:rsidR="00851216" w:rsidRPr="0047462D" w:rsidRDefault="00851216" w:rsidP="00A240EC">
            <w:pPr>
              <w:keepNext/>
              <w:rPr>
                <w:rFonts w:eastAsia="Times New Roman"/>
                <w:szCs w:val="22"/>
              </w:rPr>
            </w:pPr>
            <w:r w:rsidRPr="0047462D">
              <w:rPr>
                <w:rFonts w:eastAsia="Times New Roman"/>
                <w:szCs w:val="22"/>
              </w:rPr>
              <w:t>Διάρροια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ACBEB52" w14:textId="77777777" w:rsidR="00851216" w:rsidRPr="0047462D" w:rsidRDefault="00851216" w:rsidP="00A240EC">
            <w:pPr>
              <w:keepNext/>
              <w:rPr>
                <w:rFonts w:eastAsia="Times New Roman"/>
                <w:szCs w:val="22"/>
              </w:rPr>
            </w:pPr>
            <w:r w:rsidRPr="0047462D">
              <w:rPr>
                <w:rFonts w:eastAsia="Times New Roman"/>
                <w:szCs w:val="22"/>
              </w:rPr>
              <w:t>πολύ συχνές</w:t>
            </w:r>
          </w:p>
        </w:tc>
      </w:tr>
      <w:tr w:rsidR="001C01B6" w:rsidRPr="0047462D" w14:paraId="0CF79301" w14:textId="77777777">
        <w:trPr>
          <w:cantSplit/>
        </w:trPr>
        <w:tc>
          <w:tcPr>
            <w:tcW w:w="3126" w:type="dxa"/>
            <w:tcBorders>
              <w:top w:val="single" w:sz="4" w:space="0" w:color="000000"/>
              <w:left w:val="single" w:sz="4" w:space="0" w:color="000000"/>
              <w:bottom w:val="single" w:sz="4" w:space="0" w:color="000000"/>
            </w:tcBorders>
            <w:shd w:val="clear" w:color="auto" w:fill="auto"/>
          </w:tcPr>
          <w:p w14:paraId="5B803BBC" w14:textId="77777777" w:rsidR="001C01B6" w:rsidRPr="0047462D" w:rsidRDefault="001C01B6" w:rsidP="00A240EC">
            <w:pPr>
              <w:keepNext/>
              <w:rPr>
                <w:rFonts w:eastAsia="Times New Roman"/>
                <w:szCs w:val="22"/>
              </w:rPr>
            </w:pPr>
            <w:r w:rsidRPr="0047462D">
              <w:rPr>
                <w:rFonts w:eastAsia="Times New Roman"/>
                <w:szCs w:val="22"/>
              </w:rPr>
              <w:t>Διαταραχές του ήπατος και των χοληφόρων</w:t>
            </w:r>
          </w:p>
        </w:tc>
        <w:tc>
          <w:tcPr>
            <w:tcW w:w="2916" w:type="dxa"/>
            <w:tcBorders>
              <w:top w:val="single" w:sz="4" w:space="0" w:color="000000"/>
              <w:left w:val="single" w:sz="4" w:space="0" w:color="000000"/>
              <w:bottom w:val="single" w:sz="4" w:space="0" w:color="000000"/>
            </w:tcBorders>
            <w:shd w:val="clear" w:color="auto" w:fill="auto"/>
          </w:tcPr>
          <w:p w14:paraId="61808265" w14:textId="77777777" w:rsidR="001C01B6" w:rsidRPr="0047462D" w:rsidRDefault="001C01B6" w:rsidP="00A240EC">
            <w:pPr>
              <w:keepNext/>
              <w:rPr>
                <w:rFonts w:eastAsia="Times New Roman"/>
                <w:szCs w:val="22"/>
              </w:rPr>
            </w:pPr>
            <w:r w:rsidRPr="0047462D">
              <w:rPr>
                <w:rFonts w:eastAsia="Times New Roman"/>
                <w:szCs w:val="22"/>
              </w:rPr>
              <w:t xml:space="preserve">Αυξήσεις των </w:t>
            </w:r>
            <w:r w:rsidRPr="0047462D">
              <w:rPr>
                <w:bCs/>
                <w:szCs w:val="22"/>
              </w:rPr>
              <w:t>τρανσαμινασών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A175A80" w14:textId="77777777" w:rsidR="001C01B6" w:rsidRPr="0047462D" w:rsidRDefault="001C01B6" w:rsidP="00A240EC">
            <w:pPr>
              <w:keepNext/>
              <w:rPr>
                <w:rFonts w:eastAsia="Times New Roman"/>
                <w:szCs w:val="22"/>
              </w:rPr>
            </w:pPr>
            <w:r w:rsidRPr="0047462D">
              <w:rPr>
                <w:rFonts w:eastAsia="Times New Roman"/>
                <w:szCs w:val="22"/>
              </w:rPr>
              <w:t>πολύ συχνές</w:t>
            </w:r>
          </w:p>
        </w:tc>
      </w:tr>
      <w:tr w:rsidR="001C01B6" w:rsidRPr="0047462D" w14:paraId="6912C413" w14:textId="77777777">
        <w:trPr>
          <w:cantSplit/>
        </w:trPr>
        <w:tc>
          <w:tcPr>
            <w:tcW w:w="3126" w:type="dxa"/>
            <w:tcBorders>
              <w:top w:val="single" w:sz="4" w:space="0" w:color="000000"/>
              <w:left w:val="single" w:sz="4" w:space="0" w:color="000000"/>
              <w:bottom w:val="single" w:sz="4" w:space="0" w:color="000000"/>
            </w:tcBorders>
            <w:shd w:val="clear" w:color="auto" w:fill="auto"/>
          </w:tcPr>
          <w:p w14:paraId="10CF512D" w14:textId="77777777" w:rsidR="001C01B6" w:rsidRPr="0047462D" w:rsidRDefault="001C01B6" w:rsidP="00A240EC">
            <w:pPr>
              <w:keepNext/>
              <w:rPr>
                <w:rFonts w:eastAsia="Times New Roman"/>
                <w:szCs w:val="22"/>
              </w:rPr>
            </w:pPr>
            <w:r w:rsidRPr="0047462D">
              <w:rPr>
                <w:rFonts w:eastAsia="Times New Roman"/>
                <w:szCs w:val="22"/>
              </w:rPr>
              <w:t>Διαταραχές του δέρματος και του υποδόριου ιστού</w:t>
            </w:r>
          </w:p>
        </w:tc>
        <w:tc>
          <w:tcPr>
            <w:tcW w:w="2916" w:type="dxa"/>
            <w:tcBorders>
              <w:top w:val="single" w:sz="4" w:space="0" w:color="000000"/>
              <w:left w:val="single" w:sz="4" w:space="0" w:color="000000"/>
              <w:bottom w:val="single" w:sz="4" w:space="0" w:color="000000"/>
            </w:tcBorders>
            <w:shd w:val="clear" w:color="auto" w:fill="auto"/>
          </w:tcPr>
          <w:p w14:paraId="7C69ED95" w14:textId="77777777" w:rsidR="001C01B6" w:rsidRPr="0047462D" w:rsidRDefault="001C01B6" w:rsidP="00A240EC">
            <w:pPr>
              <w:keepNext/>
              <w:rPr>
                <w:rFonts w:eastAsia="Times New Roman"/>
                <w:szCs w:val="22"/>
              </w:rPr>
            </w:pPr>
            <w:r w:rsidRPr="0047462D">
              <w:rPr>
                <w:rFonts w:eastAsia="Times New Roman"/>
                <w:szCs w:val="22"/>
              </w:rPr>
              <w:t>Εξάνθημα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6CC5CDA" w14:textId="77777777" w:rsidR="001C01B6" w:rsidRPr="0047462D" w:rsidRDefault="001C01B6" w:rsidP="00A240EC">
            <w:pPr>
              <w:keepNext/>
              <w:rPr>
                <w:rFonts w:eastAsia="Times New Roman"/>
                <w:szCs w:val="22"/>
              </w:rPr>
            </w:pPr>
            <w:r w:rsidRPr="0047462D">
              <w:rPr>
                <w:rFonts w:eastAsia="Times New Roman"/>
                <w:szCs w:val="22"/>
              </w:rPr>
              <w:t>πολύ συχνές</w:t>
            </w:r>
          </w:p>
        </w:tc>
      </w:tr>
      <w:tr w:rsidR="001C01B6" w:rsidRPr="0047462D" w14:paraId="7C6CF0A5" w14:textId="77777777">
        <w:trPr>
          <w:cantSplit/>
        </w:trPr>
        <w:tc>
          <w:tcPr>
            <w:tcW w:w="3126" w:type="dxa"/>
            <w:vMerge w:val="restart"/>
            <w:tcBorders>
              <w:top w:val="single" w:sz="4" w:space="0" w:color="000000"/>
              <w:left w:val="single" w:sz="4" w:space="0" w:color="000000"/>
            </w:tcBorders>
            <w:shd w:val="clear" w:color="auto" w:fill="auto"/>
          </w:tcPr>
          <w:p w14:paraId="0FF9058A" w14:textId="77777777" w:rsidR="001C01B6" w:rsidRPr="0047462D" w:rsidRDefault="001C01B6" w:rsidP="00A240EC">
            <w:pPr>
              <w:keepNext/>
              <w:rPr>
                <w:rFonts w:eastAsia="Times New Roman"/>
                <w:szCs w:val="22"/>
              </w:rPr>
            </w:pPr>
            <w:r w:rsidRPr="0047462D">
              <w:rPr>
                <w:noProof/>
              </w:rPr>
              <w:t>Διαταραχές του αναπαραγωγικού συστήματος και του μαστού</w:t>
            </w:r>
          </w:p>
        </w:tc>
        <w:tc>
          <w:tcPr>
            <w:tcW w:w="2916" w:type="dxa"/>
            <w:tcBorders>
              <w:top w:val="single" w:sz="4" w:space="0" w:color="000000"/>
              <w:left w:val="single" w:sz="4" w:space="0" w:color="000000"/>
              <w:bottom w:val="single" w:sz="4" w:space="0" w:color="000000"/>
            </w:tcBorders>
            <w:shd w:val="clear" w:color="auto" w:fill="auto"/>
          </w:tcPr>
          <w:p w14:paraId="5F56438A" w14:textId="77777777" w:rsidR="001C01B6" w:rsidRPr="0047462D" w:rsidRDefault="001C01B6" w:rsidP="00A240EC">
            <w:pPr>
              <w:keepNext/>
              <w:rPr>
                <w:rFonts w:eastAsia="Times New Roman"/>
                <w:szCs w:val="22"/>
              </w:rPr>
            </w:pPr>
            <w:r w:rsidRPr="0047462D">
              <w:rPr>
                <w:rFonts w:eastAsia="Times New Roman"/>
                <w:szCs w:val="22"/>
              </w:rPr>
              <w:t>Όγκος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B69FF1F"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244A100B" w14:textId="77777777">
        <w:trPr>
          <w:cantSplit/>
        </w:trPr>
        <w:tc>
          <w:tcPr>
            <w:tcW w:w="3126" w:type="dxa"/>
            <w:vMerge/>
            <w:tcBorders>
              <w:left w:val="single" w:sz="4" w:space="0" w:color="000000"/>
            </w:tcBorders>
            <w:shd w:val="clear" w:color="auto" w:fill="auto"/>
          </w:tcPr>
          <w:p w14:paraId="7A58E678"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F8E859A" w14:textId="77777777" w:rsidR="001C01B6" w:rsidRPr="0047462D" w:rsidRDefault="001C01B6" w:rsidP="00A240EC">
            <w:pPr>
              <w:keepNext/>
              <w:rPr>
                <w:rFonts w:eastAsia="Times New Roman"/>
                <w:szCs w:val="22"/>
              </w:rPr>
            </w:pPr>
            <w:r w:rsidRPr="0047462D">
              <w:rPr>
                <w:rFonts w:eastAsia="Times New Roman"/>
                <w:szCs w:val="22"/>
              </w:rPr>
              <w:t>Φλεγμονή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9A83019"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338C776D" w14:textId="77777777">
        <w:trPr>
          <w:cantSplit/>
        </w:trPr>
        <w:tc>
          <w:tcPr>
            <w:tcW w:w="3126" w:type="dxa"/>
            <w:vMerge/>
            <w:tcBorders>
              <w:left w:val="single" w:sz="4" w:space="0" w:color="000000"/>
            </w:tcBorders>
            <w:shd w:val="clear" w:color="auto" w:fill="auto"/>
          </w:tcPr>
          <w:p w14:paraId="48562B1F"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2CC115C9" w14:textId="77777777" w:rsidR="001C01B6" w:rsidRPr="0047462D" w:rsidRDefault="001C01B6" w:rsidP="00A240EC">
            <w:pPr>
              <w:keepNext/>
              <w:rPr>
                <w:rFonts w:eastAsia="Times New Roman"/>
                <w:szCs w:val="22"/>
              </w:rPr>
            </w:pPr>
            <w:r w:rsidRPr="0047462D">
              <w:rPr>
                <w:rFonts w:eastAsia="Times New Roman"/>
                <w:szCs w:val="22"/>
              </w:rPr>
              <w:t>Γυναικομαστία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66D8B7A"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70A6C7A3" w14:textId="77777777">
        <w:trPr>
          <w:cantSplit/>
        </w:trPr>
        <w:tc>
          <w:tcPr>
            <w:tcW w:w="3126" w:type="dxa"/>
            <w:vMerge/>
            <w:tcBorders>
              <w:left w:val="single" w:sz="4" w:space="0" w:color="000000"/>
            </w:tcBorders>
            <w:shd w:val="clear" w:color="auto" w:fill="auto"/>
          </w:tcPr>
          <w:p w14:paraId="2ECE5B9A"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D9CF5F7" w14:textId="77777777" w:rsidR="001C01B6" w:rsidRPr="0047462D" w:rsidRDefault="001C01B6" w:rsidP="00A240EC">
            <w:pPr>
              <w:keepNext/>
              <w:rPr>
                <w:rFonts w:eastAsia="Times New Roman"/>
                <w:szCs w:val="22"/>
              </w:rPr>
            </w:pPr>
            <w:r w:rsidRPr="0047462D">
              <w:rPr>
                <w:rFonts w:eastAsia="Times New Roman"/>
                <w:szCs w:val="22"/>
              </w:rPr>
              <w:t>Διαταραχή θηλών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994E876"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6BDE23B5" w14:textId="77777777" w:rsidTr="009A2EEC">
        <w:trPr>
          <w:cantSplit/>
        </w:trPr>
        <w:tc>
          <w:tcPr>
            <w:tcW w:w="3126" w:type="dxa"/>
            <w:vMerge/>
            <w:tcBorders>
              <w:left w:val="single" w:sz="4" w:space="0" w:color="000000"/>
              <w:bottom w:val="single" w:sz="4" w:space="0" w:color="000000"/>
            </w:tcBorders>
            <w:shd w:val="clear" w:color="auto" w:fill="auto"/>
          </w:tcPr>
          <w:p w14:paraId="4945B113"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11A6FF4C" w14:textId="77777777" w:rsidR="001C01B6" w:rsidRPr="0047462D" w:rsidRDefault="002A03AA" w:rsidP="00A240EC">
            <w:pPr>
              <w:keepNext/>
              <w:rPr>
                <w:rFonts w:eastAsia="Times New Roman"/>
                <w:szCs w:val="22"/>
              </w:rPr>
            </w:pPr>
            <w:r w:rsidRPr="0047462D">
              <w:rPr>
                <w:rFonts w:eastAsia="Times New Roman"/>
                <w:szCs w:val="22"/>
              </w:rPr>
              <w:t>Ά</w:t>
            </w:r>
            <w:r w:rsidR="00437D38" w:rsidRPr="0047462D">
              <w:rPr>
                <w:rFonts w:eastAsia="Times New Roman"/>
                <w:szCs w:val="22"/>
              </w:rPr>
              <w:t>λγος θηλής μαστού</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E9CAE78"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54B2B4A7" w14:textId="77777777" w:rsidTr="009A2EEC">
        <w:trPr>
          <w:cantSplit/>
        </w:trPr>
        <w:tc>
          <w:tcPr>
            <w:tcW w:w="3126" w:type="dxa"/>
            <w:tcBorders>
              <w:top w:val="single" w:sz="4" w:space="0" w:color="000000"/>
              <w:left w:val="single" w:sz="4" w:space="0" w:color="000000"/>
              <w:bottom w:val="single" w:sz="4" w:space="0" w:color="auto"/>
            </w:tcBorders>
            <w:shd w:val="clear" w:color="auto" w:fill="auto"/>
          </w:tcPr>
          <w:p w14:paraId="440CC918" w14:textId="77777777" w:rsidR="001C01B6" w:rsidRPr="0047462D" w:rsidRDefault="001C01B6" w:rsidP="009A2EEC">
            <w:pPr>
              <w:rPr>
                <w:rFonts w:eastAsia="Times New Roman"/>
                <w:szCs w:val="22"/>
              </w:rPr>
            </w:pPr>
            <w:r w:rsidRPr="0047462D">
              <w:rPr>
                <w:rFonts w:eastAsia="Times New Roman"/>
                <w:szCs w:val="22"/>
              </w:rPr>
              <w:t>Παρακλινικές εξετάσεις</w:t>
            </w:r>
          </w:p>
        </w:tc>
        <w:tc>
          <w:tcPr>
            <w:tcW w:w="2916" w:type="dxa"/>
            <w:tcBorders>
              <w:top w:val="single" w:sz="4" w:space="0" w:color="000000"/>
              <w:left w:val="single" w:sz="4" w:space="0" w:color="000000"/>
              <w:bottom w:val="single" w:sz="4" w:space="0" w:color="auto"/>
            </w:tcBorders>
            <w:shd w:val="clear" w:color="auto" w:fill="auto"/>
          </w:tcPr>
          <w:p w14:paraId="398B7EC0" w14:textId="77777777" w:rsidR="001C01B6" w:rsidRPr="0047462D" w:rsidRDefault="001C01B6" w:rsidP="009A2EEC">
            <w:pPr>
              <w:rPr>
                <w:rFonts w:eastAsia="Times New Roman"/>
                <w:szCs w:val="22"/>
              </w:rPr>
            </w:pPr>
            <w:r w:rsidRPr="0047462D">
              <w:rPr>
                <w:rFonts w:eastAsia="Times New Roman"/>
                <w:szCs w:val="22"/>
              </w:rPr>
              <w:t>Βακτήρια στα πτύελα</w:t>
            </w:r>
          </w:p>
        </w:tc>
        <w:tc>
          <w:tcPr>
            <w:tcW w:w="3255" w:type="dxa"/>
            <w:tcBorders>
              <w:top w:val="single" w:sz="4" w:space="0" w:color="000000"/>
              <w:left w:val="single" w:sz="4" w:space="0" w:color="000000"/>
              <w:bottom w:val="single" w:sz="4" w:space="0" w:color="auto"/>
              <w:right w:val="single" w:sz="4" w:space="0" w:color="000000"/>
            </w:tcBorders>
            <w:shd w:val="clear" w:color="auto" w:fill="auto"/>
          </w:tcPr>
          <w:p w14:paraId="378A6E35" w14:textId="77777777" w:rsidR="001C01B6" w:rsidRPr="0047462D" w:rsidRDefault="001C01B6" w:rsidP="009A2EEC">
            <w:pPr>
              <w:rPr>
                <w:color w:val="000000"/>
                <w:szCs w:val="22"/>
                <w:lang w:eastAsia="en-US"/>
              </w:rPr>
            </w:pPr>
            <w:r w:rsidRPr="0047462D">
              <w:rPr>
                <w:rFonts w:eastAsia="Times New Roman"/>
                <w:szCs w:val="22"/>
              </w:rPr>
              <w:t>πολύ συχνές</w:t>
            </w:r>
          </w:p>
        </w:tc>
      </w:tr>
    </w:tbl>
    <w:p w14:paraId="66C95CDB" w14:textId="77777777" w:rsidR="001C01B6" w:rsidRPr="0047462D" w:rsidRDefault="001C01B6" w:rsidP="001C01B6">
      <w:pPr>
        <w:pStyle w:val="labeltextheading"/>
        <w:keepNext w:val="0"/>
        <w:rPr>
          <w:i w:val="0"/>
          <w:iCs w:val="0"/>
          <w:color w:val="000000"/>
          <w:sz w:val="22"/>
          <w:szCs w:val="22"/>
          <w:lang w:val="el-GR"/>
        </w:rPr>
      </w:pPr>
    </w:p>
    <w:p w14:paraId="55FC36DE" w14:textId="77777777" w:rsidR="001C01B6" w:rsidRPr="0047462D" w:rsidRDefault="001C01B6" w:rsidP="001C01B6">
      <w:pPr>
        <w:keepNext/>
        <w:rPr>
          <w:rFonts w:eastAsia="Times New Roman"/>
          <w:szCs w:val="22"/>
          <w:u w:val="single"/>
        </w:rPr>
      </w:pPr>
      <w:r w:rsidRPr="0047462D">
        <w:rPr>
          <w:rFonts w:eastAsia="Times New Roman"/>
          <w:szCs w:val="22"/>
          <w:u w:val="single"/>
        </w:rPr>
        <w:t>Περιγραφή επιλεγμένων ανεπιθύμητων ενεργειών</w:t>
      </w:r>
    </w:p>
    <w:p w14:paraId="47D1BF69" w14:textId="77777777" w:rsidR="00EE1607" w:rsidRPr="0047462D" w:rsidRDefault="00EE1607" w:rsidP="001C01B6">
      <w:pPr>
        <w:keepNext/>
        <w:rPr>
          <w:szCs w:val="22"/>
        </w:rPr>
      </w:pPr>
    </w:p>
    <w:p w14:paraId="502EC9F3" w14:textId="77777777" w:rsidR="001C01B6" w:rsidRPr="0047462D" w:rsidRDefault="001C01B6" w:rsidP="001C01B6">
      <w:pPr>
        <w:keepNext/>
        <w:rPr>
          <w:rFonts w:eastAsia="Times New Roman"/>
          <w:i/>
          <w:iCs/>
          <w:szCs w:val="22"/>
        </w:rPr>
      </w:pPr>
      <w:r w:rsidRPr="0047462D">
        <w:rPr>
          <w:rFonts w:eastAsia="Times New Roman"/>
          <w:i/>
          <w:iCs/>
          <w:szCs w:val="22"/>
        </w:rPr>
        <w:t>Αυξήσεις τρανσαμινασών</w:t>
      </w:r>
    </w:p>
    <w:p w14:paraId="2E064B37" w14:textId="77777777" w:rsidR="00EE1607" w:rsidRPr="0047462D" w:rsidRDefault="00EE1607" w:rsidP="001C01B6">
      <w:pPr>
        <w:keepNext/>
        <w:rPr>
          <w:rFonts w:eastAsia="Times New Roman"/>
          <w:i/>
          <w:szCs w:val="22"/>
          <w:u w:val="single"/>
        </w:rPr>
      </w:pPr>
    </w:p>
    <w:p w14:paraId="428051F3" w14:textId="46BE9A20" w:rsidR="001C01B6" w:rsidRPr="0047462D" w:rsidRDefault="001C01B6" w:rsidP="002C32E8">
      <w:pPr>
        <w:rPr>
          <w:rFonts w:eastAsia="Times New Roman"/>
          <w:szCs w:val="22"/>
        </w:rPr>
      </w:pPr>
      <w:r w:rsidRPr="0047462D">
        <w:rPr>
          <w:rFonts w:eastAsia="Times New Roman"/>
          <w:szCs w:val="22"/>
        </w:rPr>
        <w:t xml:space="preserve">Κατά τη διάρκεια των ελεγχόμενων με εικονικό φάρμακο μελετών 1 και 2 48 εβδομάδων σε ασθενείς ηλικίας 6 ετών και άνω, η </w:t>
      </w:r>
      <w:r w:rsidR="00BF3654" w:rsidRPr="0047462D">
        <w:rPr>
          <w:rFonts w:eastAsia="Times New Roman"/>
          <w:szCs w:val="22"/>
        </w:rPr>
        <w:t>επίπτωση</w:t>
      </w:r>
      <w:r w:rsidRPr="0047462D">
        <w:rPr>
          <w:rFonts w:eastAsia="Times New Roman"/>
          <w:szCs w:val="22"/>
        </w:rPr>
        <w:t xml:space="preserve"> μέγιστ</w:t>
      </w:r>
      <w:r w:rsidR="00E3211B" w:rsidRPr="0047462D">
        <w:rPr>
          <w:rFonts w:eastAsia="Times New Roman"/>
          <w:szCs w:val="22"/>
        </w:rPr>
        <w:t>ων αυξήσεων</w:t>
      </w:r>
      <w:r w:rsidRPr="0047462D">
        <w:rPr>
          <w:rFonts w:eastAsia="Times New Roman"/>
          <w:szCs w:val="22"/>
        </w:rPr>
        <w:t xml:space="preserve"> τρανσαμιν</w:t>
      </w:r>
      <w:r w:rsidR="00E3211B" w:rsidRPr="0047462D">
        <w:rPr>
          <w:rFonts w:eastAsia="Times New Roman"/>
          <w:szCs w:val="22"/>
        </w:rPr>
        <w:t>ασών</w:t>
      </w:r>
      <w:r w:rsidRPr="0047462D">
        <w:rPr>
          <w:rFonts w:eastAsia="Times New Roman"/>
          <w:szCs w:val="22"/>
        </w:rPr>
        <w:t xml:space="preserve"> (ALT ή AST) &gt;</w:t>
      </w:r>
      <w:r w:rsidR="002F088D" w:rsidRPr="0047462D">
        <w:rPr>
          <w:rFonts w:eastAsia="Times New Roman"/>
          <w:szCs w:val="22"/>
          <w:lang w:val="en-US"/>
        </w:rPr>
        <w:t> </w:t>
      </w:r>
      <w:r w:rsidRPr="0047462D">
        <w:rPr>
          <w:rFonts w:eastAsia="Times New Roman"/>
          <w:szCs w:val="22"/>
        </w:rPr>
        <w:t>8, &gt;</w:t>
      </w:r>
      <w:r w:rsidR="002F088D" w:rsidRPr="0047462D">
        <w:rPr>
          <w:rFonts w:eastAsia="Times New Roman"/>
          <w:szCs w:val="22"/>
          <w:lang w:val="en-US"/>
        </w:rPr>
        <w:t> </w:t>
      </w:r>
      <w:r w:rsidRPr="0047462D">
        <w:rPr>
          <w:rFonts w:eastAsia="Times New Roman"/>
          <w:szCs w:val="22"/>
        </w:rPr>
        <w:t>5 ή &gt;</w:t>
      </w:r>
      <w:r w:rsidR="002F088D" w:rsidRPr="0047462D">
        <w:rPr>
          <w:rFonts w:eastAsia="Times New Roman"/>
          <w:szCs w:val="22"/>
          <w:lang w:val="en-US"/>
        </w:rPr>
        <w:t> </w:t>
      </w:r>
      <w:r w:rsidRPr="0047462D">
        <w:rPr>
          <w:rFonts w:eastAsia="Times New Roman"/>
          <w:szCs w:val="22"/>
        </w:rPr>
        <w:t xml:space="preserve">3 x ULN ήταν 3,7%, 3,7% και 8,3% σε ασθενείς υπό αγωγή με </w:t>
      </w:r>
      <w:r w:rsidRPr="0047462D">
        <w:t>ivacaftor</w:t>
      </w:r>
      <w:r w:rsidRPr="0047462D">
        <w:rPr>
          <w:rFonts w:eastAsia="Times New Roman"/>
          <w:szCs w:val="22"/>
        </w:rPr>
        <w:t xml:space="preserve"> και 1,0%, 1,9% και 8,7% σε ασθενείς υπό αγωγή με εικονικό φάρμακο, αντίστοιχα. Δύο ασθενείς, ένας σε αγωγή με εικονικό φάρμακο και ένας σε αγωγή με </w:t>
      </w:r>
      <w:r w:rsidRPr="0047462D">
        <w:t>ivacaftor,</w:t>
      </w:r>
      <w:r w:rsidRPr="0047462D">
        <w:rPr>
          <w:rFonts w:eastAsia="Times New Roman"/>
          <w:szCs w:val="22"/>
        </w:rPr>
        <w:t xml:space="preserve"> διέκοψαν μόνιμα τη θεραπεία λόγω αυξημένων τρανσαμινασών, καθένας &gt;</w:t>
      </w:r>
      <w:r w:rsidR="002F088D" w:rsidRPr="0047462D">
        <w:rPr>
          <w:rFonts w:eastAsia="Times New Roman"/>
          <w:szCs w:val="22"/>
          <w:lang w:val="en-US"/>
        </w:rPr>
        <w:t> </w:t>
      </w:r>
      <w:r w:rsidRPr="0047462D">
        <w:rPr>
          <w:rFonts w:eastAsia="Times New Roman"/>
          <w:szCs w:val="22"/>
        </w:rPr>
        <w:t>8</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Κανένας ασθενής υπό αγωγή με </w:t>
      </w:r>
      <w:r w:rsidRPr="0047462D">
        <w:t>ivacaftor</w:t>
      </w:r>
      <w:r w:rsidRPr="0047462D">
        <w:rPr>
          <w:rFonts w:eastAsia="Times New Roman"/>
          <w:szCs w:val="22"/>
        </w:rPr>
        <w:t xml:space="preserve"> δεν εμφάνισε αύξηση τρανσαμινασών &gt;</w:t>
      </w:r>
      <w:r w:rsidR="002F088D" w:rsidRPr="0047462D">
        <w:rPr>
          <w:rFonts w:eastAsia="Times New Roman"/>
          <w:szCs w:val="22"/>
          <w:lang w:val="en-US"/>
        </w:rPr>
        <w:t> </w:t>
      </w:r>
      <w:r w:rsidRPr="0047462D">
        <w:rPr>
          <w:rFonts w:eastAsia="Times New Roman"/>
          <w:szCs w:val="22"/>
        </w:rPr>
        <w:t>3</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ULN σχετιζόμενη με αυξημένη ολική χολερυθρίνη &gt;</w:t>
      </w:r>
      <w:r w:rsidR="002F088D" w:rsidRPr="0047462D">
        <w:rPr>
          <w:rFonts w:eastAsia="Times New Roman"/>
          <w:szCs w:val="22"/>
          <w:lang w:val="en-US"/>
        </w:rPr>
        <w:t> </w:t>
      </w:r>
      <w:r w:rsidRPr="0047462D">
        <w:rPr>
          <w:rFonts w:eastAsia="Times New Roman"/>
          <w:szCs w:val="22"/>
        </w:rPr>
        <w:t>1,5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Σε ασθενείς υπό αγωγή με </w:t>
      </w:r>
      <w:r w:rsidRPr="0047462D">
        <w:t>ivacaftor</w:t>
      </w:r>
      <w:r w:rsidRPr="0047462D">
        <w:rPr>
          <w:rFonts w:eastAsia="Times New Roman"/>
          <w:szCs w:val="22"/>
        </w:rPr>
        <w:t>, οι περισσότερες αυξήσεις τρανσαμινασών έως και 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αποκαταστάθηκαν χωρίς διακοπή της θεραπείας. Η χορήγηση δόσης του </w:t>
      </w:r>
      <w:r w:rsidRPr="0047462D">
        <w:t>ivacaftor</w:t>
      </w:r>
      <w:r w:rsidRPr="0047462D">
        <w:rPr>
          <w:rFonts w:eastAsia="Times New Roman"/>
          <w:szCs w:val="22"/>
        </w:rPr>
        <w:t xml:space="preserve"> διεκόπη </w:t>
      </w:r>
      <w:r w:rsidR="002F088D" w:rsidRPr="0047462D">
        <w:rPr>
          <w:rFonts w:eastAsia="Times New Roman"/>
          <w:szCs w:val="22"/>
        </w:rPr>
        <w:t xml:space="preserve">προσωρινά </w:t>
      </w:r>
      <w:r w:rsidRPr="0047462D">
        <w:rPr>
          <w:rFonts w:eastAsia="Times New Roman"/>
          <w:szCs w:val="22"/>
        </w:rPr>
        <w:t>στους περισσότερους ασθενείς με αυξήσεις τρανσαμινασών &gt;</w:t>
      </w:r>
      <w:r w:rsidR="002F088D" w:rsidRPr="0047462D">
        <w:rPr>
          <w:rFonts w:eastAsia="Times New Roman"/>
          <w:szCs w:val="22"/>
          <w:lang w:val="en-US"/>
        </w:rPr>
        <w:t> </w:t>
      </w:r>
      <w:r w:rsidRPr="0047462D">
        <w:rPr>
          <w:rFonts w:eastAsia="Times New Roman"/>
          <w:szCs w:val="22"/>
        </w:rPr>
        <w:t>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Σε όλες τις περιπτώσεις όπου διεκόπη </w:t>
      </w:r>
      <w:r w:rsidR="002F088D" w:rsidRPr="0047462D">
        <w:rPr>
          <w:rFonts w:eastAsia="Times New Roman"/>
          <w:szCs w:val="22"/>
        </w:rPr>
        <w:t xml:space="preserve">προσωρινά </w:t>
      </w:r>
      <w:r w:rsidRPr="0047462D">
        <w:rPr>
          <w:rFonts w:eastAsia="Times New Roman"/>
          <w:szCs w:val="22"/>
        </w:rPr>
        <w:t xml:space="preserve">η χορήγηση δόσης λόγω αυξημένων τρανσαμινασών και κατόπιν ξανάρχισε, κατέστη δυνατόν να ξαναρχίσει η χορήγηση δόσης του </w:t>
      </w:r>
      <w:r w:rsidRPr="0047462D">
        <w:t>ivacaftor</w:t>
      </w:r>
      <w:r w:rsidRPr="0047462D">
        <w:rPr>
          <w:rFonts w:eastAsia="Times New Roman"/>
          <w:szCs w:val="22"/>
        </w:rPr>
        <w:t xml:space="preserve"> επιτυχώς (βλ. παράγραφο 4.4).</w:t>
      </w:r>
    </w:p>
    <w:p w14:paraId="25A0C2B8" w14:textId="235AD753" w:rsidR="00477CA6" w:rsidRPr="0047462D" w:rsidRDefault="00477CA6" w:rsidP="002C32E8">
      <w:pPr>
        <w:rPr>
          <w:rFonts w:eastAsia="Times New Roman"/>
          <w:szCs w:val="22"/>
        </w:rPr>
      </w:pPr>
    </w:p>
    <w:p w14:paraId="4708545A" w14:textId="77777777" w:rsidR="003319FD" w:rsidRPr="0047462D" w:rsidRDefault="003319FD" w:rsidP="003319FD">
      <w:r w:rsidRPr="0047462D">
        <w:t>Κατά τη διάρκεια των ελεγχόμενων με εικονικό φάρμακο μελετών φάσης 3 (έως και 24 εβδομάδων) για το tezacaftor/ivacaftor, η επίπτωση μέγιστης τρανσαμινάσης (ALT ή AST)</w:t>
      </w:r>
      <w:r w:rsidRPr="0047462D">
        <w:rPr>
          <w:lang w:val="en-US"/>
        </w:rPr>
        <w:t> </w:t>
      </w:r>
      <w:r w:rsidRPr="0047462D">
        <w:t>&gt;</w:t>
      </w:r>
      <w:r w:rsidRPr="0047462D">
        <w:rPr>
          <w:lang w:val="en-US"/>
        </w:rPr>
        <w:t> </w:t>
      </w:r>
      <w:r w:rsidRPr="0047462D">
        <w:t>8, &gt;</w:t>
      </w:r>
      <w:r w:rsidRPr="0047462D">
        <w:rPr>
          <w:lang w:val="en-US"/>
        </w:rPr>
        <w:t> </w:t>
      </w:r>
      <w:r w:rsidRPr="0047462D">
        <w:t>5 ή &gt;</w:t>
      </w:r>
      <w:r w:rsidRPr="0047462D">
        <w:rPr>
          <w:lang w:val="en-US"/>
        </w:rPr>
        <w:t> </w:t>
      </w:r>
      <w:r w:rsidRPr="0047462D">
        <w:t>3</w:t>
      </w:r>
      <w:r w:rsidRPr="0047462D">
        <w:rPr>
          <w:lang w:val="en-US"/>
        </w:rPr>
        <w:t> </w:t>
      </w:r>
      <w:r w:rsidRPr="0047462D">
        <w:t>x</w:t>
      </w:r>
      <w:r w:rsidRPr="0047462D">
        <w:rPr>
          <w:lang w:val="en-US"/>
        </w:rPr>
        <w:t> </w:t>
      </w:r>
      <w:r w:rsidRPr="0047462D">
        <w:t>ULN ήταν 0,2%, 1,0% και 3,4% στους ασθενείς υπό αγωγή με tezacaftor/ivacaftor και 0,4%, 1,0% και 3,4% στους ασθενείς υπό αγωγή με εικονικό φάρμακο. Ένας ασθενής (0,2%) υπό αγωγή με τη θεραπεία και 2</w:t>
      </w:r>
      <w:r w:rsidRPr="0047462D">
        <w:rPr>
          <w:lang w:val="en-US"/>
        </w:rPr>
        <w:t> </w:t>
      </w:r>
      <w:r w:rsidRPr="0047462D">
        <w:t>ασθενείς (0,4%) υπό αγωγή με το εικονικό φάρμακο διέκοψαν μόνιμα τη θεραπεία λόγω αυξημένων τρανσαμινασών. Κανένας από τους ασθενείς υπό αγωγή με tezacaftor/ivacaftor δεν παρουσίασε αύξηση τρανσαμινάσης &gt; 3 x ULN που να συσχετίζεται με αυξημένη ολική χολερυθρίνη &gt; 2 x ULN.</w:t>
      </w:r>
    </w:p>
    <w:p w14:paraId="2598E63A" w14:textId="77777777" w:rsidR="003319FD" w:rsidRPr="0047462D" w:rsidRDefault="003319FD" w:rsidP="003319FD"/>
    <w:p w14:paraId="75C4F743" w14:textId="192B8E07" w:rsidR="003319FD" w:rsidRPr="0047462D" w:rsidRDefault="003319FD" w:rsidP="003319FD">
      <w:r w:rsidRPr="0047462D">
        <w:t>Κατά τη διάρκεια της ελεγχόμενης με εικονικό φάρμακο μελέτης φάσης 3, 24 εβδομάδων, για το ivacaftor/tezacaftor/elexacaftor, αυτοί οι αριθμοί ήταν 1,5%, 2,5% και 7,9% στους ασθενείς υπό αγωγή με ivacaftor/tezacaftor/elexacaftor και 1,0%, 1,5% και 5,5% στους ασθενείς υπό αγωγή με εικονικό φάρμακο. Η επίπτωση των ανεπιθύμητων ενεργειών που αφορούσαν αυξήσεις των τρανσαμινασών ήταν 10,9% στους ασθενείς υπό αγωγή με ivacaftor σε συνδυαστικό σχήμα με ivacaftor/tezacaftor/elexacaftor και 4,0% στους ασθενείς υπό αγωγή με εικονικό φάρμακο.</w:t>
      </w:r>
    </w:p>
    <w:p w14:paraId="4FD4B05E" w14:textId="77777777" w:rsidR="001C01B6" w:rsidRPr="0047462D" w:rsidRDefault="001C01B6" w:rsidP="001C01B6">
      <w:pPr>
        <w:rPr>
          <w:rFonts w:eastAsia="Times New Roman"/>
          <w:szCs w:val="22"/>
        </w:rPr>
      </w:pPr>
    </w:p>
    <w:p w14:paraId="2D7EDEDD" w14:textId="77777777" w:rsidR="001C01B6" w:rsidRPr="0047462D" w:rsidRDefault="001C01B6" w:rsidP="001C01B6">
      <w:pPr>
        <w:keepNext/>
        <w:rPr>
          <w:rFonts w:eastAsia="Times New Roman"/>
          <w:szCs w:val="22"/>
          <w:u w:val="single"/>
        </w:rPr>
      </w:pPr>
      <w:r w:rsidRPr="0047462D">
        <w:rPr>
          <w:rFonts w:eastAsia="Times New Roman"/>
          <w:szCs w:val="22"/>
          <w:u w:val="single"/>
        </w:rPr>
        <w:t>Παιδιατρικός πληθυσμός</w:t>
      </w:r>
    </w:p>
    <w:p w14:paraId="7738A085" w14:textId="77777777" w:rsidR="00EE1607" w:rsidRPr="0047462D" w:rsidRDefault="00EE1607" w:rsidP="001C01B6">
      <w:pPr>
        <w:keepNext/>
        <w:rPr>
          <w:b/>
          <w:bCs/>
          <w:szCs w:val="22"/>
          <w:u w:val="single"/>
          <w:lang w:eastAsia="en-US"/>
        </w:rPr>
      </w:pPr>
    </w:p>
    <w:p w14:paraId="5272FF28" w14:textId="334685F5" w:rsidR="001C01B6" w:rsidRPr="0047462D" w:rsidRDefault="001C01B6" w:rsidP="001C01B6">
      <w:pPr>
        <w:rPr>
          <w:bCs/>
          <w:szCs w:val="22"/>
        </w:rPr>
      </w:pPr>
      <w:r w:rsidRPr="0047462D">
        <w:rPr>
          <w:bCs/>
          <w:szCs w:val="22"/>
        </w:rPr>
        <w:t xml:space="preserve">Τα δεδομένα ασφάλειας </w:t>
      </w:r>
      <w:r w:rsidR="001B3411" w:rsidRPr="0047462D">
        <w:rPr>
          <w:bCs/>
          <w:szCs w:val="22"/>
        </w:rPr>
        <w:t xml:space="preserve">του </w:t>
      </w:r>
      <w:r w:rsidR="001B3411" w:rsidRPr="0047462D">
        <w:rPr>
          <w:rFonts w:eastAsia="MS Mincho"/>
          <w:szCs w:val="16"/>
          <w:lang w:eastAsia="ja-JP"/>
        </w:rPr>
        <w:t xml:space="preserve">ivacaftor </w:t>
      </w:r>
      <w:r w:rsidRPr="0047462D">
        <w:rPr>
          <w:bCs/>
          <w:szCs w:val="22"/>
        </w:rPr>
        <w:t xml:space="preserve">αξιολογήθηκαν σε </w:t>
      </w:r>
      <w:r w:rsidR="007A0DE5">
        <w:rPr>
          <w:rFonts w:eastAsia="MS Mincho"/>
          <w:szCs w:val="16"/>
          <w:lang w:eastAsia="ja-JP"/>
        </w:rPr>
        <w:t xml:space="preserve">6 ασθενείς ηλικίας μεταξύ 4 μηνών έως κάτω των 6 μηνών, </w:t>
      </w:r>
      <w:r w:rsidR="00EE1607" w:rsidRPr="0047462D">
        <w:rPr>
          <w:bCs/>
          <w:szCs w:val="22"/>
        </w:rPr>
        <w:t xml:space="preserve">11 ασθενείς ηλικίας μεταξύ 6 μηνών έως κάτω των 12 μηνών, </w:t>
      </w:r>
      <w:r w:rsidR="00654165" w:rsidRPr="0047462D">
        <w:rPr>
          <w:bCs/>
          <w:szCs w:val="22"/>
        </w:rPr>
        <w:t xml:space="preserve">19 ασθενείς ηλικίας μεταξύ 12 μηνών έως κάτω των 24 μηνών, </w:t>
      </w:r>
      <w:r w:rsidRPr="0047462D">
        <w:rPr>
          <w:bCs/>
          <w:szCs w:val="22"/>
        </w:rPr>
        <w:t xml:space="preserve">34 ασθενείς ηλικίας μεταξύ 2 έως κάτω των 6 ετών, 61 ασθενείς </w:t>
      </w:r>
      <w:r w:rsidR="00966B5F" w:rsidRPr="0047462D">
        <w:rPr>
          <w:bCs/>
          <w:szCs w:val="22"/>
        </w:rPr>
        <w:t xml:space="preserve">ηλικίας </w:t>
      </w:r>
      <w:r w:rsidRPr="0047462D">
        <w:rPr>
          <w:bCs/>
          <w:szCs w:val="22"/>
        </w:rPr>
        <w:t>μεταξύ 6 έως κάτω των 12 ετών και 94 ασθενείς ηλικίας μεταξύ 12 έως κάτω των 18 ετών.</w:t>
      </w:r>
    </w:p>
    <w:p w14:paraId="20B390A7" w14:textId="77777777" w:rsidR="001C01B6" w:rsidRPr="0047462D" w:rsidRDefault="001C01B6" w:rsidP="001C01B6">
      <w:pPr>
        <w:pStyle w:val="labeltextheading"/>
        <w:keepNext w:val="0"/>
        <w:rPr>
          <w:bCs/>
          <w:i w:val="0"/>
          <w:iCs w:val="0"/>
          <w:sz w:val="22"/>
          <w:szCs w:val="22"/>
          <w:lang w:val="el-GR" w:eastAsia="zh-CN"/>
        </w:rPr>
      </w:pPr>
    </w:p>
    <w:p w14:paraId="23C11875" w14:textId="7AF7CD61" w:rsidR="001C01B6" w:rsidRPr="0047462D" w:rsidRDefault="001C01B6" w:rsidP="001C01B6">
      <w:pPr>
        <w:pStyle w:val="labeltextheading"/>
        <w:keepNext w:val="0"/>
        <w:rPr>
          <w:bCs/>
          <w:i w:val="0"/>
          <w:iCs w:val="0"/>
          <w:sz w:val="22"/>
          <w:szCs w:val="22"/>
          <w:lang w:val="el-GR" w:eastAsia="zh-CN"/>
        </w:rPr>
      </w:pPr>
      <w:r w:rsidRPr="0047462D">
        <w:rPr>
          <w:bCs/>
          <w:i w:val="0"/>
          <w:iCs w:val="0"/>
          <w:sz w:val="22"/>
          <w:szCs w:val="22"/>
          <w:lang w:val="el-GR" w:eastAsia="zh-CN"/>
        </w:rPr>
        <w:t xml:space="preserve">Το προφίλ ασφάλειας είναι γενικά συνεπές μεταξύ </w:t>
      </w:r>
      <w:r w:rsidR="00EE1607" w:rsidRPr="0047462D">
        <w:rPr>
          <w:bCs/>
          <w:i w:val="0"/>
          <w:iCs w:val="0"/>
          <w:sz w:val="22"/>
          <w:szCs w:val="22"/>
          <w:lang w:val="el-GR" w:eastAsia="zh-CN"/>
        </w:rPr>
        <w:t xml:space="preserve">παιδιατρικών ασθενών ηλικίας </w:t>
      </w:r>
      <w:r w:rsidR="007A0DE5">
        <w:rPr>
          <w:bCs/>
          <w:i w:val="0"/>
          <w:iCs w:val="0"/>
          <w:sz w:val="22"/>
          <w:szCs w:val="22"/>
          <w:lang w:val="el-GR" w:eastAsia="zh-CN"/>
        </w:rPr>
        <w:t>4</w:t>
      </w:r>
      <w:r w:rsidR="00EE1607" w:rsidRPr="0047462D">
        <w:rPr>
          <w:bCs/>
          <w:i w:val="0"/>
          <w:iCs w:val="0"/>
          <w:sz w:val="22"/>
          <w:szCs w:val="22"/>
          <w:lang w:val="el-GR" w:eastAsia="zh-CN"/>
        </w:rPr>
        <w:t> μηνών και άνω</w:t>
      </w:r>
      <w:r w:rsidR="00EE1607" w:rsidRPr="0047462D" w:rsidDel="00EE1607">
        <w:rPr>
          <w:bCs/>
          <w:i w:val="0"/>
          <w:iCs w:val="0"/>
          <w:sz w:val="22"/>
          <w:szCs w:val="22"/>
          <w:lang w:val="el-GR" w:eastAsia="zh-CN"/>
        </w:rPr>
        <w:t xml:space="preserve"> </w:t>
      </w:r>
      <w:r w:rsidRPr="0047462D">
        <w:rPr>
          <w:bCs/>
          <w:i w:val="0"/>
          <w:iCs w:val="0"/>
          <w:sz w:val="22"/>
          <w:szCs w:val="22"/>
          <w:lang w:val="el-GR" w:eastAsia="zh-CN"/>
        </w:rPr>
        <w:t xml:space="preserve">και </w:t>
      </w:r>
      <w:r w:rsidR="002B4A4B" w:rsidRPr="0047462D">
        <w:rPr>
          <w:bCs/>
          <w:i w:val="0"/>
          <w:iCs w:val="0"/>
          <w:sz w:val="22"/>
          <w:szCs w:val="22"/>
          <w:lang w:val="el-GR" w:eastAsia="zh-CN"/>
        </w:rPr>
        <w:t xml:space="preserve">είναι επίσης συνεπές με των </w:t>
      </w:r>
      <w:r w:rsidRPr="0047462D">
        <w:rPr>
          <w:bCs/>
          <w:i w:val="0"/>
          <w:iCs w:val="0"/>
          <w:sz w:val="22"/>
          <w:szCs w:val="22"/>
          <w:lang w:val="el-GR" w:eastAsia="zh-CN"/>
        </w:rPr>
        <w:t>εν</w:t>
      </w:r>
      <w:r w:rsidR="00EE1607" w:rsidRPr="0047462D">
        <w:rPr>
          <w:bCs/>
          <w:i w:val="0"/>
          <w:iCs w:val="0"/>
          <w:sz w:val="22"/>
          <w:szCs w:val="22"/>
          <w:lang w:val="el-GR" w:eastAsia="zh-CN"/>
        </w:rPr>
        <w:t>η</w:t>
      </w:r>
      <w:r w:rsidRPr="0047462D">
        <w:rPr>
          <w:bCs/>
          <w:i w:val="0"/>
          <w:iCs w:val="0"/>
          <w:sz w:val="22"/>
          <w:szCs w:val="22"/>
          <w:lang w:val="el-GR" w:eastAsia="zh-CN"/>
        </w:rPr>
        <w:t>λ</w:t>
      </w:r>
      <w:r w:rsidR="00EE1607" w:rsidRPr="0047462D">
        <w:rPr>
          <w:bCs/>
          <w:i w:val="0"/>
          <w:iCs w:val="0"/>
          <w:sz w:val="22"/>
          <w:szCs w:val="22"/>
          <w:lang w:val="el-GR" w:eastAsia="zh-CN"/>
        </w:rPr>
        <w:t>ί</w:t>
      </w:r>
      <w:r w:rsidRPr="0047462D">
        <w:rPr>
          <w:bCs/>
          <w:i w:val="0"/>
          <w:iCs w:val="0"/>
          <w:sz w:val="22"/>
          <w:szCs w:val="22"/>
          <w:lang w:val="el-GR" w:eastAsia="zh-CN"/>
        </w:rPr>
        <w:t>κ</w:t>
      </w:r>
      <w:r w:rsidR="00EE1607" w:rsidRPr="0047462D">
        <w:rPr>
          <w:bCs/>
          <w:i w:val="0"/>
          <w:iCs w:val="0"/>
          <w:sz w:val="22"/>
          <w:szCs w:val="22"/>
          <w:lang w:val="el-GR" w:eastAsia="zh-CN"/>
        </w:rPr>
        <w:t>ων</w:t>
      </w:r>
      <w:r w:rsidRPr="0047462D">
        <w:rPr>
          <w:bCs/>
          <w:i w:val="0"/>
          <w:iCs w:val="0"/>
          <w:sz w:val="22"/>
          <w:szCs w:val="22"/>
          <w:lang w:val="el-GR" w:eastAsia="zh-CN"/>
        </w:rPr>
        <w:t xml:space="preserve"> ασθεν</w:t>
      </w:r>
      <w:r w:rsidR="00EE1607" w:rsidRPr="0047462D">
        <w:rPr>
          <w:bCs/>
          <w:i w:val="0"/>
          <w:iCs w:val="0"/>
          <w:sz w:val="22"/>
          <w:szCs w:val="22"/>
          <w:lang w:val="el-GR" w:eastAsia="zh-CN"/>
        </w:rPr>
        <w:t>ών</w:t>
      </w:r>
      <w:r w:rsidRPr="0047462D">
        <w:rPr>
          <w:bCs/>
          <w:i w:val="0"/>
          <w:iCs w:val="0"/>
          <w:sz w:val="22"/>
          <w:szCs w:val="22"/>
          <w:lang w:val="el-GR" w:eastAsia="zh-CN"/>
        </w:rPr>
        <w:t>.</w:t>
      </w:r>
    </w:p>
    <w:p w14:paraId="41D4066A" w14:textId="77777777" w:rsidR="001C01B6" w:rsidRPr="0047462D" w:rsidRDefault="001C01B6" w:rsidP="001C01B6">
      <w:pPr>
        <w:pStyle w:val="labeltextheading"/>
        <w:keepNext w:val="0"/>
        <w:rPr>
          <w:bCs/>
          <w:i w:val="0"/>
          <w:iCs w:val="0"/>
          <w:sz w:val="22"/>
          <w:szCs w:val="22"/>
          <w:lang w:val="el-GR" w:eastAsia="zh-CN"/>
        </w:rPr>
      </w:pPr>
    </w:p>
    <w:p w14:paraId="0A95506D" w14:textId="00162AF8" w:rsidR="001171EF" w:rsidRPr="0047462D" w:rsidRDefault="00D90BCC" w:rsidP="001171EF">
      <w:pPr>
        <w:rPr>
          <w:rFonts w:eastAsia="Times New Roman"/>
          <w:szCs w:val="22"/>
        </w:rPr>
      </w:pPr>
      <w:r w:rsidRPr="0047462D">
        <w:rPr>
          <w:rFonts w:eastAsia="Times New Roman"/>
          <w:szCs w:val="22"/>
        </w:rPr>
        <w:t>Η επίπτωση των</w:t>
      </w:r>
      <w:r w:rsidR="001C01B6" w:rsidRPr="0047462D">
        <w:rPr>
          <w:rFonts w:eastAsia="Times New Roman"/>
          <w:szCs w:val="22"/>
        </w:rPr>
        <w:t xml:space="preserve"> αυξήσε</w:t>
      </w:r>
      <w:r w:rsidRPr="0047462D">
        <w:rPr>
          <w:rFonts w:eastAsia="Times New Roman"/>
          <w:szCs w:val="22"/>
        </w:rPr>
        <w:t>ων των</w:t>
      </w:r>
      <w:r w:rsidR="001C01B6" w:rsidRPr="0047462D">
        <w:rPr>
          <w:rFonts w:eastAsia="Times New Roman"/>
          <w:szCs w:val="22"/>
        </w:rPr>
        <w:t xml:space="preserve"> τρανσαμινασών (ALT ή AST) </w:t>
      </w:r>
      <w:r w:rsidRPr="0047462D">
        <w:rPr>
          <w:rFonts w:eastAsia="Times New Roman"/>
          <w:szCs w:val="22"/>
        </w:rPr>
        <w:t xml:space="preserve">που παρατηρήθηκαν </w:t>
      </w:r>
      <w:r w:rsidR="00477CA6" w:rsidRPr="0047462D">
        <w:rPr>
          <w:rFonts w:eastAsia="Times New Roman"/>
          <w:szCs w:val="22"/>
        </w:rPr>
        <w:t>στις</w:t>
      </w:r>
      <w:r w:rsidRPr="0047462D">
        <w:rPr>
          <w:rFonts w:eastAsia="Times New Roman"/>
          <w:szCs w:val="22"/>
        </w:rPr>
        <w:t xml:space="preserve"> μελέτες</w:t>
      </w:r>
      <w:r w:rsidR="00477CA6" w:rsidRPr="0047462D">
        <w:rPr>
          <w:rFonts w:eastAsia="Times New Roman"/>
          <w:szCs w:val="22"/>
        </w:rPr>
        <w:t> 2, 5 και 6</w:t>
      </w:r>
      <w:r w:rsidRPr="0047462D">
        <w:rPr>
          <w:rFonts w:eastAsia="Times New Roman"/>
          <w:szCs w:val="22"/>
        </w:rPr>
        <w:t xml:space="preserve"> (ασθενείς ηλικίας 6 έως κάτω των 12 ετών), στη μελέτη 7 (ασθενείς ηλικίας 2 έως κάτω των 6 ετών) και τη μελέτη 8 </w:t>
      </w:r>
      <w:r w:rsidRPr="0047462D">
        <w:rPr>
          <w:bCs/>
        </w:rPr>
        <w:t>(</w:t>
      </w:r>
      <w:r w:rsidR="001C01B6" w:rsidRPr="0047462D">
        <w:rPr>
          <w:rFonts w:eastAsia="Times New Roman"/>
          <w:szCs w:val="22"/>
        </w:rPr>
        <w:t xml:space="preserve">ασθενείς ηλικίας 6 έως κάτω των </w:t>
      </w:r>
      <w:r w:rsidR="001171EF" w:rsidRPr="0047462D">
        <w:rPr>
          <w:rFonts w:eastAsia="Times New Roman"/>
          <w:szCs w:val="22"/>
        </w:rPr>
        <w:t>24 μηνών) περιγράφεται στον Πίνακα 3.</w:t>
      </w:r>
      <w:r w:rsidR="001C01B6" w:rsidRPr="0047462D">
        <w:rPr>
          <w:rFonts w:eastAsia="Times New Roman"/>
          <w:szCs w:val="22"/>
        </w:rPr>
        <w:t xml:space="preserve"> </w:t>
      </w:r>
      <w:r w:rsidR="001171EF" w:rsidRPr="0047462D">
        <w:rPr>
          <w:rFonts w:eastAsia="Times New Roman"/>
          <w:szCs w:val="22"/>
        </w:rPr>
        <w:t xml:space="preserve">Στις ελεγχόμενες με εικονικό φάρμακο μελέτες, η επίπτωση των </w:t>
      </w:r>
      <w:r w:rsidR="001C01B6" w:rsidRPr="0047462D">
        <w:rPr>
          <w:rFonts w:eastAsia="Times New Roman"/>
          <w:szCs w:val="22"/>
        </w:rPr>
        <w:t>αυξήσε</w:t>
      </w:r>
      <w:r w:rsidR="001171EF" w:rsidRPr="0047462D">
        <w:rPr>
          <w:rFonts w:eastAsia="Times New Roman"/>
          <w:szCs w:val="22"/>
        </w:rPr>
        <w:t>ων των</w:t>
      </w:r>
      <w:r w:rsidR="001C01B6" w:rsidRPr="0047462D">
        <w:rPr>
          <w:rFonts w:eastAsia="Times New Roman"/>
          <w:szCs w:val="22"/>
        </w:rPr>
        <w:t xml:space="preserve"> τρανσαμινασών </w:t>
      </w:r>
      <w:r w:rsidR="001171EF" w:rsidRPr="0047462D">
        <w:rPr>
          <w:rFonts w:eastAsia="Times New Roman"/>
          <w:szCs w:val="22"/>
        </w:rPr>
        <w:t xml:space="preserve">ήταν παρόμοια μεταξύ της θεραπείας με </w:t>
      </w:r>
      <w:r w:rsidR="001171EF" w:rsidRPr="0047462D">
        <w:rPr>
          <w:rFonts w:eastAsia="Times New Roman"/>
          <w:szCs w:val="22"/>
          <w:lang w:val="en-US"/>
        </w:rPr>
        <w:t>ivacaftor</w:t>
      </w:r>
      <w:r w:rsidR="001171EF" w:rsidRPr="00F93ECE">
        <w:rPr>
          <w:rFonts w:eastAsia="Times New Roman"/>
          <w:szCs w:val="22"/>
        </w:rPr>
        <w:t xml:space="preserve"> (15,0%) </w:t>
      </w:r>
      <w:r w:rsidR="001171EF" w:rsidRPr="0047462D">
        <w:rPr>
          <w:rFonts w:eastAsia="Times New Roman"/>
          <w:szCs w:val="22"/>
        </w:rPr>
        <w:t xml:space="preserve">και του εικονικού φαρμάκου (14,6%). </w:t>
      </w:r>
      <w:r w:rsidR="005A0EE4">
        <w:rPr>
          <w:rFonts w:eastAsia="Times New Roman"/>
          <w:szCs w:val="22"/>
        </w:rPr>
        <w:t>Ο</w:t>
      </w:r>
      <w:r w:rsidR="005A0EE4" w:rsidRPr="0047462D">
        <w:rPr>
          <w:rFonts w:eastAsia="Times New Roman"/>
          <w:szCs w:val="22"/>
        </w:rPr>
        <w:t xml:space="preserve">ι μέγιστες αυξήσεις των δοκιμασιών ηπατικής λειτουργίας </w:t>
      </w:r>
      <w:r w:rsidR="005A0EE4">
        <w:rPr>
          <w:rFonts w:eastAsia="Times New Roman"/>
          <w:szCs w:val="22"/>
        </w:rPr>
        <w:t xml:space="preserve">ήταν γενικά υψηλότερες στους παιδιατρικούς ασθενείς σε σχέση με τους ασθενείς μεγαλύτερης ηλικίας. </w:t>
      </w:r>
      <w:r w:rsidR="001171EF" w:rsidRPr="0047462D">
        <w:rPr>
          <w:rFonts w:eastAsia="Times New Roman"/>
          <w:szCs w:val="22"/>
        </w:rPr>
        <w:t xml:space="preserve">Μεταξύ όλων των πληθυσμών, οι </w:t>
      </w:r>
      <w:r w:rsidR="001C01B6" w:rsidRPr="0047462D">
        <w:rPr>
          <w:rFonts w:eastAsia="Times New Roman"/>
          <w:szCs w:val="22"/>
        </w:rPr>
        <w:t xml:space="preserve">μέγιστες αυξήσεις των δοκιμασιών ηπατικής λειτουργίας </w:t>
      </w:r>
      <w:r w:rsidR="001171EF" w:rsidRPr="0047462D">
        <w:rPr>
          <w:rFonts w:eastAsia="Times New Roman"/>
          <w:szCs w:val="22"/>
        </w:rPr>
        <w:t>επέστ</w:t>
      </w:r>
      <w:r w:rsidR="00075A55" w:rsidRPr="0047462D">
        <w:rPr>
          <w:rFonts w:eastAsia="Times New Roman"/>
          <w:szCs w:val="22"/>
        </w:rPr>
        <w:t>ρ</w:t>
      </w:r>
      <w:r w:rsidR="001171EF" w:rsidRPr="0047462D">
        <w:rPr>
          <w:rFonts w:eastAsia="Times New Roman"/>
          <w:szCs w:val="22"/>
        </w:rPr>
        <w:t>εψαν στα αρχικά επίπεδα μετά την προσωρινή διακοπή, και σ</w:t>
      </w:r>
      <w:r w:rsidR="001C01B6" w:rsidRPr="0047462D">
        <w:rPr>
          <w:rFonts w:eastAsia="Times New Roman"/>
          <w:szCs w:val="22"/>
        </w:rPr>
        <w:t xml:space="preserve">ε όλες σχεδόν τις περιπτώσεις όπου διεκόπη </w:t>
      </w:r>
      <w:r w:rsidR="002F088D" w:rsidRPr="0047462D">
        <w:rPr>
          <w:rFonts w:eastAsia="Times New Roman"/>
          <w:szCs w:val="22"/>
        </w:rPr>
        <w:t xml:space="preserve">προσωρινά </w:t>
      </w:r>
      <w:r w:rsidR="001C01B6" w:rsidRPr="0047462D">
        <w:rPr>
          <w:rFonts w:eastAsia="Times New Roman"/>
          <w:szCs w:val="22"/>
        </w:rPr>
        <w:t xml:space="preserve">η χορήγηση δόσης λόγω αυξημένων τρανσαμινασών και στη συνέχεια ξεκίνησε εκ νέου, κατέστη δυνατόν να ξαναρχίσει η χορήγηση δόσης του </w:t>
      </w:r>
      <w:r w:rsidR="001C01B6" w:rsidRPr="0047462D">
        <w:t>ivacaftor επιτυχώς</w:t>
      </w:r>
      <w:r w:rsidR="001C01B6" w:rsidRPr="0047462D">
        <w:rPr>
          <w:rFonts w:eastAsia="Times New Roman"/>
          <w:szCs w:val="22"/>
        </w:rPr>
        <w:t xml:space="preserve"> (βλ. παράγραφο 4.4). Παρατηρήθηκαν περιπτώσεις που υποδηλώνουν </w:t>
      </w:r>
      <w:r w:rsidR="002F088D" w:rsidRPr="0047462D">
        <w:rPr>
          <w:rFonts w:eastAsia="Times New Roman"/>
          <w:szCs w:val="22"/>
        </w:rPr>
        <w:t xml:space="preserve">επανεμφάνιση </w:t>
      </w:r>
      <w:r w:rsidR="000F034D" w:rsidRPr="0047462D">
        <w:rPr>
          <w:rFonts w:eastAsia="Times New Roman"/>
          <w:szCs w:val="22"/>
        </w:rPr>
        <w:t xml:space="preserve">των </w:t>
      </w:r>
      <w:r w:rsidR="002F088D" w:rsidRPr="0047462D">
        <w:rPr>
          <w:rFonts w:eastAsia="Times New Roman"/>
          <w:szCs w:val="22"/>
        </w:rPr>
        <w:t>αυξήσεων μετά από επαναχορήγηση δόσης</w:t>
      </w:r>
      <w:r w:rsidR="001C01B6" w:rsidRPr="0047462D">
        <w:rPr>
          <w:rFonts w:eastAsia="Times New Roman"/>
          <w:szCs w:val="22"/>
        </w:rPr>
        <w:t>.</w:t>
      </w:r>
      <w:r w:rsidR="001171EF" w:rsidRPr="0047462D">
        <w:rPr>
          <w:rFonts w:eastAsia="Times New Roman"/>
          <w:szCs w:val="22"/>
        </w:rPr>
        <w:t xml:space="preserve"> </w:t>
      </w:r>
      <w:r w:rsidR="001171EF" w:rsidRPr="0047462D">
        <w:rPr>
          <w:bCs/>
        </w:rPr>
        <w:t xml:space="preserve">Στη μελέτη 7, το </w:t>
      </w:r>
      <w:r w:rsidR="001171EF" w:rsidRPr="0047462D">
        <w:rPr>
          <w:bCs/>
          <w:iCs/>
          <w:lang w:eastAsia="ja-JP"/>
        </w:rPr>
        <w:t>ivacaftor διακόπηκε οριστικά σε έναν ασθενή. Στη μελέτη</w:t>
      </w:r>
      <w:r w:rsidR="001171EF" w:rsidRPr="0047462D">
        <w:rPr>
          <w:bCs/>
        </w:rPr>
        <w:t xml:space="preserve"> 8, κανένας </w:t>
      </w:r>
      <w:r w:rsidR="001171EF" w:rsidRPr="0047462D">
        <w:rPr>
          <w:rFonts w:eastAsia="Times New Roman"/>
          <w:szCs w:val="22"/>
        </w:rPr>
        <w:t xml:space="preserve">ασθενής δεν εμφάνισε αύξηση της ολικής χολερυθρίνης ούτε διέκοψε οριστικά τη θεραπεία με ivacaftor λόγω αυξήσεων των τρανσαμινασών σε καμία από τις δύο </w:t>
      </w:r>
      <w:r w:rsidR="005A0EE4">
        <w:rPr>
          <w:rFonts w:eastAsia="Times New Roman"/>
          <w:szCs w:val="22"/>
        </w:rPr>
        <w:t xml:space="preserve">ηλικιακές </w:t>
      </w:r>
      <w:r w:rsidR="001171EF" w:rsidRPr="0047462D">
        <w:rPr>
          <w:rFonts w:eastAsia="Times New Roman"/>
          <w:szCs w:val="22"/>
        </w:rPr>
        <w:t>κοόρτεις (βλ. παράγραφο</w:t>
      </w:r>
      <w:r w:rsidR="001171EF" w:rsidRPr="0047462D">
        <w:rPr>
          <w:rFonts w:eastAsia="Times New Roman"/>
          <w:szCs w:val="22"/>
          <w:lang w:val="en-US"/>
        </w:rPr>
        <w:t> </w:t>
      </w:r>
      <w:r w:rsidR="001171EF" w:rsidRPr="0047462D">
        <w:rPr>
          <w:rFonts w:eastAsia="Times New Roman"/>
          <w:szCs w:val="22"/>
        </w:rPr>
        <w:t>4.4 για τη διαχείριση των αυξημένων τιμών τρανσαμινασών).</w:t>
      </w:r>
    </w:p>
    <w:p w14:paraId="49D53F92" w14:textId="77777777" w:rsidR="001171EF" w:rsidRPr="0047462D" w:rsidRDefault="001171EF" w:rsidP="001C01B6">
      <w:pPr>
        <w:rPr>
          <w:rFonts w:eastAsia="Times New Roman"/>
          <w:szCs w:val="22"/>
        </w:rPr>
      </w:pPr>
    </w:p>
    <w:p w14:paraId="653B9502" w14:textId="0F8EECB7" w:rsidR="001171EF" w:rsidRPr="0047462D" w:rsidRDefault="001171EF" w:rsidP="001171EF">
      <w:pPr>
        <w:keepNext/>
        <w:spacing w:after="240"/>
        <w:rPr>
          <w:b/>
          <w:bCs/>
        </w:rPr>
      </w:pPr>
      <w:r w:rsidRPr="0047462D">
        <w:rPr>
          <w:b/>
          <w:bCs/>
        </w:rPr>
        <w:t>Πίνακας </w:t>
      </w:r>
      <w:r w:rsidR="00FF16BD" w:rsidRPr="00F93ECE">
        <w:rPr>
          <w:b/>
          <w:bCs/>
        </w:rPr>
        <w:t>3</w:t>
      </w:r>
      <w:r w:rsidRPr="0047462D">
        <w:rPr>
          <w:b/>
          <w:bCs/>
        </w:rPr>
        <w:t xml:space="preserve">: Αυξήσεις των τρανσαμινασών σε ασθενείς ηλικίας </w:t>
      </w:r>
      <w:r w:rsidR="00E01786" w:rsidRPr="00F93ECE">
        <w:rPr>
          <w:b/>
          <w:bCs/>
        </w:rPr>
        <w:t>4</w:t>
      </w:r>
      <w:r w:rsidRPr="0047462D">
        <w:rPr>
          <w:b/>
          <w:bCs/>
        </w:rPr>
        <w:t> μηνών έως &lt; 12 ετών που έλαβαν ivacaftor ως μονοθεραπεία</w:t>
      </w:r>
    </w:p>
    <w:tbl>
      <w:tblPr>
        <w:tblStyle w:val="TableGrid"/>
        <w:tblW w:w="0" w:type="auto"/>
        <w:tblInd w:w="137" w:type="dxa"/>
        <w:tblLayout w:type="fixed"/>
        <w:tblLook w:val="04A0" w:firstRow="1" w:lastRow="0" w:firstColumn="1" w:lastColumn="0" w:noHBand="0" w:noVBand="1"/>
      </w:tblPr>
      <w:tblGrid>
        <w:gridCol w:w="2422"/>
        <w:gridCol w:w="993"/>
        <w:gridCol w:w="1619"/>
        <w:gridCol w:w="1620"/>
        <w:gridCol w:w="1620"/>
      </w:tblGrid>
      <w:tr w:rsidR="001171EF" w:rsidRPr="0047462D" w14:paraId="118B5C7F" w14:textId="77777777" w:rsidTr="005919C3">
        <w:trPr>
          <w:trHeight w:val="579"/>
        </w:trPr>
        <w:tc>
          <w:tcPr>
            <w:tcW w:w="2422" w:type="dxa"/>
          </w:tcPr>
          <w:p w14:paraId="2A2911DF" w14:textId="77777777" w:rsidR="001171EF" w:rsidRPr="0047462D" w:rsidRDefault="001171EF" w:rsidP="005919C3">
            <w:pPr>
              <w:keepNext/>
              <w:rPr>
                <w:b/>
                <w:bCs/>
              </w:rPr>
            </w:pPr>
          </w:p>
        </w:tc>
        <w:tc>
          <w:tcPr>
            <w:tcW w:w="993" w:type="dxa"/>
          </w:tcPr>
          <w:p w14:paraId="049F5A7A" w14:textId="77777777" w:rsidR="001171EF" w:rsidRPr="0047462D" w:rsidRDefault="001171EF" w:rsidP="005919C3">
            <w:pPr>
              <w:keepNext/>
              <w:jc w:val="center"/>
              <w:rPr>
                <w:b/>
                <w:bCs/>
              </w:rPr>
            </w:pPr>
            <w:r w:rsidRPr="0047462D">
              <w:rPr>
                <w:b/>
                <w:bCs/>
              </w:rPr>
              <w:t>n</w:t>
            </w:r>
          </w:p>
        </w:tc>
        <w:tc>
          <w:tcPr>
            <w:tcW w:w="1619" w:type="dxa"/>
          </w:tcPr>
          <w:p w14:paraId="705EB237" w14:textId="77777777" w:rsidR="001171EF" w:rsidRPr="0047462D" w:rsidRDefault="001171EF" w:rsidP="005919C3">
            <w:pPr>
              <w:keepNext/>
              <w:jc w:val="center"/>
              <w:rPr>
                <w:b/>
                <w:bCs/>
              </w:rPr>
            </w:pPr>
            <w:r w:rsidRPr="0047462D">
              <w:rPr>
                <w:b/>
                <w:bCs/>
              </w:rPr>
              <w:t xml:space="preserve">% ασθενών &gt; 3 x ULN </w:t>
            </w:r>
          </w:p>
        </w:tc>
        <w:tc>
          <w:tcPr>
            <w:tcW w:w="1620" w:type="dxa"/>
          </w:tcPr>
          <w:p w14:paraId="7BE7D526" w14:textId="77777777" w:rsidR="001171EF" w:rsidRPr="0047462D" w:rsidRDefault="001171EF" w:rsidP="005919C3">
            <w:pPr>
              <w:keepNext/>
              <w:jc w:val="center"/>
              <w:rPr>
                <w:b/>
                <w:bCs/>
              </w:rPr>
            </w:pPr>
            <w:r w:rsidRPr="0047462D">
              <w:rPr>
                <w:b/>
                <w:bCs/>
              </w:rPr>
              <w:t>% ασθενών &gt; 5 x ULN</w:t>
            </w:r>
          </w:p>
        </w:tc>
        <w:tc>
          <w:tcPr>
            <w:tcW w:w="1620" w:type="dxa"/>
          </w:tcPr>
          <w:p w14:paraId="07E905AC" w14:textId="77777777" w:rsidR="001171EF" w:rsidRPr="0047462D" w:rsidRDefault="001171EF" w:rsidP="005919C3">
            <w:pPr>
              <w:keepNext/>
              <w:jc w:val="center"/>
              <w:rPr>
                <w:b/>
                <w:bCs/>
              </w:rPr>
            </w:pPr>
            <w:r w:rsidRPr="0047462D">
              <w:rPr>
                <w:b/>
                <w:bCs/>
              </w:rPr>
              <w:t>% ασθενών &gt; 8 x ULN</w:t>
            </w:r>
          </w:p>
        </w:tc>
      </w:tr>
      <w:tr w:rsidR="001171EF" w:rsidRPr="0047462D" w14:paraId="66A7B257" w14:textId="77777777" w:rsidTr="005919C3">
        <w:trPr>
          <w:trHeight w:val="287"/>
        </w:trPr>
        <w:tc>
          <w:tcPr>
            <w:tcW w:w="2422" w:type="dxa"/>
          </w:tcPr>
          <w:p w14:paraId="2A6832C7" w14:textId="77777777" w:rsidR="001171EF" w:rsidRPr="0047462D" w:rsidRDefault="001171EF" w:rsidP="005919C3">
            <w:pPr>
              <w:keepNext/>
            </w:pPr>
            <w:r w:rsidRPr="0047462D">
              <w:t>6 έως &lt; 12 ετών</w:t>
            </w:r>
          </w:p>
        </w:tc>
        <w:tc>
          <w:tcPr>
            <w:tcW w:w="993" w:type="dxa"/>
          </w:tcPr>
          <w:p w14:paraId="7A70D06F" w14:textId="77777777" w:rsidR="001171EF" w:rsidRPr="0047462D" w:rsidRDefault="001171EF" w:rsidP="005919C3">
            <w:pPr>
              <w:keepNext/>
              <w:jc w:val="center"/>
            </w:pPr>
            <w:r w:rsidRPr="0047462D">
              <w:t>40</w:t>
            </w:r>
          </w:p>
        </w:tc>
        <w:tc>
          <w:tcPr>
            <w:tcW w:w="1619" w:type="dxa"/>
          </w:tcPr>
          <w:p w14:paraId="54F931DA" w14:textId="77777777" w:rsidR="001171EF" w:rsidRPr="0047462D" w:rsidRDefault="001171EF" w:rsidP="005919C3">
            <w:pPr>
              <w:keepNext/>
              <w:jc w:val="center"/>
            </w:pPr>
            <w:r w:rsidRPr="0047462D">
              <w:t>15,0% (6)</w:t>
            </w:r>
          </w:p>
        </w:tc>
        <w:tc>
          <w:tcPr>
            <w:tcW w:w="1620" w:type="dxa"/>
          </w:tcPr>
          <w:p w14:paraId="76FA5807" w14:textId="77777777" w:rsidR="001171EF" w:rsidRPr="0047462D" w:rsidRDefault="001171EF" w:rsidP="005919C3">
            <w:pPr>
              <w:keepNext/>
              <w:jc w:val="center"/>
            </w:pPr>
            <w:r w:rsidRPr="0047462D">
              <w:t>2,5% (1)</w:t>
            </w:r>
          </w:p>
        </w:tc>
        <w:tc>
          <w:tcPr>
            <w:tcW w:w="1620" w:type="dxa"/>
          </w:tcPr>
          <w:p w14:paraId="7D0FEA98" w14:textId="77777777" w:rsidR="001171EF" w:rsidRPr="0047462D" w:rsidRDefault="001171EF" w:rsidP="005919C3">
            <w:pPr>
              <w:keepNext/>
              <w:jc w:val="center"/>
            </w:pPr>
            <w:r w:rsidRPr="0047462D">
              <w:t>2,5% (1)</w:t>
            </w:r>
          </w:p>
        </w:tc>
      </w:tr>
      <w:tr w:rsidR="001171EF" w:rsidRPr="0047462D" w14:paraId="6E688733" w14:textId="77777777" w:rsidTr="005919C3">
        <w:trPr>
          <w:trHeight w:val="287"/>
        </w:trPr>
        <w:tc>
          <w:tcPr>
            <w:tcW w:w="2422" w:type="dxa"/>
          </w:tcPr>
          <w:p w14:paraId="4A71ADD0" w14:textId="77777777" w:rsidR="001171EF" w:rsidRPr="0047462D" w:rsidRDefault="001171EF" w:rsidP="005919C3">
            <w:pPr>
              <w:keepNext/>
            </w:pPr>
            <w:r w:rsidRPr="0047462D">
              <w:t>2 έως &lt; 6 ετών</w:t>
            </w:r>
          </w:p>
        </w:tc>
        <w:tc>
          <w:tcPr>
            <w:tcW w:w="993" w:type="dxa"/>
          </w:tcPr>
          <w:p w14:paraId="0625E839" w14:textId="77777777" w:rsidR="001171EF" w:rsidRPr="0047462D" w:rsidRDefault="001171EF" w:rsidP="005919C3">
            <w:pPr>
              <w:keepNext/>
              <w:jc w:val="center"/>
            </w:pPr>
            <w:r w:rsidRPr="0047462D">
              <w:t>34</w:t>
            </w:r>
          </w:p>
        </w:tc>
        <w:tc>
          <w:tcPr>
            <w:tcW w:w="1619" w:type="dxa"/>
          </w:tcPr>
          <w:p w14:paraId="774A7625" w14:textId="77777777" w:rsidR="001171EF" w:rsidRPr="0047462D" w:rsidRDefault="001171EF" w:rsidP="005919C3">
            <w:pPr>
              <w:keepNext/>
              <w:jc w:val="center"/>
            </w:pPr>
            <w:r w:rsidRPr="0047462D">
              <w:t>14,7% (5)</w:t>
            </w:r>
          </w:p>
        </w:tc>
        <w:tc>
          <w:tcPr>
            <w:tcW w:w="1620" w:type="dxa"/>
          </w:tcPr>
          <w:p w14:paraId="7EA3666B" w14:textId="296FEE84" w:rsidR="001171EF" w:rsidRPr="0047462D" w:rsidRDefault="001171EF" w:rsidP="005919C3">
            <w:pPr>
              <w:keepNext/>
              <w:jc w:val="center"/>
            </w:pPr>
            <w:r w:rsidRPr="0047462D">
              <w:t>14,7</w:t>
            </w:r>
            <w:r w:rsidR="00FF16BD" w:rsidRPr="0047462D">
              <w:t>%</w:t>
            </w:r>
            <w:r w:rsidRPr="0047462D">
              <w:t xml:space="preserve"> (5)</w:t>
            </w:r>
          </w:p>
        </w:tc>
        <w:tc>
          <w:tcPr>
            <w:tcW w:w="1620" w:type="dxa"/>
          </w:tcPr>
          <w:p w14:paraId="5D9D162C" w14:textId="77777777" w:rsidR="001171EF" w:rsidRPr="0047462D" w:rsidRDefault="001171EF" w:rsidP="005919C3">
            <w:pPr>
              <w:keepNext/>
              <w:jc w:val="center"/>
            </w:pPr>
            <w:r w:rsidRPr="0047462D">
              <w:t>14,7% (5)</w:t>
            </w:r>
          </w:p>
        </w:tc>
      </w:tr>
      <w:tr w:rsidR="001171EF" w:rsidRPr="0047462D" w14:paraId="1A0C42C8" w14:textId="77777777" w:rsidTr="005919C3">
        <w:trPr>
          <w:trHeight w:val="287"/>
        </w:trPr>
        <w:tc>
          <w:tcPr>
            <w:tcW w:w="2422" w:type="dxa"/>
          </w:tcPr>
          <w:p w14:paraId="3B179AFA" w14:textId="77777777" w:rsidR="001171EF" w:rsidRPr="0047462D" w:rsidRDefault="001171EF" w:rsidP="005919C3">
            <w:pPr>
              <w:keepNext/>
            </w:pPr>
            <w:r w:rsidRPr="0047462D">
              <w:t>12 έως &lt; 24 μηνών</w:t>
            </w:r>
          </w:p>
        </w:tc>
        <w:tc>
          <w:tcPr>
            <w:tcW w:w="993" w:type="dxa"/>
          </w:tcPr>
          <w:p w14:paraId="13A12E95" w14:textId="77777777" w:rsidR="001171EF" w:rsidRPr="0047462D" w:rsidRDefault="001171EF" w:rsidP="005919C3">
            <w:pPr>
              <w:keepNext/>
              <w:jc w:val="center"/>
            </w:pPr>
            <w:r w:rsidRPr="0047462D">
              <w:t>18</w:t>
            </w:r>
          </w:p>
        </w:tc>
        <w:tc>
          <w:tcPr>
            <w:tcW w:w="1619" w:type="dxa"/>
          </w:tcPr>
          <w:p w14:paraId="2984C1BA" w14:textId="77777777" w:rsidR="001171EF" w:rsidRPr="0047462D" w:rsidRDefault="001171EF" w:rsidP="005919C3">
            <w:pPr>
              <w:keepNext/>
              <w:jc w:val="center"/>
            </w:pPr>
            <w:r w:rsidRPr="0047462D">
              <w:t>27,8% (5)</w:t>
            </w:r>
          </w:p>
        </w:tc>
        <w:tc>
          <w:tcPr>
            <w:tcW w:w="1620" w:type="dxa"/>
          </w:tcPr>
          <w:p w14:paraId="6508CDDE" w14:textId="77777777" w:rsidR="001171EF" w:rsidRPr="0047462D" w:rsidRDefault="001171EF" w:rsidP="005919C3">
            <w:pPr>
              <w:keepNext/>
              <w:jc w:val="center"/>
            </w:pPr>
            <w:r w:rsidRPr="0047462D">
              <w:t>11,1% (2)</w:t>
            </w:r>
          </w:p>
        </w:tc>
        <w:tc>
          <w:tcPr>
            <w:tcW w:w="1620" w:type="dxa"/>
          </w:tcPr>
          <w:p w14:paraId="1DCE9A90" w14:textId="77777777" w:rsidR="001171EF" w:rsidRPr="0047462D" w:rsidRDefault="001171EF" w:rsidP="005919C3">
            <w:pPr>
              <w:keepNext/>
              <w:jc w:val="center"/>
            </w:pPr>
            <w:r w:rsidRPr="0047462D">
              <w:t>11,1% (2)</w:t>
            </w:r>
          </w:p>
        </w:tc>
      </w:tr>
      <w:tr w:rsidR="001171EF" w:rsidRPr="0047462D" w14:paraId="55A4DFA8" w14:textId="77777777" w:rsidTr="005919C3">
        <w:trPr>
          <w:trHeight w:val="274"/>
        </w:trPr>
        <w:tc>
          <w:tcPr>
            <w:tcW w:w="2422" w:type="dxa"/>
          </w:tcPr>
          <w:p w14:paraId="636ABC89" w14:textId="77777777" w:rsidR="001171EF" w:rsidRPr="0047462D" w:rsidRDefault="001171EF" w:rsidP="005919C3">
            <w:r w:rsidRPr="0047462D">
              <w:t>6 έως &lt; 12 μηνών</w:t>
            </w:r>
          </w:p>
        </w:tc>
        <w:tc>
          <w:tcPr>
            <w:tcW w:w="993" w:type="dxa"/>
          </w:tcPr>
          <w:p w14:paraId="10CFB15C" w14:textId="77777777" w:rsidR="001171EF" w:rsidRPr="0047462D" w:rsidRDefault="001171EF" w:rsidP="005919C3">
            <w:pPr>
              <w:jc w:val="center"/>
            </w:pPr>
            <w:r w:rsidRPr="0047462D">
              <w:t>11</w:t>
            </w:r>
          </w:p>
        </w:tc>
        <w:tc>
          <w:tcPr>
            <w:tcW w:w="1619" w:type="dxa"/>
          </w:tcPr>
          <w:p w14:paraId="0AD3C4E2" w14:textId="77777777" w:rsidR="001171EF" w:rsidRPr="0047462D" w:rsidRDefault="001171EF" w:rsidP="005919C3">
            <w:pPr>
              <w:jc w:val="center"/>
            </w:pPr>
            <w:r w:rsidRPr="0047462D">
              <w:t>9,1% (1)</w:t>
            </w:r>
          </w:p>
        </w:tc>
        <w:tc>
          <w:tcPr>
            <w:tcW w:w="1620" w:type="dxa"/>
          </w:tcPr>
          <w:p w14:paraId="7934B6E3" w14:textId="77777777" w:rsidR="001171EF" w:rsidRPr="0047462D" w:rsidRDefault="001171EF" w:rsidP="005919C3">
            <w:pPr>
              <w:jc w:val="center"/>
            </w:pPr>
            <w:r w:rsidRPr="0047462D">
              <w:t>0,0% (0)</w:t>
            </w:r>
          </w:p>
        </w:tc>
        <w:tc>
          <w:tcPr>
            <w:tcW w:w="1620" w:type="dxa"/>
          </w:tcPr>
          <w:p w14:paraId="765929C8" w14:textId="77777777" w:rsidR="001171EF" w:rsidRPr="0047462D" w:rsidRDefault="001171EF" w:rsidP="005919C3">
            <w:pPr>
              <w:jc w:val="center"/>
            </w:pPr>
            <w:r w:rsidRPr="0047462D">
              <w:t>0,0% (0)</w:t>
            </w:r>
          </w:p>
        </w:tc>
      </w:tr>
      <w:tr w:rsidR="007A0DE5" w:rsidRPr="0047462D" w14:paraId="3E158762" w14:textId="77777777" w:rsidTr="005919C3">
        <w:trPr>
          <w:trHeight w:val="274"/>
        </w:trPr>
        <w:tc>
          <w:tcPr>
            <w:tcW w:w="2422" w:type="dxa"/>
          </w:tcPr>
          <w:p w14:paraId="2201A9AB" w14:textId="60B38DC1" w:rsidR="007A0DE5" w:rsidRPr="0047462D" w:rsidRDefault="007A0DE5" w:rsidP="007A0DE5">
            <w:r>
              <w:t>4 έως &lt; 6 μηνών</w:t>
            </w:r>
          </w:p>
        </w:tc>
        <w:tc>
          <w:tcPr>
            <w:tcW w:w="993" w:type="dxa"/>
          </w:tcPr>
          <w:p w14:paraId="34D6CB08" w14:textId="73632A7C" w:rsidR="007A0DE5" w:rsidRPr="0047462D" w:rsidRDefault="007A0DE5" w:rsidP="007A0DE5">
            <w:pPr>
              <w:jc w:val="center"/>
            </w:pPr>
            <w:r>
              <w:t>6</w:t>
            </w:r>
          </w:p>
        </w:tc>
        <w:tc>
          <w:tcPr>
            <w:tcW w:w="1619" w:type="dxa"/>
          </w:tcPr>
          <w:p w14:paraId="2F37B771" w14:textId="5EE1E374" w:rsidR="007A0DE5" w:rsidRPr="0047462D" w:rsidRDefault="007A0DE5" w:rsidP="007A0DE5">
            <w:pPr>
              <w:jc w:val="center"/>
            </w:pPr>
            <w:r>
              <w:t>0,0% (0)</w:t>
            </w:r>
          </w:p>
        </w:tc>
        <w:tc>
          <w:tcPr>
            <w:tcW w:w="1620" w:type="dxa"/>
          </w:tcPr>
          <w:p w14:paraId="0785331C" w14:textId="15072028" w:rsidR="007A0DE5" w:rsidRPr="0047462D" w:rsidRDefault="007A0DE5" w:rsidP="007A0DE5">
            <w:pPr>
              <w:jc w:val="center"/>
            </w:pPr>
            <w:r>
              <w:t>0,0% (0)</w:t>
            </w:r>
          </w:p>
        </w:tc>
        <w:tc>
          <w:tcPr>
            <w:tcW w:w="1620" w:type="dxa"/>
          </w:tcPr>
          <w:p w14:paraId="1C067079" w14:textId="5F30A93B" w:rsidR="007A0DE5" w:rsidRPr="0047462D" w:rsidRDefault="007A0DE5" w:rsidP="007A0DE5">
            <w:pPr>
              <w:jc w:val="center"/>
            </w:pPr>
            <w:r>
              <w:t>0,0% (0)</w:t>
            </w:r>
          </w:p>
        </w:tc>
      </w:tr>
    </w:tbl>
    <w:p w14:paraId="08FA5043" w14:textId="77777777" w:rsidR="00654165" w:rsidRPr="0047462D" w:rsidRDefault="00654165" w:rsidP="00654165">
      <w:pPr>
        <w:ind w:left="567" w:hanging="567"/>
        <w:rPr>
          <w:bCs/>
          <w:szCs w:val="22"/>
          <w:lang w:eastAsia="en-US"/>
        </w:rPr>
      </w:pPr>
    </w:p>
    <w:p w14:paraId="05E5DD41" w14:textId="77777777" w:rsidR="001C01B6" w:rsidRPr="0047462D" w:rsidRDefault="001C01B6" w:rsidP="001C01B6">
      <w:pPr>
        <w:keepNext/>
        <w:autoSpaceDE w:val="0"/>
        <w:autoSpaceDN w:val="0"/>
        <w:adjustRightInd w:val="0"/>
        <w:jc w:val="both"/>
        <w:rPr>
          <w:noProof/>
          <w:szCs w:val="22"/>
          <w:u w:val="single"/>
        </w:rPr>
      </w:pPr>
      <w:r w:rsidRPr="0047462D">
        <w:rPr>
          <w:noProof/>
          <w:szCs w:val="22"/>
          <w:u w:val="single"/>
        </w:rPr>
        <w:t>Αναφορά πιθανολογούμενων ανεπιθύμητων ενεργειών</w:t>
      </w:r>
    </w:p>
    <w:p w14:paraId="5E65C1F4" w14:textId="77777777" w:rsidR="00EE1607" w:rsidRPr="0047462D" w:rsidRDefault="00EE1607" w:rsidP="001C01B6">
      <w:pPr>
        <w:keepNext/>
        <w:autoSpaceDE w:val="0"/>
        <w:autoSpaceDN w:val="0"/>
        <w:adjustRightInd w:val="0"/>
        <w:jc w:val="both"/>
        <w:rPr>
          <w:szCs w:val="22"/>
          <w:u w:val="single"/>
        </w:rPr>
      </w:pPr>
    </w:p>
    <w:p w14:paraId="00CEA874" w14:textId="77777777" w:rsidR="001C01B6" w:rsidRPr="0047462D" w:rsidRDefault="001C01B6" w:rsidP="001C01B6">
      <w:pPr>
        <w:autoSpaceDE w:val="0"/>
        <w:autoSpaceDN w:val="0"/>
        <w:adjustRightInd w:val="0"/>
        <w:jc w:val="both"/>
        <w:rPr>
          <w:noProof/>
          <w:szCs w:val="22"/>
        </w:rPr>
      </w:pPr>
      <w:r w:rsidRPr="0047462D">
        <w:rPr>
          <w:szCs w:val="22"/>
        </w:rPr>
        <w:t>Η αναφορά πιθανολογούμενων ανεπιθύμητων ενεργειών μετά από τη χορήγηση άδειας κυκλοφορίας του φαρμακευτικού προϊόντος είναι σημαντική</w:t>
      </w:r>
      <w:r w:rsidRPr="0047462D">
        <w:rPr>
          <w:noProof/>
          <w:szCs w:val="22"/>
        </w:rPr>
        <w:t>.</w:t>
      </w:r>
      <w:r w:rsidRPr="0047462D">
        <w:rPr>
          <w:szCs w:val="22"/>
        </w:rPr>
        <w:t xml:space="preserve"> Επιτρέπει τη συνεχή παρακολούθηση της σχέσης οφέλους-κινδύνου του φαρμακευτικού προϊόντος</w:t>
      </w:r>
      <w:r w:rsidRPr="0047462D">
        <w:rPr>
          <w:noProof/>
          <w:szCs w:val="22"/>
        </w:rPr>
        <w:t>.</w:t>
      </w:r>
      <w:r w:rsidRPr="0047462D">
        <w:rPr>
          <w:szCs w:val="22"/>
        </w:rPr>
        <w:t xml:space="preserve"> Ζητείται από τους επαγγελματίες </w:t>
      </w:r>
      <w:r w:rsidR="007403AF" w:rsidRPr="0047462D">
        <w:rPr>
          <w:szCs w:val="22"/>
        </w:rPr>
        <w:t xml:space="preserve">υγείας </w:t>
      </w:r>
      <w:r w:rsidRPr="0047462D">
        <w:rPr>
          <w:szCs w:val="22"/>
        </w:rPr>
        <w:t xml:space="preserve">να αναφέρουν οποιεσδήποτε πιθανολογούμενες ανεπιθύμητες ενέργειες μέσω του εθνικού συστήματος αναφοράς που αναγράφεται στο </w:t>
      </w:r>
      <w:hyperlink r:id="rId13" w:history="1">
        <w:r w:rsidRPr="0047462D">
          <w:rPr>
            <w:rStyle w:val="Hyperlink"/>
          </w:rPr>
          <w:t>Παράρτημα V</w:t>
        </w:r>
      </w:hyperlink>
      <w:r w:rsidRPr="0047462D">
        <w:rPr>
          <w:szCs w:val="22"/>
        </w:rPr>
        <w:t xml:space="preserve">. </w:t>
      </w:r>
    </w:p>
    <w:p w14:paraId="13211275" w14:textId="77777777" w:rsidR="001C01B6" w:rsidRPr="0047462D" w:rsidRDefault="001C01B6" w:rsidP="001C01B6">
      <w:pPr>
        <w:ind w:left="567" w:hanging="567"/>
        <w:rPr>
          <w:bCs/>
          <w:szCs w:val="22"/>
          <w:lang w:eastAsia="en-US"/>
        </w:rPr>
      </w:pPr>
    </w:p>
    <w:p w14:paraId="76CDBB57" w14:textId="77777777" w:rsidR="001C01B6" w:rsidRPr="0047462D" w:rsidRDefault="001C01B6" w:rsidP="001C01B6">
      <w:pPr>
        <w:keepNext/>
        <w:tabs>
          <w:tab w:val="left" w:pos="567"/>
        </w:tabs>
        <w:suppressAutoHyphens w:val="0"/>
        <w:spacing w:line="260" w:lineRule="exact"/>
        <w:outlineLvl w:val="0"/>
        <w:rPr>
          <w:b/>
          <w:bCs/>
          <w:noProof/>
          <w:szCs w:val="22"/>
          <w:lang w:eastAsia="en-US"/>
        </w:rPr>
      </w:pPr>
      <w:r w:rsidRPr="0047462D">
        <w:rPr>
          <w:b/>
          <w:bCs/>
          <w:noProof/>
          <w:szCs w:val="22"/>
          <w:lang w:eastAsia="en-US"/>
        </w:rPr>
        <w:t>4.9</w:t>
      </w:r>
      <w:r w:rsidRPr="0047462D">
        <w:rPr>
          <w:b/>
          <w:bCs/>
          <w:noProof/>
          <w:szCs w:val="22"/>
          <w:lang w:eastAsia="en-US"/>
        </w:rPr>
        <w:tab/>
        <w:t>Υπερδοσολογία</w:t>
      </w:r>
    </w:p>
    <w:p w14:paraId="4D98DDB8" w14:textId="77777777" w:rsidR="001C01B6" w:rsidRPr="0047462D" w:rsidRDefault="001C01B6" w:rsidP="001C01B6">
      <w:pPr>
        <w:pStyle w:val="labeltext"/>
        <w:keepNext/>
        <w:rPr>
          <w:sz w:val="22"/>
          <w:szCs w:val="22"/>
          <w:lang w:val="el-GR"/>
        </w:rPr>
      </w:pPr>
    </w:p>
    <w:p w14:paraId="7C7ECDA8" w14:textId="77777777" w:rsidR="001C01B6" w:rsidRPr="0047462D" w:rsidRDefault="001C01B6" w:rsidP="001C01B6">
      <w:pPr>
        <w:pStyle w:val="labeltext"/>
        <w:rPr>
          <w:szCs w:val="22"/>
          <w:lang w:val="el-GR" w:eastAsia="en-US"/>
        </w:rPr>
      </w:pPr>
      <w:r w:rsidRPr="0047462D">
        <w:rPr>
          <w:rFonts w:eastAsia="Times New Roman"/>
          <w:sz w:val="22"/>
          <w:szCs w:val="22"/>
          <w:lang w:val="el-GR"/>
        </w:rPr>
        <w:t xml:space="preserve">Δεν είναι διαθέσιμο κανένα ειδικό αντίδοτο για υπερδοσολογία με </w:t>
      </w:r>
      <w:r w:rsidR="00447796" w:rsidRPr="0047462D">
        <w:rPr>
          <w:sz w:val="22"/>
          <w:szCs w:val="22"/>
          <w:lang w:val="en-GB"/>
        </w:rPr>
        <w:t>ivacaftor</w:t>
      </w:r>
      <w:r w:rsidRPr="0047462D">
        <w:rPr>
          <w:rFonts w:eastAsia="Times New Roman"/>
          <w:sz w:val="22"/>
          <w:szCs w:val="22"/>
          <w:lang w:val="el-GR"/>
        </w:rPr>
        <w:t>. Η αντιμετώπιση της υπερδοσολογίας συνίσταται σε γενικά υποστηρικτικά μέτρα συμπεριλαμβανομένης της παρακολούθησης των ζωτικών σημείων, των εξετάσεων ηπατικής λειτουργίας και της παρακολούθησης της κλινικής κατάστασης του ασθενούς.</w:t>
      </w:r>
    </w:p>
    <w:p w14:paraId="27A4A2DD" w14:textId="77777777" w:rsidR="001C01B6" w:rsidRPr="0047462D" w:rsidRDefault="001C01B6" w:rsidP="001C01B6">
      <w:pPr>
        <w:rPr>
          <w:szCs w:val="22"/>
          <w:lang w:eastAsia="en-US"/>
        </w:rPr>
      </w:pPr>
    </w:p>
    <w:p w14:paraId="7208C36F" w14:textId="77777777" w:rsidR="001C01B6" w:rsidRPr="0047462D" w:rsidRDefault="001C01B6" w:rsidP="001C01B6">
      <w:pPr>
        <w:rPr>
          <w:szCs w:val="22"/>
          <w:lang w:eastAsia="en-US"/>
        </w:rPr>
      </w:pPr>
    </w:p>
    <w:p w14:paraId="553E80A5"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ΦΑΡΜΑΚΟΛΟΓΙΚΕΣ ΙΔΙΟΤΗΤΕΣ</w:t>
      </w:r>
    </w:p>
    <w:p w14:paraId="59DA1594" w14:textId="77777777" w:rsidR="001C01B6" w:rsidRPr="0047462D" w:rsidRDefault="001C01B6" w:rsidP="001C01B6">
      <w:pPr>
        <w:keepNext/>
        <w:rPr>
          <w:szCs w:val="22"/>
          <w:lang w:eastAsia="en-US"/>
        </w:rPr>
      </w:pPr>
    </w:p>
    <w:p w14:paraId="1E7AAE3A" w14:textId="77777777" w:rsidR="001C01B6" w:rsidRPr="0047462D" w:rsidRDefault="001C01B6" w:rsidP="001C01B6">
      <w:pPr>
        <w:keepNext/>
        <w:tabs>
          <w:tab w:val="num" w:pos="570"/>
        </w:tabs>
        <w:suppressAutoHyphens w:val="0"/>
        <w:spacing w:line="260" w:lineRule="exact"/>
        <w:ind w:left="570" w:hanging="570"/>
        <w:outlineLvl w:val="0"/>
        <w:rPr>
          <w:b/>
          <w:bCs/>
          <w:noProof/>
          <w:szCs w:val="22"/>
          <w:lang w:eastAsia="en-US"/>
        </w:rPr>
      </w:pPr>
      <w:r w:rsidRPr="0047462D">
        <w:rPr>
          <w:b/>
          <w:bCs/>
          <w:noProof/>
          <w:szCs w:val="22"/>
          <w:lang w:eastAsia="en-US"/>
        </w:rPr>
        <w:t>5.1</w:t>
      </w:r>
      <w:r w:rsidRPr="0047462D">
        <w:rPr>
          <w:b/>
          <w:bCs/>
          <w:noProof/>
          <w:szCs w:val="22"/>
          <w:lang w:eastAsia="en-US"/>
        </w:rPr>
        <w:tab/>
        <w:t>Φαρμακοδυναμικές ιδιότητες</w:t>
      </w:r>
    </w:p>
    <w:p w14:paraId="637AAA47" w14:textId="77777777" w:rsidR="001C01B6" w:rsidRPr="0047462D" w:rsidRDefault="001C01B6" w:rsidP="001C01B6">
      <w:pPr>
        <w:keepNext/>
        <w:rPr>
          <w:rFonts w:eastAsia="Times New Roman"/>
          <w:szCs w:val="22"/>
        </w:rPr>
      </w:pPr>
      <w:r w:rsidRPr="0047462D">
        <w:rPr>
          <w:rFonts w:eastAsia="Times New Roman"/>
          <w:i/>
          <w:iCs/>
          <w:szCs w:val="22"/>
          <w:lang w:eastAsia="en-US"/>
        </w:rPr>
        <w:t xml:space="preserve"> </w:t>
      </w:r>
    </w:p>
    <w:p w14:paraId="73E3635F" w14:textId="77777777" w:rsidR="001C01B6" w:rsidRPr="0047462D" w:rsidRDefault="001C01B6" w:rsidP="001C01B6">
      <w:pPr>
        <w:keepNext/>
        <w:rPr>
          <w:b/>
          <w:bCs/>
          <w:i/>
          <w:iCs/>
          <w:szCs w:val="22"/>
        </w:rPr>
      </w:pPr>
      <w:r w:rsidRPr="0047462D">
        <w:rPr>
          <w:rFonts w:eastAsia="Times New Roman"/>
          <w:szCs w:val="22"/>
        </w:rPr>
        <w:t>Φαρμακοθεραπευτική κατηγορία:</w:t>
      </w:r>
      <w:r w:rsidRPr="0047462D">
        <w:rPr>
          <w:rFonts w:eastAsia="Times New Roman"/>
          <w:szCs w:val="22"/>
          <w:lang w:eastAsia="en-US"/>
        </w:rPr>
        <w:t xml:space="preserve"> </w:t>
      </w:r>
      <w:r w:rsidRPr="0047462D">
        <w:rPr>
          <w:rFonts w:eastAsia="Times New Roman"/>
          <w:szCs w:val="22"/>
        </w:rPr>
        <w:t>Άλλα προϊόντα του αναπνευστικού συστήματος,</w:t>
      </w:r>
      <w:r w:rsidRPr="0047462D" w:rsidDel="00113D8D">
        <w:rPr>
          <w:rFonts w:eastAsia="Times New Roman"/>
          <w:szCs w:val="22"/>
          <w:lang w:eastAsia="en-US"/>
        </w:rPr>
        <w:t xml:space="preserve"> </w:t>
      </w:r>
      <w:r w:rsidRPr="0047462D">
        <w:rPr>
          <w:rFonts w:eastAsia="Times New Roman"/>
          <w:szCs w:val="22"/>
        </w:rPr>
        <w:t>κωδικός ATC:</w:t>
      </w:r>
      <w:r w:rsidRPr="0047462D">
        <w:rPr>
          <w:rFonts w:eastAsia="Times New Roman"/>
          <w:szCs w:val="22"/>
          <w:lang w:eastAsia="en-US"/>
        </w:rPr>
        <w:t xml:space="preserve"> </w:t>
      </w:r>
      <w:r w:rsidRPr="0047462D">
        <w:rPr>
          <w:rFonts w:eastAsia="MS Mincho"/>
          <w:bCs/>
          <w:color w:val="000000"/>
          <w:lang w:val="en-US" w:eastAsia="ja-JP"/>
        </w:rPr>
        <w:t>R</w:t>
      </w:r>
      <w:r w:rsidRPr="0047462D">
        <w:rPr>
          <w:rFonts w:eastAsia="MS Mincho"/>
          <w:bCs/>
          <w:color w:val="000000"/>
          <w:lang w:eastAsia="ja-JP"/>
        </w:rPr>
        <w:t>07</w:t>
      </w:r>
      <w:r w:rsidRPr="0047462D">
        <w:rPr>
          <w:rFonts w:eastAsia="MS Mincho"/>
          <w:bCs/>
          <w:color w:val="000000"/>
          <w:lang w:val="en-US" w:eastAsia="ja-JP"/>
        </w:rPr>
        <w:t>AX</w:t>
      </w:r>
      <w:r w:rsidRPr="0047462D">
        <w:rPr>
          <w:rFonts w:eastAsia="MS Mincho"/>
          <w:bCs/>
          <w:color w:val="000000"/>
          <w:lang w:eastAsia="ja-JP"/>
        </w:rPr>
        <w:t>02</w:t>
      </w:r>
    </w:p>
    <w:p w14:paraId="75681DD5" w14:textId="77777777" w:rsidR="001C01B6" w:rsidRPr="0047462D" w:rsidRDefault="001C01B6" w:rsidP="001C01B6">
      <w:pPr>
        <w:keepNext/>
        <w:rPr>
          <w:rFonts w:eastAsia="Times New Roman"/>
          <w:szCs w:val="22"/>
          <w:u w:val="single"/>
        </w:rPr>
      </w:pPr>
    </w:p>
    <w:p w14:paraId="364D6AFE" w14:textId="77777777" w:rsidR="001C01B6" w:rsidRPr="0047462D" w:rsidRDefault="001C01B6" w:rsidP="001C01B6">
      <w:pPr>
        <w:keepNext/>
        <w:rPr>
          <w:rFonts w:eastAsia="Times New Roman"/>
          <w:szCs w:val="22"/>
          <w:u w:val="single"/>
        </w:rPr>
      </w:pPr>
      <w:r w:rsidRPr="0047462D">
        <w:rPr>
          <w:rFonts w:eastAsia="Times New Roman"/>
          <w:szCs w:val="22"/>
          <w:u w:val="single"/>
        </w:rPr>
        <w:t>Μηχανισμός δράσης</w:t>
      </w:r>
    </w:p>
    <w:p w14:paraId="530E5A6E" w14:textId="77777777" w:rsidR="00EE1607" w:rsidRPr="0047462D" w:rsidRDefault="00EE1607" w:rsidP="001C01B6">
      <w:pPr>
        <w:keepNext/>
        <w:rPr>
          <w:rFonts w:eastAsia="Times New Roman"/>
          <w:szCs w:val="22"/>
        </w:rPr>
      </w:pPr>
    </w:p>
    <w:p w14:paraId="68B004BA" w14:textId="5B3C6F1D" w:rsidR="00665285" w:rsidRPr="0047462D" w:rsidRDefault="001C01B6" w:rsidP="001C01B6">
      <w:pPr>
        <w:rPr>
          <w:rFonts w:eastAsia="Times New Roman"/>
          <w:szCs w:val="22"/>
        </w:rPr>
      </w:pPr>
      <w:r w:rsidRPr="0047462D">
        <w:rPr>
          <w:rFonts w:eastAsia="Times New Roman"/>
          <w:szCs w:val="22"/>
        </w:rPr>
        <w:t xml:space="preserve">Το ivacaftor είναι ένας ενισχυτής της πρωτεΐνης CFTR, δηλ. </w:t>
      </w:r>
      <w:r w:rsidRPr="0047462D">
        <w:rPr>
          <w:rFonts w:eastAsia="Times New Roman"/>
          <w:i/>
          <w:iCs/>
          <w:szCs w:val="22"/>
        </w:rPr>
        <w:t>in vitro</w:t>
      </w:r>
      <w:r w:rsidRPr="0047462D">
        <w:rPr>
          <w:rFonts w:eastAsia="Times New Roman"/>
          <w:szCs w:val="22"/>
        </w:rPr>
        <w:t xml:space="preserve"> το ivacaftor αυξάνει </w:t>
      </w:r>
      <w:r w:rsidR="0012151B" w:rsidRPr="0047462D">
        <w:rPr>
          <w:rFonts w:eastAsia="Times New Roman"/>
          <w:szCs w:val="22"/>
        </w:rPr>
        <w:t>την πιθανότητα ανοίγματος του</w:t>
      </w:r>
      <w:r w:rsidRPr="0047462D">
        <w:rPr>
          <w:rFonts w:eastAsia="Times New Roman"/>
          <w:szCs w:val="22"/>
        </w:rPr>
        <w:t xml:space="preserve"> διαύλου της CFTR για την ενίσχυση της μεταφοράς χλωρίου</w:t>
      </w:r>
      <w:r w:rsidR="00F86800" w:rsidRPr="0047462D">
        <w:rPr>
          <w:rFonts w:eastAsia="Times New Roman"/>
          <w:szCs w:val="22"/>
        </w:rPr>
        <w:t xml:space="preserve"> σε συγκεκριμένες </w:t>
      </w:r>
      <w:r w:rsidR="00E825E7" w:rsidRPr="0047462D">
        <w:rPr>
          <w:szCs w:val="22"/>
        </w:rPr>
        <w:t>«</w:t>
      </w:r>
      <w:r w:rsidR="00F86800" w:rsidRPr="0047462D">
        <w:rPr>
          <w:szCs w:val="22"/>
        </w:rPr>
        <w:t>gating</w:t>
      </w:r>
      <w:r w:rsidR="00E825E7" w:rsidRPr="0047462D">
        <w:rPr>
          <w:szCs w:val="22"/>
        </w:rPr>
        <w:t>»</w:t>
      </w:r>
      <w:r w:rsidR="00F86800" w:rsidRPr="0047462D">
        <w:rPr>
          <w:szCs w:val="22"/>
        </w:rPr>
        <w:t xml:space="preserve"> </w:t>
      </w:r>
      <w:r w:rsidR="00F86800" w:rsidRPr="0047462D">
        <w:rPr>
          <w:rFonts w:eastAsia="Times New Roman"/>
          <w:szCs w:val="22"/>
        </w:rPr>
        <w:t xml:space="preserve">μεταλλάξεις (όπως παρατίθενται στην παράγραφο 4.1) με μειωμένη πιθανότητα ανοίγματος </w:t>
      </w:r>
      <w:r w:rsidR="0012151B" w:rsidRPr="0047462D">
        <w:rPr>
          <w:rFonts w:eastAsia="Times New Roman"/>
          <w:szCs w:val="22"/>
        </w:rPr>
        <w:t>του</w:t>
      </w:r>
      <w:r w:rsidR="00F86800" w:rsidRPr="0047462D">
        <w:rPr>
          <w:rFonts w:eastAsia="Times New Roman"/>
          <w:szCs w:val="22"/>
        </w:rPr>
        <w:t xml:space="preserve"> διαύλου σε σύγκριση με τη φυσιολογική CFTR</w:t>
      </w:r>
      <w:r w:rsidRPr="0047462D">
        <w:rPr>
          <w:rFonts w:eastAsia="Times New Roman"/>
          <w:szCs w:val="22"/>
        </w:rPr>
        <w:t>.</w:t>
      </w:r>
      <w:r w:rsidR="00FD22F9" w:rsidRPr="0047462D">
        <w:rPr>
          <w:rFonts w:eastAsia="Times New Roman"/>
          <w:szCs w:val="22"/>
        </w:rPr>
        <w:t xml:space="preserve"> </w:t>
      </w:r>
      <w:r w:rsidR="00986607" w:rsidRPr="0047462D">
        <w:rPr>
          <w:rFonts w:eastAsia="Times New Roman"/>
          <w:szCs w:val="22"/>
        </w:rPr>
        <w:t xml:space="preserve">Το ivacaftor επίσης ενίσχυσε την πιθανότητα ανοίγματος του διαύλου της </w:t>
      </w:r>
      <w:r w:rsidR="009D7EDC" w:rsidRPr="0047462D">
        <w:rPr>
          <w:bCs/>
        </w:rPr>
        <w:t>R117H</w:t>
      </w:r>
      <w:r w:rsidR="00F368F0" w:rsidRPr="0047462D">
        <w:rPr>
          <w:bCs/>
          <w:iCs/>
        </w:rPr>
        <w:t>-</w:t>
      </w:r>
      <w:r w:rsidR="009D7EDC" w:rsidRPr="0047462D">
        <w:rPr>
          <w:bCs/>
        </w:rPr>
        <w:t>CFTR</w:t>
      </w:r>
      <w:r w:rsidR="00986607" w:rsidRPr="0047462D">
        <w:rPr>
          <w:rFonts w:eastAsia="Times New Roman"/>
          <w:szCs w:val="22"/>
        </w:rPr>
        <w:t xml:space="preserve">, η οποία έχει τόσο χαμηλή πιθανότητα ανοίγματος του διαύλου (gating) όσο και μειωμένο πλάτος ρεύματος διαύλου (αγωγιμότητα). </w:t>
      </w:r>
      <w:r w:rsidR="00FD22F9" w:rsidRPr="0047462D">
        <w:rPr>
          <w:rFonts w:eastAsia="Times New Roman"/>
          <w:szCs w:val="22"/>
        </w:rPr>
        <w:t xml:space="preserve">Η μετάλλαξη </w:t>
      </w:r>
      <w:r w:rsidR="00FD22F9" w:rsidRPr="0047462D">
        <w:rPr>
          <w:rFonts w:eastAsia="Times New Roman"/>
          <w:i/>
          <w:szCs w:val="22"/>
        </w:rPr>
        <w:t xml:space="preserve">G970R </w:t>
      </w:r>
      <w:r w:rsidR="00FD22F9" w:rsidRPr="0047462D">
        <w:rPr>
          <w:rFonts w:eastAsia="Times New Roman"/>
          <w:szCs w:val="22"/>
        </w:rPr>
        <w:t>προκαλεί ελ</w:t>
      </w:r>
      <w:r w:rsidR="00CA22C4" w:rsidRPr="0047462D">
        <w:rPr>
          <w:rFonts w:eastAsia="Times New Roman"/>
          <w:szCs w:val="22"/>
        </w:rPr>
        <w:t>α</w:t>
      </w:r>
      <w:r w:rsidR="00FD22F9" w:rsidRPr="0047462D">
        <w:rPr>
          <w:rFonts w:eastAsia="Times New Roman"/>
          <w:szCs w:val="22"/>
        </w:rPr>
        <w:t>ττωμα</w:t>
      </w:r>
      <w:r w:rsidR="00CA22C4" w:rsidRPr="0047462D">
        <w:rPr>
          <w:rFonts w:eastAsia="Times New Roman"/>
          <w:szCs w:val="22"/>
        </w:rPr>
        <w:t>τικό μάτισμα</w:t>
      </w:r>
      <w:r w:rsidR="00FD22F9" w:rsidRPr="0047462D">
        <w:rPr>
          <w:rFonts w:eastAsia="Times New Roman"/>
          <w:szCs w:val="22"/>
        </w:rPr>
        <w:t xml:space="preserve"> με αποτέλεσμα ελάχιστη έως καθόλου πρωτεΐνη CFTR στην επιφάνεια του κυττάρου</w:t>
      </w:r>
      <w:r w:rsidR="00373053" w:rsidRPr="0047462D">
        <w:rPr>
          <w:rFonts w:eastAsia="Times New Roman"/>
          <w:szCs w:val="22"/>
        </w:rPr>
        <w:t xml:space="preserve">, </w:t>
      </w:r>
      <w:r w:rsidR="00373053" w:rsidRPr="0047462D">
        <w:rPr>
          <w:bCs/>
        </w:rPr>
        <w:t>πράγμα που ενδεχομένως εξηγεί τα αποτελέσματα που παρατηρήθηκαν σε άτομα με αυτή τη μετάλλαξη στη μελέτη 5</w:t>
      </w:r>
      <w:r w:rsidR="00FD22F9" w:rsidRPr="0047462D">
        <w:rPr>
          <w:rFonts w:eastAsia="Times New Roman"/>
          <w:szCs w:val="22"/>
        </w:rPr>
        <w:t xml:space="preserve"> (βλ. «Φαρμακοδυναμικές επιδράσεις» και δεδομένα κλινικής αποτελεσματικότητας).</w:t>
      </w:r>
    </w:p>
    <w:p w14:paraId="43B23A72" w14:textId="77777777" w:rsidR="00665285" w:rsidRPr="0047462D" w:rsidRDefault="00665285" w:rsidP="001C01B6">
      <w:pPr>
        <w:rPr>
          <w:rFonts w:eastAsia="Times New Roman"/>
          <w:szCs w:val="22"/>
        </w:rPr>
      </w:pPr>
    </w:p>
    <w:p w14:paraId="27791051" w14:textId="4DEA623A" w:rsidR="001C01B6" w:rsidRPr="0047462D" w:rsidRDefault="001C01B6" w:rsidP="001C01B6">
      <w:pPr>
        <w:rPr>
          <w:color w:val="000000"/>
          <w:szCs w:val="22"/>
        </w:rPr>
      </w:pPr>
      <w:r w:rsidRPr="0047462D">
        <w:rPr>
          <w:bCs/>
          <w:i/>
        </w:rPr>
        <w:t>In vitro</w:t>
      </w:r>
      <w:r w:rsidRPr="0047462D">
        <w:rPr>
          <w:bCs/>
        </w:rPr>
        <w:t xml:space="preserve"> αποκρίσεις που παρατηρήθηκαν σε </w:t>
      </w:r>
      <w:r w:rsidR="00E825E7" w:rsidRPr="0047462D">
        <w:rPr>
          <w:bCs/>
        </w:rPr>
        <w:t xml:space="preserve">πειράματα καθήλωσης δυναμικού </w:t>
      </w:r>
      <w:r w:rsidRPr="0047462D">
        <w:rPr>
          <w:bCs/>
        </w:rPr>
        <w:t>μεμονωμένου διαύλου ιόντων</w:t>
      </w:r>
      <w:r w:rsidR="00E825E7" w:rsidRPr="0047462D">
        <w:rPr>
          <w:bCs/>
        </w:rPr>
        <w:t xml:space="preserve"> (</w:t>
      </w:r>
      <w:r w:rsidR="00E825E7" w:rsidRPr="0047462D">
        <w:rPr>
          <w:bCs/>
          <w:lang w:val="en-US"/>
        </w:rPr>
        <w:t>patch</w:t>
      </w:r>
      <w:r w:rsidR="00E825E7" w:rsidRPr="0047462D">
        <w:rPr>
          <w:bCs/>
        </w:rPr>
        <w:t xml:space="preserve"> </w:t>
      </w:r>
      <w:r w:rsidR="00E825E7" w:rsidRPr="0047462D">
        <w:rPr>
          <w:bCs/>
          <w:lang w:val="en-US"/>
        </w:rPr>
        <w:t>clamp</w:t>
      </w:r>
      <w:r w:rsidR="00E825E7" w:rsidRPr="0047462D">
        <w:rPr>
          <w:bCs/>
        </w:rPr>
        <w:t>)</w:t>
      </w:r>
      <w:r w:rsidRPr="0047462D">
        <w:rPr>
          <w:bCs/>
        </w:rPr>
        <w:t xml:space="preserve">, </w:t>
      </w:r>
      <w:r w:rsidR="00E825E7" w:rsidRPr="0047462D">
        <w:rPr>
          <w:bCs/>
        </w:rPr>
        <w:t xml:space="preserve">με χρήση τμημάτων της </w:t>
      </w:r>
      <w:r w:rsidRPr="0047462D">
        <w:rPr>
          <w:bCs/>
        </w:rPr>
        <w:t>επιφάνει</w:t>
      </w:r>
      <w:r w:rsidR="00E825E7" w:rsidRPr="0047462D">
        <w:rPr>
          <w:bCs/>
        </w:rPr>
        <w:t>α</w:t>
      </w:r>
      <w:r w:rsidRPr="0047462D">
        <w:rPr>
          <w:bCs/>
        </w:rPr>
        <w:t xml:space="preserve">ς </w:t>
      </w:r>
      <w:r w:rsidR="00E825E7" w:rsidRPr="0047462D">
        <w:rPr>
          <w:bCs/>
        </w:rPr>
        <w:t xml:space="preserve">της </w:t>
      </w:r>
      <w:r w:rsidRPr="0047462D">
        <w:rPr>
          <w:bCs/>
        </w:rPr>
        <w:t xml:space="preserve">μεμβράνης από κύτταρα τρωκτικών που </w:t>
      </w:r>
      <w:r w:rsidR="00E825E7" w:rsidRPr="0047462D">
        <w:rPr>
          <w:bCs/>
        </w:rPr>
        <w:t xml:space="preserve">εξέφραζαν </w:t>
      </w:r>
      <w:r w:rsidRPr="0047462D">
        <w:rPr>
          <w:bCs/>
        </w:rPr>
        <w:t xml:space="preserve">μεταλλαγμένες μορφές της CFTR, δεν αντιστοιχούν απαραίτητα σε </w:t>
      </w:r>
      <w:r w:rsidRPr="0047462D">
        <w:rPr>
          <w:bCs/>
          <w:i/>
        </w:rPr>
        <w:t>in vivo</w:t>
      </w:r>
      <w:r w:rsidRPr="0047462D">
        <w:rPr>
          <w:bCs/>
        </w:rPr>
        <w:t xml:space="preserve"> φαρμακοδυναμική απόκριση (π.χ. χλώριο ιδρώτα) ή κλινικό όφελος. </w:t>
      </w:r>
      <w:r w:rsidRPr="0047462D">
        <w:rPr>
          <w:rFonts w:eastAsia="Times New Roman"/>
          <w:szCs w:val="22"/>
        </w:rPr>
        <w:t xml:space="preserve">Δεν έχει διευκρινιστεί πλήρως ο ακριβής μηχανισμός που οδηγεί στην ενίσχυση της δραστηριότητας </w:t>
      </w:r>
      <w:r w:rsidR="00E825E7" w:rsidRPr="0047462D">
        <w:rPr>
          <w:rFonts w:eastAsia="Times New Roman"/>
          <w:szCs w:val="22"/>
        </w:rPr>
        <w:t>«</w:t>
      </w:r>
      <w:r w:rsidR="00E825E7" w:rsidRPr="0047462D">
        <w:rPr>
          <w:rFonts w:eastAsia="Times New Roman"/>
          <w:szCs w:val="22"/>
          <w:lang w:val="en-US"/>
        </w:rPr>
        <w:t>gating</w:t>
      </w:r>
      <w:r w:rsidR="00E825E7" w:rsidRPr="0047462D">
        <w:rPr>
          <w:rFonts w:eastAsia="Times New Roman"/>
          <w:szCs w:val="22"/>
        </w:rPr>
        <w:t xml:space="preserve">» των </w:t>
      </w:r>
      <w:r w:rsidRPr="0047462D">
        <w:rPr>
          <w:rFonts w:eastAsia="Times New Roman"/>
          <w:szCs w:val="22"/>
        </w:rPr>
        <w:t>φυσιολογικών και μερικών μεταλλαγμένων μορφών της CFTR σε αυτό το σύστημα από το ivacaftor.</w:t>
      </w:r>
    </w:p>
    <w:p w14:paraId="6A73B24A" w14:textId="77777777" w:rsidR="001C01B6" w:rsidRPr="0047462D" w:rsidRDefault="001C01B6" w:rsidP="001C01B6">
      <w:pPr>
        <w:pStyle w:val="2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rPr>
          <w:color w:val="000000"/>
          <w:szCs w:val="22"/>
        </w:rPr>
      </w:pPr>
    </w:p>
    <w:p w14:paraId="738BA9EE" w14:textId="77777777" w:rsidR="001C01B6" w:rsidRPr="0047462D" w:rsidRDefault="001C01B6" w:rsidP="001C01B6">
      <w:pPr>
        <w:keepNext/>
        <w:rPr>
          <w:rFonts w:eastAsia="Times New Roman"/>
          <w:szCs w:val="22"/>
          <w:u w:val="single"/>
        </w:rPr>
      </w:pPr>
      <w:r w:rsidRPr="0047462D">
        <w:rPr>
          <w:rFonts w:eastAsia="Times New Roman"/>
          <w:szCs w:val="22"/>
          <w:u w:val="single"/>
        </w:rPr>
        <w:t>Φαρμακοδυναμικές επιδράσεις</w:t>
      </w:r>
    </w:p>
    <w:p w14:paraId="500302A0" w14:textId="77777777" w:rsidR="00EE1607" w:rsidRPr="0047462D" w:rsidRDefault="00EE1607" w:rsidP="001C01B6">
      <w:pPr>
        <w:keepNext/>
        <w:rPr>
          <w:i/>
          <w:iCs/>
          <w:szCs w:val="22"/>
        </w:rPr>
      </w:pPr>
    </w:p>
    <w:p w14:paraId="1E889502" w14:textId="33C72C67" w:rsidR="001C01B6" w:rsidRPr="0047462D" w:rsidRDefault="001C01B6" w:rsidP="001C01B6">
      <w:pPr>
        <w:pStyle w:val="labeltext"/>
        <w:rPr>
          <w:sz w:val="22"/>
          <w:szCs w:val="22"/>
          <w:lang w:val="el-GR"/>
        </w:rPr>
      </w:pPr>
      <w:r w:rsidRPr="0047462D">
        <w:rPr>
          <w:rFonts w:eastAsia="Times New Roman"/>
          <w:sz w:val="22"/>
          <w:szCs w:val="22"/>
          <w:lang w:val="el-GR"/>
        </w:rPr>
        <w:t>Στις μελέτες</w:t>
      </w:r>
      <w:r w:rsidRPr="0047462D">
        <w:rPr>
          <w:rFonts w:eastAsia="Times New Roman"/>
          <w:sz w:val="22"/>
          <w:szCs w:val="22"/>
          <w:lang w:val="en-GB"/>
        </w:rPr>
        <w:t> </w:t>
      </w:r>
      <w:r w:rsidRPr="0047462D">
        <w:rPr>
          <w:rFonts w:eastAsia="Times New Roman"/>
          <w:sz w:val="22"/>
          <w:szCs w:val="22"/>
          <w:lang w:val="el-GR"/>
        </w:rPr>
        <w:t>1 και</w:t>
      </w:r>
      <w:r w:rsidRPr="0047462D">
        <w:rPr>
          <w:rFonts w:eastAsia="Times New Roman"/>
          <w:sz w:val="22"/>
          <w:szCs w:val="22"/>
          <w:lang w:val="en-GB"/>
        </w:rPr>
        <w:t> </w:t>
      </w:r>
      <w:r w:rsidRPr="0047462D">
        <w:rPr>
          <w:rFonts w:eastAsia="Times New Roman"/>
          <w:sz w:val="22"/>
          <w:szCs w:val="22"/>
          <w:lang w:val="el-GR"/>
        </w:rPr>
        <w:t xml:space="preserve">2 σε ασθενείς με τη μετάλλαξη </w:t>
      </w:r>
      <w:r w:rsidRPr="0047462D">
        <w:rPr>
          <w:rFonts w:eastAsia="Times New Roman"/>
          <w:i/>
          <w:iCs/>
          <w:sz w:val="22"/>
          <w:szCs w:val="22"/>
          <w:lang w:val="el-GR"/>
        </w:rPr>
        <w:t xml:space="preserve">G551D </w:t>
      </w:r>
      <w:r w:rsidRPr="0047462D">
        <w:rPr>
          <w:rFonts w:eastAsia="Times New Roman"/>
          <w:sz w:val="22"/>
          <w:szCs w:val="22"/>
          <w:lang w:val="el-GR"/>
        </w:rPr>
        <w:t xml:space="preserve">σε ένα αλληλόμορφο του γονιδίου </w:t>
      </w:r>
      <w:r w:rsidRPr="0047462D">
        <w:rPr>
          <w:rFonts w:eastAsia="Times New Roman"/>
          <w:i/>
          <w:iCs/>
          <w:sz w:val="22"/>
          <w:szCs w:val="22"/>
          <w:lang w:val="el-GR"/>
        </w:rPr>
        <w:t>CFTR</w:t>
      </w:r>
      <w:r w:rsidRPr="0047462D">
        <w:rPr>
          <w:rFonts w:eastAsia="Times New Roman"/>
          <w:sz w:val="22"/>
          <w:szCs w:val="22"/>
          <w:lang w:val="el-GR"/>
        </w:rPr>
        <w:t xml:space="preserve">, το ivacaftor οδήγησε σε </w:t>
      </w:r>
      <w:r w:rsidR="00966B5F" w:rsidRPr="0047462D">
        <w:rPr>
          <w:rFonts w:eastAsia="Times New Roman"/>
          <w:sz w:val="22"/>
          <w:szCs w:val="22"/>
          <w:lang w:val="el-GR"/>
        </w:rPr>
        <w:t xml:space="preserve">ταχείες </w:t>
      </w:r>
      <w:r w:rsidRPr="0047462D">
        <w:rPr>
          <w:rFonts w:eastAsia="Times New Roman"/>
          <w:sz w:val="22"/>
          <w:szCs w:val="22"/>
          <w:lang w:val="el-GR"/>
        </w:rPr>
        <w:t>(15</w:t>
      </w:r>
      <w:r w:rsidRPr="0047462D">
        <w:rPr>
          <w:rFonts w:eastAsia="Times New Roman"/>
          <w:sz w:val="22"/>
          <w:szCs w:val="22"/>
          <w:lang w:val="en-GB"/>
        </w:rPr>
        <w:t> </w:t>
      </w:r>
      <w:r w:rsidRPr="0047462D">
        <w:rPr>
          <w:rFonts w:eastAsia="Times New Roman"/>
          <w:sz w:val="22"/>
          <w:szCs w:val="22"/>
          <w:lang w:val="el-GR"/>
        </w:rPr>
        <w:t xml:space="preserve">ημέρες), </w:t>
      </w:r>
      <w:r w:rsidR="00966B5F" w:rsidRPr="0047462D">
        <w:rPr>
          <w:rFonts w:eastAsia="Times New Roman"/>
          <w:sz w:val="22"/>
          <w:szCs w:val="22"/>
          <w:lang w:val="el-GR"/>
        </w:rPr>
        <w:t xml:space="preserve">σημαντικές </w:t>
      </w:r>
      <w:r w:rsidRPr="0047462D">
        <w:rPr>
          <w:rFonts w:eastAsia="Times New Roman"/>
          <w:sz w:val="22"/>
          <w:szCs w:val="22"/>
          <w:lang w:val="el-GR"/>
        </w:rPr>
        <w:t xml:space="preserve">(η μέση </w:t>
      </w:r>
      <w:r w:rsidR="0012151B"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από την τιμή αναφοράς έως την </w:t>
      </w:r>
      <w:r w:rsidR="00E22FF4" w:rsidRPr="0047462D">
        <w:rPr>
          <w:rFonts w:eastAsia="Times New Roman"/>
          <w:sz w:val="22"/>
          <w:szCs w:val="22"/>
          <w:lang w:val="el-GR"/>
        </w:rPr>
        <w:t>ε</w:t>
      </w:r>
      <w:r w:rsidR="00DD5F09" w:rsidRPr="0047462D">
        <w:rPr>
          <w:rFonts w:eastAsia="Times New Roman"/>
          <w:sz w:val="22"/>
          <w:szCs w:val="22"/>
          <w:lang w:val="el-GR"/>
        </w:rPr>
        <w:t>βδομάδα</w:t>
      </w:r>
      <w:r w:rsidR="00DE523E" w:rsidRPr="0047462D">
        <w:rPr>
          <w:rFonts w:eastAsia="Times New Roman"/>
          <w:sz w:val="22"/>
          <w:szCs w:val="22"/>
          <w:lang w:val="en-GB"/>
        </w:rPr>
        <w:t> </w:t>
      </w:r>
      <w:r w:rsidRPr="0047462D">
        <w:rPr>
          <w:rFonts w:eastAsia="Times New Roman"/>
          <w:sz w:val="22"/>
          <w:szCs w:val="22"/>
          <w:lang w:val="el-GR"/>
        </w:rPr>
        <w:t>24</w:t>
      </w:r>
      <w:r w:rsidRPr="0047462D">
        <w:rPr>
          <w:rFonts w:eastAsia="Times New Roman"/>
          <w:sz w:val="22"/>
          <w:szCs w:val="22"/>
          <w:lang w:val="en-GB"/>
        </w:rPr>
        <w:t> </w:t>
      </w:r>
      <w:r w:rsidRPr="0047462D">
        <w:rPr>
          <w:rFonts w:eastAsia="Times New Roman"/>
          <w:sz w:val="22"/>
          <w:szCs w:val="22"/>
          <w:lang w:val="el-GR"/>
        </w:rPr>
        <w:t>ήταν -48 mmol/</w:t>
      </w:r>
      <w:r w:rsidR="005E47BA" w:rsidRPr="0047462D">
        <w:rPr>
          <w:rFonts w:eastAsia="Times New Roman"/>
          <w:sz w:val="22"/>
          <w:szCs w:val="22"/>
        </w:rPr>
        <w:t>l</w:t>
      </w:r>
      <w:r w:rsidR="005E47BA" w:rsidRPr="0047462D">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51, </w:t>
      </w:r>
      <w:r w:rsidRPr="0047462D">
        <w:rPr>
          <w:rFonts w:eastAsia="Times New Roman"/>
          <w:sz w:val="22"/>
          <w:szCs w:val="22"/>
          <w:lang w:val="el-GR"/>
        </w:rPr>
        <w:noBreakHyphen/>
        <w:t>45] και</w:t>
      </w:r>
      <w:r w:rsidRPr="0047462D">
        <w:rPr>
          <w:rFonts w:eastAsia="Times New Roman"/>
          <w:sz w:val="22"/>
          <w:szCs w:val="22"/>
          <w:lang w:val="en-GB"/>
        </w:rPr>
        <w:t> </w:t>
      </w:r>
      <w:r w:rsidRPr="0047462D">
        <w:rPr>
          <w:rFonts w:eastAsia="Times New Roman"/>
          <w:sz w:val="22"/>
          <w:szCs w:val="22"/>
          <w:lang w:val="el-GR"/>
        </w:rPr>
        <w:noBreakHyphen/>
        <w:t>54 mmol/</w:t>
      </w:r>
      <w:r w:rsidR="005E47BA" w:rsidRPr="0047462D">
        <w:rPr>
          <w:rFonts w:eastAsia="Times New Roman"/>
          <w:sz w:val="22"/>
          <w:szCs w:val="22"/>
        </w:rPr>
        <w:t>l</w:t>
      </w:r>
      <w:r w:rsidR="005E47BA" w:rsidRPr="0047462D">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62, </w:t>
      </w:r>
      <w:r w:rsidRPr="0047462D">
        <w:rPr>
          <w:rFonts w:eastAsia="Times New Roman"/>
          <w:sz w:val="22"/>
          <w:szCs w:val="22"/>
          <w:lang w:val="el-GR"/>
        </w:rPr>
        <w:noBreakHyphen/>
        <w:t>47], αντίστοιχα) και σταθερές (στις 48 εβδομάδες) μειώσεις στη συγκέντρωση χλωρίου ιδρώτα.</w:t>
      </w:r>
    </w:p>
    <w:p w14:paraId="78C9423E" w14:textId="77777777" w:rsidR="001C01B6" w:rsidRPr="0047462D" w:rsidRDefault="001C01B6" w:rsidP="001C01B6">
      <w:pPr>
        <w:pStyle w:val="documenttext"/>
        <w:suppressAutoHyphens w:val="0"/>
        <w:spacing w:after="0"/>
        <w:rPr>
          <w:color w:val="000000"/>
          <w:szCs w:val="22"/>
          <w:lang w:val="el-GR"/>
        </w:rPr>
      </w:pPr>
    </w:p>
    <w:p w14:paraId="5BFF4087" w14:textId="2BEA7F34" w:rsidR="001C01B6" w:rsidRPr="0047462D" w:rsidRDefault="001C01B6" w:rsidP="00AD331E">
      <w:pPr>
        <w:pStyle w:val="labeltext"/>
        <w:rPr>
          <w:sz w:val="22"/>
          <w:szCs w:val="22"/>
          <w:lang w:val="el-GR"/>
        </w:rPr>
      </w:pPr>
      <w:r w:rsidRPr="0047462D">
        <w:rPr>
          <w:rFonts w:eastAsia="Times New Roman"/>
          <w:sz w:val="22"/>
          <w:szCs w:val="22"/>
          <w:lang w:val="el-GR"/>
        </w:rPr>
        <w:t>Στη μελέτη</w:t>
      </w:r>
      <w:r w:rsidR="00AD331E" w:rsidRPr="0047462D">
        <w:rPr>
          <w:rFonts w:eastAsia="Times New Roman"/>
          <w:sz w:val="22"/>
          <w:szCs w:val="22"/>
          <w:lang w:val="en-GB"/>
        </w:rPr>
        <w:t> </w:t>
      </w:r>
      <w:r w:rsidRPr="0047462D">
        <w:rPr>
          <w:rFonts w:eastAsia="Times New Roman"/>
          <w:sz w:val="22"/>
          <w:szCs w:val="22"/>
          <w:lang w:val="el-GR"/>
        </w:rPr>
        <w:t xml:space="preserve">5, μέρος 1 σε ασθενείς που είχαν μια </w:t>
      </w:r>
      <w:r w:rsidRPr="0047462D">
        <w:rPr>
          <w:sz w:val="22"/>
          <w:szCs w:val="22"/>
          <w:lang w:val="el-GR"/>
        </w:rPr>
        <w:t>μη</w:t>
      </w:r>
      <w:r w:rsidR="000355B1"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0355B1" w:rsidRPr="0047462D">
        <w:rPr>
          <w:sz w:val="22"/>
          <w:szCs w:val="22"/>
          <w:lang w:val="el-GR"/>
        </w:rPr>
        <w:t>«</w:t>
      </w:r>
      <w:r w:rsidRPr="0047462D">
        <w:rPr>
          <w:sz w:val="22"/>
          <w:szCs w:val="22"/>
        </w:rPr>
        <w:t>gating</w:t>
      </w:r>
      <w:r w:rsidR="000355B1" w:rsidRPr="0047462D">
        <w:rPr>
          <w:sz w:val="22"/>
          <w:szCs w:val="22"/>
          <w:lang w:val="el-GR"/>
        </w:rPr>
        <w:t>»</w:t>
      </w:r>
      <w:r w:rsidRPr="0047462D">
        <w:rPr>
          <w:sz w:val="22"/>
          <w:szCs w:val="22"/>
          <w:lang w:val="el-GR"/>
        </w:rPr>
        <w:t xml:space="preserve"> μετάλλαξη</w:t>
      </w:r>
      <w:r w:rsidRPr="0047462D">
        <w:rPr>
          <w:rFonts w:eastAsia="Times New Roman"/>
          <w:i/>
          <w:iCs/>
          <w:sz w:val="22"/>
          <w:szCs w:val="22"/>
          <w:lang w:val="el-GR"/>
        </w:rPr>
        <w:t xml:space="preserve"> </w:t>
      </w:r>
      <w:r w:rsidRPr="0047462D">
        <w:rPr>
          <w:rFonts w:eastAsia="Times New Roman"/>
          <w:sz w:val="22"/>
          <w:szCs w:val="22"/>
          <w:lang w:val="el-GR"/>
        </w:rPr>
        <w:t xml:space="preserve">στο γονίδιο </w:t>
      </w:r>
      <w:r w:rsidRPr="0047462D">
        <w:rPr>
          <w:rFonts w:eastAsia="Times New Roman"/>
          <w:i/>
          <w:iCs/>
          <w:sz w:val="22"/>
          <w:szCs w:val="22"/>
          <w:lang w:val="el-GR"/>
        </w:rPr>
        <w:t>CFTR</w:t>
      </w:r>
      <w:r w:rsidRPr="0047462D">
        <w:rPr>
          <w:rFonts w:eastAsia="Times New Roman"/>
          <w:sz w:val="22"/>
          <w:szCs w:val="22"/>
          <w:lang w:val="el-GR"/>
        </w:rPr>
        <w:t>, η θεραπεία με ivacaftor οδήγησε σε ταχεία (15</w:t>
      </w:r>
      <w:r w:rsidRPr="0047462D">
        <w:rPr>
          <w:rFonts w:eastAsia="Times New Roman"/>
          <w:sz w:val="22"/>
          <w:szCs w:val="22"/>
          <w:lang w:val="en-GB"/>
        </w:rPr>
        <w:t> </w:t>
      </w:r>
      <w:r w:rsidRPr="0047462D">
        <w:rPr>
          <w:rFonts w:eastAsia="Times New Roman"/>
          <w:sz w:val="22"/>
          <w:szCs w:val="22"/>
          <w:lang w:val="el-GR"/>
        </w:rPr>
        <w:t xml:space="preserve">ημέρες) και </w:t>
      </w:r>
      <w:r w:rsidR="00966B5F" w:rsidRPr="0047462D">
        <w:rPr>
          <w:rFonts w:eastAsia="Times New Roman"/>
          <w:sz w:val="22"/>
          <w:szCs w:val="22"/>
          <w:lang w:val="el-GR"/>
        </w:rPr>
        <w:t xml:space="preserve">σημαντική </w:t>
      </w:r>
      <w:r w:rsidRPr="0047462D">
        <w:rPr>
          <w:rFonts w:eastAsia="Times New Roman"/>
          <w:sz w:val="22"/>
          <w:szCs w:val="22"/>
          <w:lang w:val="el-GR"/>
        </w:rPr>
        <w:t xml:space="preserve">μέση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στο χλώριο ιδρώτα από την τιμή αναφοράς της τάξης των </w:t>
      </w:r>
      <w:r w:rsidR="00C16326" w:rsidRPr="0047462D">
        <w:rPr>
          <w:lang w:val="el-GR"/>
        </w:rPr>
        <w:noBreakHyphen/>
      </w:r>
      <w:r w:rsidRPr="0047462D">
        <w:rPr>
          <w:rFonts w:eastAsia="Times New Roman"/>
          <w:sz w:val="22"/>
          <w:szCs w:val="22"/>
          <w:lang w:val="el-GR"/>
        </w:rPr>
        <w:t>49 mmol/</w:t>
      </w:r>
      <w:r w:rsidR="005E47BA" w:rsidRPr="0047462D">
        <w:rPr>
          <w:rFonts w:eastAsia="Times New Roman"/>
          <w:sz w:val="22"/>
          <w:szCs w:val="22"/>
        </w:rPr>
        <w:t>l</w:t>
      </w:r>
      <w:r w:rsidR="005E47BA" w:rsidRPr="0047462D">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57, </w:t>
      </w:r>
      <w:r w:rsidRPr="0047462D">
        <w:rPr>
          <w:rFonts w:eastAsia="Times New Roman"/>
          <w:sz w:val="22"/>
          <w:szCs w:val="22"/>
          <w:lang w:val="el-GR"/>
        </w:rPr>
        <w:noBreakHyphen/>
        <w:t>41) καθ’ όλη τη διάρκεια των 8</w:t>
      </w:r>
      <w:r w:rsidR="00AD331E" w:rsidRPr="0047462D">
        <w:rPr>
          <w:rFonts w:eastAsia="Times New Roman"/>
          <w:sz w:val="22"/>
          <w:szCs w:val="22"/>
          <w:lang w:val="en-GB"/>
        </w:rPr>
        <w:t> </w:t>
      </w:r>
      <w:r w:rsidRPr="0047462D">
        <w:rPr>
          <w:rFonts w:eastAsia="Times New Roman"/>
          <w:sz w:val="22"/>
          <w:szCs w:val="22"/>
          <w:lang w:val="el-GR"/>
        </w:rPr>
        <w:t xml:space="preserve">εβδομάδων της θεραπείας. Ωστόσο, σε ασθενείς με τη μετάλλαξη </w:t>
      </w:r>
      <w:r w:rsidRPr="0047462D">
        <w:rPr>
          <w:i/>
          <w:sz w:val="22"/>
          <w:szCs w:val="22"/>
        </w:rPr>
        <w:t>G</w:t>
      </w:r>
      <w:r w:rsidRPr="0047462D">
        <w:rPr>
          <w:i/>
          <w:sz w:val="22"/>
          <w:szCs w:val="22"/>
          <w:lang w:val="el-GR"/>
        </w:rPr>
        <w:t>970</w:t>
      </w:r>
      <w:r w:rsidRPr="0047462D">
        <w:rPr>
          <w:i/>
          <w:sz w:val="22"/>
          <w:szCs w:val="22"/>
        </w:rPr>
        <w:t>R</w:t>
      </w:r>
      <w:r w:rsidRPr="0047462D">
        <w:rPr>
          <w:sz w:val="22"/>
          <w:szCs w:val="22"/>
          <w:lang w:val="el-GR"/>
        </w:rPr>
        <w:t>-</w:t>
      </w:r>
      <w:r w:rsidRPr="0047462D">
        <w:rPr>
          <w:i/>
          <w:sz w:val="22"/>
          <w:szCs w:val="22"/>
        </w:rPr>
        <w:t>CFTR</w:t>
      </w:r>
      <w:r w:rsidRPr="0047462D">
        <w:rPr>
          <w:sz w:val="22"/>
          <w:szCs w:val="22"/>
          <w:lang w:val="el-GR"/>
        </w:rPr>
        <w:t xml:space="preserve">, η </w:t>
      </w:r>
      <w:r w:rsidRPr="0047462D">
        <w:rPr>
          <w:rFonts w:eastAsia="Times New Roman"/>
          <w:sz w:val="22"/>
          <w:szCs w:val="22"/>
          <w:lang w:val="el-GR"/>
        </w:rPr>
        <w:t xml:space="preserve">μέση </w:t>
      </w:r>
      <w:r w:rsidRPr="0047462D">
        <w:rPr>
          <w:sz w:val="22"/>
          <w:szCs w:val="22"/>
          <w:lang w:val="el-GR"/>
        </w:rPr>
        <w:t>(</w:t>
      </w:r>
      <w:r w:rsidRPr="0047462D">
        <w:rPr>
          <w:sz w:val="22"/>
          <w:szCs w:val="22"/>
        </w:rPr>
        <w:t>SD</w:t>
      </w:r>
      <w:r w:rsidRPr="0047462D">
        <w:rPr>
          <w:sz w:val="22"/>
          <w:szCs w:val="22"/>
          <w:lang w:val="el-GR"/>
        </w:rPr>
        <w:t xml:space="preserve">) απόλυτη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στο χλώριο ιδρώτα την </w:t>
      </w:r>
      <w:r w:rsidR="00E22FF4" w:rsidRPr="0047462D">
        <w:rPr>
          <w:rFonts w:eastAsia="Times New Roman"/>
          <w:sz w:val="22"/>
          <w:szCs w:val="22"/>
          <w:lang w:val="el-GR"/>
        </w:rPr>
        <w:t>ε</w:t>
      </w:r>
      <w:r w:rsidR="00DD5F09" w:rsidRPr="0047462D">
        <w:rPr>
          <w:rFonts w:eastAsia="Times New Roman"/>
          <w:sz w:val="22"/>
          <w:szCs w:val="22"/>
          <w:lang w:val="el-GR"/>
        </w:rPr>
        <w:t>βδομάδα</w:t>
      </w:r>
      <w:r w:rsidR="00DD5F09" w:rsidRPr="0047462D">
        <w:t> </w:t>
      </w:r>
      <w:r w:rsidRPr="0047462D">
        <w:rPr>
          <w:rFonts w:eastAsia="Times New Roman"/>
          <w:sz w:val="22"/>
          <w:szCs w:val="22"/>
          <w:lang w:val="el-GR"/>
        </w:rPr>
        <w:t xml:space="preserve">8 ήταν </w:t>
      </w:r>
      <w:r w:rsidRPr="0047462D">
        <w:rPr>
          <w:sz w:val="22"/>
          <w:szCs w:val="22"/>
          <w:lang w:val="el-GR"/>
        </w:rPr>
        <w:t>-6,25 (6,55)</w:t>
      </w:r>
      <w:r w:rsidRPr="0047462D">
        <w:rPr>
          <w:sz w:val="22"/>
          <w:szCs w:val="22"/>
        </w:rPr>
        <w:t> mmol</w:t>
      </w:r>
      <w:r w:rsidRPr="0047462D">
        <w:rPr>
          <w:sz w:val="22"/>
          <w:szCs w:val="22"/>
          <w:lang w:val="el-GR"/>
        </w:rPr>
        <w:t>/</w:t>
      </w:r>
      <w:r w:rsidR="005E47BA" w:rsidRPr="0047462D">
        <w:rPr>
          <w:sz w:val="22"/>
          <w:szCs w:val="22"/>
        </w:rPr>
        <w:t>l</w:t>
      </w:r>
      <w:r w:rsidRPr="0047462D">
        <w:rPr>
          <w:sz w:val="22"/>
          <w:szCs w:val="22"/>
          <w:lang w:val="el-GR"/>
        </w:rPr>
        <w:t xml:space="preserve">. </w:t>
      </w:r>
      <w:r w:rsidRPr="0047462D">
        <w:rPr>
          <w:bCs/>
          <w:sz w:val="22"/>
          <w:szCs w:val="22"/>
          <w:lang w:val="el-GR"/>
        </w:rPr>
        <w:t>Παρόμοια αποτελέσματα με το μέρος 1 παρατηρήθηκαν στο μέρος 2 της μελέτης. Στην επίσκεψη παρακολούθησης της 4</w:t>
      </w:r>
      <w:r w:rsidRPr="0047462D">
        <w:rPr>
          <w:bCs/>
          <w:sz w:val="22"/>
          <w:szCs w:val="22"/>
          <w:vertAlign w:val="superscript"/>
          <w:lang w:val="el-GR"/>
        </w:rPr>
        <w:t>ης</w:t>
      </w:r>
      <w:r w:rsidRPr="0047462D">
        <w:rPr>
          <w:bCs/>
          <w:sz w:val="22"/>
          <w:szCs w:val="22"/>
          <w:lang w:val="el-GR"/>
        </w:rPr>
        <w:t xml:space="preserve"> εβδομάδας (4</w:t>
      </w:r>
      <w:r w:rsidR="00AD331E" w:rsidRPr="0047462D">
        <w:rPr>
          <w:bCs/>
          <w:sz w:val="22"/>
          <w:szCs w:val="22"/>
          <w:lang w:val="en-GB"/>
        </w:rPr>
        <w:t> </w:t>
      </w:r>
      <w:r w:rsidRPr="0047462D">
        <w:rPr>
          <w:bCs/>
          <w:sz w:val="22"/>
          <w:szCs w:val="22"/>
          <w:lang w:val="el-GR"/>
        </w:rPr>
        <w:t xml:space="preserve">εβδομάδες μετά το τέλος χορήγησης δόσης του </w:t>
      </w:r>
      <w:r w:rsidRPr="0047462D">
        <w:rPr>
          <w:bCs/>
          <w:sz w:val="22"/>
          <w:szCs w:val="22"/>
        </w:rPr>
        <w:t>ivacaftor</w:t>
      </w:r>
      <w:r w:rsidRPr="0047462D">
        <w:rPr>
          <w:bCs/>
          <w:sz w:val="22"/>
          <w:szCs w:val="22"/>
          <w:lang w:val="el-GR"/>
        </w:rPr>
        <w:t>), οι μέσες τιμές χλωρίου ιδρώτα για κάθε ομάδα έτειναν προς τα επίπεδα πριν από τη θεραπεία.</w:t>
      </w:r>
      <w:r w:rsidRPr="0047462D">
        <w:rPr>
          <w:sz w:val="22"/>
          <w:szCs w:val="22"/>
          <w:lang w:val="el-GR"/>
        </w:rPr>
        <w:t xml:space="preserve"> </w:t>
      </w:r>
    </w:p>
    <w:p w14:paraId="6A5B6C8F" w14:textId="15BB3BA0" w:rsidR="001C01B6" w:rsidRPr="0047462D" w:rsidRDefault="001C01B6" w:rsidP="001C01B6">
      <w:pPr>
        <w:pStyle w:val="labeltext"/>
        <w:rPr>
          <w:sz w:val="22"/>
          <w:szCs w:val="22"/>
          <w:lang w:val="el-GR"/>
        </w:rPr>
      </w:pPr>
    </w:p>
    <w:p w14:paraId="381418DC" w14:textId="4EC59340" w:rsidR="00E86E6A" w:rsidRPr="0047462D" w:rsidRDefault="00E86E6A" w:rsidP="00E86E6A">
      <w:r w:rsidRPr="0047462D">
        <w:t>Στη μελέτη</w:t>
      </w:r>
      <w:r w:rsidRPr="0047462D">
        <w:rPr>
          <w:lang w:val="en-GB"/>
        </w:rPr>
        <w:t> </w:t>
      </w:r>
      <w:r w:rsidRPr="0047462D">
        <w:t>6 σε ασθενείς ηλικίας 6</w:t>
      </w:r>
      <w:r w:rsidRPr="0047462D">
        <w:rPr>
          <w:lang w:val="en-GB"/>
        </w:rPr>
        <w:t> </w:t>
      </w:r>
      <w:r w:rsidRPr="0047462D">
        <w:t xml:space="preserve">ετών ή άνω με ΚΙ, </w:t>
      </w:r>
      <w:r w:rsidRPr="0047462D">
        <w:rPr>
          <w:rFonts w:eastAsia="Times New Roman"/>
        </w:rPr>
        <w:t xml:space="preserve">οι οποίοι είχαν μια μετάλλαξη </w:t>
      </w:r>
      <w:r w:rsidRPr="0047462D">
        <w:rPr>
          <w:i/>
        </w:rPr>
        <w:t>R117H</w:t>
      </w:r>
      <w:r w:rsidRPr="0047462D">
        <w:rPr>
          <w:rFonts w:eastAsia="Times New Roman"/>
        </w:rPr>
        <w:t xml:space="preserve"> στο γονίδιο </w:t>
      </w:r>
      <w:r w:rsidRPr="0047462D">
        <w:rPr>
          <w:rFonts w:eastAsia="Times New Roman"/>
          <w:i/>
          <w:iCs/>
        </w:rPr>
        <w:t>CFTR</w:t>
      </w:r>
      <w:r w:rsidRPr="0047462D">
        <w:rPr>
          <w:rFonts w:eastAsia="Times New Roman"/>
          <w:iCs/>
        </w:rPr>
        <w:t>,</w:t>
      </w:r>
      <w:r w:rsidRPr="0047462D">
        <w:rPr>
          <w:rFonts w:eastAsia="Times New Roman"/>
        </w:rPr>
        <w:t xml:space="preserve"> η διαφορά της θεραπείας </w:t>
      </w:r>
      <w:r w:rsidRPr="0047462D">
        <w:t xml:space="preserve">στη μέση μεταβολή </w:t>
      </w:r>
      <w:r w:rsidRPr="0047462D">
        <w:rPr>
          <w:rFonts w:eastAsia="Times New Roman"/>
        </w:rPr>
        <w:t xml:space="preserve">στο χλώριο ιδρώτα </w:t>
      </w:r>
      <w:r w:rsidRPr="0047462D">
        <w:t>από την τιμή αναφοράς καθ’ όλη τη διάρκεια των 24</w:t>
      </w:r>
      <w:r w:rsidRPr="0047462D">
        <w:rPr>
          <w:lang w:val="en-GB"/>
        </w:rPr>
        <w:t> </w:t>
      </w:r>
      <w:r w:rsidRPr="0047462D">
        <w:t xml:space="preserve">εβδομάδων θεραπείας ήταν </w:t>
      </w:r>
      <w:r w:rsidRPr="0047462D">
        <w:noBreakHyphen/>
        <w:t xml:space="preserve">24 mmol/l </w:t>
      </w:r>
      <w:r w:rsidRPr="0047462D">
        <w:rPr>
          <w:rFonts w:eastAsia="Times New Roman"/>
        </w:rPr>
        <w:t>(95</w:t>
      </w:r>
      <w:r w:rsidR="009D7EDC" w:rsidRPr="0047462D">
        <w:rPr>
          <w:rFonts w:eastAsia="Times New Roman"/>
        </w:rPr>
        <w:t>%</w:t>
      </w:r>
      <w:r w:rsidR="009D7EDC" w:rsidRPr="0047462D">
        <w:rPr>
          <w:rFonts w:eastAsia="Times New Roman"/>
          <w:lang w:val="en-US"/>
        </w:rPr>
        <w:t> </w:t>
      </w:r>
      <w:r w:rsidRPr="0047462D">
        <w:rPr>
          <w:rFonts w:eastAsia="Times New Roman"/>
        </w:rPr>
        <w:t>CI </w:t>
      </w:r>
      <w:r w:rsidRPr="0047462D">
        <w:rPr>
          <w:rFonts w:eastAsia="Times New Roman"/>
        </w:rPr>
        <w:noBreakHyphen/>
        <w:t>28, </w:t>
      </w:r>
      <w:r w:rsidRPr="0047462D">
        <w:rPr>
          <w:rFonts w:eastAsia="Times New Roman"/>
        </w:rPr>
        <w:noBreakHyphen/>
        <w:t>20)</w:t>
      </w:r>
      <w:r w:rsidRPr="0047462D">
        <w:t xml:space="preserve">. Σε αναλύσεις υποομάδων κατά ηλικία, η διαφορά της θεραπείας ήταν </w:t>
      </w:r>
      <w:r w:rsidRPr="0047462D">
        <w:rPr>
          <w:szCs w:val="22"/>
        </w:rPr>
        <w:noBreakHyphen/>
      </w:r>
      <w:r w:rsidRPr="0047462D">
        <w:t>21,87</w:t>
      </w:r>
      <w:r w:rsidRPr="0047462D">
        <w:rPr>
          <w:lang w:val="en-US"/>
        </w:rPr>
        <w:t> mmol</w:t>
      </w:r>
      <w:r w:rsidRPr="0047462D">
        <w:t>/</w:t>
      </w:r>
      <w:r w:rsidR="00B93C50" w:rsidRPr="0047462D">
        <w:rPr>
          <w:lang w:val="en-US"/>
        </w:rPr>
        <w:t>l</w:t>
      </w:r>
      <w:r w:rsidRPr="0047462D">
        <w:t xml:space="preserve"> (95</w:t>
      </w:r>
      <w:r w:rsidR="009D7EDC" w:rsidRPr="0047462D">
        <w:t>%</w:t>
      </w:r>
      <w:r w:rsidR="009D7EDC" w:rsidRPr="0047462D">
        <w:rPr>
          <w:lang w:val="en-US"/>
        </w:rPr>
        <w:t> </w:t>
      </w:r>
      <w:r w:rsidRPr="0047462D">
        <w:rPr>
          <w:lang w:val="en-US"/>
        </w:rPr>
        <w:t>CI</w:t>
      </w:r>
      <w:r w:rsidRPr="0047462D">
        <w:t xml:space="preserve">: </w:t>
      </w:r>
      <w:r w:rsidRPr="0047462D">
        <w:rPr>
          <w:szCs w:val="22"/>
        </w:rPr>
        <w:noBreakHyphen/>
      </w:r>
      <w:r w:rsidRPr="0047462D">
        <w:t xml:space="preserve">26,46, </w:t>
      </w:r>
      <w:r w:rsidRPr="0047462D">
        <w:rPr>
          <w:szCs w:val="22"/>
        </w:rPr>
        <w:noBreakHyphen/>
      </w:r>
      <w:r w:rsidRPr="0047462D">
        <w:t xml:space="preserve">17,28) σε ασθενείς ηλικίας 18 ετών ή άνω, και </w:t>
      </w:r>
      <w:r w:rsidRPr="0047462D">
        <w:rPr>
          <w:szCs w:val="22"/>
        </w:rPr>
        <w:noBreakHyphen/>
      </w:r>
      <w:r w:rsidRPr="0047462D">
        <w:t>27,63 </w:t>
      </w:r>
      <w:r w:rsidRPr="0047462D">
        <w:rPr>
          <w:lang w:val="en-US"/>
        </w:rPr>
        <w:t>mmol</w:t>
      </w:r>
      <w:r w:rsidRPr="0047462D">
        <w:t>/</w:t>
      </w:r>
      <w:r w:rsidR="00B93C50" w:rsidRPr="0047462D">
        <w:rPr>
          <w:lang w:val="en-US"/>
        </w:rPr>
        <w:t>l</w:t>
      </w:r>
      <w:r w:rsidRPr="0047462D">
        <w:t xml:space="preserve"> (95</w:t>
      </w:r>
      <w:r w:rsidR="009D7EDC" w:rsidRPr="0047462D">
        <w:t>%</w:t>
      </w:r>
      <w:r w:rsidR="009D7EDC" w:rsidRPr="0047462D">
        <w:rPr>
          <w:lang w:val="en-US"/>
        </w:rPr>
        <w:t> </w:t>
      </w:r>
      <w:r w:rsidRPr="0047462D">
        <w:rPr>
          <w:lang w:val="en-US"/>
        </w:rPr>
        <w:t>CI</w:t>
      </w:r>
      <w:r w:rsidRPr="0047462D">
        <w:t xml:space="preserve">: </w:t>
      </w:r>
      <w:r w:rsidRPr="0047462D">
        <w:rPr>
          <w:szCs w:val="22"/>
        </w:rPr>
        <w:noBreakHyphen/>
      </w:r>
      <w:r w:rsidRPr="0047462D">
        <w:t xml:space="preserve">37,16, </w:t>
      </w:r>
      <w:r w:rsidRPr="0047462D">
        <w:rPr>
          <w:szCs w:val="22"/>
        </w:rPr>
        <w:noBreakHyphen/>
      </w:r>
      <w:r w:rsidRPr="0047462D">
        <w:t>18,10) σε ασθενείς ηλικίας 6</w:t>
      </w:r>
      <w:r w:rsidRPr="0047462D">
        <w:rPr>
          <w:szCs w:val="22"/>
        </w:rPr>
        <w:noBreakHyphen/>
      </w:r>
      <w:r w:rsidRPr="0047462D">
        <w:t>11 ετών. Σε αυτή τη μελέτη εισήχθησαν δύο</w:t>
      </w:r>
      <w:r w:rsidR="009D7EDC" w:rsidRPr="0047462D">
        <w:rPr>
          <w:lang w:val="en-US"/>
        </w:rPr>
        <w:t> </w:t>
      </w:r>
      <w:r w:rsidRPr="0047462D">
        <w:t>ασθενείς ηλικίας 12 έως 17 ετών.</w:t>
      </w:r>
    </w:p>
    <w:p w14:paraId="4AEB1868" w14:textId="77777777" w:rsidR="00E86E6A" w:rsidRPr="0047462D" w:rsidRDefault="00E86E6A" w:rsidP="001C01B6">
      <w:pPr>
        <w:pStyle w:val="labeltext"/>
        <w:rPr>
          <w:sz w:val="22"/>
          <w:szCs w:val="22"/>
          <w:lang w:val="el-GR"/>
        </w:rPr>
      </w:pPr>
    </w:p>
    <w:p w14:paraId="50608AE8" w14:textId="2ED21CFB" w:rsidR="001C01B6" w:rsidRPr="0047462D" w:rsidRDefault="001C01B6" w:rsidP="001C01B6">
      <w:pPr>
        <w:pStyle w:val="labeltext"/>
        <w:rPr>
          <w:bCs/>
          <w:sz w:val="22"/>
          <w:szCs w:val="22"/>
          <w:lang w:val="el-GR"/>
        </w:rPr>
      </w:pPr>
      <w:r w:rsidRPr="0047462D">
        <w:rPr>
          <w:bCs/>
          <w:sz w:val="22"/>
          <w:szCs w:val="22"/>
          <w:lang w:val="el-GR"/>
        </w:rPr>
        <w:t>Στη μελέτη</w:t>
      </w:r>
      <w:r w:rsidR="00AD331E" w:rsidRPr="0047462D">
        <w:rPr>
          <w:bCs/>
          <w:sz w:val="22"/>
          <w:szCs w:val="22"/>
          <w:lang w:val="en-GB"/>
        </w:rPr>
        <w:t> </w:t>
      </w:r>
      <w:r w:rsidRPr="0047462D">
        <w:rPr>
          <w:bCs/>
          <w:sz w:val="22"/>
          <w:szCs w:val="22"/>
          <w:lang w:val="el-GR"/>
        </w:rPr>
        <w:t>7 σε ασθενείς ηλικίας 2</w:t>
      </w:r>
      <w:r w:rsidRPr="0047462D">
        <w:rPr>
          <w:bCs/>
          <w:sz w:val="22"/>
          <w:szCs w:val="22"/>
          <w:lang w:val="en-GB"/>
        </w:rPr>
        <w:t> </w:t>
      </w:r>
      <w:r w:rsidRPr="0047462D">
        <w:rPr>
          <w:bCs/>
          <w:sz w:val="22"/>
          <w:szCs w:val="22"/>
          <w:lang w:val="el-GR"/>
        </w:rPr>
        <w:t>έως κάτω των 6</w:t>
      </w:r>
      <w:r w:rsidRPr="0047462D">
        <w:rPr>
          <w:bCs/>
          <w:sz w:val="22"/>
          <w:szCs w:val="22"/>
          <w:lang w:val="en-GB"/>
        </w:rPr>
        <w:t> </w:t>
      </w:r>
      <w:r w:rsidRPr="0047462D">
        <w:rPr>
          <w:bCs/>
          <w:sz w:val="22"/>
          <w:szCs w:val="22"/>
          <w:lang w:val="el-GR"/>
        </w:rPr>
        <w:t>ετών με</w:t>
      </w:r>
      <w:r w:rsidRPr="0047462D">
        <w:rPr>
          <w:rFonts w:eastAsia="Times New Roman"/>
          <w:sz w:val="22"/>
          <w:szCs w:val="22"/>
          <w:lang w:val="el-GR"/>
        </w:rPr>
        <w:t xml:space="preserve"> μια </w:t>
      </w:r>
      <w:r w:rsidR="00C16326" w:rsidRPr="0047462D">
        <w:rPr>
          <w:sz w:val="22"/>
          <w:szCs w:val="22"/>
          <w:lang w:val="el-GR"/>
        </w:rPr>
        <w:t>«</w:t>
      </w:r>
      <w:r w:rsidRPr="0047462D">
        <w:rPr>
          <w:sz w:val="22"/>
          <w:szCs w:val="22"/>
        </w:rPr>
        <w:t>gating</w:t>
      </w:r>
      <w:r w:rsidR="00C16326" w:rsidRPr="0047462D">
        <w:rPr>
          <w:sz w:val="22"/>
          <w:szCs w:val="22"/>
          <w:lang w:val="el-GR"/>
        </w:rPr>
        <w:t>»</w:t>
      </w:r>
      <w:r w:rsidRPr="0047462D">
        <w:rPr>
          <w:sz w:val="22"/>
          <w:szCs w:val="22"/>
          <w:lang w:val="el-GR"/>
        </w:rPr>
        <w:t xml:space="preserve"> μετάλλαξη </w:t>
      </w:r>
      <w:r w:rsidRPr="0047462D">
        <w:rPr>
          <w:rFonts w:eastAsia="Times New Roman"/>
          <w:sz w:val="22"/>
          <w:szCs w:val="22"/>
          <w:lang w:val="el-GR"/>
        </w:rPr>
        <w:t xml:space="preserve">σε τουλάχιστον ένα αλληλόμορφο του γονιδίου </w:t>
      </w:r>
      <w:r w:rsidRPr="0047462D">
        <w:rPr>
          <w:rFonts w:eastAsia="Times New Roman"/>
          <w:i/>
          <w:iCs/>
          <w:sz w:val="22"/>
          <w:szCs w:val="22"/>
          <w:lang w:val="el-GR"/>
        </w:rPr>
        <w:t xml:space="preserve">CFTR </w:t>
      </w:r>
      <w:r w:rsidRPr="0047462D">
        <w:rPr>
          <w:bCs/>
          <w:sz w:val="22"/>
          <w:szCs w:val="22"/>
          <w:lang w:val="el-GR"/>
        </w:rPr>
        <w:t>χορηγήθηκαν είτε 50</w:t>
      </w:r>
      <w:r w:rsidRPr="0047462D">
        <w:rPr>
          <w:bCs/>
          <w:sz w:val="22"/>
          <w:szCs w:val="22"/>
          <w:lang w:val="en-GB"/>
        </w:rPr>
        <w:t> </w:t>
      </w:r>
      <w:r w:rsidRPr="0047462D">
        <w:rPr>
          <w:bCs/>
          <w:sz w:val="22"/>
          <w:szCs w:val="22"/>
          <w:lang w:val="el-GR"/>
        </w:rPr>
        <w:t>mg είτε 75</w:t>
      </w:r>
      <w:r w:rsidRPr="0047462D">
        <w:rPr>
          <w:bCs/>
          <w:sz w:val="22"/>
          <w:szCs w:val="22"/>
          <w:lang w:val="en-GB"/>
        </w:rPr>
        <w:t> </w:t>
      </w:r>
      <w:r w:rsidRPr="0047462D">
        <w:rPr>
          <w:bCs/>
          <w:sz w:val="22"/>
          <w:szCs w:val="22"/>
          <w:lang w:val="el-GR"/>
        </w:rPr>
        <w:t xml:space="preserve">mg ivacaftor δύο φορές την ημέρα, η μέση απόλυτη </w:t>
      </w:r>
      <w:r w:rsidR="0012151B" w:rsidRPr="0047462D">
        <w:rPr>
          <w:rFonts w:eastAsia="Times New Roman"/>
          <w:sz w:val="22"/>
          <w:szCs w:val="22"/>
          <w:lang w:val="el-GR"/>
        </w:rPr>
        <w:t>μεταβολή</w:t>
      </w:r>
      <w:r w:rsidR="0012151B" w:rsidRPr="0047462D" w:rsidDel="0012151B">
        <w:rPr>
          <w:bCs/>
          <w:sz w:val="22"/>
          <w:szCs w:val="22"/>
          <w:lang w:val="el-GR"/>
        </w:rPr>
        <w:t xml:space="preserve"> </w:t>
      </w:r>
      <w:r w:rsidRPr="0047462D">
        <w:rPr>
          <w:bCs/>
          <w:sz w:val="22"/>
          <w:szCs w:val="22"/>
          <w:lang w:val="el-GR"/>
        </w:rPr>
        <w:t xml:space="preserve">από την τιμή αναφοράς </w:t>
      </w:r>
      <w:r w:rsidRPr="0047462D">
        <w:rPr>
          <w:rFonts w:eastAsia="Times New Roman"/>
          <w:sz w:val="22"/>
          <w:szCs w:val="22"/>
          <w:lang w:val="el-GR"/>
        </w:rPr>
        <w:t xml:space="preserve">στο χλώριο ιδρώτα </w:t>
      </w:r>
      <w:r w:rsidRPr="0047462D">
        <w:rPr>
          <w:bCs/>
          <w:sz w:val="22"/>
          <w:szCs w:val="22"/>
          <w:lang w:val="el-GR"/>
        </w:rPr>
        <w:t xml:space="preserve">ήταν </w:t>
      </w:r>
      <w:r w:rsidRPr="0047462D">
        <w:rPr>
          <w:sz w:val="22"/>
          <w:lang w:val="el-GR"/>
        </w:rPr>
        <w:noBreakHyphen/>
        <w:t>47</w:t>
      </w:r>
      <w:r w:rsidRPr="0047462D">
        <w:rPr>
          <w:sz w:val="22"/>
        </w:rPr>
        <w:t> mmol</w:t>
      </w:r>
      <w:r w:rsidRPr="0047462D">
        <w:rPr>
          <w:sz w:val="22"/>
          <w:lang w:val="el-GR"/>
        </w:rPr>
        <w:t>/</w:t>
      </w:r>
      <w:r w:rsidR="005E47BA" w:rsidRPr="0047462D">
        <w:rPr>
          <w:sz w:val="22"/>
        </w:rPr>
        <w:t>l</w:t>
      </w:r>
      <w:r w:rsidR="005E47BA" w:rsidRPr="0047462D">
        <w:rPr>
          <w:sz w:val="22"/>
          <w:lang w:val="el-GR"/>
        </w:rPr>
        <w:t xml:space="preserve"> </w:t>
      </w:r>
      <w:r w:rsidRPr="0047462D">
        <w:rPr>
          <w:sz w:val="22"/>
          <w:lang w:val="el-GR"/>
        </w:rPr>
        <w:t xml:space="preserve">(95% </w:t>
      </w:r>
      <w:r w:rsidRPr="0047462D">
        <w:rPr>
          <w:sz w:val="22"/>
        </w:rPr>
        <w:t>CI</w:t>
      </w:r>
      <w:r w:rsidRPr="0047462D">
        <w:rPr>
          <w:sz w:val="22"/>
          <w:lang w:val="el-GR"/>
        </w:rPr>
        <w:t xml:space="preserve"> </w:t>
      </w:r>
      <w:r w:rsidRPr="0047462D">
        <w:rPr>
          <w:sz w:val="22"/>
          <w:lang w:val="el-GR"/>
        </w:rPr>
        <w:noBreakHyphen/>
        <w:t xml:space="preserve">58, </w:t>
      </w:r>
      <w:r w:rsidRPr="0047462D">
        <w:rPr>
          <w:sz w:val="22"/>
          <w:lang w:val="el-GR"/>
        </w:rPr>
        <w:noBreakHyphen/>
        <w:t xml:space="preserve">36) </w:t>
      </w:r>
      <w:r w:rsidRPr="0047462D">
        <w:rPr>
          <w:bCs/>
          <w:sz w:val="22"/>
          <w:szCs w:val="22"/>
          <w:lang w:val="el-GR"/>
        </w:rPr>
        <w:t xml:space="preserve">την </w:t>
      </w:r>
      <w:r w:rsidR="00E22FF4" w:rsidRPr="0047462D">
        <w:rPr>
          <w:bCs/>
          <w:sz w:val="22"/>
          <w:szCs w:val="22"/>
          <w:lang w:val="el-GR"/>
        </w:rPr>
        <w:t>ε</w:t>
      </w:r>
      <w:r w:rsidR="000A4B24" w:rsidRPr="0047462D">
        <w:rPr>
          <w:bCs/>
          <w:sz w:val="22"/>
          <w:szCs w:val="22"/>
          <w:lang w:val="el-GR"/>
        </w:rPr>
        <w:t>βδομάδα</w:t>
      </w:r>
      <w:r w:rsidR="000A4B24" w:rsidRPr="0047462D">
        <w:rPr>
          <w:bCs/>
          <w:sz w:val="22"/>
          <w:szCs w:val="22"/>
          <w:lang w:val="en-GB"/>
        </w:rPr>
        <w:t> </w:t>
      </w:r>
      <w:r w:rsidRPr="0047462D">
        <w:rPr>
          <w:bCs/>
          <w:sz w:val="22"/>
          <w:szCs w:val="22"/>
          <w:lang w:val="el-GR"/>
        </w:rPr>
        <w:t>24.</w:t>
      </w:r>
    </w:p>
    <w:p w14:paraId="22BDC1C5" w14:textId="77777777" w:rsidR="001C01B6" w:rsidRPr="0047462D" w:rsidRDefault="001C01B6" w:rsidP="001C01B6">
      <w:pPr>
        <w:pStyle w:val="documenttext"/>
        <w:spacing w:after="0"/>
        <w:rPr>
          <w:rFonts w:eastAsia="Times New Roman"/>
          <w:sz w:val="22"/>
          <w:szCs w:val="22"/>
          <w:u w:val="single"/>
          <w:lang w:val="el-GR"/>
        </w:rPr>
      </w:pPr>
    </w:p>
    <w:p w14:paraId="1FD561D0" w14:textId="7DC91B24" w:rsidR="00E22FF4" w:rsidRPr="0047462D" w:rsidRDefault="00E22FF4" w:rsidP="00E22FF4">
      <w:r w:rsidRPr="0047462D">
        <w:t xml:space="preserve">Στη μελέτη 8 σε ασθενείς με ΚΙ ηλικίας κάτω των 24 μηνών, η μέση απόλυτη μεταβολή από την τιμή αναφοράς στο χλώριο ιδρώτα ήταν </w:t>
      </w:r>
      <w:r w:rsidR="00AE07FE" w:rsidRPr="0047462D">
        <w:noBreakHyphen/>
      </w:r>
      <w:r w:rsidR="007A0DE5">
        <w:t>65,1</w:t>
      </w:r>
      <w:r w:rsidRPr="0047462D">
        <w:t> mmol/</w:t>
      </w:r>
      <w:r w:rsidRPr="0047462D">
        <w:rPr>
          <w:lang w:val="en-US"/>
        </w:rPr>
        <w:t>l</w:t>
      </w:r>
      <w:r w:rsidRPr="0047462D">
        <w:t xml:space="preserve"> (95% CI </w:t>
      </w:r>
      <w:r w:rsidRPr="0047462D">
        <w:noBreakHyphen/>
      </w:r>
      <w:r w:rsidR="007A0DE5" w:rsidRPr="00F93ECE">
        <w:t>74,1</w:t>
      </w:r>
      <w:r w:rsidRPr="0047462D">
        <w:t xml:space="preserve">, </w:t>
      </w:r>
      <w:r w:rsidRPr="0047462D">
        <w:noBreakHyphen/>
      </w:r>
      <w:r w:rsidR="007A0DE5" w:rsidRPr="00F93ECE">
        <w:t>56,0</w:t>
      </w:r>
      <w:r w:rsidRPr="0047462D">
        <w:t xml:space="preserve">) την εβδομάδα 24. Τα αποτελέσματα </w:t>
      </w:r>
      <w:r w:rsidR="00B62A8E" w:rsidRPr="0047462D">
        <w:t>συμφωνούσαν μεταξύ των κοορτών</w:t>
      </w:r>
      <w:r w:rsidRPr="0047462D">
        <w:t xml:space="preserve"> ηλικιών 12 μηνών έως κάτω των 24 μηνών</w:t>
      </w:r>
      <w:r w:rsidR="007A0DE5" w:rsidRPr="00F93ECE">
        <w:t>,</w:t>
      </w:r>
      <w:r w:rsidRPr="0047462D">
        <w:t xml:space="preserve"> 6 μηνών έως κάτω των 12 μηνών</w:t>
      </w:r>
      <w:r w:rsidR="007A0DE5" w:rsidRPr="00F93ECE">
        <w:t xml:space="preserve">, </w:t>
      </w:r>
      <w:r w:rsidR="007A0DE5">
        <w:t>και 4 μηνών έως κάτω των 6 μηνών</w:t>
      </w:r>
      <w:r w:rsidRPr="0047462D">
        <w:t>.</w:t>
      </w:r>
    </w:p>
    <w:p w14:paraId="581618AA" w14:textId="77777777" w:rsidR="002E76A3" w:rsidRPr="0047462D" w:rsidRDefault="002E76A3" w:rsidP="001C01B6">
      <w:pPr>
        <w:pStyle w:val="documenttext"/>
        <w:spacing w:after="0"/>
        <w:rPr>
          <w:rFonts w:eastAsia="Times New Roman"/>
          <w:sz w:val="22"/>
          <w:szCs w:val="22"/>
          <w:u w:val="single"/>
          <w:lang w:val="el-GR"/>
        </w:rPr>
      </w:pPr>
    </w:p>
    <w:p w14:paraId="62BD231F" w14:textId="77777777" w:rsidR="001C01B6" w:rsidRPr="0047462D" w:rsidRDefault="001C01B6" w:rsidP="001C01B6">
      <w:pPr>
        <w:pStyle w:val="documenttext"/>
        <w:keepNext/>
        <w:spacing w:after="0"/>
        <w:rPr>
          <w:rFonts w:eastAsia="Times New Roman"/>
          <w:sz w:val="22"/>
          <w:szCs w:val="22"/>
          <w:u w:val="single"/>
          <w:lang w:val="el-GR"/>
        </w:rPr>
      </w:pPr>
      <w:r w:rsidRPr="0047462D">
        <w:rPr>
          <w:rFonts w:eastAsia="Times New Roman"/>
          <w:sz w:val="22"/>
          <w:szCs w:val="22"/>
          <w:u w:val="single"/>
          <w:lang w:val="el-GR"/>
        </w:rPr>
        <w:t>Κλινική αποτελεσματικότητα και ασφάλεια</w:t>
      </w:r>
    </w:p>
    <w:p w14:paraId="0CF955A6" w14:textId="77777777" w:rsidR="00AF2F17" w:rsidRPr="0047462D" w:rsidRDefault="00AF2F17" w:rsidP="001C01B6">
      <w:pPr>
        <w:pStyle w:val="documenttext"/>
        <w:keepNext/>
        <w:spacing w:after="0"/>
        <w:rPr>
          <w:sz w:val="22"/>
          <w:szCs w:val="22"/>
          <w:lang w:val="el-GR"/>
        </w:rPr>
      </w:pPr>
    </w:p>
    <w:p w14:paraId="54577EAC" w14:textId="2723401F" w:rsidR="005D5499" w:rsidRPr="0047462D" w:rsidRDefault="00447796" w:rsidP="009E50D2">
      <w:pPr>
        <w:pStyle w:val="labeltext"/>
        <w:keepNext/>
        <w:rPr>
          <w:rFonts w:eastAsia="Times New Roman"/>
          <w:sz w:val="22"/>
          <w:szCs w:val="22"/>
          <w:lang w:val="el-GR"/>
        </w:rPr>
      </w:pPr>
      <w:r w:rsidRPr="0047462D">
        <w:rPr>
          <w:rFonts w:eastAsia="MS Mincho"/>
          <w:i/>
          <w:sz w:val="22"/>
          <w:szCs w:val="22"/>
          <w:lang w:val="el-GR"/>
        </w:rPr>
        <w:t>Μελέτ</w:t>
      </w:r>
      <w:r w:rsidR="002B7F06">
        <w:rPr>
          <w:rFonts w:eastAsia="MS Mincho"/>
          <w:i/>
          <w:sz w:val="22"/>
          <w:szCs w:val="22"/>
          <w:lang w:val="el-GR"/>
        </w:rPr>
        <w:t>ες</w:t>
      </w:r>
      <w:r w:rsidRPr="0047462D">
        <w:rPr>
          <w:rFonts w:eastAsia="MS Mincho"/>
          <w:i/>
          <w:sz w:val="22"/>
          <w:szCs w:val="22"/>
          <w:lang w:val="el-GR"/>
        </w:rPr>
        <w:t xml:space="preserve"> 1 και 2: μελέτες σε ασθενείς με ΚΙ με </w:t>
      </w:r>
      <w:r w:rsidR="000355B1" w:rsidRPr="0047462D">
        <w:rPr>
          <w:rFonts w:eastAsia="MS Mincho"/>
          <w:i/>
          <w:sz w:val="22"/>
          <w:szCs w:val="22"/>
          <w:lang w:val="el-GR"/>
        </w:rPr>
        <w:t>«</w:t>
      </w:r>
      <w:r w:rsidRPr="0047462D">
        <w:rPr>
          <w:rFonts w:eastAsia="MS Mincho"/>
          <w:i/>
          <w:sz w:val="22"/>
          <w:szCs w:val="22"/>
          <w:lang w:val="el-GR"/>
        </w:rPr>
        <w:t>gating</w:t>
      </w:r>
      <w:r w:rsidR="000355B1" w:rsidRPr="0047462D">
        <w:rPr>
          <w:rFonts w:eastAsia="MS Mincho"/>
          <w:i/>
          <w:sz w:val="22"/>
          <w:szCs w:val="22"/>
          <w:lang w:val="el-GR"/>
        </w:rPr>
        <w:t>»</w:t>
      </w:r>
      <w:r w:rsidRPr="0047462D">
        <w:rPr>
          <w:rFonts w:eastAsia="MS Mincho"/>
          <w:i/>
          <w:sz w:val="22"/>
          <w:szCs w:val="22"/>
          <w:lang w:val="el-GR"/>
        </w:rPr>
        <w:t xml:space="preserve"> μεταλλάξεις G551D</w:t>
      </w:r>
    </w:p>
    <w:p w14:paraId="4BBA0876" w14:textId="77777777" w:rsidR="004B47B0" w:rsidRPr="0047462D" w:rsidRDefault="004B47B0" w:rsidP="009E50D2">
      <w:pPr>
        <w:pStyle w:val="labeltext"/>
        <w:keepNext/>
        <w:rPr>
          <w:rFonts w:eastAsia="Times New Roman"/>
          <w:sz w:val="22"/>
          <w:szCs w:val="22"/>
          <w:lang w:val="el-GR"/>
        </w:rPr>
      </w:pPr>
    </w:p>
    <w:p w14:paraId="3BA35D42" w14:textId="0E5FAB79" w:rsidR="001C01B6" w:rsidRPr="0047462D" w:rsidRDefault="001C01B6" w:rsidP="001C01B6">
      <w:pPr>
        <w:pStyle w:val="labeltext"/>
        <w:rPr>
          <w:sz w:val="22"/>
          <w:szCs w:val="22"/>
          <w:lang w:val="el-GR"/>
        </w:rPr>
      </w:pPr>
      <w:r w:rsidRPr="0047462D">
        <w:rPr>
          <w:rFonts w:eastAsia="Times New Roman"/>
          <w:sz w:val="22"/>
          <w:szCs w:val="22"/>
          <w:lang w:val="el-GR"/>
        </w:rPr>
        <w:t xml:space="preserve">Η αποτελεσματικότητα του </w:t>
      </w:r>
      <w:r w:rsidR="009D7EDC" w:rsidRPr="0047462D">
        <w:rPr>
          <w:rFonts w:eastAsia="Times New Roman"/>
          <w:sz w:val="22"/>
          <w:szCs w:val="22"/>
          <w:lang w:val="el-GR"/>
        </w:rPr>
        <w:t xml:space="preserve">ivacaftor </w:t>
      </w:r>
      <w:r w:rsidRPr="0047462D">
        <w:rPr>
          <w:rFonts w:eastAsia="Times New Roman"/>
          <w:sz w:val="22"/>
          <w:szCs w:val="22"/>
          <w:lang w:val="el-GR"/>
        </w:rPr>
        <w:t xml:space="preserve">αξιολογήθηκε σε δύο </w:t>
      </w:r>
      <w:r w:rsidR="007A0DE5">
        <w:rPr>
          <w:rFonts w:eastAsia="Times New Roman"/>
          <w:sz w:val="22"/>
          <w:szCs w:val="22"/>
          <w:lang w:val="el-GR"/>
        </w:rPr>
        <w:t>φ</w:t>
      </w:r>
      <w:r w:rsidRPr="0047462D">
        <w:rPr>
          <w:rFonts w:eastAsia="Times New Roman"/>
          <w:sz w:val="22"/>
          <w:szCs w:val="22"/>
          <w:lang w:val="el-GR"/>
        </w:rPr>
        <w:t xml:space="preserve">άσης 3 τυχαιοποιημένες, διπλά τυφλές, ελεγχόμενες με εικονικό φάρμακο, πολυκεντρικές μελέτες κλινικά σταθερών ασθενών με ΚΙ που είχαν τη μετάλλαξη </w:t>
      </w:r>
      <w:r w:rsidRPr="0047462D">
        <w:rPr>
          <w:rFonts w:eastAsia="Times New Roman"/>
          <w:i/>
          <w:iCs/>
          <w:sz w:val="22"/>
          <w:szCs w:val="22"/>
          <w:lang w:val="el-GR"/>
        </w:rPr>
        <w:t>G551D</w:t>
      </w:r>
      <w:r w:rsidRPr="0047462D">
        <w:rPr>
          <w:rFonts w:eastAsia="Times New Roman"/>
          <w:sz w:val="22"/>
          <w:szCs w:val="22"/>
          <w:lang w:val="el-GR"/>
        </w:rPr>
        <w:t xml:space="preserve"> στο γονίδιο </w:t>
      </w:r>
      <w:r w:rsidRPr="0047462D">
        <w:rPr>
          <w:rFonts w:eastAsia="Times New Roman"/>
          <w:i/>
          <w:iCs/>
          <w:sz w:val="22"/>
          <w:szCs w:val="22"/>
          <w:lang w:val="el-GR"/>
        </w:rPr>
        <w:t>CFTR</w:t>
      </w:r>
      <w:r w:rsidRPr="0047462D">
        <w:rPr>
          <w:rFonts w:eastAsia="Times New Roman"/>
          <w:sz w:val="22"/>
          <w:szCs w:val="22"/>
          <w:lang w:val="el-GR"/>
        </w:rPr>
        <w:t xml:space="preserve"> σε τουλάχιστον 1 αλληλόμορφο και είχαν FEV</w:t>
      </w:r>
      <w:r w:rsidRPr="0047462D">
        <w:rPr>
          <w:rFonts w:eastAsia="Times New Roman"/>
          <w:sz w:val="22"/>
          <w:szCs w:val="22"/>
          <w:vertAlign w:val="subscript"/>
          <w:lang w:val="el-GR"/>
        </w:rPr>
        <w:t>1</w:t>
      </w:r>
      <w:r w:rsidRPr="0047462D">
        <w:rPr>
          <w:rFonts w:eastAsia="Times New Roman"/>
          <w:sz w:val="22"/>
          <w:szCs w:val="22"/>
          <w:lang w:val="el-GR"/>
        </w:rPr>
        <w:t xml:space="preserve"> ≥</w:t>
      </w:r>
      <w:r w:rsidR="009A7400" w:rsidRPr="0047462D">
        <w:rPr>
          <w:rFonts w:eastAsia="Times New Roman"/>
          <w:sz w:val="22"/>
          <w:szCs w:val="22"/>
        </w:rPr>
        <w:t> </w:t>
      </w:r>
      <w:r w:rsidRPr="0047462D">
        <w:rPr>
          <w:rFonts w:eastAsia="Times New Roman"/>
          <w:sz w:val="22"/>
          <w:szCs w:val="22"/>
          <w:lang w:val="el-GR"/>
        </w:rPr>
        <w:t xml:space="preserve">40% του προβλεπόμενου. </w:t>
      </w:r>
    </w:p>
    <w:p w14:paraId="053D7F7A" w14:textId="77777777" w:rsidR="001C01B6" w:rsidRPr="0047462D" w:rsidRDefault="001C01B6" w:rsidP="001C01B6">
      <w:pPr>
        <w:pStyle w:val="labeltext"/>
        <w:rPr>
          <w:sz w:val="22"/>
          <w:szCs w:val="22"/>
          <w:lang w:val="el-GR"/>
        </w:rPr>
      </w:pPr>
    </w:p>
    <w:p w14:paraId="23501E46" w14:textId="55EA05EB" w:rsidR="001C01B6" w:rsidRPr="0047462D" w:rsidRDefault="001C01B6" w:rsidP="001C01B6">
      <w:pPr>
        <w:pStyle w:val="labeltext"/>
        <w:rPr>
          <w:sz w:val="22"/>
          <w:szCs w:val="22"/>
          <w:lang w:val="el-GR"/>
        </w:rPr>
      </w:pPr>
      <w:r w:rsidRPr="0047462D">
        <w:rPr>
          <w:rFonts w:eastAsia="Times New Roman"/>
          <w:sz w:val="22"/>
          <w:szCs w:val="22"/>
          <w:lang w:val="el-GR"/>
        </w:rPr>
        <w:t xml:space="preserve">Οι ασθενείς σε αμφότερες τις μελέτες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0355B1" w:rsidRPr="0047462D">
        <w:rPr>
          <w:rFonts w:eastAsia="Times New Roman"/>
          <w:sz w:val="22"/>
          <w:szCs w:val="22"/>
          <w:lang w:val="el-GR"/>
        </w:rPr>
        <w:t xml:space="preserve">περιείχαν </w:t>
      </w:r>
      <w:r w:rsidRPr="0047462D">
        <w:rPr>
          <w:rFonts w:eastAsia="Times New Roman"/>
          <w:sz w:val="22"/>
          <w:szCs w:val="22"/>
          <w:lang w:val="el-GR"/>
        </w:rPr>
        <w:t>λίπος</w:t>
      </w:r>
      <w:r w:rsidR="000355B1" w:rsidRPr="0047462D">
        <w:rPr>
          <w:rFonts w:eastAsia="Times New Roman"/>
          <w:sz w:val="22"/>
          <w:szCs w:val="22"/>
          <w:lang w:val="el-GR"/>
        </w:rPr>
        <w:t>,</w:t>
      </w:r>
      <w:r w:rsidRPr="0047462D">
        <w:rPr>
          <w:rFonts w:eastAsia="Times New Roman"/>
          <w:sz w:val="22"/>
          <w:szCs w:val="22"/>
          <w:lang w:val="el-GR"/>
        </w:rPr>
        <w:t xml:space="preserve"> για 48</w:t>
      </w:r>
      <w:r w:rsidRPr="0047462D">
        <w:t> </w:t>
      </w:r>
      <w:r w:rsidRPr="0047462D">
        <w:rPr>
          <w:rFonts w:eastAsia="Times New Roman"/>
          <w:sz w:val="22"/>
          <w:szCs w:val="22"/>
          <w:lang w:val="el-GR"/>
        </w:rPr>
        <w:t xml:space="preserve">εβδομάδες επιπρόσθετα με τις συνταγογραφηθείσες για την ΚΙ θεραπείες τους (π.χ. τομπραμυκίνη, δορνάση άλφα). Η χρήση εισπνεόμενου υπερτονικού </w:t>
      </w:r>
      <w:r w:rsidR="00447796" w:rsidRPr="0047462D">
        <w:rPr>
          <w:rFonts w:eastAsia="Times New Roman"/>
          <w:sz w:val="22"/>
          <w:szCs w:val="22"/>
          <w:lang w:val="el-GR"/>
        </w:rPr>
        <w:t>χλωριούχου νατρίου</w:t>
      </w:r>
      <w:r w:rsidRPr="0047462D">
        <w:rPr>
          <w:rFonts w:eastAsia="Times New Roman"/>
          <w:sz w:val="22"/>
          <w:szCs w:val="22"/>
          <w:lang w:val="el-GR"/>
        </w:rPr>
        <w:t xml:space="preserve"> δεν επιτρεπόταν.</w:t>
      </w:r>
    </w:p>
    <w:p w14:paraId="53A62AB0" w14:textId="77777777" w:rsidR="001C01B6" w:rsidRPr="0047462D" w:rsidRDefault="001C01B6" w:rsidP="001C01B6">
      <w:pPr>
        <w:pStyle w:val="labeltext"/>
        <w:rPr>
          <w:sz w:val="22"/>
          <w:szCs w:val="22"/>
          <w:lang w:val="el-GR"/>
        </w:rPr>
      </w:pPr>
    </w:p>
    <w:p w14:paraId="28C071D0" w14:textId="0DF1E8A8" w:rsidR="001C01B6" w:rsidRPr="0047462D" w:rsidRDefault="001C01B6" w:rsidP="001C01B6">
      <w:pPr>
        <w:rPr>
          <w:rFonts w:eastAsia="Times New Roman"/>
          <w:szCs w:val="22"/>
        </w:rPr>
      </w:pPr>
      <w:r w:rsidRPr="0047462D">
        <w:rPr>
          <w:rFonts w:eastAsia="Times New Roman"/>
          <w:szCs w:val="22"/>
        </w:rPr>
        <w:t>Η μελέτη</w:t>
      </w:r>
      <w:r w:rsidRPr="0047462D">
        <w:t> </w:t>
      </w:r>
      <w:r w:rsidRPr="0047462D">
        <w:rPr>
          <w:rFonts w:eastAsia="Times New Roman"/>
          <w:szCs w:val="22"/>
        </w:rPr>
        <w:t xml:space="preserve">1 αξιολόγησε 161 ασθενείς που ήταν ηλικίας 12 ετών </w:t>
      </w:r>
      <w:r w:rsidR="00966B5F" w:rsidRPr="0047462D">
        <w:rPr>
          <w:rFonts w:eastAsia="Times New Roman"/>
          <w:szCs w:val="22"/>
        </w:rPr>
        <w:t xml:space="preserve">ή </w:t>
      </w:r>
      <w:r w:rsidRPr="0047462D">
        <w:rPr>
          <w:rFonts w:eastAsia="Times New Roman"/>
          <w:szCs w:val="22"/>
        </w:rPr>
        <w:t xml:space="preserve">άνω. </w:t>
      </w:r>
      <w:r w:rsidRPr="0047462D">
        <w:rPr>
          <w:bCs/>
        </w:rPr>
        <w:t xml:space="preserve">122 (75,8%) ασθενείς είχαν τη μετάλλαξη </w:t>
      </w:r>
      <w:r w:rsidRPr="0047462D">
        <w:rPr>
          <w:i/>
          <w:szCs w:val="22"/>
        </w:rPr>
        <w:t>F508del</w:t>
      </w:r>
      <w:r w:rsidRPr="0047462D">
        <w:rPr>
          <w:bCs/>
        </w:rPr>
        <w:t xml:space="preserve"> στο δεύτερο αλληλόμορφο. Κατά την έναρξη της μελέτης, οι ασθενείς στην ομάδα του εικονικού φαρμάκου χρησιμοποίησαν κάποια φαρμακευτικά προϊόντα σε υψηλότερη συχνότητα από την ομάδα του ivacaftor. Αυτά τα φάρμακα περιλάμβαναν τη δορνάση άλφα (73,1% έναντι 65,1%), τη σαλβουταμόλη (53,8% έναντι 42,2%), την τομπραμυκίνη (44,9% έναντι 33,7%) και </w:t>
      </w:r>
      <w:r w:rsidR="00966B5F" w:rsidRPr="0047462D">
        <w:rPr>
          <w:bCs/>
        </w:rPr>
        <w:t xml:space="preserve">τις </w:t>
      </w:r>
      <w:r w:rsidRPr="0047462D">
        <w:rPr>
          <w:szCs w:val="22"/>
        </w:rPr>
        <w:t>σαλμετερόλη/φλουτικαζόνη</w:t>
      </w:r>
      <w:r w:rsidRPr="0047462D">
        <w:rPr>
          <w:bCs/>
        </w:rPr>
        <w:t xml:space="preserve"> (41,0% έναντι 27,7%). </w:t>
      </w:r>
      <w:r w:rsidR="000355B1"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63,6% (εύρος: 31,6% έως 98,2%) και η μέση ηλικία ήταν 26 ετών (εύρος: 12 έως 53 ετών). </w:t>
      </w:r>
    </w:p>
    <w:p w14:paraId="79DB0429" w14:textId="77777777" w:rsidR="001C01B6" w:rsidRPr="0047462D" w:rsidRDefault="001C01B6" w:rsidP="001C01B6">
      <w:pPr>
        <w:rPr>
          <w:rFonts w:eastAsia="Times New Roman"/>
          <w:szCs w:val="22"/>
        </w:rPr>
      </w:pPr>
    </w:p>
    <w:p w14:paraId="623BA3A9" w14:textId="2AC5C818" w:rsidR="001C01B6" w:rsidRPr="0047462D" w:rsidRDefault="001C01B6" w:rsidP="001C01B6">
      <w:pPr>
        <w:rPr>
          <w:bCs/>
        </w:rPr>
      </w:pPr>
      <w:r w:rsidRPr="0047462D">
        <w:rPr>
          <w:rFonts w:eastAsia="Times New Roman"/>
          <w:szCs w:val="22"/>
        </w:rPr>
        <w:t xml:space="preserve">Η μελέτη 2 αξιολόγησε 52 ασθενείς που ήταν ηλικίας 6 έως 11 ετών στη διαλογή. Το μέσο (SD) </w:t>
      </w:r>
      <w:r w:rsidRPr="0047462D">
        <w:rPr>
          <w:szCs w:val="22"/>
        </w:rPr>
        <w:t>σωματικό βάρος ήταν 30,9 (8,63) kg.</w:t>
      </w:r>
      <w:r w:rsidRPr="0047462D">
        <w:rPr>
          <w:bCs/>
        </w:rPr>
        <w:t xml:space="preserve"> 42 (80,8%) ασθενείς είχαν τη μετάλλαξη </w:t>
      </w:r>
      <w:r w:rsidRPr="0047462D">
        <w:rPr>
          <w:i/>
          <w:szCs w:val="22"/>
        </w:rPr>
        <w:t>F508del</w:t>
      </w:r>
      <w:r w:rsidRPr="0047462D">
        <w:rPr>
          <w:bCs/>
        </w:rPr>
        <w:t xml:space="preserve"> στο δεύτερο αλληλόμορφο. </w:t>
      </w:r>
      <w:r w:rsidR="000355B1"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84,2% (εύρος: 44,0% έως 133,8%) και η μέση ηλικία ήταν 9 ετών (εύρος: 6 έως 12 ετών). </w:t>
      </w:r>
      <w:r w:rsidRPr="0047462D">
        <w:rPr>
          <w:bCs/>
        </w:rPr>
        <w:t>8 (30,8%) ασθενείς στην ομάδα του εικονικού φαρμάκου και 4</w:t>
      </w:r>
      <w:r w:rsidRPr="0047462D">
        <w:t> </w:t>
      </w:r>
      <w:r w:rsidRPr="0047462D">
        <w:rPr>
          <w:bCs/>
        </w:rPr>
        <w:t>(15,4%) ασθενείς στην ομάδα του ivacaftor είχαν FEV</w:t>
      </w:r>
      <w:r w:rsidRPr="0047462D">
        <w:rPr>
          <w:bCs/>
          <w:vertAlign w:val="subscript"/>
        </w:rPr>
        <w:t>1</w:t>
      </w:r>
      <w:r w:rsidRPr="0047462D">
        <w:rPr>
          <w:bCs/>
        </w:rPr>
        <w:t xml:space="preserve"> μικρότερο από το 70% του προβλεπόμενου </w:t>
      </w:r>
      <w:r w:rsidR="000355B1" w:rsidRPr="0047462D">
        <w:rPr>
          <w:bCs/>
        </w:rPr>
        <w:t>κατά την έναρξη</w:t>
      </w:r>
      <w:r w:rsidRPr="0047462D">
        <w:rPr>
          <w:bCs/>
        </w:rPr>
        <w:t>.</w:t>
      </w:r>
    </w:p>
    <w:p w14:paraId="25027385" w14:textId="77777777" w:rsidR="001C01B6" w:rsidRPr="0047462D" w:rsidRDefault="001C01B6" w:rsidP="001C01B6">
      <w:pPr>
        <w:pStyle w:val="labeltext"/>
        <w:rPr>
          <w:sz w:val="22"/>
          <w:szCs w:val="22"/>
          <w:lang w:val="el-GR"/>
        </w:rPr>
      </w:pPr>
    </w:p>
    <w:p w14:paraId="6A168916" w14:textId="77777777" w:rsidR="001C01B6" w:rsidRPr="0047462D" w:rsidRDefault="001C01B6" w:rsidP="001C01B6">
      <w:pPr>
        <w:pStyle w:val="labeltext"/>
        <w:rPr>
          <w:sz w:val="22"/>
          <w:szCs w:val="22"/>
          <w:lang w:val="el-GR"/>
        </w:rPr>
      </w:pPr>
      <w:r w:rsidRPr="0047462D">
        <w:rPr>
          <w:rFonts w:eastAsia="Times New Roman"/>
          <w:sz w:val="22"/>
          <w:szCs w:val="22"/>
          <w:lang w:val="el-GR"/>
        </w:rPr>
        <w:t xml:space="preserve">Το πρωτεύον </w:t>
      </w:r>
      <w:r w:rsidR="006C6EB4" w:rsidRPr="0047462D">
        <w:rPr>
          <w:rFonts w:eastAsia="Times New Roman"/>
          <w:sz w:val="22"/>
          <w:szCs w:val="22"/>
          <w:lang w:val="el-GR"/>
        </w:rPr>
        <w:t xml:space="preserve">τελικό </w:t>
      </w:r>
      <w:r w:rsidRPr="0047462D">
        <w:rPr>
          <w:rFonts w:eastAsia="Times New Roman"/>
          <w:sz w:val="22"/>
          <w:szCs w:val="22"/>
          <w:lang w:val="el-GR"/>
        </w:rPr>
        <w:t xml:space="preserve">σημείο αποτελεσματικότητας σε αμφότερες τις μελέτες ήταν η μέση απόλυτη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από την τιμή αναφοράς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σε 24 εβδομάδες θεραπείας. </w:t>
      </w:r>
    </w:p>
    <w:p w14:paraId="7D95EDAD" w14:textId="77777777" w:rsidR="001C01B6" w:rsidRPr="0047462D" w:rsidRDefault="001C01B6" w:rsidP="001C01B6">
      <w:pPr>
        <w:pStyle w:val="labeltext"/>
        <w:rPr>
          <w:sz w:val="22"/>
          <w:szCs w:val="22"/>
          <w:lang w:val="el-GR"/>
        </w:rPr>
      </w:pPr>
    </w:p>
    <w:p w14:paraId="7BCBFA22" w14:textId="1BDA88BA" w:rsidR="001C01B6" w:rsidRPr="0047462D" w:rsidRDefault="001C01B6" w:rsidP="001C01B6">
      <w:pPr>
        <w:pStyle w:val="labeltext"/>
        <w:rPr>
          <w:sz w:val="22"/>
          <w:szCs w:val="22"/>
          <w:lang w:val="el-GR"/>
        </w:rPr>
      </w:pPr>
      <w:r w:rsidRPr="0047462D">
        <w:rPr>
          <w:rFonts w:eastAsia="Times New Roman"/>
          <w:sz w:val="22"/>
          <w:szCs w:val="22"/>
          <w:lang w:val="el-GR"/>
        </w:rPr>
        <w:t xml:space="preserve">Η διαφορά θεραπείας μεταξύ του ivacaftor και του εικονικού φαρμάκου για τη μέση απόλυτη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7655E7" w:rsidRPr="0047462D">
        <w:rPr>
          <w:rFonts w:eastAsia="Times New Roman"/>
          <w:sz w:val="22"/>
          <w:szCs w:val="22"/>
          <w:lang w:val="el-GR"/>
        </w:rPr>
        <w:t>ε</w:t>
      </w:r>
      <w:r w:rsidR="00DD5F09" w:rsidRPr="0047462D">
        <w:rPr>
          <w:rFonts w:eastAsia="Times New Roman"/>
          <w:sz w:val="22"/>
          <w:szCs w:val="22"/>
          <w:lang w:val="el-GR"/>
        </w:rPr>
        <w:t>βδομάδα </w:t>
      </w:r>
      <w:r w:rsidRPr="0047462D">
        <w:rPr>
          <w:rFonts w:eastAsia="Times New Roman"/>
          <w:sz w:val="22"/>
          <w:szCs w:val="22"/>
          <w:lang w:val="el-GR"/>
        </w:rPr>
        <w:t>24 ήταν 10,6</w:t>
      </w:r>
      <w:r w:rsidRPr="0047462D">
        <w:rPr>
          <w:rFonts w:eastAsia="Times New Roman"/>
          <w:sz w:val="22"/>
          <w:szCs w:val="22"/>
          <w:lang w:val="en-GB"/>
        </w:rPr>
        <w:t> </w:t>
      </w:r>
      <w:r w:rsidRPr="0047462D">
        <w:rPr>
          <w:rFonts w:eastAsia="Times New Roman"/>
          <w:sz w:val="22"/>
          <w:szCs w:val="22"/>
          <w:lang w:val="el-GR"/>
        </w:rPr>
        <w:t>ποσοστιαίες μονάδες (8,6, 12,6) στη μελέτη 1 και 12,5 ποσοστιαίες μονάδες (6,6, 18,3) στη μελέτη</w:t>
      </w:r>
      <w:r w:rsidRPr="0047462D">
        <w:rPr>
          <w:rFonts w:eastAsia="Times New Roman"/>
          <w:sz w:val="22"/>
          <w:szCs w:val="22"/>
          <w:lang w:val="en-GB"/>
        </w:rPr>
        <w:t> </w:t>
      </w:r>
      <w:r w:rsidRPr="0047462D">
        <w:rPr>
          <w:rFonts w:eastAsia="Times New Roman"/>
          <w:sz w:val="22"/>
          <w:szCs w:val="22"/>
          <w:lang w:val="el-GR"/>
        </w:rPr>
        <w:t xml:space="preserve">2. Η διαφορά θεραπείας μεταξύ του ivacaftor και του εικονικού φαρμάκου για τη μέση σχετική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7655E7" w:rsidRPr="0047462D">
        <w:rPr>
          <w:rFonts w:eastAsia="Times New Roman"/>
          <w:sz w:val="22"/>
          <w:szCs w:val="22"/>
          <w:lang w:val="el-GR"/>
        </w:rPr>
        <w:t>ε</w:t>
      </w:r>
      <w:r w:rsidR="00DD5F09" w:rsidRPr="0047462D">
        <w:rPr>
          <w:rFonts w:eastAsia="Times New Roman"/>
          <w:sz w:val="22"/>
          <w:szCs w:val="22"/>
          <w:lang w:val="el-GR"/>
        </w:rPr>
        <w:t>βδομάδα </w:t>
      </w:r>
      <w:r w:rsidRPr="0047462D">
        <w:rPr>
          <w:rFonts w:eastAsia="Times New Roman"/>
          <w:sz w:val="22"/>
          <w:szCs w:val="22"/>
          <w:lang w:val="el-GR"/>
        </w:rPr>
        <w:t xml:space="preserve">24 ήταν 17,1% (13,9, 20,2) στη μελέτη 1 και 15,8% (8,4, 23,2) στη μελέτη 2. Η μέση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από την τιμή αναφοράς έως την </w:t>
      </w:r>
      <w:r w:rsidR="007655E7" w:rsidRPr="0047462D">
        <w:rPr>
          <w:rFonts w:eastAsia="Times New Roman"/>
          <w:sz w:val="22"/>
          <w:szCs w:val="22"/>
          <w:lang w:val="el-GR"/>
        </w:rPr>
        <w:t>ε</w:t>
      </w:r>
      <w:r w:rsidR="00DD5F09" w:rsidRPr="0047462D">
        <w:rPr>
          <w:rFonts w:eastAsia="Times New Roman"/>
          <w:sz w:val="22"/>
          <w:szCs w:val="22"/>
          <w:lang w:val="el-GR"/>
        </w:rPr>
        <w:t>βδομάδα </w:t>
      </w:r>
      <w:r w:rsidRPr="0047462D">
        <w:rPr>
          <w:rFonts w:eastAsia="Times New Roman"/>
          <w:sz w:val="22"/>
          <w:szCs w:val="22"/>
          <w:lang w:val="el-GR"/>
        </w:rPr>
        <w:t>24 στον FEV</w:t>
      </w:r>
      <w:r w:rsidRPr="0047462D">
        <w:rPr>
          <w:rFonts w:eastAsia="Times New Roman"/>
          <w:sz w:val="22"/>
          <w:szCs w:val="22"/>
          <w:vertAlign w:val="subscript"/>
          <w:lang w:val="el-GR"/>
        </w:rPr>
        <w:t>1</w:t>
      </w:r>
      <w:r w:rsidRPr="0047462D">
        <w:rPr>
          <w:rFonts w:eastAsia="Times New Roman"/>
          <w:sz w:val="22"/>
          <w:szCs w:val="22"/>
          <w:lang w:val="el-GR"/>
        </w:rPr>
        <w:t xml:space="preserve"> (L) ήταν 0,37 L στην ομάδα του ivacaftor και 0,01 L στην ομάδα του εικονικού φαρμάκου στη μελέτη 1 και 0,30 L στην ομάδα του ivacaftor και 0,07 L στην ομάδα εικονικού φαρμάκου στη μελέτη 2. Σε αμφότερες τις μελέτες, οι βελτιώσεις στον FEV</w:t>
      </w:r>
      <w:r w:rsidRPr="0047462D">
        <w:rPr>
          <w:rFonts w:eastAsia="Times New Roman"/>
          <w:sz w:val="22"/>
          <w:szCs w:val="22"/>
          <w:vertAlign w:val="subscript"/>
          <w:lang w:val="el-GR"/>
        </w:rPr>
        <w:t>1</w:t>
      </w:r>
      <w:r w:rsidRPr="0047462D">
        <w:rPr>
          <w:rFonts w:eastAsia="Times New Roman"/>
          <w:sz w:val="22"/>
          <w:szCs w:val="22"/>
          <w:lang w:val="el-GR"/>
        </w:rPr>
        <w:t xml:space="preserve"> ήταν ταχείας έναρξης (</w:t>
      </w:r>
      <w:r w:rsidR="007655E7" w:rsidRPr="0047462D">
        <w:rPr>
          <w:rFonts w:eastAsia="Times New Roman"/>
          <w:sz w:val="22"/>
          <w:szCs w:val="22"/>
          <w:lang w:val="el-GR"/>
        </w:rPr>
        <w:t>η</w:t>
      </w:r>
      <w:r w:rsidR="00DD5F09" w:rsidRPr="0047462D">
        <w:rPr>
          <w:rFonts w:eastAsia="Times New Roman"/>
          <w:sz w:val="22"/>
          <w:szCs w:val="22"/>
          <w:lang w:val="el-GR"/>
        </w:rPr>
        <w:t>μέρα </w:t>
      </w:r>
      <w:r w:rsidRPr="0047462D">
        <w:rPr>
          <w:rFonts w:eastAsia="Times New Roman"/>
          <w:sz w:val="22"/>
          <w:szCs w:val="22"/>
          <w:lang w:val="el-GR"/>
        </w:rPr>
        <w:t xml:space="preserve">15) και παρέμειναν και για τις 48 εβδομάδες. </w:t>
      </w:r>
    </w:p>
    <w:p w14:paraId="5B47E6F5" w14:textId="77777777" w:rsidR="001C01B6" w:rsidRPr="0047462D" w:rsidRDefault="001C01B6" w:rsidP="001C01B6">
      <w:pPr>
        <w:pStyle w:val="labeltext"/>
        <w:rPr>
          <w:sz w:val="22"/>
          <w:szCs w:val="22"/>
          <w:lang w:val="el-GR"/>
        </w:rPr>
      </w:pPr>
    </w:p>
    <w:p w14:paraId="7074218A" w14:textId="2D6C7815" w:rsidR="001C01B6" w:rsidRPr="0047462D" w:rsidRDefault="001C01B6" w:rsidP="001C01B6">
      <w:pPr>
        <w:rPr>
          <w:rFonts w:eastAsia="Times New Roman"/>
          <w:szCs w:val="22"/>
        </w:rPr>
      </w:pPr>
      <w:r w:rsidRPr="0047462D">
        <w:rPr>
          <w:rFonts w:eastAsia="Times New Roman"/>
          <w:szCs w:val="22"/>
        </w:rPr>
        <w:t xml:space="preserve">Η διαφορά θεραπείας μεταξύ του ivacaftor και του εικονικού φαρμάκου για τη μέση απόλυτη </w:t>
      </w:r>
      <w:r w:rsidR="0012151B" w:rsidRPr="0047462D">
        <w:rPr>
          <w:rFonts w:eastAsia="Times New Roman"/>
          <w:szCs w:val="22"/>
        </w:rPr>
        <w:t>μεταβολή</w:t>
      </w:r>
      <w:r w:rsidR="0012151B" w:rsidRPr="0047462D" w:rsidDel="0012151B">
        <w:rPr>
          <w:rFonts w:eastAsia="Times New Roman"/>
          <w:szCs w:val="22"/>
        </w:rPr>
        <w:t xml:space="preserve">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7655E7" w:rsidRPr="0047462D">
        <w:rPr>
          <w:rFonts w:eastAsia="Times New Roman"/>
          <w:szCs w:val="22"/>
        </w:rPr>
        <w:t>ε</w:t>
      </w:r>
      <w:r w:rsidR="00DD5F09" w:rsidRPr="0047462D">
        <w:rPr>
          <w:rFonts w:eastAsia="Times New Roman"/>
          <w:szCs w:val="22"/>
        </w:rPr>
        <w:t>βδομάδα </w:t>
      </w:r>
      <w:r w:rsidRPr="0047462D">
        <w:rPr>
          <w:rFonts w:eastAsia="Times New Roman"/>
          <w:szCs w:val="22"/>
        </w:rPr>
        <w:t xml:space="preserve">24 σε ασθενείς ηλικίας 12 έως 17 ετών στη μελέτη 1 ήταν 11,9 ποσοστιαίες μονάδες (5,9, 17,9). Η διαφορά θεραπείας μεταξύ του ivacaftor και του εικονικού φαρμάκου για τη μέση απόλυτη </w:t>
      </w:r>
      <w:r w:rsidR="0012151B" w:rsidRPr="0047462D">
        <w:rPr>
          <w:rFonts w:eastAsia="Times New Roman"/>
          <w:szCs w:val="22"/>
        </w:rPr>
        <w:t>μεταβολή</w:t>
      </w:r>
      <w:r w:rsidR="0012151B" w:rsidRPr="0047462D" w:rsidDel="0012151B">
        <w:rPr>
          <w:rFonts w:eastAsia="Times New Roman"/>
          <w:szCs w:val="22"/>
        </w:rPr>
        <w:t xml:space="preserve">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7655E7" w:rsidRPr="0047462D">
        <w:rPr>
          <w:rFonts w:eastAsia="Times New Roman"/>
          <w:szCs w:val="22"/>
        </w:rPr>
        <w:t>ε</w:t>
      </w:r>
      <w:r w:rsidR="00DD5F09" w:rsidRPr="0047462D">
        <w:rPr>
          <w:rFonts w:eastAsia="Times New Roman"/>
          <w:szCs w:val="22"/>
        </w:rPr>
        <w:t>βδομάδα </w:t>
      </w:r>
      <w:r w:rsidRPr="0047462D">
        <w:rPr>
          <w:rFonts w:eastAsia="Times New Roman"/>
          <w:szCs w:val="22"/>
        </w:rPr>
        <w:t>24 σε ασθενείς με τιμή αναφοράς προβλεπόμενου FEV</w:t>
      </w:r>
      <w:r w:rsidRPr="0047462D">
        <w:rPr>
          <w:rFonts w:eastAsia="Times New Roman"/>
          <w:szCs w:val="22"/>
          <w:vertAlign w:val="subscript"/>
        </w:rPr>
        <w:t>1</w:t>
      </w:r>
      <w:r w:rsidRPr="0047462D">
        <w:rPr>
          <w:rFonts w:eastAsia="Times New Roman"/>
          <w:szCs w:val="22"/>
        </w:rPr>
        <w:t xml:space="preserve"> μεγαλύτερη από 90% στη μελέτη</w:t>
      </w:r>
      <w:r w:rsidRPr="0047462D">
        <w:t> </w:t>
      </w:r>
      <w:r w:rsidRPr="0047462D">
        <w:rPr>
          <w:rFonts w:eastAsia="Times New Roman"/>
          <w:szCs w:val="22"/>
        </w:rPr>
        <w:t>2 ήταν 6,9 ποσοστιαίες μονάδες (</w:t>
      </w:r>
      <w:r w:rsidR="00ED7342" w:rsidRPr="0047462D">
        <w:rPr>
          <w:szCs w:val="22"/>
        </w:rPr>
        <w:noBreakHyphen/>
      </w:r>
      <w:r w:rsidRPr="0047462D">
        <w:rPr>
          <w:szCs w:val="22"/>
        </w:rPr>
        <w:t>3,8, 17,6</w:t>
      </w:r>
      <w:r w:rsidRPr="0047462D">
        <w:rPr>
          <w:rFonts w:eastAsia="Times New Roman"/>
          <w:szCs w:val="22"/>
        </w:rPr>
        <w:t>).</w:t>
      </w:r>
      <w:r w:rsidRPr="0047462D" w:rsidDel="00DE7710">
        <w:rPr>
          <w:rFonts w:eastAsia="Times New Roman"/>
          <w:szCs w:val="22"/>
        </w:rPr>
        <w:t xml:space="preserve"> </w:t>
      </w:r>
    </w:p>
    <w:p w14:paraId="3237917C" w14:textId="77777777" w:rsidR="00D930A0" w:rsidRPr="0047462D" w:rsidRDefault="00D930A0" w:rsidP="001C01B6">
      <w:pPr>
        <w:rPr>
          <w:rFonts w:eastAsia="Times New Roman"/>
          <w:szCs w:val="22"/>
        </w:rPr>
      </w:pPr>
    </w:p>
    <w:p w14:paraId="18D520AF" w14:textId="29C765FD" w:rsidR="007655E7" w:rsidRPr="0047462D" w:rsidRDefault="00EF2F5C" w:rsidP="007655E7">
      <w:pPr>
        <w:rPr>
          <w:bCs/>
        </w:rPr>
      </w:pPr>
      <w:r w:rsidRPr="0047462D">
        <w:rPr>
          <w:bCs/>
        </w:rPr>
        <w:t>Τα αποτελέσματα για κλινικά σημαντικά δευτερεύοντα τελικά σημεία παρατίθενται στον Πίνακα </w:t>
      </w:r>
      <w:r w:rsidR="00572599" w:rsidRPr="00F93ECE">
        <w:rPr>
          <w:bCs/>
        </w:rPr>
        <w:t>4</w:t>
      </w:r>
      <w:r w:rsidRPr="0047462D">
        <w:rPr>
          <w:bCs/>
        </w:rPr>
        <w:t>.</w:t>
      </w:r>
    </w:p>
    <w:p w14:paraId="43539CDC" w14:textId="77777777" w:rsidR="007655E7" w:rsidRPr="0047462D" w:rsidRDefault="007655E7" w:rsidP="007655E7"/>
    <w:p w14:paraId="79B5821B" w14:textId="61A0585A" w:rsidR="007655E7" w:rsidRPr="0047462D" w:rsidRDefault="007655E7" w:rsidP="00EB5A36">
      <w:pPr>
        <w:keepNext/>
        <w:spacing w:after="120"/>
        <w:ind w:left="1134" w:hanging="1134"/>
        <w:rPr>
          <w:b/>
        </w:rPr>
      </w:pPr>
      <w:r w:rsidRPr="0047462D">
        <w:rPr>
          <w:b/>
        </w:rPr>
        <w:t>Πίνακας </w:t>
      </w:r>
      <w:r w:rsidR="00572599" w:rsidRPr="00F93ECE">
        <w:rPr>
          <w:b/>
        </w:rPr>
        <w:t>4</w:t>
      </w:r>
      <w:r w:rsidRPr="0047462D">
        <w:rPr>
          <w:b/>
        </w:rPr>
        <w:t>: Επίδραση του ivacaftor σε άλλα τελικά σημεία αποτελεσματικότητας στις μελέτες</w:t>
      </w:r>
      <w:r w:rsidR="00B95B43" w:rsidRPr="0047462D">
        <w:rPr>
          <w:b/>
        </w:rPr>
        <w:t xml:space="preserve"> </w:t>
      </w:r>
      <w:r w:rsidRPr="0047462D">
        <w:rPr>
          <w:b/>
        </w:rPr>
        <w:t>1</w:t>
      </w:r>
      <w:r w:rsidR="00B21FDE" w:rsidRPr="0047462D">
        <w:rPr>
          <w:b/>
        </w:rPr>
        <w:t xml:space="preserve"> </w:t>
      </w:r>
      <w:r w:rsidRPr="0047462D">
        <w:rPr>
          <w:b/>
        </w:rPr>
        <w:t>και 2</w:t>
      </w:r>
    </w:p>
    <w:tbl>
      <w:tblPr>
        <w:tblW w:w="9287" w:type="dxa"/>
        <w:tblLayout w:type="fixed"/>
        <w:tblLook w:val="0000" w:firstRow="0" w:lastRow="0" w:firstColumn="0" w:lastColumn="0" w:noHBand="0" w:noVBand="0"/>
      </w:tblPr>
      <w:tblGrid>
        <w:gridCol w:w="2594"/>
        <w:gridCol w:w="1854"/>
        <w:gridCol w:w="1339"/>
        <w:gridCol w:w="1854"/>
        <w:gridCol w:w="1646"/>
      </w:tblGrid>
      <w:tr w:rsidR="007655E7" w:rsidRPr="0047462D" w14:paraId="252F6589" w14:textId="77777777" w:rsidTr="00EB5A36">
        <w:trPr>
          <w:trHeight w:val="210"/>
          <w:tblHeader/>
        </w:trPr>
        <w:tc>
          <w:tcPr>
            <w:tcW w:w="2594" w:type="dxa"/>
            <w:tcBorders>
              <w:top w:val="single" w:sz="4" w:space="0" w:color="auto"/>
              <w:left w:val="single" w:sz="4" w:space="0" w:color="auto"/>
              <w:right w:val="single" w:sz="4" w:space="0" w:color="auto"/>
            </w:tcBorders>
            <w:shd w:val="clear" w:color="auto" w:fill="auto"/>
          </w:tcPr>
          <w:p w14:paraId="0BFC342C" w14:textId="77777777" w:rsidR="007655E7" w:rsidRPr="0047462D" w:rsidRDefault="007655E7" w:rsidP="00EB5A36">
            <w:pPr>
              <w:pStyle w:val="tabletextcenterjustified"/>
              <w:keepNext/>
              <w:snapToGrid w:val="0"/>
              <w:spacing w:before="0" w:after="120"/>
              <w:jc w:val="left"/>
              <w:rPr>
                <w:b/>
                <w:bCs/>
                <w:sz w:val="22"/>
                <w:szCs w:val="22"/>
                <w:lang w:val="el-GR" w:eastAsia="en-GB"/>
              </w:rPr>
            </w:pPr>
          </w:p>
        </w:tc>
        <w:tc>
          <w:tcPr>
            <w:tcW w:w="3193" w:type="dxa"/>
            <w:gridSpan w:val="2"/>
            <w:tcBorders>
              <w:top w:val="single" w:sz="4" w:space="0" w:color="auto"/>
              <w:left w:val="single" w:sz="4" w:space="0" w:color="auto"/>
              <w:bottom w:val="single" w:sz="4" w:space="0" w:color="auto"/>
            </w:tcBorders>
            <w:shd w:val="clear" w:color="auto" w:fill="auto"/>
          </w:tcPr>
          <w:p w14:paraId="656A3B4D"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Μελέτη 1</w:t>
            </w:r>
          </w:p>
        </w:tc>
        <w:tc>
          <w:tcPr>
            <w:tcW w:w="3500" w:type="dxa"/>
            <w:gridSpan w:val="2"/>
            <w:tcBorders>
              <w:top w:val="single" w:sz="4" w:space="0" w:color="auto"/>
              <w:bottom w:val="single" w:sz="4" w:space="0" w:color="auto"/>
              <w:right w:val="single" w:sz="4" w:space="0" w:color="auto"/>
            </w:tcBorders>
            <w:shd w:val="clear" w:color="auto" w:fill="auto"/>
          </w:tcPr>
          <w:p w14:paraId="3771D61A"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Μελέτη 2</w:t>
            </w:r>
          </w:p>
        </w:tc>
      </w:tr>
      <w:tr w:rsidR="007655E7" w:rsidRPr="0047462D" w14:paraId="239770CB" w14:textId="77777777" w:rsidTr="00EB5A36">
        <w:trPr>
          <w:trHeight w:val="565"/>
          <w:tblHeader/>
        </w:trPr>
        <w:tc>
          <w:tcPr>
            <w:tcW w:w="2594" w:type="dxa"/>
            <w:tcBorders>
              <w:left w:val="single" w:sz="4" w:space="0" w:color="auto"/>
              <w:bottom w:val="single" w:sz="4" w:space="0" w:color="auto"/>
              <w:right w:val="single" w:sz="4" w:space="0" w:color="auto"/>
            </w:tcBorders>
            <w:shd w:val="clear" w:color="auto" w:fill="auto"/>
            <w:vAlign w:val="bottom"/>
          </w:tcPr>
          <w:p w14:paraId="2656F431" w14:textId="77777777" w:rsidR="007655E7" w:rsidRPr="0047462D" w:rsidRDefault="007655E7" w:rsidP="00EB5A36">
            <w:pPr>
              <w:pStyle w:val="tabletextleftjustified"/>
              <w:keepNext/>
              <w:spacing w:before="0" w:after="120"/>
              <w:rPr>
                <w:rFonts w:eastAsia="Times New Roman"/>
                <w:b/>
                <w:bCs/>
                <w:sz w:val="22"/>
                <w:szCs w:val="22"/>
                <w:lang w:val="el-GR"/>
              </w:rPr>
            </w:pPr>
            <w:r w:rsidRPr="0047462D">
              <w:rPr>
                <w:rFonts w:eastAsia="Times New Roman"/>
                <w:b/>
                <w:bCs/>
                <w:sz w:val="22"/>
                <w:szCs w:val="22"/>
                <w:lang w:val="el-GR"/>
              </w:rPr>
              <w:t>Τελικό σημείο</w:t>
            </w:r>
          </w:p>
        </w:tc>
        <w:tc>
          <w:tcPr>
            <w:tcW w:w="1854" w:type="dxa"/>
            <w:tcBorders>
              <w:top w:val="single" w:sz="4" w:space="0" w:color="auto"/>
              <w:left w:val="single" w:sz="4" w:space="0" w:color="auto"/>
              <w:bottom w:val="single" w:sz="4" w:space="0" w:color="auto"/>
            </w:tcBorders>
            <w:shd w:val="clear" w:color="auto" w:fill="auto"/>
            <w:vAlign w:val="bottom"/>
          </w:tcPr>
          <w:p w14:paraId="70E2B0D9"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43A765C0"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339" w:type="dxa"/>
            <w:tcBorders>
              <w:top w:val="single" w:sz="4" w:space="0" w:color="auto"/>
              <w:bottom w:val="single" w:sz="4" w:space="0" w:color="auto"/>
            </w:tcBorders>
            <w:shd w:val="clear" w:color="auto" w:fill="auto"/>
            <w:vAlign w:val="bottom"/>
          </w:tcPr>
          <w:p w14:paraId="07F74667"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Τιμή P</w:t>
            </w:r>
          </w:p>
        </w:tc>
        <w:tc>
          <w:tcPr>
            <w:tcW w:w="1854" w:type="dxa"/>
            <w:tcBorders>
              <w:top w:val="single" w:sz="4" w:space="0" w:color="auto"/>
              <w:bottom w:val="single" w:sz="4" w:space="0" w:color="auto"/>
            </w:tcBorders>
            <w:shd w:val="clear" w:color="auto" w:fill="auto"/>
            <w:vAlign w:val="bottom"/>
          </w:tcPr>
          <w:p w14:paraId="3454941E"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2BC30D4E"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646" w:type="dxa"/>
            <w:tcBorders>
              <w:top w:val="single" w:sz="4" w:space="0" w:color="auto"/>
              <w:bottom w:val="single" w:sz="4" w:space="0" w:color="auto"/>
              <w:right w:val="single" w:sz="4" w:space="0" w:color="auto"/>
            </w:tcBorders>
            <w:shd w:val="clear" w:color="auto" w:fill="auto"/>
            <w:vAlign w:val="bottom"/>
          </w:tcPr>
          <w:p w14:paraId="74E22AF8"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Τιμή P</w:t>
            </w:r>
          </w:p>
        </w:tc>
      </w:tr>
      <w:tr w:rsidR="007655E7" w:rsidRPr="0047462D" w14:paraId="33E461DB" w14:textId="77777777" w:rsidTr="00EB5A36">
        <w:trPr>
          <w:trHeight w:val="210"/>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03CEE99A"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 xml:space="preserve">Μέση απόλυτη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από την τιμή αναφοράς στ</w:t>
            </w:r>
            <w:r w:rsidRPr="0047462D">
              <w:rPr>
                <w:b/>
                <w:bCs/>
                <w:sz w:val="22"/>
                <w:szCs w:val="22"/>
                <w:lang w:val="el-GR"/>
              </w:rPr>
              <w:t>η</w:t>
            </w:r>
            <w:r w:rsidRPr="0047462D">
              <w:rPr>
                <w:rFonts w:eastAsia="Times New Roman"/>
                <w:b/>
                <w:bCs/>
                <w:sz w:val="22"/>
                <w:szCs w:val="22"/>
                <w:lang w:val="el-GR"/>
              </w:rPr>
              <w:t xml:space="preserve"> βαθμολογία του αναπνευστικού τομέα του CFQ-R</w:t>
            </w:r>
            <w:r w:rsidRPr="0047462D">
              <w:rPr>
                <w:rFonts w:eastAsia="Times New Roman"/>
                <w:b/>
                <w:bCs/>
                <w:sz w:val="22"/>
                <w:szCs w:val="22"/>
                <w:vertAlign w:val="superscript"/>
                <w:lang w:val="el-GR"/>
              </w:rPr>
              <w:t>β</w:t>
            </w:r>
            <w:r w:rsidRPr="0047462D">
              <w:rPr>
                <w:rFonts w:eastAsia="Times New Roman"/>
                <w:b/>
                <w:bCs/>
                <w:sz w:val="22"/>
                <w:szCs w:val="22"/>
                <w:lang w:val="el-GR"/>
              </w:rPr>
              <w:t xml:space="preserve"> (μονάδες)</w:t>
            </w:r>
            <w:r w:rsidRPr="0047462D">
              <w:rPr>
                <w:rFonts w:eastAsia="Times New Roman"/>
                <w:b/>
                <w:bCs/>
                <w:sz w:val="22"/>
                <w:szCs w:val="22"/>
                <w:vertAlign w:val="superscript"/>
                <w:lang w:val="el-GR"/>
              </w:rPr>
              <w:t>γ</w:t>
            </w:r>
          </w:p>
        </w:tc>
      </w:tr>
      <w:tr w:rsidR="007655E7" w:rsidRPr="0047462D" w14:paraId="2D305A39"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5B8AEF24" w14:textId="5B85E570" w:rsidR="007655E7" w:rsidRPr="0047462D" w:rsidRDefault="007655E7" w:rsidP="00EB5A36">
            <w:pPr>
              <w:pStyle w:val="tabletextleftjustified"/>
              <w:keepNext/>
              <w:spacing w:before="0" w:after="120"/>
              <w:rPr>
                <w:sz w:val="22"/>
                <w:szCs w:val="22"/>
                <w:lang w:val="el-GR" w:eastAsia="en-GB"/>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C051715" w14:textId="77777777" w:rsidR="007655E7" w:rsidRPr="0047462D" w:rsidRDefault="007655E7" w:rsidP="00EB5A36">
            <w:pPr>
              <w:pStyle w:val="tabletextcenterjustified"/>
              <w:keepNext/>
              <w:spacing w:before="0" w:after="120"/>
              <w:rPr>
                <w:sz w:val="22"/>
                <w:szCs w:val="22"/>
                <w:lang w:eastAsia="en-GB"/>
              </w:rPr>
            </w:pPr>
            <w:r w:rsidRPr="0047462D">
              <w:rPr>
                <w:sz w:val="22"/>
                <w:szCs w:val="22"/>
                <w:lang w:val="el-GR" w:eastAsia="en-GB"/>
              </w:rPr>
              <w:t>8,1</w:t>
            </w:r>
          </w:p>
          <w:p w14:paraId="6A538D1E"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(4,7, 11,4)</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2259A7EB"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648BAB0D" w14:textId="77777777" w:rsidR="007655E7" w:rsidRPr="0047462D" w:rsidRDefault="007655E7" w:rsidP="00EB5A36">
            <w:pPr>
              <w:pStyle w:val="tabletextcenterjustified"/>
              <w:keepNext/>
              <w:spacing w:before="0" w:after="120"/>
              <w:rPr>
                <w:sz w:val="22"/>
                <w:szCs w:val="22"/>
                <w:lang w:eastAsia="en-GB"/>
              </w:rPr>
            </w:pPr>
            <w:r w:rsidRPr="0047462D">
              <w:rPr>
                <w:sz w:val="22"/>
                <w:szCs w:val="22"/>
                <w:lang w:val="el-GR" w:eastAsia="en-GB"/>
              </w:rPr>
              <w:t>6,1</w:t>
            </w:r>
          </w:p>
          <w:p w14:paraId="5D2DF2E7"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w:t>
            </w:r>
            <w:r w:rsidRPr="0047462D">
              <w:rPr>
                <w:sz w:val="22"/>
                <w:szCs w:val="22"/>
                <w:lang w:val="el-GR" w:eastAsia="en-GB"/>
              </w:rPr>
              <w:noBreakHyphen/>
              <w:t>1,4, 13,5)</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46CC784F"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0,1092</w:t>
            </w:r>
          </w:p>
        </w:tc>
      </w:tr>
      <w:tr w:rsidR="007655E7" w:rsidRPr="0047462D" w14:paraId="7A3AAB7F" w14:textId="77777777" w:rsidTr="00EB5A36">
        <w:trPr>
          <w:trHeight w:val="377"/>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33020949" w14:textId="3ABFE6EF"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02B016B" w14:textId="77777777" w:rsidR="007655E7" w:rsidRPr="0047462D" w:rsidRDefault="007655E7" w:rsidP="00EB5A36">
            <w:pPr>
              <w:pStyle w:val="tabletextcenterjustified"/>
              <w:spacing w:before="0" w:after="120"/>
              <w:rPr>
                <w:sz w:val="22"/>
                <w:szCs w:val="22"/>
              </w:rPr>
            </w:pPr>
            <w:r w:rsidRPr="0047462D">
              <w:rPr>
                <w:sz w:val="22"/>
                <w:szCs w:val="22"/>
                <w:lang w:val="el-GR"/>
              </w:rPr>
              <w:t>8,6</w:t>
            </w:r>
          </w:p>
          <w:p w14:paraId="3CE26626"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rPr>
              <w:t>(5,3, 11,9)</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54759872"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3E6622AF"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5,1</w:t>
            </w:r>
          </w:p>
          <w:p w14:paraId="6F4D622C"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(-1,6, 11,8)</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06BC2095" w14:textId="77777777" w:rsidR="007655E7" w:rsidRPr="0047462D" w:rsidRDefault="007655E7" w:rsidP="00EB5A36">
            <w:pPr>
              <w:pStyle w:val="tabletextcenterjustified"/>
              <w:spacing w:before="0" w:after="120"/>
              <w:rPr>
                <w:rFonts w:eastAsia="Times New Roman"/>
                <w:b/>
                <w:bCs/>
                <w:sz w:val="22"/>
                <w:szCs w:val="22"/>
                <w:lang w:val="el-GR"/>
              </w:rPr>
            </w:pPr>
            <w:r w:rsidRPr="0047462D">
              <w:rPr>
                <w:sz w:val="22"/>
                <w:szCs w:val="22"/>
                <w:lang w:val="el-GR" w:eastAsia="en-GB"/>
              </w:rPr>
              <w:t>0,1354</w:t>
            </w:r>
          </w:p>
        </w:tc>
      </w:tr>
      <w:tr w:rsidR="007655E7" w:rsidRPr="0047462D" w14:paraId="1592170A" w14:textId="77777777" w:rsidTr="00EB5A36">
        <w:trPr>
          <w:trHeight w:val="199"/>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37D23042"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Σχετικός κίνδυνος πνευμονικής παρόξυνσης</w:t>
            </w:r>
          </w:p>
        </w:tc>
      </w:tr>
      <w:tr w:rsidR="007655E7" w:rsidRPr="0047462D" w14:paraId="40B69AFF" w14:textId="77777777" w:rsidTr="00EB5A36">
        <w:trPr>
          <w:trHeight w:val="210"/>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208AA3EA" w14:textId="6F0B3238"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01BF1437" w14:textId="77777777" w:rsidR="007655E7" w:rsidRPr="0047462D" w:rsidRDefault="007655E7" w:rsidP="00EB5A36">
            <w:pPr>
              <w:pStyle w:val="tabletextcenterjustified"/>
              <w:keepNext/>
              <w:spacing w:before="0" w:after="120"/>
              <w:rPr>
                <w:sz w:val="22"/>
                <w:szCs w:val="22"/>
                <w:lang w:val="el-GR"/>
              </w:rPr>
            </w:pPr>
            <w:r w:rsidRPr="0047462D">
              <w:rPr>
                <w:rFonts w:eastAsia="Times New Roman"/>
                <w:sz w:val="22"/>
                <w:szCs w:val="22"/>
                <w:lang w:val="el-GR"/>
              </w:rPr>
              <w:t>0,40</w:t>
            </w:r>
            <w:r w:rsidRPr="0047462D">
              <w:rPr>
                <w:rFonts w:eastAsia="Times New Roman"/>
                <w:sz w:val="22"/>
                <w:szCs w:val="22"/>
                <w:vertAlign w:val="superscript"/>
                <w:lang w:val="el-GR"/>
              </w:rPr>
              <w:t>δ</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1A772B0B"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rPr>
              <w:t>0,0016</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68BB0D27"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rFonts w:eastAsia="Times New Roman"/>
                <w:sz w:val="22"/>
                <w:szCs w:val="22"/>
                <w:lang w:val="el-GR"/>
              </w:rPr>
              <w:t>Δ.Α.</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6AF47EF0"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rFonts w:eastAsia="Times New Roman"/>
                <w:sz w:val="22"/>
                <w:szCs w:val="22"/>
                <w:lang w:val="el-GR"/>
              </w:rPr>
              <w:t>Δ.Α.</w:t>
            </w:r>
          </w:p>
        </w:tc>
      </w:tr>
      <w:tr w:rsidR="007655E7" w:rsidRPr="0047462D" w14:paraId="5E4C401D" w14:textId="77777777" w:rsidTr="00EB5A36">
        <w:trPr>
          <w:trHeight w:val="199"/>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3865125C" w14:textId="1B926E8E"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87E3894" w14:textId="77777777" w:rsidR="007655E7" w:rsidRPr="0047462D" w:rsidRDefault="007655E7" w:rsidP="00EB5A36">
            <w:pPr>
              <w:pStyle w:val="tabletextcenterjustified"/>
              <w:spacing w:before="0" w:after="120"/>
              <w:rPr>
                <w:sz w:val="22"/>
                <w:szCs w:val="22"/>
                <w:lang w:val="el-GR" w:eastAsia="en-GB"/>
              </w:rPr>
            </w:pPr>
            <w:r w:rsidRPr="0047462D">
              <w:rPr>
                <w:rFonts w:eastAsia="Times New Roman"/>
                <w:sz w:val="22"/>
                <w:szCs w:val="22"/>
                <w:lang w:val="el-GR"/>
              </w:rPr>
              <w:t>0,46</w:t>
            </w:r>
            <w:r w:rsidRPr="0047462D">
              <w:rPr>
                <w:rFonts w:eastAsia="Times New Roman"/>
                <w:sz w:val="22"/>
                <w:szCs w:val="22"/>
                <w:vertAlign w:val="superscript"/>
                <w:lang w:val="el-GR"/>
              </w:rPr>
              <w:t>δ</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3D4D417C" w14:textId="77777777" w:rsidR="007655E7" w:rsidRPr="0047462D" w:rsidRDefault="007655E7" w:rsidP="00EB5A36">
            <w:pPr>
              <w:pStyle w:val="tabletextcenterjustified"/>
              <w:spacing w:before="0" w:after="120"/>
              <w:rPr>
                <w:rFonts w:eastAsia="Times New Roman"/>
                <w:sz w:val="22"/>
                <w:szCs w:val="22"/>
                <w:lang w:val="el-GR"/>
              </w:rPr>
            </w:pPr>
            <w:r w:rsidRPr="0047462D">
              <w:rPr>
                <w:sz w:val="22"/>
                <w:szCs w:val="22"/>
                <w:lang w:val="el-GR" w:eastAsia="en-GB"/>
              </w:rPr>
              <w:t>0,0012</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57D602F8" w14:textId="77777777" w:rsidR="007655E7" w:rsidRPr="0047462D" w:rsidRDefault="007655E7" w:rsidP="00EB5A36">
            <w:pPr>
              <w:pStyle w:val="tabletextcenterjustified"/>
              <w:spacing w:before="0" w:after="120"/>
              <w:rPr>
                <w:rFonts w:eastAsia="Times New Roman"/>
                <w:sz w:val="22"/>
                <w:szCs w:val="22"/>
                <w:lang w:val="el-GR"/>
              </w:rPr>
            </w:pPr>
            <w:r w:rsidRPr="0047462D">
              <w:rPr>
                <w:rFonts w:eastAsia="Times New Roman"/>
                <w:sz w:val="22"/>
                <w:szCs w:val="22"/>
                <w:lang w:val="el-GR"/>
              </w:rPr>
              <w:t>Δ.Α.</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483CC487" w14:textId="77777777" w:rsidR="007655E7" w:rsidRPr="0047462D" w:rsidRDefault="007655E7" w:rsidP="00EB5A36">
            <w:pPr>
              <w:pStyle w:val="tabletextcenterjustified"/>
              <w:spacing w:before="0" w:after="120"/>
              <w:rPr>
                <w:rFonts w:eastAsia="Times New Roman"/>
                <w:b/>
                <w:bCs/>
                <w:sz w:val="22"/>
                <w:szCs w:val="22"/>
                <w:lang w:val="el-GR"/>
              </w:rPr>
            </w:pPr>
            <w:r w:rsidRPr="0047462D">
              <w:rPr>
                <w:rFonts w:eastAsia="Times New Roman"/>
                <w:sz w:val="22"/>
                <w:szCs w:val="22"/>
                <w:lang w:val="el-GR"/>
              </w:rPr>
              <w:t>Δ.Α.</w:t>
            </w:r>
          </w:p>
        </w:tc>
      </w:tr>
      <w:tr w:rsidR="007655E7" w:rsidRPr="0047462D" w14:paraId="15F83B1D" w14:textId="77777777" w:rsidTr="00EB5A36">
        <w:trPr>
          <w:trHeight w:val="210"/>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2E4486E8"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 xml:space="preserve">Μέση απόλυτη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από την τιμή αναφοράς στο σωματικό βάρος (kg)</w:t>
            </w:r>
          </w:p>
        </w:tc>
      </w:tr>
      <w:tr w:rsidR="007655E7" w:rsidRPr="0047462D" w14:paraId="6DA08DA0" w14:textId="77777777" w:rsidTr="00EB5A36">
        <w:trPr>
          <w:trHeight w:val="377"/>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6F00904A" w14:textId="5BA7F9C1"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03AC4F0A" w14:textId="77777777" w:rsidR="007655E7" w:rsidRPr="0047462D" w:rsidRDefault="007655E7" w:rsidP="00EB5A36">
            <w:pPr>
              <w:pStyle w:val="tabletextcenterjustified"/>
              <w:keepNext/>
              <w:spacing w:before="0" w:after="120"/>
              <w:rPr>
                <w:sz w:val="22"/>
                <w:szCs w:val="22"/>
              </w:rPr>
            </w:pPr>
            <w:r w:rsidRPr="0047462D">
              <w:rPr>
                <w:sz w:val="22"/>
                <w:szCs w:val="22"/>
                <w:lang w:val="el-GR"/>
              </w:rPr>
              <w:t>2,8</w:t>
            </w:r>
          </w:p>
          <w:p w14:paraId="0460D255"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(1,8, 3,7)</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1171B3FD"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&lt;</w:t>
            </w:r>
            <w:r w:rsidR="00B01BD4" w:rsidRPr="0047462D">
              <w:rPr>
                <w:sz w:val="22"/>
                <w:szCs w:val="22"/>
              </w:rPr>
              <w:t> </w:t>
            </w:r>
            <w:r w:rsidRPr="0047462D">
              <w:rPr>
                <w:sz w:val="22"/>
                <w:szCs w:val="22"/>
                <w:lang w:val="el-GR"/>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5212B1B9" w14:textId="77777777" w:rsidR="007655E7" w:rsidRPr="0047462D" w:rsidRDefault="007655E7" w:rsidP="00EB5A36">
            <w:pPr>
              <w:pStyle w:val="tabletextcenterjustified"/>
              <w:keepNext/>
              <w:spacing w:before="0" w:after="120"/>
              <w:rPr>
                <w:sz w:val="22"/>
                <w:szCs w:val="22"/>
              </w:rPr>
            </w:pPr>
            <w:r w:rsidRPr="0047462D">
              <w:rPr>
                <w:sz w:val="22"/>
                <w:szCs w:val="22"/>
                <w:lang w:val="el-GR"/>
              </w:rPr>
              <w:t>1,9</w:t>
            </w:r>
          </w:p>
          <w:p w14:paraId="3238E49E"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(0,9, 2,9)</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4BA75624"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0,0004</w:t>
            </w:r>
          </w:p>
        </w:tc>
      </w:tr>
      <w:tr w:rsidR="007655E7" w:rsidRPr="0047462D" w14:paraId="2234ED72"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43661834" w14:textId="5625357B"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3EBB5E14"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rPr>
              <w:t>2,7</w:t>
            </w:r>
            <w:r w:rsidRPr="0047462D">
              <w:rPr>
                <w:sz w:val="22"/>
                <w:szCs w:val="22"/>
                <w:lang w:val="el-GR"/>
              </w:rPr>
              <w:br/>
              <w:t>(1,3, 4,1)</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35150147"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01DEDCBC"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2,8</w:t>
            </w:r>
          </w:p>
          <w:p w14:paraId="5DC6C6E7"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(1,3, 4,2)</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2DC96503" w14:textId="77777777" w:rsidR="007655E7" w:rsidRPr="0047462D" w:rsidRDefault="007655E7" w:rsidP="00EB5A36">
            <w:pPr>
              <w:pStyle w:val="tabletextcenterjustified"/>
              <w:spacing w:before="0" w:after="120"/>
              <w:rPr>
                <w:rFonts w:eastAsia="Times New Roman"/>
                <w:b/>
                <w:bCs/>
                <w:sz w:val="22"/>
                <w:szCs w:val="22"/>
                <w:lang w:val="el-GR"/>
              </w:rPr>
            </w:pPr>
            <w:r w:rsidRPr="0047462D">
              <w:rPr>
                <w:sz w:val="22"/>
                <w:szCs w:val="22"/>
                <w:lang w:val="el-GR" w:eastAsia="en-GB"/>
              </w:rPr>
              <w:t>0,0002</w:t>
            </w:r>
          </w:p>
        </w:tc>
      </w:tr>
      <w:tr w:rsidR="007655E7" w:rsidRPr="0047462D" w14:paraId="26F7A2CC"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63860195"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 xml:space="preserve">Μέση απόλυτη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από την τιμή αναφοράς στο δείκτη μάζας του σώματος (kg/m</w:t>
            </w:r>
            <w:r w:rsidRPr="0047462D">
              <w:rPr>
                <w:rFonts w:eastAsia="Times New Roman"/>
                <w:b/>
                <w:bCs/>
                <w:sz w:val="22"/>
                <w:szCs w:val="22"/>
                <w:vertAlign w:val="superscript"/>
                <w:lang w:val="el-GR"/>
              </w:rPr>
              <w:t>2</w:t>
            </w:r>
            <w:r w:rsidRPr="0047462D">
              <w:rPr>
                <w:rFonts w:eastAsia="Times New Roman"/>
                <w:b/>
                <w:bCs/>
                <w:sz w:val="22"/>
                <w:szCs w:val="22"/>
                <w:lang w:val="el-GR"/>
              </w:rPr>
              <w:t>)</w:t>
            </w:r>
          </w:p>
        </w:tc>
      </w:tr>
      <w:tr w:rsidR="007655E7" w:rsidRPr="0047462D" w14:paraId="6897DE1A"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052D34A5" w14:textId="6C819DC0"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32494AD3"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0,94</w:t>
            </w:r>
          </w:p>
          <w:p w14:paraId="40C852ED"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rPr>
              <w:t>(0,62, 1,26)</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60221281"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62CD8D9"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0,81</w:t>
            </w:r>
          </w:p>
          <w:p w14:paraId="5187CB95"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(0,34, 1,28)</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6199E94B"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0,0008</w:t>
            </w:r>
          </w:p>
        </w:tc>
      </w:tr>
      <w:tr w:rsidR="007655E7" w:rsidRPr="0047462D" w14:paraId="7E930657"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25306EF4" w14:textId="438DC86F"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4E1D4282"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0,93</w:t>
            </w:r>
          </w:p>
          <w:p w14:paraId="538D5416"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rPr>
              <w:t>(0,48, 1,38)</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6FDFA82E"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243E4E5"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1,09</w:t>
            </w:r>
          </w:p>
          <w:p w14:paraId="31B10C85"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(0,51, 1,67)</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703A105F"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0,0003</w:t>
            </w:r>
          </w:p>
        </w:tc>
      </w:tr>
      <w:tr w:rsidR="007655E7" w:rsidRPr="0047462D" w14:paraId="39DA3AAB"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6967454B" w14:textId="77777777" w:rsidR="007655E7" w:rsidRPr="0047462D" w:rsidRDefault="007655E7" w:rsidP="00EB5A36">
            <w:pPr>
              <w:pStyle w:val="tabletextcenterjustified"/>
              <w:keepNext/>
              <w:spacing w:before="0" w:after="120"/>
              <w:jc w:val="left"/>
              <w:rPr>
                <w:sz w:val="22"/>
                <w:szCs w:val="22"/>
                <w:lang w:val="el-GR" w:eastAsia="en-GB"/>
              </w:rPr>
            </w:pPr>
            <w:r w:rsidRPr="0047462D">
              <w:rPr>
                <w:rFonts w:eastAsia="Times New Roman"/>
                <w:b/>
                <w:bCs/>
                <w:sz w:val="22"/>
                <w:szCs w:val="22"/>
                <w:lang w:val="el-GR"/>
              </w:rPr>
              <w:t xml:space="preserve">Μέση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 xml:space="preserve">από την τιμή αναφοράς στις βαθμολογίες </w:t>
            </w:r>
            <w:r w:rsidRPr="0047462D">
              <w:rPr>
                <w:rFonts w:eastAsia="Times New Roman"/>
                <w:b/>
                <w:bCs/>
                <w:sz w:val="22"/>
                <w:szCs w:val="22"/>
              </w:rPr>
              <w:t>z</w:t>
            </w:r>
          </w:p>
        </w:tc>
      </w:tr>
      <w:tr w:rsidR="007655E7" w:rsidRPr="0047462D" w14:paraId="15B52820"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04098598" w14:textId="314F2391"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βάρους για την ηλικία την εβδομάδα</w:t>
            </w:r>
            <w:r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C56D907" w14:textId="77777777" w:rsidR="007655E7" w:rsidRPr="0047462D" w:rsidRDefault="007655E7" w:rsidP="00EB5A36">
            <w:pPr>
              <w:pStyle w:val="tabletextcenterjustified"/>
              <w:spacing w:before="0" w:after="120"/>
              <w:rPr>
                <w:sz w:val="22"/>
                <w:szCs w:val="22"/>
              </w:rPr>
            </w:pPr>
            <w:r w:rsidRPr="0047462D">
              <w:rPr>
                <w:sz w:val="22"/>
                <w:szCs w:val="22"/>
              </w:rPr>
              <w:t>0,33</w:t>
            </w:r>
          </w:p>
          <w:p w14:paraId="2AD0E651"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rPr>
              <w:t>(0,04, 0,62)</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2B20862C" w14:textId="77777777" w:rsidR="007655E7" w:rsidRPr="0047462D" w:rsidRDefault="007655E7" w:rsidP="00EB5A36">
            <w:pPr>
              <w:pStyle w:val="tabletextcenterjustified"/>
              <w:keepNext/>
              <w:spacing w:before="0" w:after="120"/>
              <w:rPr>
                <w:sz w:val="22"/>
                <w:szCs w:val="22"/>
                <w:lang w:eastAsia="en-GB"/>
              </w:rPr>
            </w:pPr>
            <w:r w:rsidRPr="0047462D">
              <w:rPr>
                <w:sz w:val="22"/>
                <w:szCs w:val="22"/>
                <w:lang w:val="el-GR" w:eastAsia="en-GB"/>
              </w:rPr>
              <w:t>0,</w:t>
            </w:r>
            <w:r w:rsidRPr="0047462D">
              <w:rPr>
                <w:sz w:val="22"/>
                <w:szCs w:val="22"/>
                <w:lang w:eastAsia="en-GB"/>
              </w:rPr>
              <w:t>0260</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9C80A2C" w14:textId="77777777" w:rsidR="007655E7" w:rsidRPr="0047462D" w:rsidRDefault="007655E7" w:rsidP="00EB5A36">
            <w:pPr>
              <w:pStyle w:val="tabletextcenterjustified"/>
              <w:spacing w:before="0" w:after="120"/>
              <w:rPr>
                <w:sz w:val="22"/>
                <w:szCs w:val="22"/>
                <w:lang w:eastAsia="en-GB"/>
              </w:rPr>
            </w:pPr>
            <w:r w:rsidRPr="0047462D">
              <w:rPr>
                <w:sz w:val="22"/>
                <w:szCs w:val="22"/>
                <w:lang w:eastAsia="en-GB"/>
              </w:rPr>
              <w:t>0,39</w:t>
            </w:r>
          </w:p>
          <w:p w14:paraId="2A3AF8B3"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eastAsia="en-GB"/>
              </w:rPr>
              <w:t>(0,24, 0,53)</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3363C624"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eastAsia="en-GB"/>
              </w:rPr>
              <w:t>&lt;</w:t>
            </w:r>
            <w:r w:rsidR="00B01BD4" w:rsidRPr="0047462D">
              <w:rPr>
                <w:sz w:val="22"/>
                <w:szCs w:val="22"/>
                <w:lang w:eastAsia="en-GB"/>
              </w:rPr>
              <w:t> </w:t>
            </w:r>
            <w:r w:rsidRPr="0047462D">
              <w:rPr>
                <w:sz w:val="22"/>
                <w:szCs w:val="22"/>
                <w:lang w:eastAsia="en-GB"/>
              </w:rPr>
              <w:t>0,0001</w:t>
            </w:r>
          </w:p>
        </w:tc>
      </w:tr>
      <w:tr w:rsidR="007655E7" w:rsidRPr="0047462D" w14:paraId="6E5BD927" w14:textId="77777777" w:rsidTr="00EB5A36">
        <w:trPr>
          <w:trHeight w:val="1011"/>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61D10D51" w14:textId="441431F7"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δείκτη μάζας του σώματος (</w:t>
            </w:r>
            <w:r w:rsidRPr="0047462D">
              <w:rPr>
                <w:rFonts w:eastAsia="Times New Roman"/>
                <w:sz w:val="22"/>
                <w:szCs w:val="22"/>
              </w:rPr>
              <w:t>BMI</w:t>
            </w:r>
            <w:r w:rsidRPr="0047462D">
              <w:rPr>
                <w:rFonts w:eastAsia="Times New Roman"/>
                <w:sz w:val="22"/>
                <w:szCs w:val="22"/>
                <w:lang w:val="el-GR"/>
              </w:rPr>
              <w:t>) για την ηλικία την εβδομάδα</w:t>
            </w:r>
            <w:r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2BF8D762" w14:textId="77777777" w:rsidR="007655E7" w:rsidRPr="0047462D" w:rsidRDefault="007655E7" w:rsidP="00EB5A36">
            <w:pPr>
              <w:pStyle w:val="tabletextcenterjustified"/>
              <w:spacing w:before="0" w:after="120"/>
              <w:rPr>
                <w:sz w:val="22"/>
                <w:szCs w:val="22"/>
                <w:lang w:val="el-GR"/>
              </w:rPr>
            </w:pPr>
            <w:r w:rsidRPr="0047462D">
              <w:rPr>
                <w:sz w:val="22"/>
                <w:szCs w:val="22"/>
                <w:lang w:val="el-GR"/>
              </w:rPr>
              <w:t>0,33</w:t>
            </w:r>
          </w:p>
          <w:p w14:paraId="046BA738"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rPr>
              <w:t>(0,002, 0,65)</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30FAAFF0"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0,0490</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C3C648E"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0,45</w:t>
            </w:r>
          </w:p>
          <w:p w14:paraId="53EA514F"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(0,26, 0,65)</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5F3E269A"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r>
    </w:tbl>
    <w:p w14:paraId="207AB6C4" w14:textId="5F6A4C6F" w:rsidR="007655E7" w:rsidRPr="0047462D" w:rsidRDefault="007655E7" w:rsidP="007655E7">
      <w:pPr>
        <w:pStyle w:val="tablefootnote"/>
        <w:keepNext/>
        <w:spacing w:before="120"/>
        <w:ind w:left="86"/>
        <w:rPr>
          <w:rFonts w:eastAsia="Times New Roman"/>
          <w:sz w:val="18"/>
          <w:szCs w:val="18"/>
          <w:vertAlign w:val="superscript"/>
          <w:lang w:val="el-GR"/>
        </w:rPr>
      </w:pPr>
      <w:r w:rsidRPr="0047462D">
        <w:rPr>
          <w:rFonts w:eastAsia="Times New Roman"/>
          <w:sz w:val="18"/>
          <w:szCs w:val="18"/>
        </w:rPr>
        <w:t>CI</w:t>
      </w:r>
      <w:r w:rsidRPr="0047462D">
        <w:rPr>
          <w:rFonts w:eastAsia="Times New Roman"/>
          <w:sz w:val="18"/>
          <w:szCs w:val="18"/>
          <w:lang w:val="el-GR"/>
        </w:rPr>
        <w:t xml:space="preserve">: Διάστημα εμπιστοσύνης, Δ.Α.: Δεν αναλύθηκε λόγω χαμηλής </w:t>
      </w:r>
      <w:r w:rsidR="00BF3654" w:rsidRPr="0047462D">
        <w:rPr>
          <w:rFonts w:eastAsia="Times New Roman"/>
          <w:sz w:val="18"/>
          <w:szCs w:val="18"/>
          <w:lang w:val="el-GR"/>
        </w:rPr>
        <w:t>επίπτωσης</w:t>
      </w:r>
      <w:r w:rsidRPr="0047462D">
        <w:rPr>
          <w:rFonts w:eastAsia="Times New Roman"/>
          <w:sz w:val="18"/>
          <w:szCs w:val="18"/>
          <w:lang w:val="el-GR"/>
        </w:rPr>
        <w:t xml:space="preserve"> συμβαμάτων</w:t>
      </w:r>
    </w:p>
    <w:p w14:paraId="1EC23BEC" w14:textId="77777777" w:rsidR="007655E7" w:rsidRPr="0047462D" w:rsidRDefault="007655E7" w:rsidP="007655E7">
      <w:pPr>
        <w:pStyle w:val="tablefootnote"/>
        <w:keepNext/>
        <w:spacing w:after="40"/>
        <w:ind w:left="90"/>
        <w:rPr>
          <w:rFonts w:eastAsia="Times New Roman"/>
          <w:sz w:val="18"/>
          <w:szCs w:val="18"/>
          <w:vertAlign w:val="superscript"/>
          <w:lang w:val="el-GR"/>
        </w:rPr>
      </w:pPr>
      <w:r w:rsidRPr="0047462D">
        <w:rPr>
          <w:rFonts w:eastAsia="Times New Roman"/>
          <w:sz w:val="18"/>
          <w:szCs w:val="18"/>
          <w:vertAlign w:val="superscript"/>
          <w:lang w:val="el-GR"/>
        </w:rPr>
        <w:t>α</w:t>
      </w:r>
      <w:r w:rsidRPr="0047462D">
        <w:rPr>
          <w:rFonts w:eastAsia="Times New Roman"/>
          <w:sz w:val="18"/>
          <w:szCs w:val="18"/>
          <w:vertAlign w:val="superscript"/>
          <w:lang w:val="el-GR"/>
        </w:rPr>
        <w:tab/>
      </w:r>
      <w:r w:rsidRPr="0047462D">
        <w:rPr>
          <w:rFonts w:eastAsia="Times New Roman"/>
          <w:sz w:val="18"/>
          <w:szCs w:val="18"/>
          <w:lang w:val="el-GR"/>
        </w:rPr>
        <w:t>Διαφορά θεραπείας = επίδραση του ivacaftor – επίδραση του εικονικού φαρμάκου</w:t>
      </w:r>
    </w:p>
    <w:p w14:paraId="1C81817D" w14:textId="77777777" w:rsidR="007655E7" w:rsidRPr="0047462D" w:rsidRDefault="007655E7" w:rsidP="007655E7">
      <w:pPr>
        <w:pStyle w:val="tablefootnote"/>
        <w:keepNext/>
        <w:tabs>
          <w:tab w:val="clear" w:pos="288"/>
          <w:tab w:val="left" w:pos="90"/>
        </w:tabs>
        <w:spacing w:after="40"/>
        <w:ind w:left="272" w:hanging="524"/>
        <w:rPr>
          <w:rFonts w:eastAsia="Times New Roman"/>
          <w:sz w:val="18"/>
          <w:szCs w:val="18"/>
          <w:lang w:val="el-GR"/>
        </w:rPr>
      </w:pPr>
      <w:r w:rsidRPr="0047462D">
        <w:rPr>
          <w:rFonts w:eastAsia="Times New Roman"/>
          <w:sz w:val="18"/>
          <w:szCs w:val="18"/>
          <w:vertAlign w:val="superscript"/>
          <w:lang w:val="el-GR"/>
        </w:rPr>
        <w:tab/>
        <w:t>β</w:t>
      </w:r>
      <w:r w:rsidRPr="0047462D">
        <w:rPr>
          <w:rFonts w:eastAsia="Times New Roman"/>
          <w:sz w:val="18"/>
          <w:szCs w:val="18"/>
          <w:lang w:val="el-GR"/>
        </w:rPr>
        <w:tab/>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sz w:val="18"/>
          <w:szCs w:val="18"/>
          <w:lang w:val="el-GR" w:eastAsia="ja-JP"/>
        </w:rPr>
        <w:t xml:space="preserve">: </w:t>
      </w:r>
      <w:r w:rsidRPr="0047462D">
        <w:rPr>
          <w:rFonts w:eastAsia="Times New Roman"/>
          <w:sz w:val="18"/>
          <w:szCs w:val="18"/>
          <w:lang w:val="el-GR"/>
        </w:rPr>
        <w:t>Ερωτηματολόγιο Κυστικής Ίνωσης-Αναθεωρημένο, μια ειδική για τη νόσο, σχετιζόμενη με την υγεία μέτρηση ποιότητας ζωής για την ΚΙ.</w:t>
      </w:r>
    </w:p>
    <w:p w14:paraId="2F514718" w14:textId="77777777" w:rsidR="007655E7" w:rsidRPr="0047462D" w:rsidRDefault="007655E7" w:rsidP="007655E7">
      <w:pPr>
        <w:pStyle w:val="tablefootnotelast"/>
        <w:keepNext/>
        <w:tabs>
          <w:tab w:val="clear" w:pos="288"/>
          <w:tab w:val="left" w:pos="90"/>
        </w:tabs>
        <w:spacing w:after="40"/>
        <w:ind w:left="272" w:hanging="500"/>
        <w:rPr>
          <w:rFonts w:eastAsia="Times New Roman"/>
          <w:sz w:val="18"/>
          <w:szCs w:val="18"/>
          <w:lang w:val="el-GR"/>
        </w:rPr>
      </w:pPr>
      <w:r w:rsidRPr="0047462D">
        <w:rPr>
          <w:rFonts w:eastAsia="Times New Roman"/>
          <w:sz w:val="18"/>
          <w:szCs w:val="18"/>
          <w:vertAlign w:val="superscript"/>
          <w:lang w:val="el-GR"/>
        </w:rPr>
        <w:tab/>
        <w:t>γ</w:t>
      </w:r>
      <w:r w:rsidRPr="0047462D">
        <w:rPr>
          <w:rFonts w:eastAsia="Times New Roman"/>
          <w:sz w:val="18"/>
          <w:szCs w:val="18"/>
          <w:vertAlign w:val="superscript"/>
          <w:lang w:val="el-GR"/>
        </w:rPr>
        <w:tab/>
      </w:r>
      <w:r w:rsidRPr="0047462D">
        <w:rPr>
          <w:rFonts w:eastAsia="Times New Roman"/>
          <w:sz w:val="18"/>
          <w:szCs w:val="18"/>
          <w:lang w:val="el-GR"/>
        </w:rPr>
        <w:t xml:space="preserve">Τα δεδομένα της μελέτης 1 συγκεντρώθηκαν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ενήλικες/εφήβους και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12 έως 13 ετών. Τα δεδομένα της μελέτης 2 ελήφθησαν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6 έως 11 ετών.</w:t>
      </w:r>
    </w:p>
    <w:p w14:paraId="5C211D6A" w14:textId="77777777" w:rsidR="007655E7" w:rsidRPr="0047462D" w:rsidRDefault="007655E7" w:rsidP="007655E7">
      <w:pPr>
        <w:pStyle w:val="tablefootnotelast"/>
        <w:keepNext/>
        <w:spacing w:after="40"/>
        <w:ind w:left="90"/>
        <w:rPr>
          <w:rFonts w:eastAsia="Times New Roman"/>
          <w:sz w:val="18"/>
          <w:szCs w:val="18"/>
          <w:lang w:val="el-GR"/>
        </w:rPr>
      </w:pPr>
      <w:r w:rsidRPr="0047462D">
        <w:rPr>
          <w:rFonts w:eastAsia="Times New Roman"/>
          <w:sz w:val="18"/>
          <w:szCs w:val="18"/>
          <w:vertAlign w:val="superscript"/>
          <w:lang w:val="el-GR"/>
        </w:rPr>
        <w:t>δ</w:t>
      </w:r>
      <w:r w:rsidRPr="0047462D">
        <w:rPr>
          <w:rFonts w:eastAsia="Times New Roman"/>
          <w:sz w:val="18"/>
          <w:szCs w:val="18"/>
          <w:vertAlign w:val="superscript"/>
          <w:lang w:val="el-GR"/>
        </w:rPr>
        <w:tab/>
      </w:r>
      <w:r w:rsidRPr="0047462D">
        <w:rPr>
          <w:rFonts w:eastAsia="Times New Roman"/>
          <w:sz w:val="18"/>
          <w:szCs w:val="18"/>
          <w:lang w:val="el-GR"/>
        </w:rPr>
        <w:t>Σχετικός κίνδυνος για το</w:t>
      </w:r>
      <w:r w:rsidR="00AF7AC9" w:rsidRPr="0047462D">
        <w:rPr>
          <w:rFonts w:eastAsia="Times New Roman"/>
          <w:sz w:val="18"/>
          <w:szCs w:val="18"/>
          <w:lang w:val="el-GR"/>
        </w:rPr>
        <w:t>ν</w:t>
      </w:r>
      <w:r w:rsidRPr="0047462D">
        <w:rPr>
          <w:rFonts w:eastAsia="Times New Roman"/>
          <w:sz w:val="18"/>
          <w:szCs w:val="18"/>
          <w:lang w:val="el-GR"/>
        </w:rPr>
        <w:t xml:space="preserve"> χρόνο έως την πρώτη πνευμονική παρόξυνση</w:t>
      </w:r>
    </w:p>
    <w:p w14:paraId="7D724019" w14:textId="77777777" w:rsidR="007655E7" w:rsidRPr="0047462D" w:rsidRDefault="007655E7" w:rsidP="007655E7">
      <w:pPr>
        <w:ind w:left="90"/>
        <w:rPr>
          <w:sz w:val="18"/>
          <w:szCs w:val="18"/>
        </w:rPr>
      </w:pPr>
      <w:r w:rsidRPr="0047462D">
        <w:rPr>
          <w:rFonts w:eastAsia="Times New Roman"/>
          <w:sz w:val="18"/>
          <w:szCs w:val="18"/>
          <w:vertAlign w:val="superscript"/>
        </w:rPr>
        <w:t>ε</w:t>
      </w:r>
      <w:r w:rsidRPr="0047462D">
        <w:rPr>
          <w:rFonts w:eastAsia="Times New Roman"/>
          <w:sz w:val="18"/>
          <w:szCs w:val="18"/>
          <w:vertAlign w:val="superscript"/>
        </w:rPr>
        <w:tab/>
      </w:r>
      <w:r w:rsidRPr="0047462D">
        <w:rPr>
          <w:rFonts w:eastAsia="Times New Roman"/>
          <w:sz w:val="18"/>
          <w:szCs w:val="18"/>
        </w:rPr>
        <w:t xml:space="preserve">Σε άτομα ηλικίας κάτω των 20 ετών (γραφήματα ανάπτυξης </w:t>
      </w:r>
      <w:r w:rsidRPr="0047462D">
        <w:rPr>
          <w:sz w:val="18"/>
          <w:szCs w:val="18"/>
        </w:rPr>
        <w:t>CDC)</w:t>
      </w:r>
    </w:p>
    <w:p w14:paraId="04E5C069" w14:textId="77777777" w:rsidR="007655E7" w:rsidRPr="0047462D" w:rsidRDefault="007655E7" w:rsidP="00BB1AF3">
      <w:pPr>
        <w:pStyle w:val="labeltext"/>
        <w:rPr>
          <w:rFonts w:eastAsia="Times New Roman"/>
          <w:i/>
          <w:sz w:val="22"/>
          <w:szCs w:val="22"/>
          <w:lang w:val="el-GR"/>
        </w:rPr>
      </w:pPr>
    </w:p>
    <w:p w14:paraId="7D133024" w14:textId="3AE37CFF" w:rsidR="001C01B6" w:rsidRPr="0047462D" w:rsidRDefault="00ED7342" w:rsidP="001C01B6">
      <w:pPr>
        <w:pStyle w:val="labeltext"/>
        <w:keepNext/>
        <w:rPr>
          <w:i/>
          <w:sz w:val="22"/>
          <w:szCs w:val="22"/>
          <w:lang w:val="el-GR"/>
        </w:rPr>
      </w:pPr>
      <w:r w:rsidRPr="0047462D">
        <w:rPr>
          <w:rFonts w:eastAsia="Times New Roman"/>
          <w:i/>
          <w:sz w:val="22"/>
          <w:szCs w:val="22"/>
          <w:lang w:val="el-GR"/>
        </w:rPr>
        <w:t>Μελέτη</w:t>
      </w:r>
      <w:r w:rsidRPr="0047462D">
        <w:rPr>
          <w:rFonts w:eastAsia="Times New Roman"/>
          <w:i/>
          <w:sz w:val="22"/>
          <w:szCs w:val="22"/>
          <w:lang w:val="en-GB"/>
        </w:rPr>
        <w:t> </w:t>
      </w:r>
      <w:r w:rsidRPr="0047462D">
        <w:rPr>
          <w:rFonts w:eastAsia="Times New Roman"/>
          <w:i/>
          <w:sz w:val="22"/>
          <w:szCs w:val="22"/>
          <w:lang w:val="el-GR"/>
        </w:rPr>
        <w:t xml:space="preserve">5: μελέτη σε ασθενείς με ΚΙ με </w:t>
      </w:r>
      <w:r w:rsidRPr="0047462D">
        <w:rPr>
          <w:i/>
          <w:sz w:val="22"/>
          <w:szCs w:val="22"/>
          <w:lang w:val="el-GR"/>
        </w:rPr>
        <w:t>μη</w:t>
      </w:r>
      <w:r w:rsidR="002E5DA8" w:rsidRPr="0047462D">
        <w:rPr>
          <w:i/>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i/>
          <w:sz w:val="22"/>
          <w:szCs w:val="22"/>
          <w:lang w:val="el-GR"/>
        </w:rPr>
        <w:t xml:space="preserve"> </w:t>
      </w:r>
      <w:r w:rsidR="002E5DA8" w:rsidRPr="0047462D">
        <w:rPr>
          <w:i/>
          <w:sz w:val="22"/>
          <w:szCs w:val="22"/>
          <w:lang w:val="el-GR"/>
        </w:rPr>
        <w:t>«</w:t>
      </w:r>
      <w:r w:rsidRPr="0047462D">
        <w:rPr>
          <w:i/>
          <w:sz w:val="22"/>
          <w:szCs w:val="22"/>
        </w:rPr>
        <w:t>gating</w:t>
      </w:r>
      <w:r w:rsidR="002E5DA8" w:rsidRPr="0047462D">
        <w:rPr>
          <w:i/>
          <w:sz w:val="22"/>
          <w:szCs w:val="22"/>
          <w:lang w:val="el-GR"/>
        </w:rPr>
        <w:t>»</w:t>
      </w:r>
      <w:r w:rsidRPr="0047462D">
        <w:rPr>
          <w:i/>
          <w:sz w:val="22"/>
          <w:szCs w:val="22"/>
          <w:lang w:val="el-GR"/>
        </w:rPr>
        <w:t xml:space="preserve"> μεταλλάξεις</w:t>
      </w:r>
    </w:p>
    <w:p w14:paraId="443F0C37" w14:textId="77777777" w:rsidR="004B47B0" w:rsidRPr="0047462D" w:rsidRDefault="004B47B0" w:rsidP="001C01B6">
      <w:pPr>
        <w:pStyle w:val="labeltext"/>
        <w:keepNext/>
        <w:rPr>
          <w:rFonts w:eastAsia="Times New Roman"/>
          <w:i/>
          <w:sz w:val="22"/>
          <w:szCs w:val="22"/>
          <w:lang w:val="el-GR"/>
        </w:rPr>
      </w:pPr>
    </w:p>
    <w:p w14:paraId="642AD787" w14:textId="0741FC01"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Η μελέτη</w:t>
      </w:r>
      <w:r w:rsidR="00AD331E" w:rsidRPr="0047462D">
        <w:rPr>
          <w:rFonts w:eastAsia="Times New Roman"/>
          <w:sz w:val="22"/>
          <w:szCs w:val="22"/>
          <w:lang w:val="en-GB"/>
        </w:rPr>
        <w:t> </w:t>
      </w:r>
      <w:r w:rsidRPr="0047462D">
        <w:rPr>
          <w:rFonts w:eastAsia="Times New Roman"/>
          <w:sz w:val="22"/>
          <w:szCs w:val="22"/>
          <w:lang w:val="el-GR"/>
        </w:rPr>
        <w:t xml:space="preserve">5 ήταν μια </w:t>
      </w:r>
      <w:r w:rsidR="007A0DE5">
        <w:rPr>
          <w:rFonts w:eastAsia="Times New Roman"/>
          <w:sz w:val="22"/>
          <w:szCs w:val="22"/>
          <w:lang w:val="el-GR"/>
        </w:rPr>
        <w:t>φ</w:t>
      </w:r>
      <w:r w:rsidRPr="0047462D">
        <w:rPr>
          <w:rFonts w:eastAsia="Times New Roman"/>
          <w:sz w:val="22"/>
          <w:szCs w:val="22"/>
          <w:lang w:val="el-GR"/>
        </w:rPr>
        <w:t>άσης 3, δύο μερών, τυχαιοποιημένη, διπλά τυφλή, ελεγχόμενη με εικονικό φάρμακο, διασταυρούμενη μελέτη (μέρος 1), ακολουθούμενη από μια ανοιχτής επισήμανσης περίοδο επέκτασης 16</w:t>
      </w:r>
      <w:r w:rsidR="00AD331E" w:rsidRPr="0047462D">
        <w:rPr>
          <w:rFonts w:eastAsia="Times New Roman"/>
          <w:sz w:val="22"/>
          <w:szCs w:val="22"/>
          <w:lang w:val="en-GB"/>
        </w:rPr>
        <w:t> </w:t>
      </w:r>
      <w:r w:rsidRPr="0047462D">
        <w:rPr>
          <w:rFonts w:eastAsia="Times New Roman"/>
          <w:sz w:val="22"/>
          <w:szCs w:val="22"/>
          <w:lang w:val="el-GR"/>
        </w:rPr>
        <w:t>εβδομάδων (μέρος</w:t>
      </w:r>
      <w:r w:rsidR="00AD331E" w:rsidRPr="0047462D">
        <w:rPr>
          <w:rFonts w:eastAsia="Times New Roman"/>
          <w:sz w:val="22"/>
          <w:szCs w:val="22"/>
          <w:lang w:val="en-GB"/>
        </w:rPr>
        <w:t> </w:t>
      </w:r>
      <w:r w:rsidRPr="0047462D">
        <w:rPr>
          <w:rFonts w:eastAsia="Times New Roman"/>
          <w:sz w:val="22"/>
          <w:szCs w:val="22"/>
          <w:lang w:val="el-GR"/>
        </w:rPr>
        <w:t xml:space="preserve">2), για την αξιολόγηση της αποτελεσματικότητας και της ασφάλειας του </w:t>
      </w:r>
      <w:r w:rsidRPr="0047462D">
        <w:rPr>
          <w:rFonts w:eastAsia="Times New Roman"/>
          <w:bCs/>
          <w:sz w:val="22"/>
          <w:szCs w:val="22"/>
          <w:lang w:val="el-GR"/>
        </w:rPr>
        <w:t>ivacaftor σε ασθενείς με ΚΙ, ηλικίας 6</w:t>
      </w:r>
      <w:r w:rsidRPr="0047462D">
        <w:t> </w:t>
      </w:r>
      <w:r w:rsidRPr="0047462D">
        <w:rPr>
          <w:rFonts w:eastAsia="Times New Roman"/>
          <w:bCs/>
          <w:sz w:val="22"/>
          <w:szCs w:val="22"/>
          <w:lang w:val="el-GR"/>
        </w:rPr>
        <w:t xml:space="preserve">ετών και άνω, οι οποίοι έχουν </w:t>
      </w:r>
      <w:r w:rsidR="00BF3CFB" w:rsidRPr="0047462D">
        <w:rPr>
          <w:rFonts w:eastAsia="Times New Roman"/>
          <w:bCs/>
          <w:sz w:val="22"/>
          <w:szCs w:val="22"/>
          <w:lang w:val="el-GR"/>
        </w:rPr>
        <w:t xml:space="preserve">μια μετάλλαξη </w:t>
      </w:r>
      <w:r w:rsidR="00BF3CFB" w:rsidRPr="0047462D">
        <w:rPr>
          <w:bCs/>
          <w:i/>
          <w:sz w:val="22"/>
          <w:szCs w:val="22"/>
        </w:rPr>
        <w:t>G</w:t>
      </w:r>
      <w:r w:rsidR="00BF3CFB" w:rsidRPr="0047462D">
        <w:rPr>
          <w:bCs/>
          <w:i/>
          <w:sz w:val="22"/>
          <w:szCs w:val="22"/>
          <w:lang w:val="el-GR"/>
        </w:rPr>
        <w:t>970</w:t>
      </w:r>
      <w:r w:rsidR="00BF3CFB" w:rsidRPr="0047462D">
        <w:rPr>
          <w:bCs/>
          <w:i/>
          <w:sz w:val="22"/>
          <w:szCs w:val="22"/>
        </w:rPr>
        <w:t>R</w:t>
      </w:r>
      <w:r w:rsidR="00BF3CFB" w:rsidRPr="0047462D">
        <w:rPr>
          <w:sz w:val="22"/>
          <w:szCs w:val="22"/>
          <w:lang w:val="el-GR"/>
        </w:rPr>
        <w:t xml:space="preserve"> ή</w:t>
      </w:r>
      <w:r w:rsidR="00BF3CFB" w:rsidRPr="0047462D">
        <w:rPr>
          <w:lang w:val="el-GR"/>
        </w:rPr>
        <w:t xml:space="preserve"> </w:t>
      </w:r>
      <w:r w:rsidRPr="0047462D">
        <w:rPr>
          <w:rFonts w:eastAsia="Times New Roman"/>
          <w:bCs/>
          <w:sz w:val="22"/>
          <w:szCs w:val="22"/>
          <w:lang w:val="el-GR"/>
        </w:rPr>
        <w:t xml:space="preserve">μια </w:t>
      </w:r>
      <w:r w:rsidRPr="0047462D">
        <w:rPr>
          <w:sz w:val="22"/>
          <w:szCs w:val="22"/>
          <w:lang w:val="el-GR"/>
        </w:rPr>
        <w:t>μη</w:t>
      </w:r>
      <w:r w:rsidR="002E5DA8"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2E5DA8" w:rsidRPr="0047462D">
        <w:rPr>
          <w:sz w:val="22"/>
          <w:szCs w:val="22"/>
          <w:lang w:val="el-GR"/>
        </w:rPr>
        <w:t>«</w:t>
      </w:r>
      <w:r w:rsidRPr="0047462D">
        <w:rPr>
          <w:sz w:val="22"/>
          <w:szCs w:val="22"/>
        </w:rPr>
        <w:t>gating</w:t>
      </w:r>
      <w:r w:rsidR="002E5DA8" w:rsidRPr="0047462D">
        <w:rPr>
          <w:sz w:val="22"/>
          <w:szCs w:val="22"/>
          <w:lang w:val="el-GR"/>
        </w:rPr>
        <w:t>»</w:t>
      </w:r>
      <w:r w:rsidRPr="0047462D">
        <w:rPr>
          <w:sz w:val="22"/>
          <w:szCs w:val="22"/>
          <w:lang w:val="el-GR"/>
        </w:rPr>
        <w:t xml:space="preserve"> μετάλλαξη στο γονίδιο </w:t>
      </w:r>
      <w:r w:rsidRPr="0047462D">
        <w:rPr>
          <w:i/>
          <w:sz w:val="22"/>
          <w:szCs w:val="22"/>
        </w:rPr>
        <w:t>CFTR</w:t>
      </w:r>
      <w:r w:rsidRPr="0047462D">
        <w:rPr>
          <w:i/>
          <w:sz w:val="22"/>
          <w:szCs w:val="22"/>
          <w:lang w:val="el-GR"/>
        </w:rPr>
        <w:t xml:space="preserve"> </w:t>
      </w:r>
      <w:r w:rsidRPr="0047462D">
        <w:rPr>
          <w:bCs/>
          <w:sz w:val="22"/>
          <w:szCs w:val="22"/>
          <w:lang w:val="el-GR"/>
        </w:rPr>
        <w:t>(</w:t>
      </w:r>
      <w:r w:rsidRPr="0047462D">
        <w:rPr>
          <w:bCs/>
          <w:i/>
          <w:sz w:val="22"/>
          <w:szCs w:val="22"/>
        </w:rPr>
        <w:t>G</w:t>
      </w:r>
      <w:r w:rsidRPr="0047462D">
        <w:rPr>
          <w:bCs/>
          <w:i/>
          <w:sz w:val="22"/>
          <w:szCs w:val="22"/>
          <w:lang w:val="el-GR"/>
        </w:rPr>
        <w:t>178</w:t>
      </w:r>
      <w:r w:rsidRPr="0047462D">
        <w:rPr>
          <w:bCs/>
          <w:i/>
          <w:sz w:val="22"/>
          <w:szCs w:val="22"/>
        </w:rPr>
        <w:t>R</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R</w:t>
      </w:r>
      <w:r w:rsidRPr="0047462D">
        <w:rPr>
          <w:bCs/>
          <w:i/>
          <w:sz w:val="22"/>
          <w:szCs w:val="22"/>
          <w:lang w:val="el-GR"/>
        </w:rPr>
        <w:t xml:space="preserve">, </w:t>
      </w:r>
      <w:r w:rsidRPr="0047462D">
        <w:rPr>
          <w:bCs/>
          <w:i/>
          <w:sz w:val="22"/>
          <w:szCs w:val="22"/>
        </w:rPr>
        <w:t>G</w:t>
      </w:r>
      <w:r w:rsidRPr="0047462D">
        <w:rPr>
          <w:bCs/>
          <w:i/>
          <w:sz w:val="22"/>
          <w:szCs w:val="22"/>
          <w:lang w:val="el-GR"/>
        </w:rPr>
        <w:t>551</w:t>
      </w:r>
      <w:r w:rsidRPr="0047462D">
        <w:rPr>
          <w:bCs/>
          <w:i/>
          <w:sz w:val="22"/>
          <w:szCs w:val="22"/>
        </w:rPr>
        <w:t>S</w:t>
      </w:r>
      <w:r w:rsidRPr="0047462D">
        <w:rPr>
          <w:bCs/>
          <w:i/>
          <w:sz w:val="22"/>
          <w:szCs w:val="22"/>
          <w:lang w:val="el-GR"/>
        </w:rPr>
        <w:t xml:space="preserve">, </w:t>
      </w:r>
      <w:r w:rsidRPr="0047462D">
        <w:rPr>
          <w:bCs/>
          <w:i/>
          <w:sz w:val="22"/>
          <w:szCs w:val="22"/>
        </w:rPr>
        <w:t>G</w:t>
      </w:r>
      <w:r w:rsidRPr="0047462D">
        <w:rPr>
          <w:bCs/>
          <w:i/>
          <w:sz w:val="22"/>
          <w:szCs w:val="22"/>
          <w:lang w:val="el-GR"/>
        </w:rPr>
        <w:t>1244</w:t>
      </w:r>
      <w:r w:rsidRPr="0047462D">
        <w:rPr>
          <w:bCs/>
          <w:i/>
          <w:sz w:val="22"/>
          <w:szCs w:val="22"/>
        </w:rPr>
        <w:t>E</w:t>
      </w:r>
      <w:r w:rsidRPr="0047462D">
        <w:rPr>
          <w:bCs/>
          <w:i/>
          <w:sz w:val="22"/>
          <w:szCs w:val="22"/>
          <w:lang w:val="el-GR"/>
        </w:rPr>
        <w:t xml:space="preserve">, </w:t>
      </w:r>
      <w:r w:rsidRPr="0047462D">
        <w:rPr>
          <w:bCs/>
          <w:i/>
          <w:sz w:val="22"/>
          <w:szCs w:val="22"/>
        </w:rPr>
        <w:t>S</w:t>
      </w:r>
      <w:r w:rsidRPr="0047462D">
        <w:rPr>
          <w:bCs/>
          <w:i/>
          <w:sz w:val="22"/>
          <w:szCs w:val="22"/>
          <w:lang w:val="el-GR"/>
        </w:rPr>
        <w:t>1251</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1255</w:t>
      </w:r>
      <w:r w:rsidRPr="0047462D">
        <w:rPr>
          <w:bCs/>
          <w:i/>
          <w:sz w:val="22"/>
          <w:szCs w:val="22"/>
        </w:rPr>
        <w:t>P</w:t>
      </w:r>
      <w:r w:rsidRPr="0047462D">
        <w:rPr>
          <w:bCs/>
          <w:sz w:val="22"/>
          <w:szCs w:val="22"/>
          <w:lang w:val="el-GR"/>
        </w:rPr>
        <w:t xml:space="preserve"> ή</w:t>
      </w:r>
      <w:r w:rsidRPr="0047462D">
        <w:rPr>
          <w:bCs/>
          <w:i/>
          <w:sz w:val="22"/>
          <w:szCs w:val="22"/>
          <w:lang w:val="el-GR"/>
        </w:rPr>
        <w:t xml:space="preserve"> </w:t>
      </w:r>
      <w:r w:rsidRPr="0047462D">
        <w:rPr>
          <w:bCs/>
          <w:i/>
          <w:sz w:val="22"/>
          <w:szCs w:val="22"/>
        </w:rPr>
        <w:t>G</w:t>
      </w:r>
      <w:r w:rsidRPr="0047462D">
        <w:rPr>
          <w:bCs/>
          <w:i/>
          <w:sz w:val="22"/>
          <w:szCs w:val="22"/>
          <w:lang w:val="el-GR"/>
        </w:rPr>
        <w:t>1349</w:t>
      </w:r>
      <w:r w:rsidRPr="0047462D">
        <w:rPr>
          <w:bCs/>
          <w:i/>
          <w:sz w:val="22"/>
          <w:szCs w:val="22"/>
        </w:rPr>
        <w:t>D</w:t>
      </w:r>
      <w:r w:rsidRPr="0047462D">
        <w:rPr>
          <w:bCs/>
          <w:sz w:val="22"/>
          <w:szCs w:val="22"/>
          <w:lang w:val="el-GR"/>
        </w:rPr>
        <w:t>)</w:t>
      </w:r>
      <w:r w:rsidRPr="0047462D">
        <w:rPr>
          <w:sz w:val="22"/>
          <w:szCs w:val="22"/>
          <w:lang w:val="el-GR"/>
        </w:rPr>
        <w:t>.</w:t>
      </w:r>
    </w:p>
    <w:p w14:paraId="5A9B3906" w14:textId="77777777" w:rsidR="001C01B6" w:rsidRPr="0047462D" w:rsidRDefault="001C01B6" w:rsidP="001C01B6">
      <w:pPr>
        <w:pStyle w:val="labeltext"/>
        <w:rPr>
          <w:rFonts w:eastAsia="Times New Roman"/>
          <w:sz w:val="22"/>
          <w:szCs w:val="22"/>
          <w:u w:val="single"/>
          <w:lang w:val="el-GR"/>
        </w:rPr>
      </w:pPr>
    </w:p>
    <w:p w14:paraId="0FE77300" w14:textId="4935E9B5" w:rsidR="001C01B6" w:rsidRPr="0047462D" w:rsidRDefault="001C01B6" w:rsidP="00AD331E">
      <w:pPr>
        <w:pStyle w:val="labeltext"/>
        <w:rPr>
          <w:rFonts w:eastAsia="Times New Roman"/>
          <w:sz w:val="22"/>
          <w:szCs w:val="22"/>
          <w:u w:val="single"/>
          <w:lang w:val="el-GR"/>
        </w:rPr>
      </w:pPr>
      <w:r w:rsidRPr="0047462D">
        <w:rPr>
          <w:rFonts w:eastAsia="Times New Roman"/>
          <w:sz w:val="22"/>
          <w:szCs w:val="22"/>
          <w:lang w:val="el-GR"/>
        </w:rPr>
        <w:t>Στο μέρος</w:t>
      </w:r>
      <w:r w:rsidRPr="0047462D">
        <w:t> </w:t>
      </w:r>
      <w:r w:rsidRPr="0047462D">
        <w:rPr>
          <w:rFonts w:eastAsia="Times New Roman"/>
          <w:sz w:val="22"/>
          <w:szCs w:val="22"/>
          <w:lang w:val="el-GR"/>
        </w:rPr>
        <w:t xml:space="preserve">1, οι ασθενείς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9E7E92" w:rsidRPr="0047462D">
        <w:rPr>
          <w:rFonts w:eastAsia="Times New Roman"/>
          <w:sz w:val="22"/>
          <w:szCs w:val="22"/>
          <w:lang w:val="el-GR"/>
        </w:rPr>
        <w:t xml:space="preserve">περιείχαν </w:t>
      </w:r>
      <w:r w:rsidRPr="0047462D">
        <w:rPr>
          <w:rFonts w:eastAsia="Times New Roman"/>
          <w:sz w:val="22"/>
          <w:szCs w:val="22"/>
          <w:lang w:val="el-GR"/>
        </w:rPr>
        <w:t>λίπος</w:t>
      </w:r>
      <w:r w:rsidR="009E7E92" w:rsidRPr="0047462D">
        <w:rPr>
          <w:rFonts w:eastAsia="Times New Roman"/>
          <w:sz w:val="22"/>
          <w:szCs w:val="22"/>
          <w:lang w:val="el-GR"/>
        </w:rPr>
        <w:t>,</w:t>
      </w:r>
      <w:r w:rsidRPr="0047462D">
        <w:rPr>
          <w:rFonts w:eastAsia="Times New Roman"/>
          <w:sz w:val="22"/>
          <w:szCs w:val="22"/>
          <w:lang w:val="el-GR"/>
        </w:rPr>
        <w:t xml:space="preserve"> για 8 εβδομάδες επιπρόσθετα με τις συνταγογραφηθείσες για την ΚΙ θεραπείες τους, και μεταφέρθηκαν στην άλλη θεραπεία για τις δεύτερες 8</w:t>
      </w:r>
      <w:r w:rsidRPr="0047462D">
        <w:t> </w:t>
      </w:r>
      <w:r w:rsidRPr="0047462D">
        <w:rPr>
          <w:rFonts w:eastAsia="Times New Roman"/>
          <w:sz w:val="22"/>
          <w:szCs w:val="22"/>
          <w:lang w:val="el-GR"/>
        </w:rPr>
        <w:t>εβδομάδες μετά από μια περίοδο κάθαρσης διάρκειας 4 έως 8</w:t>
      </w:r>
      <w:r w:rsidRPr="0047462D">
        <w:t> </w:t>
      </w:r>
      <w:r w:rsidRPr="0047462D">
        <w:rPr>
          <w:rFonts w:eastAsia="Times New Roman"/>
          <w:sz w:val="22"/>
          <w:szCs w:val="22"/>
          <w:lang w:val="el-GR"/>
        </w:rPr>
        <w:t>εβδομάδων. Η χρήση εισπνεόμενου υπερτονικού αλατούχου διαλύματος δεν επιτρεπόταν.</w:t>
      </w:r>
      <w:r w:rsidRPr="0047462D">
        <w:rPr>
          <w:bCs/>
          <w:sz w:val="22"/>
          <w:szCs w:val="22"/>
          <w:lang w:val="el-GR"/>
        </w:rPr>
        <w:t xml:space="preserve"> Στο μέρος 2, όλοι οι ασθενείς έλαβαν </w:t>
      </w:r>
      <w:r w:rsidRPr="0047462D">
        <w:rPr>
          <w:bCs/>
          <w:sz w:val="22"/>
          <w:szCs w:val="22"/>
        </w:rPr>
        <w:t>ivacaftor</w:t>
      </w:r>
      <w:r w:rsidRPr="0047462D">
        <w:rPr>
          <w:bCs/>
          <w:sz w:val="22"/>
          <w:szCs w:val="22"/>
          <w:lang w:val="el-GR"/>
        </w:rPr>
        <w:t xml:space="preserve"> όπως αναφέρεται στο μέρος 1 για 16 πρόσθετες εβδομάδες. Η διάρκεια της συνεχούς θεραπείας με </w:t>
      </w:r>
      <w:r w:rsidRPr="0047462D">
        <w:rPr>
          <w:bCs/>
          <w:sz w:val="22"/>
          <w:szCs w:val="22"/>
        </w:rPr>
        <w:t>ivacaftor</w:t>
      </w:r>
      <w:r w:rsidRPr="0047462D">
        <w:rPr>
          <w:bCs/>
          <w:sz w:val="22"/>
          <w:szCs w:val="22"/>
          <w:lang w:val="el-GR"/>
        </w:rPr>
        <w:t xml:space="preserve"> ήταν 24</w:t>
      </w:r>
      <w:r w:rsidR="00AD331E" w:rsidRPr="0047462D">
        <w:rPr>
          <w:bCs/>
          <w:sz w:val="22"/>
          <w:szCs w:val="22"/>
          <w:lang w:val="en-GB"/>
        </w:rPr>
        <w:t> </w:t>
      </w:r>
      <w:r w:rsidRPr="0047462D">
        <w:rPr>
          <w:bCs/>
          <w:sz w:val="22"/>
          <w:szCs w:val="22"/>
          <w:lang w:val="el-GR"/>
        </w:rPr>
        <w:t>εβδομάδες για τους ασθενείς που τυχαιοποιήθηκαν στο μέρος 1 με την ακολουθία θεραπείας εικονικού φαρμάκου/</w:t>
      </w:r>
      <w:r w:rsidRPr="0047462D">
        <w:rPr>
          <w:bCs/>
          <w:sz w:val="22"/>
          <w:szCs w:val="22"/>
        </w:rPr>
        <w:t>ivacaftor</w:t>
      </w:r>
      <w:r w:rsidRPr="0047462D">
        <w:rPr>
          <w:bCs/>
          <w:sz w:val="22"/>
          <w:szCs w:val="22"/>
          <w:lang w:val="el-GR"/>
        </w:rPr>
        <w:t xml:space="preserve"> και 16</w:t>
      </w:r>
      <w:r w:rsidR="00AD331E" w:rsidRPr="0047462D">
        <w:rPr>
          <w:bCs/>
          <w:sz w:val="22"/>
          <w:szCs w:val="22"/>
          <w:lang w:val="en-GB"/>
        </w:rPr>
        <w:t> </w:t>
      </w:r>
      <w:r w:rsidRPr="0047462D">
        <w:rPr>
          <w:bCs/>
          <w:sz w:val="22"/>
          <w:szCs w:val="22"/>
          <w:lang w:val="el-GR"/>
        </w:rPr>
        <w:t xml:space="preserve">εβδομάδες για τους ασθενείς που τυχαιοποιήθηκαν στο μέρος 1 με την ακολουθία θεραπείας </w:t>
      </w:r>
      <w:r w:rsidRPr="0047462D">
        <w:rPr>
          <w:bCs/>
          <w:sz w:val="22"/>
          <w:szCs w:val="22"/>
        </w:rPr>
        <w:t>ivacaftor</w:t>
      </w:r>
      <w:r w:rsidRPr="0047462D">
        <w:rPr>
          <w:bCs/>
          <w:sz w:val="22"/>
          <w:szCs w:val="22"/>
          <w:lang w:val="el-GR"/>
        </w:rPr>
        <w:t>/εικονικού φαρμάκου.</w:t>
      </w:r>
    </w:p>
    <w:p w14:paraId="3D3375FB" w14:textId="77777777" w:rsidR="001C01B6" w:rsidRPr="0047462D" w:rsidRDefault="001C01B6" w:rsidP="001C01B6">
      <w:pPr>
        <w:pStyle w:val="labeltext"/>
        <w:rPr>
          <w:rFonts w:eastAsia="Times New Roman"/>
          <w:sz w:val="22"/>
          <w:szCs w:val="22"/>
          <w:u w:val="single"/>
          <w:lang w:val="el-GR"/>
        </w:rPr>
      </w:pPr>
    </w:p>
    <w:p w14:paraId="7A41F3C0" w14:textId="34538DCF" w:rsidR="001C01B6" w:rsidRPr="0047462D" w:rsidRDefault="001C01B6" w:rsidP="001C01B6">
      <w:r w:rsidRPr="0047462D">
        <w:rPr>
          <w:bCs/>
        </w:rPr>
        <w:t>Τριάντα εννέα ασθενείς (μέση ηλικία 23</w:t>
      </w:r>
      <w:r w:rsidRPr="0047462D">
        <w:t> </w:t>
      </w:r>
      <w:r w:rsidRPr="0047462D">
        <w:rPr>
          <w:bCs/>
        </w:rPr>
        <w:t>έτη) με τιμή αναφοράς για τον FEV</w:t>
      </w:r>
      <w:r w:rsidRPr="0047462D">
        <w:rPr>
          <w:bCs/>
          <w:vertAlign w:val="subscript"/>
        </w:rPr>
        <w:t>1</w:t>
      </w:r>
      <w:r w:rsidRPr="0047462D">
        <w:rPr>
          <w:bCs/>
        </w:rPr>
        <w:t xml:space="preserve"> ≥</w:t>
      </w:r>
      <w:r w:rsidR="002226F1" w:rsidRPr="0047462D">
        <w:rPr>
          <w:bCs/>
        </w:rPr>
        <w:t> </w:t>
      </w:r>
      <w:r w:rsidRPr="0047462D">
        <w:rPr>
          <w:bCs/>
        </w:rPr>
        <w:t>40% του προβλεπόμενου (μέσος FEV</w:t>
      </w:r>
      <w:r w:rsidRPr="0047462D">
        <w:rPr>
          <w:bCs/>
          <w:vertAlign w:val="subscript"/>
        </w:rPr>
        <w:t>1</w:t>
      </w:r>
      <w:r w:rsidRPr="0047462D">
        <w:rPr>
          <w:bCs/>
        </w:rPr>
        <w:t xml:space="preserve"> 78% του προβλεπόμενου [εύρος: 43% έως 119%]) εισήχθησαν. Εξήντα δύο τοις εκατό (24/39) από αυτούς έφεραν τη μετάλλαξη </w:t>
      </w:r>
      <w:r w:rsidRPr="0047462D">
        <w:rPr>
          <w:bCs/>
          <w:i/>
          <w:szCs w:val="22"/>
        </w:rPr>
        <w:t>F508del</w:t>
      </w:r>
      <w:r w:rsidRPr="0047462D">
        <w:rPr>
          <w:bCs/>
          <w:szCs w:val="22"/>
        </w:rPr>
        <w:t>-</w:t>
      </w:r>
      <w:r w:rsidRPr="0047462D">
        <w:rPr>
          <w:bCs/>
          <w:i/>
          <w:szCs w:val="22"/>
        </w:rPr>
        <w:t>CFTR</w:t>
      </w:r>
      <w:r w:rsidRPr="0047462D">
        <w:rPr>
          <w:bCs/>
        </w:rPr>
        <w:t xml:space="preserve"> στο δεύτερο αλληλόμορφο. Συνολικά, 36 ασθενείς συνέχισαν στο μέρος 2 (18 ανά ακολουθία θεραπείας).</w:t>
      </w:r>
    </w:p>
    <w:p w14:paraId="4F30F739" w14:textId="77777777" w:rsidR="001C01B6" w:rsidRPr="0047462D" w:rsidRDefault="001C01B6" w:rsidP="001C01B6">
      <w:pPr>
        <w:pStyle w:val="labeltext"/>
        <w:rPr>
          <w:rFonts w:eastAsia="Times New Roman"/>
          <w:sz w:val="22"/>
          <w:szCs w:val="22"/>
          <w:u w:val="single"/>
          <w:lang w:val="el-GR"/>
        </w:rPr>
      </w:pPr>
    </w:p>
    <w:p w14:paraId="248923E5" w14:textId="0C033311" w:rsidR="001C01B6" w:rsidRPr="0047462D" w:rsidRDefault="001C01B6" w:rsidP="00AD331E">
      <w:r w:rsidRPr="0047462D">
        <w:rPr>
          <w:bCs/>
        </w:rPr>
        <w:t>Στο μέρος</w:t>
      </w:r>
      <w:r w:rsidR="00AD331E" w:rsidRPr="0047462D">
        <w:rPr>
          <w:bCs/>
          <w:lang w:val="en-GB"/>
        </w:rPr>
        <w:t> </w:t>
      </w:r>
      <w:r w:rsidRPr="0047462D">
        <w:rPr>
          <w:bCs/>
        </w:rPr>
        <w:t>1 της μελέτης</w:t>
      </w:r>
      <w:r w:rsidR="005310EA" w:rsidRPr="0047462D">
        <w:rPr>
          <w:bCs/>
          <w:lang w:val="en-US"/>
        </w:rPr>
        <w:t> </w:t>
      </w:r>
      <w:r w:rsidRPr="0047462D">
        <w:rPr>
          <w:bCs/>
        </w:rPr>
        <w:t>5, το μέσο ποσοστό προβλεπόμενου FEV</w:t>
      </w:r>
      <w:r w:rsidRPr="0047462D">
        <w:rPr>
          <w:bCs/>
          <w:vertAlign w:val="subscript"/>
        </w:rPr>
        <w:t>1</w:t>
      </w:r>
      <w:r w:rsidRPr="0047462D">
        <w:rPr>
          <w:bCs/>
        </w:rPr>
        <w:t xml:space="preserve"> στην τιμή αναφοράς σε ασθενείς υπό αγωγή με εικονικό φάρμακο ήταν 79,3%, ενώ σε ασθενείς υπό αγωγή με ivacaftor αυτή η τιμή ήταν 76,4%. Η μέση συνολική τιμή μετά την </w:t>
      </w:r>
      <w:r w:rsidR="009E7E92" w:rsidRPr="0047462D">
        <w:rPr>
          <w:bCs/>
        </w:rPr>
        <w:t>έναρξη</w:t>
      </w:r>
      <w:r w:rsidRPr="0047462D">
        <w:rPr>
          <w:bCs/>
        </w:rPr>
        <w:t xml:space="preserve"> ήταν 76,0% και 83,7%, αντίστοιχα. Η μέση απόλυτη </w:t>
      </w:r>
      <w:r w:rsidR="0012151B" w:rsidRPr="0047462D">
        <w:rPr>
          <w:rFonts w:eastAsia="Times New Roman"/>
          <w:szCs w:val="22"/>
        </w:rPr>
        <w:t>μεταβολή</w:t>
      </w:r>
      <w:r w:rsidR="0012151B" w:rsidRPr="0047462D" w:rsidDel="0012151B">
        <w:rPr>
          <w:bCs/>
        </w:rPr>
        <w:t xml:space="preserve"> </w:t>
      </w:r>
      <w:r w:rsidRPr="0047462D">
        <w:rPr>
          <w:bCs/>
        </w:rPr>
        <w:t xml:space="preserve">από την τιμή αναφοράς έως την </w:t>
      </w:r>
      <w:r w:rsidR="002226F1" w:rsidRPr="0047462D">
        <w:rPr>
          <w:bCs/>
        </w:rPr>
        <w:t>εβδομάδα</w:t>
      </w:r>
      <w:r w:rsidR="002226F1" w:rsidRPr="0047462D">
        <w:t> </w:t>
      </w:r>
      <w:r w:rsidRPr="0047462D">
        <w:rPr>
          <w:bCs/>
        </w:rPr>
        <w:t>8 στο ποσοστό προβλεπόμενου FEV</w:t>
      </w:r>
      <w:r w:rsidRPr="0047462D">
        <w:rPr>
          <w:bCs/>
          <w:vertAlign w:val="subscript"/>
        </w:rPr>
        <w:t>1</w:t>
      </w:r>
      <w:r w:rsidRPr="0047462D">
        <w:rPr>
          <w:bCs/>
        </w:rPr>
        <w:t xml:space="preserve"> (πρωτεύον </w:t>
      </w:r>
      <w:r w:rsidR="006C6EB4" w:rsidRPr="0047462D">
        <w:rPr>
          <w:bCs/>
        </w:rPr>
        <w:t xml:space="preserve">τελικό </w:t>
      </w:r>
      <w:r w:rsidRPr="0047462D">
        <w:rPr>
          <w:bCs/>
        </w:rPr>
        <w:t>σημείο αποτελεσματικότητας) ήταν 7,5% στην περίοδο του ivacaftor και -3,2% στην περίοδο του εικονικού φαρμάκου. Η παρατηρούμενη διαφορά θεραπείας (95% CI) μεταξύ του ivacaftor και του εικονικού φαρμάκου ήταν 10,7% (7,3, 14,1) (</w:t>
      </w:r>
      <w:r w:rsidRPr="0047462D">
        <w:rPr>
          <w:i/>
          <w:iCs/>
        </w:rPr>
        <w:t>P</w:t>
      </w:r>
      <w:r w:rsidR="009E7E92" w:rsidRPr="0047462D">
        <w:rPr>
          <w:i/>
          <w:iCs/>
        </w:rPr>
        <w:t> </w:t>
      </w:r>
      <w:r w:rsidRPr="0047462D">
        <w:t>&lt;</w:t>
      </w:r>
      <w:r w:rsidR="009E7E92" w:rsidRPr="0047462D">
        <w:t> </w:t>
      </w:r>
      <w:r w:rsidRPr="0047462D">
        <w:rPr>
          <w:bCs/>
        </w:rPr>
        <w:t>0,0001).</w:t>
      </w:r>
    </w:p>
    <w:p w14:paraId="3C32C808" w14:textId="77777777" w:rsidR="001C01B6" w:rsidRPr="0047462D" w:rsidRDefault="001C01B6" w:rsidP="001C01B6">
      <w:pPr>
        <w:pStyle w:val="labeltext"/>
        <w:rPr>
          <w:rFonts w:eastAsia="Times New Roman"/>
          <w:sz w:val="22"/>
          <w:szCs w:val="22"/>
          <w:u w:val="single"/>
          <w:lang w:val="el-GR"/>
        </w:rPr>
      </w:pPr>
    </w:p>
    <w:p w14:paraId="0330AB75" w14:textId="0B2E069A" w:rsidR="001C01B6" w:rsidRPr="0047462D" w:rsidRDefault="001C01B6" w:rsidP="001C01B6">
      <w:pPr>
        <w:rPr>
          <w:bCs/>
        </w:rPr>
      </w:pPr>
      <w:r w:rsidRPr="0047462D">
        <w:rPr>
          <w:bCs/>
        </w:rPr>
        <w:t xml:space="preserve">Η επίδραση του ivacaftor στο συνολικό πληθυσμό της μελέτης 5 (συμπεριλαμβανομένων των δευτερευόντων </w:t>
      </w:r>
      <w:r w:rsidR="006C6EB4" w:rsidRPr="0047462D">
        <w:rPr>
          <w:bCs/>
        </w:rPr>
        <w:t xml:space="preserve">τελικών </w:t>
      </w:r>
      <w:r w:rsidRPr="0047462D">
        <w:rPr>
          <w:bCs/>
        </w:rPr>
        <w:t xml:space="preserve">σημείων, απόλυτη </w:t>
      </w:r>
      <w:r w:rsidR="0012151B" w:rsidRPr="0047462D">
        <w:rPr>
          <w:rFonts w:eastAsia="Times New Roman"/>
          <w:szCs w:val="22"/>
        </w:rPr>
        <w:t>μεταβολή</w:t>
      </w:r>
      <w:r w:rsidR="0012151B" w:rsidRPr="0047462D" w:rsidDel="0012151B">
        <w:rPr>
          <w:bCs/>
        </w:rPr>
        <w:t xml:space="preserve"> </w:t>
      </w:r>
      <w:r w:rsidRPr="0047462D">
        <w:rPr>
          <w:bCs/>
        </w:rPr>
        <w:t>στο</w:t>
      </w:r>
      <w:r w:rsidR="00A36D75" w:rsidRPr="0047462D">
        <w:rPr>
          <w:bCs/>
        </w:rPr>
        <w:t>ν</w:t>
      </w:r>
      <w:r w:rsidRPr="0047462D">
        <w:rPr>
          <w:bCs/>
        </w:rPr>
        <w:t xml:space="preserve"> ΔΜΣ στις 8</w:t>
      </w:r>
      <w:r w:rsidRPr="0047462D">
        <w:t> </w:t>
      </w:r>
      <w:r w:rsidRPr="0047462D">
        <w:rPr>
          <w:bCs/>
        </w:rPr>
        <w:t xml:space="preserve">εβδομάδες θεραπείας και απόλυτη </w:t>
      </w:r>
      <w:r w:rsidR="0012151B" w:rsidRPr="0047462D">
        <w:rPr>
          <w:rFonts w:eastAsia="Times New Roman"/>
          <w:szCs w:val="22"/>
        </w:rPr>
        <w:t>μεταβολή</w:t>
      </w:r>
      <w:r w:rsidR="0012151B" w:rsidRPr="0047462D" w:rsidDel="0012151B">
        <w:rPr>
          <w:bCs/>
        </w:rPr>
        <w:t xml:space="preserve"> </w:t>
      </w:r>
      <w:r w:rsidRPr="0047462D">
        <w:rPr>
          <w:bCs/>
        </w:rPr>
        <w:t>στη βαθμολογία του αναπνευστικού τομέα του CFQ-R καθ’ όλη τη διάρκεια των 8</w:t>
      </w:r>
      <w:r w:rsidRPr="0047462D">
        <w:t> </w:t>
      </w:r>
      <w:r w:rsidRPr="0047462D">
        <w:rPr>
          <w:bCs/>
        </w:rPr>
        <w:t xml:space="preserve">εβδομάδων θεραπείας) και ανά συγκεκριμένη μετάλλαξη (απόλυτη </w:t>
      </w:r>
      <w:r w:rsidR="0012151B" w:rsidRPr="0047462D">
        <w:rPr>
          <w:rFonts w:eastAsia="Times New Roman"/>
          <w:szCs w:val="22"/>
        </w:rPr>
        <w:t>μεταβολή</w:t>
      </w:r>
      <w:r w:rsidR="0012151B" w:rsidRPr="0047462D" w:rsidDel="0012151B">
        <w:rPr>
          <w:bCs/>
        </w:rPr>
        <w:t xml:space="preserve"> </w:t>
      </w:r>
      <w:r w:rsidRPr="0047462D">
        <w:rPr>
          <w:bCs/>
        </w:rPr>
        <w:t xml:space="preserve">στο </w:t>
      </w:r>
      <w:r w:rsidRPr="0047462D">
        <w:rPr>
          <w:rFonts w:eastAsia="Times New Roman"/>
          <w:szCs w:val="22"/>
        </w:rPr>
        <w:t>χλώριο ιδρώτα</w:t>
      </w:r>
      <w:r w:rsidRPr="0047462D">
        <w:rPr>
          <w:bCs/>
        </w:rPr>
        <w:t xml:space="preserve"> και το ποσοστό προβλεπόμενου FEV</w:t>
      </w:r>
      <w:r w:rsidRPr="0047462D">
        <w:rPr>
          <w:bCs/>
          <w:vertAlign w:val="subscript"/>
        </w:rPr>
        <w:t>1</w:t>
      </w:r>
      <w:r w:rsidRPr="0047462D">
        <w:rPr>
          <w:bCs/>
        </w:rPr>
        <w:t xml:space="preserve"> την </w:t>
      </w:r>
      <w:r w:rsidR="002226F1" w:rsidRPr="0047462D">
        <w:rPr>
          <w:bCs/>
        </w:rPr>
        <w:t>εβδομάδα</w:t>
      </w:r>
      <w:r w:rsidR="002226F1" w:rsidRPr="0047462D">
        <w:t> </w:t>
      </w:r>
      <w:r w:rsidRPr="0047462D">
        <w:rPr>
          <w:bCs/>
        </w:rPr>
        <w:t>8) παρατίθεται στον Πίνακα</w:t>
      </w:r>
      <w:r w:rsidR="00572599" w:rsidRPr="0047462D">
        <w:rPr>
          <w:bCs/>
          <w:lang w:val="en-US"/>
        </w:rPr>
        <w:t> </w:t>
      </w:r>
      <w:r w:rsidR="00572599" w:rsidRPr="00F93ECE">
        <w:rPr>
          <w:bCs/>
        </w:rPr>
        <w:t>5</w:t>
      </w:r>
      <w:r w:rsidRPr="0047462D">
        <w:rPr>
          <w:bCs/>
        </w:rPr>
        <w:t>. Με βάση κλινικές (ποσοστό προβλεπόμενου FEV</w:t>
      </w:r>
      <w:r w:rsidRPr="0047462D">
        <w:rPr>
          <w:bCs/>
          <w:vertAlign w:val="subscript"/>
        </w:rPr>
        <w:t>1</w:t>
      </w:r>
      <w:r w:rsidRPr="0047462D">
        <w:rPr>
          <w:bCs/>
        </w:rPr>
        <w:t>) και φαρμακοδυναμικές (</w:t>
      </w:r>
      <w:r w:rsidRPr="0047462D">
        <w:rPr>
          <w:rFonts w:eastAsia="Times New Roman"/>
          <w:szCs w:val="22"/>
        </w:rPr>
        <w:t>χλώριο ιδρώτα)</w:t>
      </w:r>
      <w:r w:rsidRPr="0047462D">
        <w:rPr>
          <w:bCs/>
        </w:rPr>
        <w:t xml:space="preserve"> αποκρίσεις στο ivacaftor, η αποτελεσματικότητα σε ασθενείς με τη μετάλλαξη </w:t>
      </w:r>
      <w:r w:rsidRPr="0047462D">
        <w:rPr>
          <w:bCs/>
          <w:i/>
        </w:rPr>
        <w:t>G970R</w:t>
      </w:r>
      <w:r w:rsidRPr="0047462D">
        <w:rPr>
          <w:bCs/>
        </w:rPr>
        <w:t xml:space="preserve"> δεν μπόρεσε να τεκμηριωθεί.</w:t>
      </w:r>
    </w:p>
    <w:p w14:paraId="7D2E6517" w14:textId="77777777" w:rsidR="002226F1" w:rsidRPr="0047462D" w:rsidRDefault="002226F1" w:rsidP="002226F1">
      <w:pPr>
        <w:ind w:left="-90"/>
        <w:rPr>
          <w:b/>
          <w:szCs w:val="16"/>
        </w:rPr>
      </w:pPr>
    </w:p>
    <w:p w14:paraId="77E92F65" w14:textId="7FBFFD36" w:rsidR="002226F1" w:rsidRPr="0047462D" w:rsidRDefault="002226F1" w:rsidP="00EB5A36">
      <w:pPr>
        <w:keepNext/>
        <w:tabs>
          <w:tab w:val="left" w:pos="990"/>
        </w:tabs>
        <w:spacing w:after="120"/>
        <w:ind w:left="1080" w:hanging="1080"/>
        <w:rPr>
          <w:b/>
          <w:szCs w:val="16"/>
        </w:rPr>
      </w:pPr>
      <w:r w:rsidRPr="0047462D">
        <w:rPr>
          <w:b/>
          <w:szCs w:val="16"/>
        </w:rPr>
        <w:t>Πίνακας </w:t>
      </w:r>
      <w:r w:rsidR="00572599" w:rsidRPr="00F93ECE">
        <w:rPr>
          <w:b/>
          <w:szCs w:val="16"/>
        </w:rPr>
        <w:t>5</w:t>
      </w:r>
      <w:r w:rsidRPr="0047462D">
        <w:rPr>
          <w:b/>
          <w:szCs w:val="16"/>
        </w:rPr>
        <w:t xml:space="preserve">: Επίδραση του ivacaftor για μεταβλητές αποτελεσματικότητας στο συνολικό πληθυσμό και για συγκεκριμένες μεταλλάξεις </w:t>
      </w:r>
      <w:r w:rsidRPr="0047462D">
        <w:rPr>
          <w:b/>
          <w:i/>
          <w:iCs/>
          <w:szCs w:val="16"/>
        </w:rPr>
        <w:t>CFTR</w:t>
      </w:r>
    </w:p>
    <w:tbl>
      <w:tblPr>
        <w:tblW w:w="0" w:type="auto"/>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514"/>
        <w:gridCol w:w="2221"/>
        <w:gridCol w:w="752"/>
        <w:gridCol w:w="2973"/>
        <w:gridCol w:w="10"/>
      </w:tblGrid>
      <w:tr w:rsidR="001C01B6" w:rsidRPr="0047462D" w14:paraId="34FE0908"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E6863E2" w14:textId="77777777" w:rsidR="001C01B6" w:rsidRPr="0047462D" w:rsidRDefault="001C01B6" w:rsidP="00B85583">
            <w:pPr>
              <w:keepNext/>
              <w:jc w:val="center"/>
            </w:pPr>
            <w:r w:rsidRPr="0047462D">
              <w:rPr>
                <w:b/>
                <w:color w:val="000000"/>
                <w:szCs w:val="16"/>
              </w:rPr>
              <w:t xml:space="preserve">Απόλυτη </w:t>
            </w:r>
            <w:r w:rsidR="0012151B" w:rsidRPr="0047462D">
              <w:rPr>
                <w:rFonts w:eastAsia="Times New Roman"/>
                <w:b/>
                <w:szCs w:val="22"/>
              </w:rPr>
              <w:t>μεταβολή</w:t>
            </w:r>
            <w:r w:rsidR="0012151B" w:rsidRPr="0047462D" w:rsidDel="0012151B">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35CCD199" w14:textId="77777777" w:rsidR="001C01B6" w:rsidRPr="0047462D" w:rsidRDefault="001C01B6" w:rsidP="00B85583">
            <w:pPr>
              <w:keepNext/>
              <w:autoSpaceDE w:val="0"/>
              <w:autoSpaceDN w:val="0"/>
              <w:adjustRightInd w:val="0"/>
              <w:jc w:val="center"/>
              <w:rPr>
                <w:b/>
                <w:color w:val="000000"/>
                <w:szCs w:val="16"/>
              </w:rPr>
            </w:pPr>
            <w:r w:rsidRPr="0047462D">
              <w:rPr>
                <w:b/>
                <w:color w:val="000000"/>
                <w:szCs w:val="16"/>
              </w:rPr>
              <w:t>ΔΜΣ</w:t>
            </w:r>
          </w:p>
          <w:p w14:paraId="0D919973" w14:textId="77777777" w:rsidR="001C01B6" w:rsidRPr="0047462D" w:rsidRDefault="001C01B6" w:rsidP="00B85583">
            <w:pPr>
              <w:keepNext/>
              <w:autoSpaceDE w:val="0"/>
              <w:autoSpaceDN w:val="0"/>
              <w:adjustRightInd w:val="0"/>
              <w:jc w:val="center"/>
              <w:rPr>
                <w:b/>
                <w:color w:val="000000"/>
                <w:szCs w:val="16"/>
              </w:rPr>
            </w:pPr>
            <w:r w:rsidRPr="0047462D">
              <w:rPr>
                <w:b/>
                <w:color w:val="000000"/>
                <w:szCs w:val="16"/>
              </w:rPr>
              <w:t>(kg/m</w:t>
            </w:r>
            <w:r w:rsidRPr="0047462D">
              <w:rPr>
                <w:b/>
                <w:color w:val="000000"/>
                <w:szCs w:val="16"/>
                <w:vertAlign w:val="superscript"/>
              </w:rPr>
              <w:t>2</w:t>
            </w:r>
            <w:r w:rsidRPr="0047462D">
              <w:rPr>
                <w:b/>
                <w:color w:val="000000"/>
                <w:szCs w:val="16"/>
              </w:rPr>
              <w:t>)</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5B89377" w14:textId="77777777" w:rsidR="001C01B6" w:rsidRPr="0047462D" w:rsidRDefault="001C01B6" w:rsidP="00B85583">
            <w:pPr>
              <w:keepNext/>
              <w:jc w:val="center"/>
            </w:pPr>
            <w:r w:rsidRPr="0047462D">
              <w:rPr>
                <w:rFonts w:eastAsia="Times New Roman"/>
                <w:b/>
                <w:bCs/>
                <w:szCs w:val="22"/>
              </w:rPr>
              <w:t xml:space="preserve">Βαθμολογία του αναπνευστικού τομέα του CFQ-R </w:t>
            </w:r>
            <w:r w:rsidRPr="0047462D">
              <w:rPr>
                <w:b/>
                <w:color w:val="000000"/>
                <w:szCs w:val="16"/>
              </w:rPr>
              <w:t>(μονάδες)</w:t>
            </w:r>
          </w:p>
        </w:tc>
      </w:tr>
      <w:tr w:rsidR="001C01B6" w:rsidRPr="0047462D" w14:paraId="18932F31"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10AD58B8" w14:textId="1E3D6041" w:rsidR="001C01B6" w:rsidRPr="0047462D" w:rsidRDefault="001C01B6" w:rsidP="00A025B8">
            <w:pPr>
              <w:keepNext/>
              <w:jc w:val="center"/>
            </w:pPr>
            <w:r w:rsidRPr="0047462D">
              <w:rPr>
                <w:b/>
                <w:color w:val="000000"/>
                <w:szCs w:val="16"/>
              </w:rPr>
              <w:t xml:space="preserve">Έως την </w:t>
            </w:r>
            <w:r w:rsidR="002226F1" w:rsidRPr="0047462D">
              <w:rPr>
                <w:b/>
                <w:color w:val="000000"/>
                <w:szCs w:val="16"/>
              </w:rPr>
              <w:t>ε</w:t>
            </w:r>
            <w:r w:rsidR="00A025B8" w:rsidRPr="0047462D">
              <w:rPr>
                <w:b/>
                <w:color w:val="000000"/>
                <w:szCs w:val="16"/>
              </w:rPr>
              <w:t>βδομάδα</w:t>
            </w:r>
            <w:r w:rsidR="00C4174E" w:rsidRPr="0047462D">
              <w:rPr>
                <w:rFonts w:eastAsia="Times New Roman"/>
                <w:szCs w:val="22"/>
              </w:rPr>
              <w:t> </w:t>
            </w:r>
            <w:r w:rsidRPr="0047462D">
              <w:rPr>
                <w:b/>
                <w:color w:val="000000"/>
                <w:szCs w:val="16"/>
              </w:rPr>
              <w:t>8</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65313208" w14:textId="33A25DFA" w:rsidR="001C01B6" w:rsidRPr="0047462D" w:rsidRDefault="001C01B6" w:rsidP="00A025B8">
            <w:pPr>
              <w:keepNext/>
              <w:jc w:val="center"/>
            </w:pPr>
            <w:r w:rsidRPr="0047462D">
              <w:rPr>
                <w:b/>
                <w:color w:val="000000"/>
                <w:szCs w:val="16"/>
              </w:rPr>
              <w:t xml:space="preserve">Την </w:t>
            </w:r>
            <w:r w:rsidR="002226F1" w:rsidRPr="0047462D">
              <w:rPr>
                <w:b/>
                <w:color w:val="000000"/>
                <w:szCs w:val="16"/>
              </w:rPr>
              <w:t>ε</w:t>
            </w:r>
            <w:r w:rsidR="00A025B8" w:rsidRPr="0047462D">
              <w:rPr>
                <w:b/>
                <w:color w:val="000000"/>
                <w:szCs w:val="16"/>
              </w:rPr>
              <w:t>βδομάδα</w:t>
            </w:r>
            <w:r w:rsidR="00C4174E" w:rsidRPr="0047462D">
              <w:rPr>
                <w:rFonts w:eastAsia="Times New Roman"/>
                <w:szCs w:val="22"/>
              </w:rPr>
              <w:t> </w:t>
            </w:r>
            <w:r w:rsidRPr="0047462D">
              <w:rPr>
                <w:b/>
                <w:color w:val="000000"/>
                <w:szCs w:val="16"/>
              </w:rPr>
              <w:t>8</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B5936AC" w14:textId="76FC1AC8" w:rsidR="001C01B6" w:rsidRPr="0047462D" w:rsidRDefault="001C01B6" w:rsidP="00A025B8">
            <w:pPr>
              <w:keepNext/>
              <w:jc w:val="center"/>
            </w:pPr>
            <w:r w:rsidRPr="0047462D">
              <w:rPr>
                <w:b/>
                <w:color w:val="000000"/>
                <w:szCs w:val="16"/>
              </w:rPr>
              <w:t xml:space="preserve">Έως την </w:t>
            </w:r>
            <w:r w:rsidR="002226F1" w:rsidRPr="0047462D">
              <w:rPr>
                <w:b/>
                <w:color w:val="000000"/>
                <w:szCs w:val="16"/>
              </w:rPr>
              <w:t>ε</w:t>
            </w:r>
            <w:r w:rsidR="00A025B8" w:rsidRPr="0047462D">
              <w:rPr>
                <w:b/>
                <w:color w:val="000000"/>
                <w:szCs w:val="16"/>
              </w:rPr>
              <w:t>βδομάδα</w:t>
            </w:r>
            <w:r w:rsidR="00C4174E" w:rsidRPr="0047462D">
              <w:rPr>
                <w:rFonts w:eastAsia="Times New Roman"/>
                <w:szCs w:val="22"/>
              </w:rPr>
              <w:t> </w:t>
            </w:r>
            <w:r w:rsidRPr="0047462D">
              <w:rPr>
                <w:b/>
                <w:color w:val="000000"/>
                <w:szCs w:val="16"/>
              </w:rPr>
              <w:t>8</w:t>
            </w:r>
          </w:p>
        </w:tc>
      </w:tr>
      <w:tr w:rsidR="001C01B6" w:rsidRPr="0047462D" w14:paraId="01F00244" w14:textId="77777777">
        <w:trPr>
          <w:gridAfter w:val="1"/>
          <w:wAfter w:w="10" w:type="dxa"/>
        </w:trPr>
        <w:tc>
          <w:tcPr>
            <w:tcW w:w="8918" w:type="dxa"/>
            <w:gridSpan w:val="5"/>
            <w:tcBorders>
              <w:top w:val="single" w:sz="4" w:space="0" w:color="auto"/>
              <w:left w:val="single" w:sz="4" w:space="0" w:color="auto"/>
              <w:bottom w:val="single" w:sz="4" w:space="0" w:color="auto"/>
              <w:right w:val="single" w:sz="4" w:space="0" w:color="auto"/>
            </w:tcBorders>
            <w:shd w:val="clear" w:color="auto" w:fill="auto"/>
          </w:tcPr>
          <w:p w14:paraId="618621F2" w14:textId="77777777" w:rsidR="001C01B6" w:rsidRPr="0047462D" w:rsidRDefault="001C01B6" w:rsidP="00B85583">
            <w:pPr>
              <w:keepNext/>
              <w:autoSpaceDE w:val="0"/>
              <w:autoSpaceDN w:val="0"/>
              <w:adjustRightInd w:val="0"/>
              <w:rPr>
                <w:color w:val="000000"/>
                <w:szCs w:val="16"/>
              </w:rPr>
            </w:pPr>
            <w:r w:rsidRPr="0047462D">
              <w:rPr>
                <w:color w:val="000000"/>
                <w:szCs w:val="16"/>
              </w:rPr>
              <w:t>Όλοι οι ασθενείς (N=39)</w:t>
            </w:r>
          </w:p>
          <w:p w14:paraId="71D13520" w14:textId="77777777" w:rsidR="001C01B6" w:rsidRPr="0047462D" w:rsidRDefault="001C01B6" w:rsidP="00B85583">
            <w:pPr>
              <w:keepNext/>
              <w:autoSpaceDE w:val="0"/>
              <w:autoSpaceDN w:val="0"/>
              <w:adjustRightInd w:val="0"/>
              <w:rPr>
                <w:color w:val="000000"/>
                <w:szCs w:val="16"/>
              </w:rPr>
            </w:pPr>
            <w:r w:rsidRPr="0047462D">
              <w:rPr>
                <w:color w:val="000000"/>
                <w:szCs w:val="16"/>
              </w:rPr>
              <w:t xml:space="preserve">Τα αποτελέσματα παρατίθενται ως μέση (95% CI) </w:t>
            </w:r>
            <w:r w:rsidR="0012151B" w:rsidRPr="0047462D">
              <w:rPr>
                <w:rFonts w:eastAsia="Times New Roman"/>
                <w:szCs w:val="22"/>
              </w:rPr>
              <w:t>μεταβολή</w:t>
            </w:r>
            <w:r w:rsidR="0012151B" w:rsidRPr="0047462D" w:rsidDel="0012151B">
              <w:rPr>
                <w:color w:val="000000"/>
                <w:szCs w:val="16"/>
              </w:rPr>
              <w:t xml:space="preserve"> </w:t>
            </w:r>
            <w:r w:rsidRPr="0047462D">
              <w:rPr>
                <w:color w:val="000000"/>
                <w:szCs w:val="16"/>
              </w:rPr>
              <w:t>από την τιμή αναφοράς των ασθενών υπό αγωγή με ivacaftor έναντι των ασθενών υπό αγωγή με εικονικό φάρμακο:</w:t>
            </w:r>
          </w:p>
        </w:tc>
      </w:tr>
      <w:tr w:rsidR="001C01B6" w:rsidRPr="0047462D" w14:paraId="126F6D53"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F93A512" w14:textId="77777777" w:rsidR="001C01B6" w:rsidRPr="0047462D" w:rsidRDefault="001C01B6" w:rsidP="00B85583">
            <w:pPr>
              <w:keepNext/>
              <w:jc w:val="center"/>
            </w:pPr>
            <w:r w:rsidRPr="0047462D">
              <w:rPr>
                <w:bCs/>
                <w:iCs/>
                <w:color w:val="000000"/>
                <w:szCs w:val="16"/>
              </w:rPr>
              <w:t>10,7 (7,3, 14,1)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0E30907E" w14:textId="77777777" w:rsidR="001C01B6" w:rsidRPr="0047462D" w:rsidRDefault="001C01B6" w:rsidP="00B85583">
            <w:pPr>
              <w:keepNext/>
              <w:jc w:val="center"/>
            </w:pPr>
            <w:r w:rsidRPr="0047462D">
              <w:rPr>
                <w:color w:val="000000"/>
                <w:szCs w:val="16"/>
              </w:rPr>
              <w:t>0,66 (0,34, 0,99)</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7823DA02" w14:textId="77777777" w:rsidR="001C01B6" w:rsidRPr="0047462D" w:rsidRDefault="001C01B6" w:rsidP="00B85583">
            <w:pPr>
              <w:keepNext/>
              <w:jc w:val="center"/>
            </w:pPr>
            <w:r w:rsidRPr="0047462D">
              <w:rPr>
                <w:color w:val="000000"/>
                <w:szCs w:val="16"/>
              </w:rPr>
              <w:t>9,6 (4,5, 14,7)</w:t>
            </w:r>
          </w:p>
        </w:tc>
      </w:tr>
      <w:tr w:rsidR="001C01B6" w:rsidRPr="0047462D" w14:paraId="1886FD4B"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928" w:type="dxa"/>
            <w:gridSpan w:val="6"/>
            <w:tcBorders>
              <w:top w:val="single" w:sz="4" w:space="0" w:color="auto"/>
              <w:left w:val="single" w:sz="4" w:space="0" w:color="auto"/>
              <w:bottom w:val="single" w:sz="4" w:space="0" w:color="auto"/>
              <w:right w:val="single" w:sz="4" w:space="0" w:color="auto"/>
            </w:tcBorders>
            <w:shd w:val="clear" w:color="auto" w:fill="auto"/>
          </w:tcPr>
          <w:p w14:paraId="3F03B770" w14:textId="77777777" w:rsidR="001C01B6" w:rsidRPr="0047462D" w:rsidRDefault="001C01B6" w:rsidP="00B85583">
            <w:pPr>
              <w:keepNext/>
              <w:autoSpaceDE w:val="0"/>
              <w:autoSpaceDN w:val="0"/>
              <w:adjustRightInd w:val="0"/>
              <w:rPr>
                <w:b/>
                <w:bCs/>
                <w:color w:val="000000"/>
                <w:szCs w:val="16"/>
              </w:rPr>
            </w:pPr>
            <w:r w:rsidRPr="0047462D">
              <w:rPr>
                <w:b/>
                <w:bCs/>
                <w:color w:val="000000"/>
                <w:szCs w:val="16"/>
              </w:rPr>
              <w:t>Οι ασθενείς κατηγοριοποιούνται βάσει του τύπου της μετάλλαξης (n)</w:t>
            </w:r>
          </w:p>
          <w:p w14:paraId="0CA1069A" w14:textId="60EC56D0" w:rsidR="001C01B6" w:rsidRPr="0047462D" w:rsidRDefault="001C01B6" w:rsidP="00A025B8">
            <w:pPr>
              <w:keepNext/>
              <w:autoSpaceDE w:val="0"/>
              <w:autoSpaceDN w:val="0"/>
              <w:adjustRightInd w:val="0"/>
              <w:rPr>
                <w:color w:val="000000"/>
                <w:szCs w:val="16"/>
              </w:rPr>
            </w:pPr>
            <w:r w:rsidRPr="0047462D">
              <w:rPr>
                <w:color w:val="000000"/>
                <w:szCs w:val="16"/>
              </w:rPr>
              <w:t xml:space="preserve">Τα αποτελέσματα παρατίθενται ως μέση (ελάχιστη, μέγιστη) </w:t>
            </w:r>
            <w:r w:rsidR="0012151B" w:rsidRPr="0047462D">
              <w:rPr>
                <w:rFonts w:eastAsia="Times New Roman"/>
                <w:szCs w:val="22"/>
              </w:rPr>
              <w:t>μεταβολή</w:t>
            </w:r>
            <w:r w:rsidR="0012151B" w:rsidRPr="0047462D" w:rsidDel="0012151B">
              <w:rPr>
                <w:color w:val="000000"/>
                <w:szCs w:val="16"/>
              </w:rPr>
              <w:t xml:space="preserve"> </w:t>
            </w:r>
            <w:r w:rsidRPr="0047462D">
              <w:rPr>
                <w:color w:val="000000"/>
                <w:szCs w:val="16"/>
              </w:rPr>
              <w:t xml:space="preserve">από την τιμή αναφοράς για τους ασθενείς υπό αγωγή με ivacaftor την </w:t>
            </w:r>
            <w:r w:rsidR="002226F1" w:rsidRPr="0047462D">
              <w:rPr>
                <w:color w:val="000000"/>
                <w:szCs w:val="16"/>
              </w:rPr>
              <w:t>εβδομάδα</w:t>
            </w:r>
            <w:r w:rsidR="002226F1" w:rsidRPr="0047462D">
              <w:rPr>
                <w:rFonts w:eastAsia="Times New Roman"/>
                <w:szCs w:val="22"/>
              </w:rPr>
              <w:t> </w:t>
            </w:r>
            <w:r w:rsidRPr="0047462D">
              <w:rPr>
                <w:color w:val="000000"/>
                <w:szCs w:val="16"/>
              </w:rPr>
              <w:t>8*:</w:t>
            </w:r>
          </w:p>
        </w:tc>
      </w:tr>
      <w:tr w:rsidR="001C01B6" w:rsidRPr="0047462D" w14:paraId="1BE1EB2B"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val="restart"/>
            <w:tcBorders>
              <w:top w:val="single" w:sz="4" w:space="0" w:color="auto"/>
              <w:left w:val="single" w:sz="4" w:space="0" w:color="auto"/>
              <w:bottom w:val="single" w:sz="4" w:space="0" w:color="auto"/>
            </w:tcBorders>
            <w:shd w:val="clear" w:color="auto" w:fill="auto"/>
          </w:tcPr>
          <w:p w14:paraId="0DAFD455" w14:textId="77777777" w:rsidR="001C01B6" w:rsidRPr="0047462D" w:rsidRDefault="001C01B6" w:rsidP="00B85583">
            <w:pPr>
              <w:keepNext/>
              <w:autoSpaceDE w:val="0"/>
              <w:autoSpaceDN w:val="0"/>
              <w:adjustRightInd w:val="0"/>
              <w:jc w:val="center"/>
              <w:rPr>
                <w:b/>
                <w:bCs/>
                <w:color w:val="000000"/>
                <w:szCs w:val="16"/>
              </w:rPr>
            </w:pPr>
            <w:r w:rsidRPr="0047462D">
              <w:rPr>
                <w:b/>
                <w:bCs/>
                <w:color w:val="000000"/>
                <w:szCs w:val="16"/>
              </w:rPr>
              <w:t>Μετάλλαξη (n)</w:t>
            </w:r>
          </w:p>
          <w:p w14:paraId="2D716931" w14:textId="77777777" w:rsidR="001C01B6" w:rsidRPr="0047462D" w:rsidRDefault="001C01B6" w:rsidP="00B85583">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72DD4BFF" w14:textId="77777777" w:rsidR="001C01B6" w:rsidRPr="0047462D" w:rsidRDefault="001C01B6" w:rsidP="005E47BA">
            <w:pPr>
              <w:keepNext/>
              <w:autoSpaceDE w:val="0"/>
              <w:autoSpaceDN w:val="0"/>
              <w:adjustRightInd w:val="0"/>
              <w:jc w:val="center"/>
              <w:rPr>
                <w:b/>
                <w:bCs/>
                <w:color w:val="000000"/>
                <w:szCs w:val="16"/>
              </w:rPr>
            </w:pPr>
            <w:r w:rsidRPr="0047462D">
              <w:rPr>
                <w:b/>
                <w:color w:val="000000"/>
                <w:szCs w:val="16"/>
              </w:rPr>
              <w:t xml:space="preserve">Απόλυτη </w:t>
            </w:r>
            <w:r w:rsidR="0012151B" w:rsidRPr="0047462D">
              <w:rPr>
                <w:rFonts w:eastAsia="Times New Roman"/>
                <w:b/>
                <w:szCs w:val="22"/>
              </w:rPr>
              <w:t>μεταβολή</w:t>
            </w:r>
            <w:r w:rsidR="0012151B" w:rsidRPr="0047462D" w:rsidDel="0012151B">
              <w:rPr>
                <w:b/>
                <w:color w:val="000000"/>
                <w:szCs w:val="16"/>
              </w:rPr>
              <w:t xml:space="preserve"> </w:t>
            </w:r>
            <w:r w:rsidRPr="0047462D">
              <w:rPr>
                <w:b/>
                <w:color w:val="000000"/>
                <w:szCs w:val="16"/>
              </w:rPr>
              <w:t>στο χλώριο ιδρώτα (mmol/</w:t>
            </w:r>
            <w:r w:rsidR="005E47BA" w:rsidRPr="0047462D">
              <w:rPr>
                <w:b/>
                <w:color w:val="000000"/>
                <w:szCs w:val="16"/>
              </w:rPr>
              <w:t>l</w:t>
            </w:r>
            <w:r w:rsidRPr="0047462D">
              <w:rPr>
                <w:b/>
                <w:color w:val="000000"/>
                <w:szCs w:val="16"/>
              </w:rPr>
              <w:t>)</w:t>
            </w:r>
          </w:p>
        </w:tc>
        <w:tc>
          <w:tcPr>
            <w:tcW w:w="3735" w:type="dxa"/>
            <w:gridSpan w:val="3"/>
            <w:tcBorders>
              <w:top w:val="single" w:sz="4" w:space="0" w:color="auto"/>
              <w:bottom w:val="single" w:sz="4" w:space="0" w:color="auto"/>
              <w:right w:val="single" w:sz="4" w:space="0" w:color="auto"/>
            </w:tcBorders>
            <w:shd w:val="clear" w:color="auto" w:fill="auto"/>
          </w:tcPr>
          <w:p w14:paraId="2EB9759E" w14:textId="77777777" w:rsidR="001C01B6" w:rsidRPr="0047462D" w:rsidRDefault="001C01B6" w:rsidP="00B85583">
            <w:pPr>
              <w:keepNext/>
              <w:autoSpaceDE w:val="0"/>
              <w:autoSpaceDN w:val="0"/>
              <w:adjustRightInd w:val="0"/>
              <w:jc w:val="center"/>
              <w:rPr>
                <w:b/>
                <w:bCs/>
                <w:color w:val="000000"/>
                <w:szCs w:val="16"/>
              </w:rPr>
            </w:pPr>
            <w:r w:rsidRPr="0047462D">
              <w:rPr>
                <w:b/>
                <w:color w:val="000000"/>
                <w:szCs w:val="16"/>
              </w:rPr>
              <w:t xml:space="preserve">Απόλυτη </w:t>
            </w:r>
            <w:r w:rsidR="0012151B" w:rsidRPr="0047462D">
              <w:rPr>
                <w:rFonts w:eastAsia="Times New Roman"/>
                <w:b/>
                <w:szCs w:val="22"/>
              </w:rPr>
              <w:t>μεταβολή</w:t>
            </w:r>
            <w:r w:rsidR="0012151B" w:rsidRPr="0047462D" w:rsidDel="0012151B">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 xml:space="preserve">1 </w:t>
            </w:r>
            <w:r w:rsidRPr="0047462D">
              <w:rPr>
                <w:b/>
                <w:color w:val="000000"/>
                <w:szCs w:val="16"/>
              </w:rPr>
              <w:t>(ποσοστιαίες μονάδες)</w:t>
            </w:r>
          </w:p>
        </w:tc>
      </w:tr>
      <w:tr w:rsidR="001C01B6" w:rsidRPr="0047462D" w14:paraId="27872855"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tcBorders>
              <w:top w:val="single" w:sz="4" w:space="0" w:color="auto"/>
              <w:left w:val="single" w:sz="4" w:space="0" w:color="auto"/>
              <w:bottom w:val="single" w:sz="4" w:space="0" w:color="auto"/>
            </w:tcBorders>
            <w:shd w:val="clear" w:color="auto" w:fill="auto"/>
          </w:tcPr>
          <w:p w14:paraId="45079003" w14:textId="77777777" w:rsidR="001C01B6" w:rsidRPr="0047462D" w:rsidRDefault="001C01B6" w:rsidP="00B85583">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4E2C9031" w14:textId="5CEFF36F" w:rsidR="001C01B6" w:rsidRPr="0047462D" w:rsidRDefault="001C01B6" w:rsidP="00A025B8">
            <w:pPr>
              <w:keepNext/>
              <w:autoSpaceDE w:val="0"/>
              <w:autoSpaceDN w:val="0"/>
              <w:adjustRightInd w:val="0"/>
              <w:jc w:val="center"/>
              <w:rPr>
                <w:b/>
                <w:bCs/>
                <w:color w:val="000000"/>
                <w:szCs w:val="16"/>
              </w:rPr>
            </w:pPr>
            <w:r w:rsidRPr="0047462D">
              <w:rPr>
                <w:b/>
                <w:color w:val="000000"/>
                <w:szCs w:val="16"/>
              </w:rPr>
              <w:t xml:space="preserve">Την </w:t>
            </w:r>
            <w:r w:rsidR="002226F1" w:rsidRPr="0047462D">
              <w:rPr>
                <w:b/>
                <w:color w:val="000000"/>
                <w:szCs w:val="16"/>
              </w:rPr>
              <w:t>εβδομάδα</w:t>
            </w:r>
            <w:r w:rsidR="002226F1" w:rsidRPr="0047462D">
              <w:rPr>
                <w:rFonts w:eastAsia="Times New Roman"/>
                <w:szCs w:val="22"/>
              </w:rPr>
              <w:t> </w:t>
            </w:r>
            <w:r w:rsidRPr="0047462D">
              <w:rPr>
                <w:b/>
                <w:color w:val="000000"/>
                <w:szCs w:val="16"/>
              </w:rPr>
              <w:t>8</w:t>
            </w:r>
          </w:p>
        </w:tc>
        <w:tc>
          <w:tcPr>
            <w:tcW w:w="3735" w:type="dxa"/>
            <w:gridSpan w:val="3"/>
            <w:tcBorders>
              <w:top w:val="single" w:sz="4" w:space="0" w:color="auto"/>
              <w:bottom w:val="single" w:sz="4" w:space="0" w:color="auto"/>
              <w:right w:val="single" w:sz="4" w:space="0" w:color="auto"/>
            </w:tcBorders>
            <w:shd w:val="clear" w:color="auto" w:fill="auto"/>
          </w:tcPr>
          <w:p w14:paraId="1EA47E1F" w14:textId="5566DC53" w:rsidR="001C01B6" w:rsidRPr="0047462D" w:rsidRDefault="001C01B6" w:rsidP="00A025B8">
            <w:pPr>
              <w:keepNext/>
              <w:autoSpaceDE w:val="0"/>
              <w:autoSpaceDN w:val="0"/>
              <w:adjustRightInd w:val="0"/>
              <w:jc w:val="center"/>
              <w:rPr>
                <w:b/>
                <w:bCs/>
                <w:color w:val="000000"/>
                <w:szCs w:val="16"/>
              </w:rPr>
            </w:pPr>
            <w:r w:rsidRPr="0047462D">
              <w:rPr>
                <w:b/>
                <w:color w:val="000000"/>
                <w:szCs w:val="16"/>
              </w:rPr>
              <w:t xml:space="preserve">Την </w:t>
            </w:r>
            <w:r w:rsidR="002226F1" w:rsidRPr="0047462D">
              <w:rPr>
                <w:b/>
                <w:color w:val="000000"/>
                <w:szCs w:val="16"/>
              </w:rPr>
              <w:t>εβδομάδα</w:t>
            </w:r>
            <w:r w:rsidR="002226F1" w:rsidRPr="0047462D">
              <w:rPr>
                <w:rFonts w:eastAsia="Times New Roman"/>
                <w:szCs w:val="22"/>
              </w:rPr>
              <w:t> </w:t>
            </w:r>
            <w:r w:rsidRPr="0047462D">
              <w:rPr>
                <w:b/>
                <w:color w:val="000000"/>
                <w:szCs w:val="16"/>
              </w:rPr>
              <w:t>8</w:t>
            </w:r>
          </w:p>
        </w:tc>
      </w:tr>
      <w:tr w:rsidR="001C01B6" w:rsidRPr="0047462D" w14:paraId="177167A5"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1770"/>
        </w:trPr>
        <w:tc>
          <w:tcPr>
            <w:tcW w:w="1458" w:type="dxa"/>
            <w:tcBorders>
              <w:top w:val="single" w:sz="4" w:space="0" w:color="auto"/>
              <w:left w:val="single" w:sz="4" w:space="0" w:color="auto"/>
              <w:bottom w:val="single" w:sz="4" w:space="0" w:color="auto"/>
            </w:tcBorders>
            <w:shd w:val="clear" w:color="auto" w:fill="auto"/>
          </w:tcPr>
          <w:p w14:paraId="0722F9C8" w14:textId="77777777" w:rsidR="001C01B6" w:rsidRPr="0047462D" w:rsidRDefault="001C01B6" w:rsidP="00D85450">
            <w:pPr>
              <w:keepNext/>
              <w:autoSpaceDE w:val="0"/>
              <w:autoSpaceDN w:val="0"/>
              <w:adjustRightInd w:val="0"/>
              <w:jc w:val="center"/>
              <w:rPr>
                <w:color w:val="000000"/>
                <w:szCs w:val="16"/>
                <w:lang w:val="pt-BR"/>
              </w:rPr>
            </w:pPr>
            <w:r w:rsidRPr="0047462D">
              <w:rPr>
                <w:i/>
                <w:iCs/>
                <w:color w:val="000000"/>
                <w:szCs w:val="16"/>
                <w:lang w:val="pt-BR"/>
              </w:rPr>
              <w:t>G1244E</w:t>
            </w:r>
            <w:r w:rsidRPr="0047462D">
              <w:rPr>
                <w:color w:val="000000"/>
                <w:szCs w:val="16"/>
                <w:lang w:val="pt-BR"/>
              </w:rPr>
              <w:t xml:space="preserve"> (5)</w:t>
            </w:r>
          </w:p>
          <w:p w14:paraId="63D52A45" w14:textId="77777777" w:rsidR="001C01B6" w:rsidRPr="0047462D" w:rsidRDefault="001C01B6" w:rsidP="00D85450">
            <w:pPr>
              <w:keepNext/>
              <w:jc w:val="center"/>
              <w:rPr>
                <w:szCs w:val="16"/>
                <w:lang w:val="pt-BR"/>
              </w:rPr>
            </w:pPr>
            <w:r w:rsidRPr="0047462D">
              <w:rPr>
                <w:i/>
                <w:iCs/>
                <w:szCs w:val="16"/>
                <w:lang w:val="pt-BR"/>
              </w:rPr>
              <w:t>G1349D</w:t>
            </w:r>
            <w:r w:rsidRPr="0047462D">
              <w:rPr>
                <w:szCs w:val="16"/>
                <w:lang w:val="pt-BR"/>
              </w:rPr>
              <w:t xml:space="preserve"> (2)</w:t>
            </w:r>
          </w:p>
          <w:p w14:paraId="03C39740" w14:textId="77777777" w:rsidR="001C01B6" w:rsidRPr="0047462D" w:rsidRDefault="001C01B6" w:rsidP="00D85450">
            <w:pPr>
              <w:keepNext/>
              <w:jc w:val="center"/>
              <w:rPr>
                <w:szCs w:val="16"/>
                <w:lang w:val="pt-BR"/>
              </w:rPr>
            </w:pPr>
            <w:r w:rsidRPr="0047462D">
              <w:rPr>
                <w:i/>
                <w:iCs/>
                <w:szCs w:val="16"/>
                <w:lang w:val="pt-BR"/>
              </w:rPr>
              <w:t>G178R</w:t>
            </w:r>
            <w:r w:rsidRPr="0047462D">
              <w:rPr>
                <w:szCs w:val="16"/>
                <w:lang w:val="pt-BR"/>
              </w:rPr>
              <w:t xml:space="preserve"> (5)</w:t>
            </w:r>
          </w:p>
          <w:p w14:paraId="018E213C" w14:textId="77777777" w:rsidR="001C01B6" w:rsidRPr="0047462D" w:rsidRDefault="001C01B6" w:rsidP="00D85450">
            <w:pPr>
              <w:keepNext/>
              <w:jc w:val="center"/>
              <w:rPr>
                <w:szCs w:val="16"/>
                <w:lang w:val="pt-BR"/>
              </w:rPr>
            </w:pPr>
            <w:r w:rsidRPr="0047462D">
              <w:rPr>
                <w:i/>
                <w:iCs/>
                <w:szCs w:val="16"/>
                <w:lang w:val="pt-BR"/>
              </w:rPr>
              <w:t>G551S</w:t>
            </w:r>
            <w:r w:rsidRPr="0047462D">
              <w:rPr>
                <w:szCs w:val="16"/>
                <w:lang w:val="pt-BR"/>
              </w:rPr>
              <w:t xml:space="preserve"> (2)</w:t>
            </w:r>
          </w:p>
          <w:p w14:paraId="449DAA00" w14:textId="77777777" w:rsidR="001C01B6" w:rsidRPr="0047462D" w:rsidRDefault="001C01B6" w:rsidP="00D85450">
            <w:pPr>
              <w:keepNext/>
              <w:jc w:val="center"/>
              <w:rPr>
                <w:szCs w:val="16"/>
                <w:lang w:val="pt-BR"/>
              </w:rPr>
            </w:pPr>
            <w:r w:rsidRPr="0047462D">
              <w:rPr>
                <w:i/>
                <w:iCs/>
                <w:szCs w:val="16"/>
                <w:lang w:val="pt-BR"/>
              </w:rPr>
              <w:t>G970R</w:t>
            </w:r>
            <w:r w:rsidR="00BF3CFB" w:rsidRPr="0047462D">
              <w:rPr>
                <w:i/>
                <w:iCs/>
                <w:vertAlign w:val="superscript"/>
                <w:lang w:val="en-US"/>
              </w:rPr>
              <w:t>#</w:t>
            </w:r>
            <w:r w:rsidRPr="0047462D">
              <w:rPr>
                <w:szCs w:val="16"/>
                <w:lang w:val="pt-BR"/>
              </w:rPr>
              <w:t xml:space="preserve"> (4)</w:t>
            </w:r>
          </w:p>
          <w:p w14:paraId="6F8FAC79" w14:textId="77777777" w:rsidR="001C01B6" w:rsidRPr="0047462D" w:rsidRDefault="001C01B6" w:rsidP="00D85450">
            <w:pPr>
              <w:keepNext/>
              <w:jc w:val="center"/>
              <w:rPr>
                <w:szCs w:val="16"/>
                <w:lang w:val="en-GB"/>
              </w:rPr>
            </w:pPr>
            <w:r w:rsidRPr="0047462D">
              <w:rPr>
                <w:i/>
                <w:iCs/>
                <w:szCs w:val="16"/>
                <w:lang w:val="en-GB"/>
              </w:rPr>
              <w:t xml:space="preserve">S1251N </w:t>
            </w:r>
            <w:r w:rsidRPr="0047462D">
              <w:rPr>
                <w:szCs w:val="16"/>
                <w:lang w:val="en-GB"/>
              </w:rPr>
              <w:t>(8)</w:t>
            </w:r>
          </w:p>
          <w:p w14:paraId="75D88787" w14:textId="77777777" w:rsidR="001C01B6" w:rsidRPr="0047462D" w:rsidRDefault="001C01B6" w:rsidP="00D85450">
            <w:pPr>
              <w:keepNext/>
              <w:jc w:val="center"/>
              <w:rPr>
                <w:szCs w:val="16"/>
              </w:rPr>
            </w:pPr>
            <w:r w:rsidRPr="0047462D">
              <w:rPr>
                <w:i/>
                <w:iCs/>
                <w:szCs w:val="16"/>
              </w:rPr>
              <w:t>S1255P</w:t>
            </w:r>
            <w:r w:rsidRPr="0047462D">
              <w:rPr>
                <w:szCs w:val="16"/>
              </w:rPr>
              <w:t xml:space="preserve"> (2)</w:t>
            </w:r>
          </w:p>
          <w:p w14:paraId="0ED443B3" w14:textId="77777777" w:rsidR="001C01B6" w:rsidRPr="0047462D" w:rsidRDefault="001C01B6" w:rsidP="00D85450">
            <w:pPr>
              <w:keepNext/>
              <w:jc w:val="center"/>
              <w:rPr>
                <w:szCs w:val="16"/>
              </w:rPr>
            </w:pPr>
            <w:r w:rsidRPr="0047462D">
              <w:rPr>
                <w:i/>
                <w:iCs/>
                <w:szCs w:val="16"/>
              </w:rPr>
              <w:t>S549N</w:t>
            </w:r>
            <w:r w:rsidRPr="0047462D">
              <w:rPr>
                <w:szCs w:val="16"/>
              </w:rPr>
              <w:t xml:space="preserve"> (6)</w:t>
            </w:r>
          </w:p>
          <w:p w14:paraId="0035F509" w14:textId="77777777" w:rsidR="001C01B6" w:rsidRPr="0047462D" w:rsidRDefault="001C01B6" w:rsidP="00D85450">
            <w:pPr>
              <w:keepNext/>
              <w:autoSpaceDE w:val="0"/>
              <w:autoSpaceDN w:val="0"/>
              <w:adjustRightInd w:val="0"/>
              <w:jc w:val="center"/>
              <w:rPr>
                <w:b/>
                <w:bCs/>
                <w:color w:val="000000"/>
                <w:szCs w:val="16"/>
              </w:rPr>
            </w:pPr>
            <w:r w:rsidRPr="0047462D">
              <w:rPr>
                <w:i/>
                <w:iCs/>
                <w:szCs w:val="16"/>
              </w:rPr>
              <w:t>S549R</w:t>
            </w:r>
            <w:r w:rsidRPr="0047462D">
              <w:rPr>
                <w:szCs w:val="16"/>
              </w:rPr>
              <w:t xml:space="preserve"> (4)</w:t>
            </w:r>
          </w:p>
        </w:tc>
        <w:tc>
          <w:tcPr>
            <w:tcW w:w="3735" w:type="dxa"/>
            <w:gridSpan w:val="2"/>
            <w:tcBorders>
              <w:top w:val="single" w:sz="4" w:space="0" w:color="auto"/>
              <w:bottom w:val="single" w:sz="4" w:space="0" w:color="auto"/>
            </w:tcBorders>
            <w:shd w:val="clear" w:color="auto" w:fill="auto"/>
          </w:tcPr>
          <w:p w14:paraId="310606EE" w14:textId="77777777" w:rsidR="001C01B6" w:rsidRPr="0047462D" w:rsidRDefault="001C01B6" w:rsidP="00D85450">
            <w:pPr>
              <w:keepNext/>
              <w:jc w:val="center"/>
              <w:rPr>
                <w:szCs w:val="16"/>
              </w:rPr>
            </w:pPr>
            <w:r w:rsidRPr="0047462D">
              <w:rPr>
                <w:szCs w:val="16"/>
              </w:rPr>
              <w:t>-55 (-75, -34)</w:t>
            </w:r>
          </w:p>
          <w:p w14:paraId="4F4495D4" w14:textId="77777777" w:rsidR="001C01B6" w:rsidRPr="0047462D" w:rsidRDefault="001C01B6" w:rsidP="00D85450">
            <w:pPr>
              <w:keepNext/>
              <w:jc w:val="center"/>
              <w:rPr>
                <w:szCs w:val="16"/>
              </w:rPr>
            </w:pPr>
            <w:r w:rsidRPr="0047462D">
              <w:rPr>
                <w:szCs w:val="16"/>
              </w:rPr>
              <w:t>-80 (-82, -79)</w:t>
            </w:r>
          </w:p>
          <w:p w14:paraId="1534C52D" w14:textId="77777777" w:rsidR="001C01B6" w:rsidRPr="0047462D" w:rsidRDefault="001C01B6" w:rsidP="00D85450">
            <w:pPr>
              <w:keepNext/>
              <w:jc w:val="center"/>
              <w:rPr>
                <w:szCs w:val="16"/>
              </w:rPr>
            </w:pPr>
            <w:r w:rsidRPr="0047462D">
              <w:rPr>
                <w:szCs w:val="16"/>
              </w:rPr>
              <w:t>-53 (-65, -35)</w:t>
            </w:r>
          </w:p>
          <w:p w14:paraId="247D1D0D" w14:textId="77777777" w:rsidR="001C01B6" w:rsidRPr="0047462D" w:rsidRDefault="001C01B6" w:rsidP="00D85450">
            <w:pPr>
              <w:keepNext/>
              <w:jc w:val="center"/>
              <w:rPr>
                <w:szCs w:val="16"/>
              </w:rPr>
            </w:pPr>
            <w:r w:rsidRPr="0047462D">
              <w:rPr>
                <w:szCs w:val="16"/>
              </w:rPr>
              <w:t xml:space="preserve">-68† </w:t>
            </w:r>
          </w:p>
          <w:p w14:paraId="6ED03D0F" w14:textId="77777777" w:rsidR="001C01B6" w:rsidRPr="0047462D" w:rsidRDefault="001C01B6" w:rsidP="00D85450">
            <w:pPr>
              <w:keepNext/>
              <w:jc w:val="center"/>
              <w:rPr>
                <w:szCs w:val="16"/>
              </w:rPr>
            </w:pPr>
            <w:r w:rsidRPr="0047462D">
              <w:rPr>
                <w:szCs w:val="16"/>
              </w:rPr>
              <w:t>-6 (-16, -2)</w:t>
            </w:r>
          </w:p>
          <w:p w14:paraId="45C35146" w14:textId="77777777" w:rsidR="001C01B6" w:rsidRPr="0047462D" w:rsidRDefault="001C01B6" w:rsidP="00D85450">
            <w:pPr>
              <w:keepNext/>
              <w:jc w:val="center"/>
              <w:rPr>
                <w:szCs w:val="16"/>
              </w:rPr>
            </w:pPr>
            <w:r w:rsidRPr="0047462D">
              <w:rPr>
                <w:szCs w:val="16"/>
              </w:rPr>
              <w:t>-54 (-84, -7)</w:t>
            </w:r>
          </w:p>
          <w:p w14:paraId="7111C8C3" w14:textId="77777777" w:rsidR="001C01B6" w:rsidRPr="0047462D" w:rsidRDefault="001C01B6" w:rsidP="00D85450">
            <w:pPr>
              <w:keepNext/>
              <w:jc w:val="center"/>
              <w:rPr>
                <w:szCs w:val="16"/>
              </w:rPr>
            </w:pPr>
            <w:r w:rsidRPr="0047462D">
              <w:rPr>
                <w:szCs w:val="16"/>
              </w:rPr>
              <w:t>-78 (-82, -74)</w:t>
            </w:r>
          </w:p>
          <w:p w14:paraId="524FD4FA" w14:textId="77777777" w:rsidR="001C01B6" w:rsidRPr="0047462D" w:rsidRDefault="001C01B6" w:rsidP="00D85450">
            <w:pPr>
              <w:keepNext/>
              <w:jc w:val="center"/>
              <w:rPr>
                <w:szCs w:val="16"/>
              </w:rPr>
            </w:pPr>
            <w:r w:rsidRPr="0047462D">
              <w:rPr>
                <w:szCs w:val="16"/>
              </w:rPr>
              <w:t>-74 (-93, -53)</w:t>
            </w:r>
          </w:p>
          <w:p w14:paraId="5BAA69A3" w14:textId="77777777" w:rsidR="001C01B6" w:rsidRPr="0047462D" w:rsidRDefault="001C01B6" w:rsidP="00D85450">
            <w:pPr>
              <w:keepNext/>
              <w:jc w:val="center"/>
              <w:rPr>
                <w:szCs w:val="16"/>
              </w:rPr>
            </w:pPr>
            <w:r w:rsidRPr="0047462D">
              <w:rPr>
                <w:szCs w:val="16"/>
              </w:rPr>
              <w:t>-61†† (-71, -54)</w:t>
            </w:r>
          </w:p>
        </w:tc>
        <w:tc>
          <w:tcPr>
            <w:tcW w:w="3735" w:type="dxa"/>
            <w:gridSpan w:val="3"/>
            <w:tcBorders>
              <w:top w:val="single" w:sz="4" w:space="0" w:color="auto"/>
              <w:bottom w:val="single" w:sz="4" w:space="0" w:color="auto"/>
              <w:right w:val="single" w:sz="4" w:space="0" w:color="auto"/>
            </w:tcBorders>
            <w:shd w:val="clear" w:color="auto" w:fill="auto"/>
          </w:tcPr>
          <w:p w14:paraId="33A384DB" w14:textId="77777777" w:rsidR="001C01B6" w:rsidRPr="0047462D" w:rsidRDefault="001C01B6" w:rsidP="00D85450">
            <w:pPr>
              <w:keepNext/>
              <w:jc w:val="center"/>
              <w:rPr>
                <w:szCs w:val="16"/>
              </w:rPr>
            </w:pPr>
            <w:r w:rsidRPr="0047462D">
              <w:rPr>
                <w:szCs w:val="16"/>
              </w:rPr>
              <w:t>8 (-1, 18)</w:t>
            </w:r>
          </w:p>
          <w:p w14:paraId="232C9BF4" w14:textId="77777777" w:rsidR="001C01B6" w:rsidRPr="0047462D" w:rsidRDefault="001C01B6" w:rsidP="00D85450">
            <w:pPr>
              <w:keepNext/>
              <w:jc w:val="center"/>
              <w:rPr>
                <w:szCs w:val="16"/>
              </w:rPr>
            </w:pPr>
            <w:r w:rsidRPr="0047462D">
              <w:rPr>
                <w:szCs w:val="16"/>
              </w:rPr>
              <w:t>20 (3, 36)</w:t>
            </w:r>
          </w:p>
          <w:p w14:paraId="0167A3AE" w14:textId="77777777" w:rsidR="001C01B6" w:rsidRPr="0047462D" w:rsidRDefault="001C01B6" w:rsidP="00D85450">
            <w:pPr>
              <w:keepNext/>
              <w:jc w:val="center"/>
              <w:rPr>
                <w:szCs w:val="16"/>
              </w:rPr>
            </w:pPr>
            <w:r w:rsidRPr="0047462D">
              <w:rPr>
                <w:szCs w:val="16"/>
              </w:rPr>
              <w:t>8 (-1, 18)</w:t>
            </w:r>
          </w:p>
          <w:p w14:paraId="7FFEFAFC" w14:textId="77777777" w:rsidR="001C01B6" w:rsidRPr="0047462D" w:rsidRDefault="001C01B6" w:rsidP="00D85450">
            <w:pPr>
              <w:keepNext/>
              <w:jc w:val="center"/>
              <w:rPr>
                <w:szCs w:val="16"/>
              </w:rPr>
            </w:pPr>
            <w:r w:rsidRPr="0047462D">
              <w:rPr>
                <w:szCs w:val="16"/>
              </w:rPr>
              <w:t>3†</w:t>
            </w:r>
          </w:p>
          <w:p w14:paraId="73EF9F43" w14:textId="77777777" w:rsidR="001C01B6" w:rsidRPr="0047462D" w:rsidRDefault="001C01B6" w:rsidP="00D85450">
            <w:pPr>
              <w:keepNext/>
              <w:jc w:val="center"/>
              <w:rPr>
                <w:szCs w:val="16"/>
              </w:rPr>
            </w:pPr>
            <w:r w:rsidRPr="0047462D">
              <w:rPr>
                <w:szCs w:val="16"/>
              </w:rPr>
              <w:t>3 (-1, 5)</w:t>
            </w:r>
          </w:p>
          <w:p w14:paraId="4ABDD389" w14:textId="77777777" w:rsidR="001C01B6" w:rsidRPr="0047462D" w:rsidRDefault="001C01B6" w:rsidP="00D85450">
            <w:pPr>
              <w:keepNext/>
              <w:jc w:val="center"/>
              <w:rPr>
                <w:szCs w:val="16"/>
              </w:rPr>
            </w:pPr>
            <w:r w:rsidRPr="0047462D">
              <w:rPr>
                <w:szCs w:val="16"/>
              </w:rPr>
              <w:t>9 (-20, 21)</w:t>
            </w:r>
          </w:p>
          <w:p w14:paraId="6F6914E5" w14:textId="77777777" w:rsidR="001C01B6" w:rsidRPr="0047462D" w:rsidRDefault="001C01B6" w:rsidP="00D85450">
            <w:pPr>
              <w:keepNext/>
              <w:jc w:val="center"/>
              <w:rPr>
                <w:szCs w:val="16"/>
              </w:rPr>
            </w:pPr>
            <w:r w:rsidRPr="0047462D">
              <w:rPr>
                <w:szCs w:val="16"/>
              </w:rPr>
              <w:t>3 (-1, 8)</w:t>
            </w:r>
          </w:p>
          <w:p w14:paraId="2D538523" w14:textId="77777777" w:rsidR="001C01B6" w:rsidRPr="0047462D" w:rsidRDefault="001C01B6" w:rsidP="00D85450">
            <w:pPr>
              <w:keepNext/>
              <w:jc w:val="center"/>
              <w:rPr>
                <w:szCs w:val="16"/>
              </w:rPr>
            </w:pPr>
            <w:r w:rsidRPr="0047462D">
              <w:rPr>
                <w:szCs w:val="16"/>
              </w:rPr>
              <w:t>11 (-2, 20)</w:t>
            </w:r>
          </w:p>
          <w:p w14:paraId="78275193" w14:textId="77777777" w:rsidR="001C01B6" w:rsidRPr="0047462D" w:rsidRDefault="001C01B6" w:rsidP="00D85450">
            <w:pPr>
              <w:keepNext/>
              <w:jc w:val="center"/>
              <w:rPr>
                <w:b/>
                <w:color w:val="000000"/>
                <w:szCs w:val="16"/>
              </w:rPr>
            </w:pPr>
            <w:r w:rsidRPr="0047462D">
              <w:rPr>
                <w:szCs w:val="16"/>
              </w:rPr>
              <w:t>5 (-3, 13)</w:t>
            </w:r>
          </w:p>
        </w:tc>
      </w:tr>
    </w:tbl>
    <w:p w14:paraId="2B00FF0D" w14:textId="77777777" w:rsidR="002226F1" w:rsidRPr="0047462D" w:rsidRDefault="002226F1" w:rsidP="00EB5A36">
      <w:pPr>
        <w:pStyle w:val="labeltext"/>
        <w:keepNext/>
        <w:spacing w:before="120"/>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Δεν πραγματοποιήθηκε στατιστικός έλεγχος λόγω του μικρού αριθμού των συγκεκριμένων μεταλλάξεων.</w:t>
      </w:r>
    </w:p>
    <w:p w14:paraId="60454CCB" w14:textId="77777777" w:rsidR="002226F1" w:rsidRPr="0047462D" w:rsidRDefault="002226F1" w:rsidP="00EB5A36">
      <w:pPr>
        <w:pStyle w:val="labeltext"/>
        <w:keepNext/>
        <w:ind w:left="270" w:hanging="18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 xml:space="preserve">Ανταποκρίνεται σε αποτελέσματα από τον έναν ασθενή με τη μετάλλαξη </w:t>
      </w:r>
      <w:r w:rsidRPr="0047462D">
        <w:rPr>
          <w:rFonts w:eastAsia="Times New Roman"/>
          <w:i/>
          <w:iCs/>
          <w:sz w:val="18"/>
          <w:szCs w:val="18"/>
          <w:lang w:val="el-GR"/>
        </w:rPr>
        <w:t>G551S</w:t>
      </w:r>
      <w:r w:rsidRPr="0047462D">
        <w:rPr>
          <w:rFonts w:eastAsia="Times New Roman"/>
          <w:sz w:val="18"/>
          <w:szCs w:val="18"/>
          <w:lang w:val="el-GR"/>
        </w:rPr>
        <w:t xml:space="preserve"> με δεδομένα στο χρονικό σημείο των 8 εβδομάδων.</w:t>
      </w:r>
    </w:p>
    <w:p w14:paraId="5D9FF4FD" w14:textId="77777777" w:rsidR="002226F1" w:rsidRPr="0047462D" w:rsidRDefault="002226F1" w:rsidP="00EB5A36">
      <w:pPr>
        <w:pStyle w:val="labeltext"/>
        <w:keepNext/>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n = 3 για την ανάλυση της απόλυτης μεταβολής στο χλώριο ιδρώτα.</w:t>
      </w:r>
    </w:p>
    <w:p w14:paraId="5C8687AB" w14:textId="77777777" w:rsidR="002226F1" w:rsidRPr="0047462D" w:rsidRDefault="002226F1" w:rsidP="002226F1">
      <w:pPr>
        <w:pStyle w:val="labeltext"/>
        <w:ind w:firstLine="90"/>
        <w:rPr>
          <w:rFonts w:eastAsia="Times New Roman"/>
          <w:sz w:val="18"/>
          <w:szCs w:val="18"/>
          <w:u w:val="single"/>
          <w:lang w:val="el-GR"/>
        </w:rPr>
      </w:pPr>
      <w:r w:rsidRPr="0047462D">
        <w:rPr>
          <w:rFonts w:eastAsia="MS Mincho"/>
          <w:sz w:val="18"/>
          <w:szCs w:val="18"/>
          <w:vertAlign w:val="superscript"/>
          <w:lang w:val="el-GR" w:eastAsia="ja-JP"/>
        </w:rPr>
        <w:t xml:space="preserve"># </w:t>
      </w:r>
      <w:r w:rsidRPr="0047462D">
        <w:rPr>
          <w:rFonts w:eastAsia="MS Mincho"/>
          <w:sz w:val="18"/>
          <w:szCs w:val="18"/>
          <w:lang w:val="el-GR" w:eastAsia="ja-JP"/>
        </w:rPr>
        <w:tab/>
        <w:t xml:space="preserve">Προκαλεί ελαττωματικό μάτισμα με αποτέλεσμα ελάχιστη έως καθόλου πρωτεΐνη </w:t>
      </w:r>
      <w:r w:rsidRPr="0047462D">
        <w:rPr>
          <w:rFonts w:eastAsia="MS Mincho"/>
          <w:sz w:val="18"/>
          <w:szCs w:val="18"/>
          <w:lang w:eastAsia="ja-JP"/>
        </w:rPr>
        <w:t>CFTR</w:t>
      </w:r>
      <w:r w:rsidRPr="0047462D">
        <w:rPr>
          <w:rFonts w:eastAsia="MS Mincho"/>
          <w:sz w:val="18"/>
          <w:szCs w:val="18"/>
          <w:lang w:val="el-GR" w:eastAsia="ja-JP"/>
        </w:rPr>
        <w:t xml:space="preserve"> στην επιφάνεια του κυττάρου.</w:t>
      </w:r>
    </w:p>
    <w:p w14:paraId="300F8B55" w14:textId="77777777" w:rsidR="001C01B6" w:rsidRPr="0047462D" w:rsidRDefault="001C01B6" w:rsidP="001C01B6">
      <w:pPr>
        <w:pStyle w:val="labeltext"/>
        <w:rPr>
          <w:rFonts w:eastAsia="Times New Roman"/>
          <w:sz w:val="22"/>
          <w:szCs w:val="22"/>
          <w:u w:val="single"/>
          <w:lang w:val="el-GR"/>
        </w:rPr>
      </w:pPr>
    </w:p>
    <w:p w14:paraId="5F60F80B" w14:textId="7958D8FE" w:rsidR="001C01B6" w:rsidRPr="0047462D" w:rsidRDefault="001C01B6" w:rsidP="001C01B6">
      <w:pPr>
        <w:pStyle w:val="labeltext"/>
        <w:rPr>
          <w:bCs/>
          <w:sz w:val="22"/>
          <w:szCs w:val="22"/>
          <w:lang w:val="el-GR"/>
        </w:rPr>
      </w:pPr>
      <w:r w:rsidRPr="0047462D">
        <w:rPr>
          <w:bCs/>
          <w:sz w:val="22"/>
          <w:szCs w:val="22"/>
          <w:lang w:val="el-GR"/>
        </w:rPr>
        <w:t>Στο μέρος</w:t>
      </w:r>
      <w:r w:rsidR="00AD331E" w:rsidRPr="0047462D">
        <w:rPr>
          <w:bCs/>
          <w:sz w:val="22"/>
          <w:szCs w:val="22"/>
          <w:lang w:val="en-GB"/>
        </w:rPr>
        <w:t> </w:t>
      </w:r>
      <w:r w:rsidRPr="0047462D">
        <w:rPr>
          <w:bCs/>
          <w:sz w:val="22"/>
          <w:szCs w:val="22"/>
          <w:lang w:val="el-GR"/>
        </w:rPr>
        <w:t>2 της μελέτης</w:t>
      </w:r>
      <w:r w:rsidR="00AD331E" w:rsidRPr="0047462D">
        <w:rPr>
          <w:bCs/>
          <w:sz w:val="22"/>
          <w:szCs w:val="22"/>
          <w:lang w:val="en-GB"/>
        </w:rPr>
        <w:t> </w:t>
      </w:r>
      <w:r w:rsidRPr="0047462D">
        <w:rPr>
          <w:bCs/>
          <w:sz w:val="22"/>
          <w:szCs w:val="22"/>
          <w:lang w:val="el-GR"/>
        </w:rPr>
        <w:t xml:space="preserve">5, η μέση (SD) απόλυτη </w:t>
      </w:r>
      <w:r w:rsidR="0012151B" w:rsidRPr="0047462D">
        <w:rPr>
          <w:rFonts w:eastAsia="Times New Roman"/>
          <w:sz w:val="22"/>
          <w:szCs w:val="22"/>
          <w:lang w:val="el-GR"/>
        </w:rPr>
        <w:t>μεταβολή</w:t>
      </w:r>
      <w:r w:rsidR="0012151B" w:rsidRPr="0047462D" w:rsidDel="0012151B">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μετά από 16</w:t>
      </w:r>
      <w:r w:rsidR="00AD331E" w:rsidRPr="0047462D">
        <w:rPr>
          <w:bCs/>
          <w:sz w:val="22"/>
          <w:szCs w:val="22"/>
          <w:lang w:val="en-GB"/>
        </w:rPr>
        <w:t> </w:t>
      </w:r>
      <w:r w:rsidRPr="0047462D">
        <w:rPr>
          <w:bCs/>
          <w:sz w:val="22"/>
          <w:szCs w:val="22"/>
          <w:lang w:val="el-GR"/>
        </w:rPr>
        <w:t>εβδομάδες (ασθενείς που τυχαιοποιήθηκαν με την ακολουθία θεραπείας ivacaftor/εικονικού φαρμάκου στο μέρος 1) της συνεχούς θεραπείας με ivacaftor ήταν 10,4% (13,2%). Στην επίσκεψη παρακολούθησης</w:t>
      </w:r>
      <w:r w:rsidR="00121FAE" w:rsidRPr="0047462D">
        <w:rPr>
          <w:bCs/>
          <w:sz w:val="22"/>
          <w:szCs w:val="22"/>
          <w:lang w:val="el-GR"/>
        </w:rPr>
        <w:t>,</w:t>
      </w:r>
      <w:r w:rsidRPr="0047462D">
        <w:rPr>
          <w:bCs/>
          <w:sz w:val="22"/>
          <w:szCs w:val="22"/>
          <w:lang w:val="el-GR"/>
        </w:rPr>
        <w:t xml:space="preserve"> 4</w:t>
      </w:r>
      <w:r w:rsidR="00AD331E" w:rsidRPr="0047462D">
        <w:rPr>
          <w:bCs/>
          <w:sz w:val="22"/>
          <w:szCs w:val="22"/>
          <w:lang w:val="en-GB"/>
        </w:rPr>
        <w:t> </w:t>
      </w:r>
      <w:r w:rsidRPr="0047462D">
        <w:rPr>
          <w:bCs/>
          <w:sz w:val="22"/>
          <w:szCs w:val="22"/>
          <w:lang w:val="el-GR"/>
        </w:rPr>
        <w:t xml:space="preserve">εβδομάδες μετά το τέλος χορήγησης δόσης του ivacaftor, η μέση (SD) απόλυτη </w:t>
      </w:r>
      <w:r w:rsidR="0012151B" w:rsidRPr="0047462D">
        <w:rPr>
          <w:rFonts w:eastAsia="Times New Roman"/>
          <w:sz w:val="22"/>
          <w:szCs w:val="22"/>
          <w:lang w:val="el-GR"/>
        </w:rPr>
        <w:t>μεταβολή</w:t>
      </w:r>
      <w:r w:rsidR="0012151B" w:rsidRPr="0047462D" w:rsidDel="0012151B">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717379" w:rsidRPr="0047462D">
        <w:rPr>
          <w:bCs/>
          <w:sz w:val="22"/>
          <w:szCs w:val="22"/>
          <w:lang w:val="el-GR"/>
        </w:rPr>
        <w:t>εβδομάδα</w:t>
      </w:r>
      <w:r w:rsidR="00717379" w:rsidRPr="0047462D">
        <w:rPr>
          <w:bCs/>
          <w:sz w:val="22"/>
          <w:szCs w:val="22"/>
          <w:lang w:val="en-GB"/>
        </w:rPr>
        <w:t> </w:t>
      </w:r>
      <w:r w:rsidR="003320DC" w:rsidRPr="0047462D">
        <w:rPr>
          <w:bCs/>
          <w:sz w:val="22"/>
          <w:szCs w:val="22"/>
          <w:lang w:val="el-GR"/>
        </w:rPr>
        <w:t xml:space="preserve">16 </w:t>
      </w:r>
      <w:r w:rsidRPr="0047462D">
        <w:rPr>
          <w:bCs/>
          <w:sz w:val="22"/>
          <w:szCs w:val="22"/>
          <w:lang w:val="el-GR"/>
        </w:rPr>
        <w:t xml:space="preserve">του μέρους 2 ήταν </w:t>
      </w:r>
      <w:r w:rsidR="00ED7342" w:rsidRPr="0047462D">
        <w:rPr>
          <w:bCs/>
          <w:sz w:val="22"/>
          <w:szCs w:val="22"/>
          <w:lang w:val="el-GR"/>
        </w:rPr>
        <w:noBreakHyphen/>
      </w:r>
      <w:r w:rsidRPr="0047462D">
        <w:rPr>
          <w:bCs/>
          <w:sz w:val="22"/>
          <w:szCs w:val="22"/>
          <w:lang w:val="el-GR"/>
        </w:rPr>
        <w:t xml:space="preserve">5,9% (9,4%). Για τους ασθενείς που τυχαιοποιήθηκαν με την ακολουθία θεραπείας εικονικού φαρμάκου/ivacaftor στο μέρος 1 υπήρξε μια περαιτέρω μέση (SD) </w:t>
      </w:r>
      <w:r w:rsidR="0038143B" w:rsidRPr="0047462D">
        <w:rPr>
          <w:rFonts w:eastAsia="Times New Roman"/>
          <w:sz w:val="22"/>
          <w:szCs w:val="22"/>
          <w:lang w:val="el-GR"/>
        </w:rPr>
        <w:t>μεταβολή</w:t>
      </w:r>
      <w:r w:rsidR="0038143B" w:rsidRPr="0047462D" w:rsidDel="0038143B">
        <w:rPr>
          <w:bCs/>
          <w:sz w:val="22"/>
          <w:szCs w:val="22"/>
          <w:lang w:val="el-GR"/>
        </w:rPr>
        <w:t xml:space="preserve"> </w:t>
      </w:r>
      <w:r w:rsidRPr="0047462D">
        <w:rPr>
          <w:bCs/>
          <w:sz w:val="22"/>
          <w:szCs w:val="22"/>
          <w:lang w:val="el-GR"/>
        </w:rPr>
        <w:t>της τάξης του 3,3% (9,3%) στο ποσοστό προβλεπόμενου FEV</w:t>
      </w:r>
      <w:r w:rsidRPr="0047462D">
        <w:rPr>
          <w:bCs/>
          <w:sz w:val="22"/>
          <w:szCs w:val="22"/>
          <w:vertAlign w:val="subscript"/>
          <w:lang w:val="el-GR"/>
        </w:rPr>
        <w:t>1</w:t>
      </w:r>
      <w:r w:rsidRPr="0047462D">
        <w:rPr>
          <w:bCs/>
          <w:sz w:val="22"/>
          <w:szCs w:val="22"/>
          <w:lang w:val="el-GR"/>
        </w:rPr>
        <w:t xml:space="preserve"> μετά τις πρόσθετες 16</w:t>
      </w:r>
      <w:r w:rsidR="00AD331E" w:rsidRPr="0047462D">
        <w:rPr>
          <w:bCs/>
          <w:sz w:val="22"/>
          <w:szCs w:val="22"/>
          <w:lang w:val="en-GB"/>
        </w:rPr>
        <w:t> </w:t>
      </w:r>
      <w:r w:rsidRPr="0047462D">
        <w:rPr>
          <w:bCs/>
          <w:sz w:val="22"/>
          <w:szCs w:val="22"/>
          <w:lang w:val="el-GR"/>
        </w:rPr>
        <w:t>εβδομάδες θεραπείας με ivacaftor. Στην επίσκεψη παρακολούθησης</w:t>
      </w:r>
      <w:r w:rsidR="00121FAE" w:rsidRPr="0047462D">
        <w:rPr>
          <w:bCs/>
          <w:sz w:val="22"/>
          <w:szCs w:val="22"/>
          <w:lang w:val="el-GR"/>
        </w:rPr>
        <w:t>,</w:t>
      </w:r>
      <w:r w:rsidRPr="0047462D">
        <w:rPr>
          <w:bCs/>
          <w:sz w:val="22"/>
          <w:szCs w:val="22"/>
          <w:lang w:val="el-GR"/>
        </w:rPr>
        <w:t xml:space="preserve"> 4 εβδομάδες μετά το τέλος χορήγησης δόσης του ivacaftor, η μέση (SD) απόλυτη </w:t>
      </w:r>
      <w:r w:rsidR="0038143B" w:rsidRPr="0047462D">
        <w:rPr>
          <w:rFonts w:eastAsia="Times New Roman"/>
          <w:sz w:val="22"/>
          <w:szCs w:val="22"/>
          <w:lang w:val="el-GR"/>
        </w:rPr>
        <w:t>μεταβολή</w:t>
      </w:r>
      <w:r w:rsidR="0038143B" w:rsidRPr="0047462D" w:rsidDel="0038143B">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717379" w:rsidRPr="0047462D">
        <w:rPr>
          <w:bCs/>
          <w:sz w:val="22"/>
          <w:szCs w:val="22"/>
          <w:lang w:val="el-GR"/>
        </w:rPr>
        <w:t>εβδομάδα</w:t>
      </w:r>
      <w:r w:rsidR="00717379" w:rsidRPr="0047462D">
        <w:rPr>
          <w:bCs/>
          <w:sz w:val="22"/>
          <w:szCs w:val="22"/>
          <w:lang w:val="en-GB"/>
        </w:rPr>
        <w:t> </w:t>
      </w:r>
      <w:r w:rsidR="003320DC" w:rsidRPr="0047462D">
        <w:rPr>
          <w:bCs/>
          <w:sz w:val="22"/>
          <w:szCs w:val="22"/>
          <w:lang w:val="el-GR"/>
        </w:rPr>
        <w:t xml:space="preserve">16 </w:t>
      </w:r>
      <w:r w:rsidRPr="0047462D">
        <w:rPr>
          <w:bCs/>
          <w:sz w:val="22"/>
          <w:szCs w:val="22"/>
          <w:lang w:val="el-GR"/>
        </w:rPr>
        <w:t>του μέρους 2 ήταν -7,4% (5,5%).</w:t>
      </w:r>
    </w:p>
    <w:p w14:paraId="2618B8BB" w14:textId="77777777" w:rsidR="001C01B6" w:rsidRPr="0047462D" w:rsidRDefault="001C01B6" w:rsidP="001C01B6">
      <w:pPr>
        <w:pStyle w:val="labeltext"/>
        <w:rPr>
          <w:bCs/>
          <w:sz w:val="22"/>
          <w:szCs w:val="22"/>
          <w:lang w:val="el-GR"/>
        </w:rPr>
      </w:pPr>
    </w:p>
    <w:p w14:paraId="1D73A5A4" w14:textId="41C4820E" w:rsidR="005D5499" w:rsidRPr="0047462D" w:rsidRDefault="00ED7342" w:rsidP="009E50D2">
      <w:pPr>
        <w:pStyle w:val="labeltext"/>
        <w:keepNext/>
        <w:rPr>
          <w:rFonts w:eastAsia="Times New Roman"/>
          <w:i/>
          <w:iCs/>
          <w:sz w:val="22"/>
          <w:szCs w:val="22"/>
          <w:lang w:val="el-GR"/>
        </w:rPr>
      </w:pPr>
      <w:r w:rsidRPr="0047462D">
        <w:rPr>
          <w:rFonts w:eastAsia="Times New Roman"/>
          <w:i/>
          <w:sz w:val="22"/>
          <w:szCs w:val="22"/>
          <w:lang w:val="el-GR"/>
        </w:rPr>
        <w:t>Μελέτη</w:t>
      </w:r>
      <w:r w:rsidRPr="0047462D">
        <w:rPr>
          <w:rFonts w:eastAsia="Times New Roman"/>
          <w:i/>
          <w:sz w:val="22"/>
          <w:szCs w:val="22"/>
          <w:lang w:val="en-GB"/>
        </w:rPr>
        <w:t> </w:t>
      </w:r>
      <w:r w:rsidRPr="0047462D">
        <w:rPr>
          <w:rFonts w:eastAsia="Times New Roman"/>
          <w:i/>
          <w:sz w:val="22"/>
          <w:szCs w:val="22"/>
          <w:lang w:val="el-GR"/>
        </w:rPr>
        <w:t xml:space="preserve">3: μελέτη σε ασθενείς με ΚΙ με τη μετάλλαξη </w:t>
      </w:r>
      <w:r w:rsidRPr="0047462D">
        <w:rPr>
          <w:rFonts w:eastAsia="Times New Roman"/>
          <w:i/>
          <w:iCs/>
          <w:sz w:val="22"/>
          <w:szCs w:val="22"/>
          <w:lang w:val="el-GR"/>
        </w:rPr>
        <w:t>F508del</w:t>
      </w:r>
      <w:r w:rsidRPr="0047462D">
        <w:rPr>
          <w:rFonts w:eastAsia="Times New Roman"/>
          <w:i/>
          <w:sz w:val="22"/>
          <w:szCs w:val="22"/>
          <w:lang w:val="el-GR"/>
        </w:rPr>
        <w:t xml:space="preserve"> στο γονίδιο </w:t>
      </w:r>
      <w:r w:rsidRPr="0047462D">
        <w:rPr>
          <w:rFonts w:eastAsia="Times New Roman"/>
          <w:i/>
          <w:iCs/>
          <w:sz w:val="22"/>
          <w:szCs w:val="22"/>
          <w:lang w:val="el-GR"/>
        </w:rPr>
        <w:t>CFTR</w:t>
      </w:r>
    </w:p>
    <w:p w14:paraId="2ABE3864" w14:textId="77777777" w:rsidR="004B47B0" w:rsidRPr="0047462D" w:rsidRDefault="004B47B0" w:rsidP="009E50D2">
      <w:pPr>
        <w:pStyle w:val="labeltext"/>
        <w:keepNext/>
        <w:rPr>
          <w:rFonts w:eastAsia="Times New Roman"/>
          <w:i/>
          <w:szCs w:val="22"/>
          <w:lang w:val="el-GR"/>
        </w:rPr>
      </w:pPr>
    </w:p>
    <w:p w14:paraId="78A657E5" w14:textId="096D6AF0" w:rsidR="001C01B6" w:rsidRPr="0047462D" w:rsidRDefault="001C01B6" w:rsidP="001C01B6">
      <w:pPr>
        <w:rPr>
          <w:szCs w:val="22"/>
        </w:rPr>
      </w:pPr>
      <w:r w:rsidRPr="0047462D">
        <w:rPr>
          <w:rFonts w:eastAsia="Times New Roman"/>
          <w:szCs w:val="22"/>
        </w:rPr>
        <w:t>Η μελέτη 3 (μέρος A) ήταν μια διπλά τυφλή, ελεγχόμενη με εικονικό φάρμακο μελέτη 16 εβδομάδων με τυχαιοποίηση 4:1</w:t>
      </w:r>
      <w:r w:rsidR="006E26C5" w:rsidRPr="0047462D">
        <w:rPr>
          <w:rFonts w:eastAsia="Times New Roman"/>
          <w:szCs w:val="22"/>
        </w:rPr>
        <w:t>,</w:t>
      </w:r>
      <w:r w:rsidRPr="0047462D">
        <w:rPr>
          <w:rFonts w:eastAsia="Times New Roman"/>
          <w:szCs w:val="22"/>
        </w:rPr>
        <w:t xml:space="preserve"> </w:t>
      </w:r>
      <w:r w:rsidR="007A0DE5">
        <w:rPr>
          <w:rFonts w:eastAsia="Times New Roman"/>
          <w:szCs w:val="22"/>
        </w:rPr>
        <w:t>φ</w:t>
      </w:r>
      <w:r w:rsidRPr="0047462D">
        <w:rPr>
          <w:rFonts w:eastAsia="Times New Roman"/>
          <w:szCs w:val="22"/>
        </w:rPr>
        <w:t>άσης</w:t>
      </w:r>
      <w:r w:rsidRPr="0047462D">
        <w:t> </w:t>
      </w:r>
      <w:r w:rsidRPr="0047462D">
        <w:rPr>
          <w:rFonts w:eastAsia="Times New Roman"/>
          <w:szCs w:val="22"/>
        </w:rPr>
        <w:t>2</w:t>
      </w:r>
      <w:r w:rsidR="006E26C5" w:rsidRPr="0047462D">
        <w:rPr>
          <w:rFonts w:eastAsia="Times New Roman"/>
          <w:szCs w:val="22"/>
        </w:rPr>
        <w:t>,</w:t>
      </w:r>
      <w:r w:rsidRPr="0047462D">
        <w:rPr>
          <w:rFonts w:eastAsia="Times New Roman"/>
          <w:szCs w:val="22"/>
        </w:rPr>
        <w:t xml:space="preserve"> παράλληλων ομάδων του ivacaftor (150 mg κάθε 12 ώρες) σε 140 ασθενείς με ΚΙ ηλικίας 12 ετών και άνω που ήταν ομόζυγοι για τη μετάλλαξη </w:t>
      </w:r>
      <w:r w:rsidRPr="0047462D">
        <w:rPr>
          <w:rFonts w:eastAsia="Times New Roman"/>
          <w:i/>
          <w:iCs/>
          <w:szCs w:val="22"/>
        </w:rPr>
        <w:t>F508del</w:t>
      </w:r>
      <w:r w:rsidRPr="0047462D">
        <w:rPr>
          <w:rFonts w:eastAsia="Times New Roman"/>
          <w:szCs w:val="22"/>
        </w:rPr>
        <w:t xml:space="preserve"> στο γονίδιο </w:t>
      </w:r>
      <w:r w:rsidRPr="0047462D">
        <w:rPr>
          <w:rFonts w:eastAsia="Times New Roman"/>
          <w:i/>
          <w:iCs/>
          <w:szCs w:val="22"/>
        </w:rPr>
        <w:t>CFTR</w:t>
      </w:r>
      <w:r w:rsidRPr="0047462D">
        <w:rPr>
          <w:rFonts w:eastAsia="Times New Roman"/>
          <w:szCs w:val="22"/>
        </w:rPr>
        <w:t xml:space="preserve"> και που είχαν FEV</w:t>
      </w:r>
      <w:r w:rsidRPr="0047462D">
        <w:rPr>
          <w:rFonts w:eastAsia="Times New Roman"/>
          <w:szCs w:val="22"/>
          <w:vertAlign w:val="subscript"/>
        </w:rPr>
        <w:t>1</w:t>
      </w:r>
      <w:r w:rsidRPr="0047462D">
        <w:rPr>
          <w:rFonts w:eastAsia="Times New Roman"/>
          <w:szCs w:val="22"/>
        </w:rPr>
        <w:t xml:space="preserve"> ≥</w:t>
      </w:r>
      <w:r w:rsidR="009A7400" w:rsidRPr="0047462D">
        <w:rPr>
          <w:rFonts w:eastAsia="Times New Roman"/>
          <w:szCs w:val="22"/>
          <w:lang w:val="en-US"/>
        </w:rPr>
        <w:t> </w:t>
      </w:r>
      <w:r w:rsidRPr="0047462D">
        <w:rPr>
          <w:rFonts w:eastAsia="Times New Roman"/>
          <w:szCs w:val="22"/>
        </w:rPr>
        <w:t xml:space="preserve">40% του προβλεπόμενου. </w:t>
      </w:r>
    </w:p>
    <w:p w14:paraId="2086EBCC" w14:textId="77777777" w:rsidR="001C01B6" w:rsidRPr="0047462D" w:rsidRDefault="001C01B6" w:rsidP="001C01B6">
      <w:pPr>
        <w:rPr>
          <w:szCs w:val="22"/>
        </w:rPr>
      </w:pPr>
    </w:p>
    <w:p w14:paraId="7310B178" w14:textId="18BB3142" w:rsidR="001C01B6" w:rsidRPr="0047462D" w:rsidRDefault="001C01B6" w:rsidP="001C01B6">
      <w:pPr>
        <w:rPr>
          <w:rFonts w:eastAsia="MS Mincho"/>
          <w:szCs w:val="22"/>
        </w:rPr>
      </w:pPr>
      <w:r w:rsidRPr="0047462D">
        <w:rPr>
          <w:rFonts w:eastAsia="Times New Roman"/>
          <w:szCs w:val="22"/>
        </w:rPr>
        <w:t xml:space="preserve">Η μέση απόλυτη </w:t>
      </w:r>
      <w:r w:rsidR="0038143B" w:rsidRPr="0047462D">
        <w:rPr>
          <w:rFonts w:eastAsia="Times New Roman"/>
          <w:szCs w:val="22"/>
        </w:rPr>
        <w:t>μεταβολή</w:t>
      </w:r>
      <w:r w:rsidR="0038143B" w:rsidRPr="0047462D" w:rsidDel="0038143B">
        <w:rPr>
          <w:rFonts w:eastAsia="Times New Roman"/>
          <w:szCs w:val="22"/>
        </w:rPr>
        <w:t xml:space="preserve"> </w:t>
      </w:r>
      <w:r w:rsidRPr="0047462D">
        <w:rPr>
          <w:rFonts w:eastAsia="Times New Roman"/>
          <w:szCs w:val="22"/>
        </w:rPr>
        <w:t xml:space="preserve">από την τιμή αναφοράς έως την </w:t>
      </w:r>
      <w:r w:rsidR="00717379" w:rsidRPr="0047462D">
        <w:rPr>
          <w:rFonts w:eastAsia="Times New Roman"/>
          <w:szCs w:val="22"/>
        </w:rPr>
        <w:t>εβδομάδα </w:t>
      </w:r>
      <w:r w:rsidRPr="0047462D">
        <w:rPr>
          <w:rFonts w:eastAsia="Times New Roman"/>
          <w:szCs w:val="22"/>
        </w:rPr>
        <w:t>16 στο ποσοστό προβλεπόμενου FEV</w:t>
      </w:r>
      <w:r w:rsidRPr="0047462D">
        <w:rPr>
          <w:rFonts w:eastAsia="Times New Roman"/>
          <w:szCs w:val="22"/>
          <w:vertAlign w:val="subscript"/>
        </w:rPr>
        <w:t>1</w:t>
      </w:r>
      <w:r w:rsidRPr="0047462D">
        <w:rPr>
          <w:rFonts w:eastAsia="Times New Roman"/>
          <w:szCs w:val="22"/>
        </w:rPr>
        <w:t xml:space="preserve"> (πρωτεύον </w:t>
      </w:r>
      <w:r w:rsidR="006C6EB4" w:rsidRPr="0047462D">
        <w:rPr>
          <w:rFonts w:eastAsia="Times New Roman"/>
          <w:szCs w:val="22"/>
        </w:rPr>
        <w:t xml:space="preserve">τελικό </w:t>
      </w:r>
      <w:r w:rsidRPr="0047462D">
        <w:rPr>
          <w:rFonts w:eastAsia="Times New Roman"/>
          <w:szCs w:val="22"/>
        </w:rPr>
        <w:t xml:space="preserve">σημείο αποτελεσματικότητας) ήταν 1,5 ποσοστιαίες μονάδες στην ομάδα του ivacaftor και </w:t>
      </w:r>
      <w:r w:rsidRPr="0047462D">
        <w:rPr>
          <w:rFonts w:eastAsia="Times New Roman"/>
          <w:szCs w:val="22"/>
        </w:rPr>
        <w:noBreakHyphen/>
        <w:t xml:space="preserve">0,2 ποσοστιαίες μονάδες στην ομάδα εικονικού φαρμάκου. Η εκτιμώμενη διαφορά θεραπείας για το ivacaftor έναντι του εικονικού φαρμάκου ήταν 1,7 ποσοστιαίες μονάδες (95% CI </w:t>
      </w:r>
      <w:r w:rsidRPr="0047462D">
        <w:rPr>
          <w:rFonts w:eastAsia="Times New Roman"/>
          <w:szCs w:val="22"/>
        </w:rPr>
        <w:noBreakHyphen/>
        <w:t>0,6, 4,1), αυτή η διαφορά δεν ήταν στατιστικά σημαντική (</w:t>
      </w:r>
      <w:r w:rsidRPr="0047462D">
        <w:rPr>
          <w:rFonts w:eastAsia="Times New Roman"/>
          <w:i/>
          <w:iCs/>
          <w:szCs w:val="22"/>
        </w:rPr>
        <w:t>P</w:t>
      </w:r>
      <w:r w:rsidR="00121FAE" w:rsidRPr="0047462D">
        <w:rPr>
          <w:rFonts w:eastAsia="Times New Roman"/>
          <w:i/>
          <w:iCs/>
          <w:szCs w:val="22"/>
        </w:rPr>
        <w:t xml:space="preserve"> </w:t>
      </w:r>
      <w:r w:rsidRPr="0047462D">
        <w:rPr>
          <w:rFonts w:eastAsia="Times New Roman"/>
          <w:szCs w:val="22"/>
        </w:rPr>
        <w:t>=</w:t>
      </w:r>
      <w:r w:rsidR="00121FAE" w:rsidRPr="0047462D">
        <w:rPr>
          <w:rFonts w:eastAsia="Times New Roman"/>
          <w:szCs w:val="22"/>
        </w:rPr>
        <w:t xml:space="preserve"> </w:t>
      </w:r>
      <w:r w:rsidRPr="0047462D">
        <w:rPr>
          <w:rFonts w:eastAsia="Times New Roman"/>
          <w:szCs w:val="22"/>
        </w:rPr>
        <w:t>0,15).</w:t>
      </w:r>
    </w:p>
    <w:p w14:paraId="627549EB" w14:textId="77777777" w:rsidR="001C01B6" w:rsidRPr="0047462D" w:rsidRDefault="001C01B6" w:rsidP="001C01B6">
      <w:pPr>
        <w:rPr>
          <w:rFonts w:eastAsia="MS Mincho"/>
          <w:szCs w:val="22"/>
        </w:rPr>
      </w:pPr>
    </w:p>
    <w:p w14:paraId="48A1A9FE" w14:textId="5E861DFB" w:rsidR="001C01B6" w:rsidRPr="0047462D" w:rsidRDefault="00ED7342" w:rsidP="001C01B6">
      <w:pPr>
        <w:keepNext/>
        <w:rPr>
          <w:rFonts w:eastAsia="Times New Roman"/>
          <w:i/>
          <w:szCs w:val="22"/>
        </w:rPr>
      </w:pPr>
      <w:r w:rsidRPr="0047462D">
        <w:rPr>
          <w:rFonts w:eastAsia="Times New Roman"/>
          <w:i/>
          <w:szCs w:val="22"/>
        </w:rPr>
        <w:t>Μελέτη</w:t>
      </w:r>
      <w:r w:rsidRPr="0047462D">
        <w:rPr>
          <w:rFonts w:eastAsia="Times New Roman"/>
          <w:i/>
          <w:color w:val="000000"/>
          <w:szCs w:val="22"/>
        </w:rPr>
        <w:t> </w:t>
      </w:r>
      <w:r w:rsidRPr="0047462D">
        <w:rPr>
          <w:rFonts w:eastAsia="Times New Roman"/>
          <w:i/>
          <w:szCs w:val="22"/>
        </w:rPr>
        <w:t>4: ανοιχτής επισήμανσης μελέτη επέκτασης</w:t>
      </w:r>
    </w:p>
    <w:p w14:paraId="5A39153A" w14:textId="77777777" w:rsidR="004B47B0" w:rsidRPr="0047462D" w:rsidRDefault="004B47B0" w:rsidP="001C01B6">
      <w:pPr>
        <w:keepNext/>
        <w:rPr>
          <w:rFonts w:eastAsia="Times New Roman"/>
          <w:i/>
          <w:color w:val="000000"/>
          <w:szCs w:val="22"/>
        </w:rPr>
      </w:pPr>
    </w:p>
    <w:p w14:paraId="7D034525" w14:textId="0361F476" w:rsidR="001C01B6" w:rsidRPr="0047462D" w:rsidRDefault="001C01B6" w:rsidP="00AD331E">
      <w:pPr>
        <w:tabs>
          <w:tab w:val="left" w:pos="567"/>
        </w:tabs>
        <w:suppressAutoHyphens w:val="0"/>
        <w:spacing w:line="260" w:lineRule="exact"/>
        <w:rPr>
          <w:bCs/>
        </w:rPr>
      </w:pPr>
      <w:r w:rsidRPr="0047462D">
        <w:rPr>
          <w:bCs/>
        </w:rPr>
        <w:t>Στη μελέτη</w:t>
      </w:r>
      <w:r w:rsidR="005310EA" w:rsidRPr="0047462D">
        <w:rPr>
          <w:bCs/>
          <w:lang w:val="en-US"/>
        </w:rPr>
        <w:t> </w:t>
      </w:r>
      <w:r w:rsidRPr="0047462D">
        <w:rPr>
          <w:bCs/>
        </w:rPr>
        <w:t>4, ασθενείς που ολοκλήρωσαν τη θεραπεία στις μελέτες 1 και 2 με εικονικό φάρμακο άλλαξαν σε ivacaftor, ενώ ασθενείς που υποβάλλονταν σε θεραπεία με ivacaftor συνέχισαν να το λαμβάνουν για τουλάχιστον 96</w:t>
      </w:r>
      <w:r w:rsidR="00AD331E" w:rsidRPr="0047462D">
        <w:rPr>
          <w:bCs/>
          <w:lang w:val="en-GB"/>
        </w:rPr>
        <w:t> </w:t>
      </w:r>
      <w:r w:rsidRPr="0047462D">
        <w:rPr>
          <w:bCs/>
        </w:rPr>
        <w:t>εβδομάδες, δηλαδή, η διάρκεια της θεραπείας με ivacaftor ήταν τουλάχιστον 96</w:t>
      </w:r>
      <w:r w:rsidR="00AD331E" w:rsidRPr="0047462D">
        <w:rPr>
          <w:bCs/>
          <w:lang w:val="en-GB"/>
        </w:rPr>
        <w:t> </w:t>
      </w:r>
      <w:r w:rsidRPr="0047462D">
        <w:rPr>
          <w:bCs/>
        </w:rPr>
        <w:t>εβδομάδες για τους ασθενείς στην ομάδα εικονικού φαρμάκου/ivacaftor και τουλάχιστον 144</w:t>
      </w:r>
      <w:r w:rsidR="00AD331E" w:rsidRPr="0047462D">
        <w:rPr>
          <w:bCs/>
          <w:lang w:val="en-GB"/>
        </w:rPr>
        <w:t> </w:t>
      </w:r>
      <w:r w:rsidRPr="0047462D">
        <w:rPr>
          <w:bCs/>
        </w:rPr>
        <w:t>εβδομάδες για τους ασθενείς στην ομάδα ivacaftor/ivacaftor.</w:t>
      </w:r>
    </w:p>
    <w:p w14:paraId="01808E69" w14:textId="77777777" w:rsidR="001C01B6" w:rsidRPr="0047462D" w:rsidRDefault="001C01B6" w:rsidP="001C01B6">
      <w:pPr>
        <w:tabs>
          <w:tab w:val="left" w:pos="567"/>
        </w:tabs>
        <w:suppressAutoHyphens w:val="0"/>
        <w:spacing w:line="260" w:lineRule="exact"/>
        <w:rPr>
          <w:szCs w:val="22"/>
          <w:u w:val="single"/>
        </w:rPr>
      </w:pPr>
    </w:p>
    <w:p w14:paraId="3BE41043" w14:textId="407C12E3" w:rsidR="001C01B6" w:rsidRPr="0047462D" w:rsidRDefault="001C01B6" w:rsidP="001C01B6">
      <w:r w:rsidRPr="0047462D">
        <w:rPr>
          <w:bCs/>
        </w:rPr>
        <w:t>Εκατόν σαράντα τέσσερις (144) ασθενείς από τη μελέτη 1</w:t>
      </w:r>
      <w:r w:rsidR="00AD331E" w:rsidRPr="0047462D">
        <w:rPr>
          <w:bCs/>
          <w:lang w:val="en-GB"/>
        </w:rPr>
        <w:t> </w:t>
      </w:r>
      <w:r w:rsidRPr="0047462D">
        <w:rPr>
          <w:bCs/>
        </w:rPr>
        <w:t>μεταφέρθηκαν στη μελέτη 4, 67 στην ομάδα εικονικού φαρμάκου/ivacaftor και 77 στην ομάδα ivacaftor/ivacaftor. Σαράντα οκτώ (48) ασθενείς από τη μελέτη 2</w:t>
      </w:r>
      <w:r w:rsidR="00AD331E" w:rsidRPr="0047462D">
        <w:rPr>
          <w:bCs/>
          <w:lang w:val="en-GB"/>
        </w:rPr>
        <w:t> </w:t>
      </w:r>
      <w:r w:rsidRPr="0047462D">
        <w:rPr>
          <w:bCs/>
        </w:rPr>
        <w:t>μεταφέρθηκαν στη μελέτη 4, 22 στην ομάδα εικονικού φαρμάκου/ivacaftor και 26 στην ομάδα ivacaftor/ivacaftor.</w:t>
      </w:r>
    </w:p>
    <w:p w14:paraId="3750A412" w14:textId="77777777" w:rsidR="001C01B6" w:rsidRPr="0047462D" w:rsidRDefault="001C01B6" w:rsidP="001C01B6">
      <w:pPr>
        <w:rPr>
          <w:rFonts w:eastAsia="Times New Roman"/>
          <w:szCs w:val="22"/>
          <w:u w:val="single"/>
        </w:rPr>
      </w:pPr>
    </w:p>
    <w:p w14:paraId="2BB321A7" w14:textId="5FEBFF73" w:rsidR="001C01B6" w:rsidRPr="0047462D" w:rsidRDefault="001C01B6" w:rsidP="001C01B6">
      <w:pPr>
        <w:rPr>
          <w:bCs/>
        </w:rPr>
      </w:pPr>
      <w:r w:rsidRPr="0047462D">
        <w:rPr>
          <w:bCs/>
        </w:rPr>
        <w:t>Ο Πίνακας</w:t>
      </w:r>
      <w:r w:rsidR="006A0651" w:rsidRPr="0047462D">
        <w:rPr>
          <w:bCs/>
          <w:lang w:val="en-GB"/>
        </w:rPr>
        <w:t> </w:t>
      </w:r>
      <w:r w:rsidR="00572599" w:rsidRPr="00F93ECE">
        <w:rPr>
          <w:bCs/>
        </w:rPr>
        <w:t>6</w:t>
      </w:r>
      <w:r w:rsidR="00717379" w:rsidRPr="0047462D">
        <w:rPr>
          <w:bCs/>
        </w:rPr>
        <w:t xml:space="preserve"> </w:t>
      </w:r>
      <w:r w:rsidRPr="0047462D">
        <w:rPr>
          <w:bCs/>
        </w:rPr>
        <w:t xml:space="preserve">δείχνει τα αποτελέσματα της μέσης (SD) απόλυτης </w:t>
      </w:r>
      <w:r w:rsidR="0038143B" w:rsidRPr="0047462D">
        <w:rPr>
          <w:rFonts w:eastAsia="Times New Roman"/>
          <w:szCs w:val="22"/>
        </w:rPr>
        <w:t>μεταβολής</w:t>
      </w:r>
      <w:r w:rsidR="0038143B" w:rsidRPr="0047462D" w:rsidDel="0038143B">
        <w:rPr>
          <w:bCs/>
        </w:rPr>
        <w:t xml:space="preserve"> </w:t>
      </w:r>
      <w:r w:rsidRPr="0047462D">
        <w:rPr>
          <w:bCs/>
        </w:rPr>
        <w:t>στο ποσοστό προβλεπόμενου FEV</w:t>
      </w:r>
      <w:r w:rsidRPr="0047462D">
        <w:rPr>
          <w:bCs/>
          <w:vertAlign w:val="subscript"/>
        </w:rPr>
        <w:t>1</w:t>
      </w:r>
      <w:r w:rsidRPr="0047462D">
        <w:rPr>
          <w:bCs/>
        </w:rPr>
        <w:t xml:space="preserve"> για αμφότερες τις ομάδες των ασθενών. Για τους ασθενείς στην ομάδα εικονικού φαρμάκου/ivacaftor η τιμή αναφοράς του ποσοστού προβλεπόμενου FEV</w:t>
      </w:r>
      <w:r w:rsidRPr="0047462D">
        <w:rPr>
          <w:bCs/>
          <w:vertAlign w:val="subscript"/>
        </w:rPr>
        <w:t>1</w:t>
      </w:r>
      <w:r w:rsidRPr="0047462D">
        <w:rPr>
          <w:bCs/>
        </w:rPr>
        <w:t xml:space="preserve"> είναι εκείνη της μελέτης 4, ενώ για τους ασθενείς στην ομάδα ivacaftor/ivacaftor η τιμή αναφοράς είναι εκείνη των μελετών 1 και 2.</w:t>
      </w:r>
    </w:p>
    <w:p w14:paraId="121ED8B7" w14:textId="77777777" w:rsidR="001C01B6" w:rsidRPr="0047462D" w:rsidRDefault="001C01B6" w:rsidP="001C01B6">
      <w:pPr>
        <w:rPr>
          <w:bCs/>
        </w:rPr>
      </w:pPr>
    </w:p>
    <w:p w14:paraId="446C9E2D" w14:textId="7BB3BB89" w:rsidR="00717379" w:rsidRPr="0047462D" w:rsidRDefault="00717379" w:rsidP="00717379">
      <w:pPr>
        <w:keepNext/>
        <w:spacing w:after="120"/>
        <w:rPr>
          <w:b/>
        </w:rPr>
      </w:pPr>
      <w:r w:rsidRPr="0047462D">
        <w:rPr>
          <w:b/>
        </w:rPr>
        <w:t>Πίνακας </w:t>
      </w:r>
      <w:r w:rsidR="00572599" w:rsidRPr="00F93ECE">
        <w:rPr>
          <w:b/>
        </w:rPr>
        <w:t>6</w:t>
      </w:r>
      <w:r w:rsidRPr="0047462D">
        <w:rPr>
          <w:b/>
        </w:rPr>
        <w:t>: Επίδραση του ivacaftor στο ποσοστό προβλεπόμενου FEV</w:t>
      </w:r>
      <w:r w:rsidRPr="0047462D">
        <w:rPr>
          <w:vertAlign w:val="subscript"/>
        </w:rPr>
        <w:t>1</w:t>
      </w:r>
      <w:r w:rsidRPr="0047462D">
        <w:rPr>
          <w:b/>
        </w:rPr>
        <w:t xml:space="preserve"> στη μελέτη 4</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2880"/>
        <w:gridCol w:w="1350"/>
        <w:gridCol w:w="3094"/>
      </w:tblGrid>
      <w:tr w:rsidR="001C01B6" w:rsidRPr="0047462D" w14:paraId="07525020" w14:textId="77777777">
        <w:tc>
          <w:tcPr>
            <w:tcW w:w="2032" w:type="dxa"/>
            <w:tcBorders>
              <w:bottom w:val="single" w:sz="4" w:space="0" w:color="auto"/>
            </w:tcBorders>
            <w:shd w:val="clear" w:color="auto" w:fill="auto"/>
          </w:tcPr>
          <w:p w14:paraId="4565C458" w14:textId="77777777" w:rsidR="001C01B6" w:rsidRPr="0047462D" w:rsidRDefault="001C01B6" w:rsidP="00B85583">
            <w:pPr>
              <w:keepNext/>
              <w:rPr>
                <w:rFonts w:eastAsia="MS Mincho"/>
                <w:color w:val="000000"/>
                <w:lang w:eastAsia="ja-JP"/>
              </w:rPr>
            </w:pPr>
            <w:r w:rsidRPr="0047462D">
              <w:rPr>
                <w:b/>
              </w:rPr>
              <w:t>Αρχική μελέτη και ομάδα θεραπείας</w:t>
            </w:r>
          </w:p>
        </w:tc>
        <w:tc>
          <w:tcPr>
            <w:tcW w:w="2880" w:type="dxa"/>
            <w:tcBorders>
              <w:bottom w:val="single" w:sz="4" w:space="0" w:color="auto"/>
            </w:tcBorders>
            <w:shd w:val="clear" w:color="auto" w:fill="auto"/>
          </w:tcPr>
          <w:p w14:paraId="6C2A400E" w14:textId="56A99F8B" w:rsidR="001C01B6" w:rsidRPr="0047462D" w:rsidRDefault="001C01B6" w:rsidP="00A025B8">
            <w:pPr>
              <w:keepNext/>
              <w:jc w:val="center"/>
              <w:rPr>
                <w:rFonts w:eastAsia="MS Mincho"/>
                <w:color w:val="000000"/>
                <w:lang w:eastAsia="ja-JP"/>
              </w:rPr>
            </w:pPr>
            <w:r w:rsidRPr="0047462D">
              <w:rPr>
                <w:b/>
              </w:rPr>
              <w:t>Διάρκεια της θεραπείας με ivacaftor (</w:t>
            </w:r>
            <w:r w:rsidR="00166294" w:rsidRPr="0047462D">
              <w:rPr>
                <w:b/>
              </w:rPr>
              <w:t>εβδομάδες</w:t>
            </w:r>
            <w:r w:rsidRPr="0047462D">
              <w:rPr>
                <w:b/>
              </w:rPr>
              <w:t>)</w:t>
            </w:r>
          </w:p>
        </w:tc>
        <w:tc>
          <w:tcPr>
            <w:tcW w:w="4444" w:type="dxa"/>
            <w:gridSpan w:val="2"/>
            <w:tcBorders>
              <w:bottom w:val="single" w:sz="4" w:space="0" w:color="auto"/>
            </w:tcBorders>
            <w:shd w:val="clear" w:color="auto" w:fill="auto"/>
          </w:tcPr>
          <w:p w14:paraId="2BE83BFE" w14:textId="77777777" w:rsidR="001C01B6" w:rsidRPr="0047462D" w:rsidRDefault="001C01B6" w:rsidP="00B85583">
            <w:pPr>
              <w:keepNext/>
              <w:jc w:val="center"/>
              <w:rPr>
                <w:rFonts w:eastAsia="MS Mincho"/>
                <w:color w:val="000000"/>
                <w:lang w:eastAsia="ja-JP"/>
              </w:rPr>
            </w:pPr>
            <w:r w:rsidRPr="0047462D">
              <w:rPr>
                <w:b/>
              </w:rPr>
              <w:t xml:space="preserve">Απόλυτη </w:t>
            </w:r>
            <w:r w:rsidR="00E312F0" w:rsidRPr="0047462D">
              <w:rPr>
                <w:rFonts w:eastAsia="Times New Roman"/>
                <w:b/>
                <w:szCs w:val="22"/>
              </w:rPr>
              <w:t>μεταβολή</w:t>
            </w:r>
            <w:r w:rsidR="00E312F0" w:rsidRPr="0047462D" w:rsidDel="00E312F0">
              <w:rPr>
                <w:b/>
              </w:rPr>
              <w:t xml:space="preserve"> </w:t>
            </w:r>
            <w:r w:rsidRPr="0047462D">
              <w:rPr>
                <w:b/>
              </w:rPr>
              <w:t>από την τιμή αναφοράς στο ποσοστό προβλεπόμενου FEV</w:t>
            </w:r>
            <w:r w:rsidRPr="0047462D">
              <w:rPr>
                <w:b/>
                <w:vertAlign w:val="subscript"/>
              </w:rPr>
              <w:t xml:space="preserve">1 </w:t>
            </w:r>
            <w:r w:rsidRPr="0047462D">
              <w:rPr>
                <w:b/>
                <w:vertAlign w:val="subscript"/>
              </w:rPr>
              <w:br/>
            </w:r>
            <w:r w:rsidRPr="0047462D">
              <w:rPr>
                <w:b/>
              </w:rPr>
              <w:t>(ποσοστιαίες μονάδες)</w:t>
            </w:r>
          </w:p>
        </w:tc>
      </w:tr>
      <w:tr w:rsidR="001C01B6" w:rsidRPr="0047462D" w14:paraId="0B16CDF9" w14:textId="77777777">
        <w:tc>
          <w:tcPr>
            <w:tcW w:w="2032" w:type="dxa"/>
            <w:tcBorders>
              <w:top w:val="single" w:sz="4" w:space="0" w:color="auto"/>
              <w:right w:val="single" w:sz="4" w:space="0" w:color="auto"/>
            </w:tcBorders>
            <w:shd w:val="clear" w:color="auto" w:fill="auto"/>
          </w:tcPr>
          <w:p w14:paraId="7BD88EB9" w14:textId="77777777" w:rsidR="001C01B6" w:rsidRPr="0047462D" w:rsidRDefault="001C01B6" w:rsidP="00B85583">
            <w:pPr>
              <w:keepNext/>
              <w:rPr>
                <w:b/>
              </w:rPr>
            </w:pPr>
          </w:p>
        </w:tc>
        <w:tc>
          <w:tcPr>
            <w:tcW w:w="2880" w:type="dxa"/>
            <w:tcBorders>
              <w:top w:val="single" w:sz="4" w:space="0" w:color="auto"/>
              <w:left w:val="single" w:sz="4" w:space="0" w:color="auto"/>
              <w:right w:val="single" w:sz="4" w:space="0" w:color="auto"/>
            </w:tcBorders>
            <w:shd w:val="clear" w:color="auto" w:fill="auto"/>
          </w:tcPr>
          <w:p w14:paraId="3DE84AC4" w14:textId="77777777" w:rsidR="001C01B6" w:rsidRPr="0047462D" w:rsidRDefault="001C01B6" w:rsidP="00B85583">
            <w:pPr>
              <w:keepNext/>
              <w:jc w:val="center"/>
              <w:rPr>
                <w:b/>
              </w:rPr>
            </w:pPr>
          </w:p>
        </w:tc>
        <w:tc>
          <w:tcPr>
            <w:tcW w:w="1350" w:type="dxa"/>
            <w:tcBorders>
              <w:top w:val="single" w:sz="4" w:space="0" w:color="auto"/>
              <w:left w:val="single" w:sz="4" w:space="0" w:color="auto"/>
              <w:right w:val="single" w:sz="4" w:space="0" w:color="auto"/>
            </w:tcBorders>
            <w:shd w:val="clear" w:color="auto" w:fill="auto"/>
          </w:tcPr>
          <w:p w14:paraId="138908EA" w14:textId="77777777" w:rsidR="001C01B6" w:rsidRPr="0047462D" w:rsidRDefault="001C01B6" w:rsidP="00B85583">
            <w:pPr>
              <w:keepNext/>
              <w:jc w:val="center"/>
              <w:rPr>
                <w:b/>
              </w:rPr>
            </w:pPr>
            <w:r w:rsidRPr="0047462D">
              <w:rPr>
                <w:b/>
              </w:rPr>
              <w:t>N</w:t>
            </w:r>
          </w:p>
        </w:tc>
        <w:tc>
          <w:tcPr>
            <w:tcW w:w="3094" w:type="dxa"/>
            <w:tcBorders>
              <w:top w:val="single" w:sz="4" w:space="0" w:color="auto"/>
              <w:left w:val="single" w:sz="4" w:space="0" w:color="auto"/>
            </w:tcBorders>
            <w:shd w:val="clear" w:color="auto" w:fill="auto"/>
          </w:tcPr>
          <w:p w14:paraId="0B27A5F8" w14:textId="77777777" w:rsidR="001C01B6" w:rsidRPr="0047462D" w:rsidRDefault="001C01B6" w:rsidP="00B85583">
            <w:pPr>
              <w:keepNext/>
              <w:jc w:val="center"/>
              <w:rPr>
                <w:b/>
              </w:rPr>
            </w:pPr>
            <w:r w:rsidRPr="0047462D">
              <w:rPr>
                <w:b/>
              </w:rPr>
              <w:t>Μέση (SD)</w:t>
            </w:r>
          </w:p>
        </w:tc>
      </w:tr>
      <w:tr w:rsidR="001C01B6" w:rsidRPr="0047462D" w14:paraId="67F93861" w14:textId="77777777">
        <w:tc>
          <w:tcPr>
            <w:tcW w:w="9356" w:type="dxa"/>
            <w:gridSpan w:val="4"/>
            <w:shd w:val="clear" w:color="auto" w:fill="auto"/>
          </w:tcPr>
          <w:p w14:paraId="04E889C0" w14:textId="77777777" w:rsidR="001C01B6" w:rsidRPr="0047462D" w:rsidRDefault="001C01B6" w:rsidP="00B85583">
            <w:pPr>
              <w:keepNext/>
              <w:rPr>
                <w:b/>
              </w:rPr>
            </w:pPr>
            <w:r w:rsidRPr="0047462D">
              <w:rPr>
                <w:b/>
              </w:rPr>
              <w:t>Μελέτη 1</w:t>
            </w:r>
          </w:p>
        </w:tc>
      </w:tr>
      <w:tr w:rsidR="001C01B6" w:rsidRPr="0047462D" w14:paraId="1F1685BE" w14:textId="77777777">
        <w:tc>
          <w:tcPr>
            <w:tcW w:w="2032" w:type="dxa"/>
            <w:tcBorders>
              <w:right w:val="single" w:sz="4" w:space="0" w:color="auto"/>
            </w:tcBorders>
            <w:shd w:val="clear" w:color="auto" w:fill="auto"/>
          </w:tcPr>
          <w:p w14:paraId="5EF4D2D4" w14:textId="77777777" w:rsidR="001C01B6" w:rsidRPr="0047462D" w:rsidRDefault="001C01B6" w:rsidP="00B85583">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7148F6F0" w14:textId="77777777" w:rsidR="001C01B6" w:rsidRPr="0047462D" w:rsidRDefault="001C01B6" w:rsidP="00B85583">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173652EC" w14:textId="77777777" w:rsidR="001C01B6" w:rsidRPr="0047462D" w:rsidRDefault="001C01B6" w:rsidP="00B85583">
            <w:pPr>
              <w:keepNext/>
              <w:jc w:val="center"/>
            </w:pPr>
            <w:r w:rsidRPr="0047462D">
              <w:t>77</w:t>
            </w:r>
          </w:p>
        </w:tc>
        <w:tc>
          <w:tcPr>
            <w:tcW w:w="3094" w:type="dxa"/>
            <w:tcBorders>
              <w:left w:val="single" w:sz="4" w:space="0" w:color="auto"/>
            </w:tcBorders>
            <w:shd w:val="clear" w:color="auto" w:fill="auto"/>
            <w:vAlign w:val="center"/>
          </w:tcPr>
          <w:p w14:paraId="1A17D36C" w14:textId="77777777" w:rsidR="001C01B6" w:rsidRPr="0047462D" w:rsidRDefault="001C01B6" w:rsidP="00B85583">
            <w:pPr>
              <w:keepNext/>
              <w:jc w:val="center"/>
            </w:pPr>
            <w:r w:rsidRPr="0047462D">
              <w:t>9,4 (8,3)</w:t>
            </w:r>
          </w:p>
        </w:tc>
      </w:tr>
      <w:tr w:rsidR="001C01B6" w:rsidRPr="0047462D" w14:paraId="04E34076" w14:textId="77777777">
        <w:tc>
          <w:tcPr>
            <w:tcW w:w="2032" w:type="dxa"/>
            <w:tcBorders>
              <w:right w:val="single" w:sz="4" w:space="0" w:color="auto"/>
            </w:tcBorders>
            <w:shd w:val="clear" w:color="auto" w:fill="auto"/>
          </w:tcPr>
          <w:p w14:paraId="3E1583A5" w14:textId="77777777" w:rsidR="001C01B6" w:rsidRPr="0047462D" w:rsidRDefault="001C01B6" w:rsidP="00B85583">
            <w:pPr>
              <w:keepNext/>
              <w:rPr>
                <w:b/>
              </w:rPr>
            </w:pPr>
          </w:p>
        </w:tc>
        <w:tc>
          <w:tcPr>
            <w:tcW w:w="2880" w:type="dxa"/>
            <w:tcBorders>
              <w:left w:val="single" w:sz="4" w:space="0" w:color="auto"/>
              <w:right w:val="single" w:sz="4" w:space="0" w:color="auto"/>
            </w:tcBorders>
            <w:shd w:val="clear" w:color="auto" w:fill="auto"/>
            <w:vAlign w:val="center"/>
          </w:tcPr>
          <w:p w14:paraId="5A681E91" w14:textId="77777777" w:rsidR="001C01B6" w:rsidRPr="0047462D" w:rsidRDefault="001C01B6" w:rsidP="00B85583">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67698168" w14:textId="77777777" w:rsidR="001C01B6" w:rsidRPr="0047462D" w:rsidRDefault="001C01B6" w:rsidP="00B85583">
            <w:pPr>
              <w:keepNext/>
              <w:jc w:val="center"/>
            </w:pPr>
            <w:r w:rsidRPr="0047462D">
              <w:t>72</w:t>
            </w:r>
          </w:p>
        </w:tc>
        <w:tc>
          <w:tcPr>
            <w:tcW w:w="3094" w:type="dxa"/>
            <w:tcBorders>
              <w:left w:val="single" w:sz="4" w:space="0" w:color="auto"/>
            </w:tcBorders>
            <w:shd w:val="clear" w:color="auto" w:fill="auto"/>
            <w:vAlign w:val="center"/>
          </w:tcPr>
          <w:p w14:paraId="55965FBA" w14:textId="77777777" w:rsidR="001C01B6" w:rsidRPr="0047462D" w:rsidRDefault="001C01B6" w:rsidP="00B85583">
            <w:pPr>
              <w:keepNext/>
              <w:jc w:val="center"/>
            </w:pPr>
            <w:r w:rsidRPr="0047462D">
              <w:t>9,4 (10,8)</w:t>
            </w:r>
          </w:p>
        </w:tc>
      </w:tr>
      <w:tr w:rsidR="001C01B6" w:rsidRPr="0047462D" w14:paraId="42081B29" w14:textId="77777777">
        <w:tc>
          <w:tcPr>
            <w:tcW w:w="2032" w:type="dxa"/>
            <w:tcBorders>
              <w:right w:val="single" w:sz="4" w:space="0" w:color="auto"/>
            </w:tcBorders>
            <w:shd w:val="clear" w:color="auto" w:fill="auto"/>
          </w:tcPr>
          <w:p w14:paraId="1D2C92D6" w14:textId="77777777" w:rsidR="001C01B6" w:rsidRPr="0047462D" w:rsidRDefault="001C01B6" w:rsidP="00B85583">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5209D669" w14:textId="77777777" w:rsidR="001C01B6" w:rsidRPr="0047462D" w:rsidRDefault="001C01B6" w:rsidP="00B85583">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5E735C99" w14:textId="77777777" w:rsidR="001C01B6" w:rsidRPr="0047462D" w:rsidRDefault="001C01B6" w:rsidP="00B85583">
            <w:pPr>
              <w:keepNext/>
              <w:jc w:val="center"/>
            </w:pPr>
            <w:r w:rsidRPr="0047462D">
              <w:t>67</w:t>
            </w:r>
          </w:p>
        </w:tc>
        <w:tc>
          <w:tcPr>
            <w:tcW w:w="3094" w:type="dxa"/>
            <w:tcBorders>
              <w:left w:val="single" w:sz="4" w:space="0" w:color="auto"/>
            </w:tcBorders>
            <w:shd w:val="clear" w:color="auto" w:fill="auto"/>
            <w:vAlign w:val="center"/>
          </w:tcPr>
          <w:p w14:paraId="0AB44D5A" w14:textId="77777777" w:rsidR="001C01B6" w:rsidRPr="0047462D" w:rsidRDefault="001C01B6" w:rsidP="00B85583">
            <w:pPr>
              <w:keepNext/>
              <w:jc w:val="center"/>
            </w:pPr>
            <w:r w:rsidRPr="0047462D">
              <w:t>-1,2 (7,8)</w:t>
            </w:r>
            <w:r w:rsidRPr="0047462D">
              <w:rPr>
                <w:color w:val="1F497D"/>
                <w:position w:val="6"/>
                <w:sz w:val="16"/>
              </w:rPr>
              <w:t>†</w:t>
            </w:r>
          </w:p>
        </w:tc>
      </w:tr>
      <w:tr w:rsidR="001C01B6" w:rsidRPr="0047462D" w14:paraId="425B833C" w14:textId="77777777">
        <w:tc>
          <w:tcPr>
            <w:tcW w:w="2032" w:type="dxa"/>
            <w:tcBorders>
              <w:right w:val="single" w:sz="4" w:space="0" w:color="auto"/>
            </w:tcBorders>
            <w:shd w:val="clear" w:color="auto" w:fill="auto"/>
          </w:tcPr>
          <w:p w14:paraId="4C06C6D7" w14:textId="77777777" w:rsidR="001C01B6" w:rsidRPr="0047462D" w:rsidRDefault="001C01B6" w:rsidP="00B85583">
            <w:pPr>
              <w:keepNext/>
              <w:rPr>
                <w:b/>
              </w:rPr>
            </w:pPr>
          </w:p>
        </w:tc>
        <w:tc>
          <w:tcPr>
            <w:tcW w:w="2880" w:type="dxa"/>
            <w:tcBorders>
              <w:left w:val="single" w:sz="4" w:space="0" w:color="auto"/>
              <w:right w:val="single" w:sz="4" w:space="0" w:color="auto"/>
            </w:tcBorders>
            <w:shd w:val="clear" w:color="auto" w:fill="auto"/>
            <w:vAlign w:val="center"/>
          </w:tcPr>
          <w:p w14:paraId="3B0702DE" w14:textId="77777777" w:rsidR="001C01B6" w:rsidRPr="0047462D" w:rsidRDefault="001C01B6" w:rsidP="00B85583">
            <w:pPr>
              <w:keepNext/>
              <w:jc w:val="center"/>
            </w:pPr>
            <w:r w:rsidRPr="0047462D">
              <w:t>96</w:t>
            </w:r>
          </w:p>
        </w:tc>
        <w:tc>
          <w:tcPr>
            <w:tcW w:w="1350" w:type="dxa"/>
            <w:tcBorders>
              <w:left w:val="single" w:sz="4" w:space="0" w:color="auto"/>
              <w:right w:val="single" w:sz="4" w:space="0" w:color="auto"/>
            </w:tcBorders>
            <w:shd w:val="clear" w:color="auto" w:fill="auto"/>
            <w:vAlign w:val="center"/>
          </w:tcPr>
          <w:p w14:paraId="1705D38C" w14:textId="77777777" w:rsidR="001C01B6" w:rsidRPr="0047462D" w:rsidRDefault="001C01B6" w:rsidP="00B85583">
            <w:pPr>
              <w:keepNext/>
              <w:jc w:val="center"/>
            </w:pPr>
            <w:r w:rsidRPr="0047462D">
              <w:t>55</w:t>
            </w:r>
          </w:p>
        </w:tc>
        <w:tc>
          <w:tcPr>
            <w:tcW w:w="3094" w:type="dxa"/>
            <w:tcBorders>
              <w:left w:val="single" w:sz="4" w:space="0" w:color="auto"/>
            </w:tcBorders>
            <w:shd w:val="clear" w:color="auto" w:fill="auto"/>
            <w:vAlign w:val="center"/>
          </w:tcPr>
          <w:p w14:paraId="55914D9E" w14:textId="77777777" w:rsidR="001C01B6" w:rsidRPr="0047462D" w:rsidRDefault="001C01B6" w:rsidP="00B85583">
            <w:pPr>
              <w:keepNext/>
              <w:jc w:val="center"/>
            </w:pPr>
            <w:r w:rsidRPr="0047462D">
              <w:t>9,5 (11,2)</w:t>
            </w:r>
          </w:p>
        </w:tc>
      </w:tr>
      <w:tr w:rsidR="001C01B6" w:rsidRPr="0047462D" w14:paraId="16DCD166" w14:textId="77777777">
        <w:tc>
          <w:tcPr>
            <w:tcW w:w="9356" w:type="dxa"/>
            <w:gridSpan w:val="4"/>
            <w:shd w:val="clear" w:color="auto" w:fill="auto"/>
          </w:tcPr>
          <w:p w14:paraId="4BC670A9" w14:textId="77777777" w:rsidR="001C01B6" w:rsidRPr="0047462D" w:rsidRDefault="001C01B6" w:rsidP="00B85583">
            <w:pPr>
              <w:keepNext/>
              <w:rPr>
                <w:b/>
              </w:rPr>
            </w:pPr>
            <w:r w:rsidRPr="0047462D">
              <w:rPr>
                <w:b/>
              </w:rPr>
              <w:t>Μελέτη 2</w:t>
            </w:r>
          </w:p>
        </w:tc>
      </w:tr>
      <w:tr w:rsidR="001C01B6" w:rsidRPr="0047462D" w14:paraId="25F78A69" w14:textId="77777777">
        <w:tc>
          <w:tcPr>
            <w:tcW w:w="2032" w:type="dxa"/>
            <w:tcBorders>
              <w:right w:val="single" w:sz="4" w:space="0" w:color="auto"/>
            </w:tcBorders>
            <w:shd w:val="clear" w:color="auto" w:fill="auto"/>
          </w:tcPr>
          <w:p w14:paraId="3059ECE7" w14:textId="77777777" w:rsidR="001C01B6" w:rsidRPr="0047462D" w:rsidRDefault="001C01B6" w:rsidP="00B85583">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04E23243" w14:textId="77777777" w:rsidR="001C01B6" w:rsidRPr="0047462D" w:rsidRDefault="001C01B6" w:rsidP="00B85583">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74AEEDBB" w14:textId="77777777" w:rsidR="001C01B6" w:rsidRPr="0047462D" w:rsidRDefault="001C01B6" w:rsidP="00B85583">
            <w:pPr>
              <w:keepNext/>
              <w:jc w:val="center"/>
            </w:pPr>
            <w:r w:rsidRPr="0047462D">
              <w:t>26</w:t>
            </w:r>
          </w:p>
        </w:tc>
        <w:tc>
          <w:tcPr>
            <w:tcW w:w="3094" w:type="dxa"/>
            <w:tcBorders>
              <w:left w:val="single" w:sz="4" w:space="0" w:color="auto"/>
            </w:tcBorders>
            <w:shd w:val="clear" w:color="auto" w:fill="auto"/>
            <w:vAlign w:val="center"/>
          </w:tcPr>
          <w:p w14:paraId="75E32461" w14:textId="77777777" w:rsidR="001C01B6" w:rsidRPr="0047462D" w:rsidRDefault="001C01B6" w:rsidP="00B85583">
            <w:pPr>
              <w:keepNext/>
              <w:jc w:val="center"/>
            </w:pPr>
            <w:r w:rsidRPr="0047462D">
              <w:t>10,2 (15,7)</w:t>
            </w:r>
          </w:p>
        </w:tc>
      </w:tr>
      <w:tr w:rsidR="001C01B6" w:rsidRPr="0047462D" w14:paraId="403027C0" w14:textId="77777777">
        <w:tc>
          <w:tcPr>
            <w:tcW w:w="2032" w:type="dxa"/>
            <w:tcBorders>
              <w:right w:val="single" w:sz="4" w:space="0" w:color="auto"/>
            </w:tcBorders>
            <w:shd w:val="clear" w:color="auto" w:fill="auto"/>
          </w:tcPr>
          <w:p w14:paraId="2485AAA6" w14:textId="77777777" w:rsidR="001C01B6" w:rsidRPr="0047462D" w:rsidRDefault="001C01B6" w:rsidP="00B85583">
            <w:pPr>
              <w:keepNext/>
              <w:rPr>
                <w:b/>
              </w:rPr>
            </w:pPr>
          </w:p>
        </w:tc>
        <w:tc>
          <w:tcPr>
            <w:tcW w:w="2880" w:type="dxa"/>
            <w:tcBorders>
              <w:left w:val="single" w:sz="4" w:space="0" w:color="auto"/>
              <w:right w:val="single" w:sz="4" w:space="0" w:color="auto"/>
            </w:tcBorders>
            <w:shd w:val="clear" w:color="auto" w:fill="auto"/>
            <w:vAlign w:val="center"/>
          </w:tcPr>
          <w:p w14:paraId="36F0673D" w14:textId="77777777" w:rsidR="001C01B6" w:rsidRPr="0047462D" w:rsidRDefault="001C01B6" w:rsidP="00B85583">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3FB56D32" w14:textId="77777777" w:rsidR="001C01B6" w:rsidRPr="0047462D" w:rsidRDefault="001C01B6" w:rsidP="00B85583">
            <w:pPr>
              <w:keepNext/>
              <w:jc w:val="center"/>
            </w:pPr>
            <w:r w:rsidRPr="0047462D">
              <w:t>25</w:t>
            </w:r>
          </w:p>
        </w:tc>
        <w:tc>
          <w:tcPr>
            <w:tcW w:w="3094" w:type="dxa"/>
            <w:tcBorders>
              <w:left w:val="single" w:sz="4" w:space="0" w:color="auto"/>
            </w:tcBorders>
            <w:shd w:val="clear" w:color="auto" w:fill="auto"/>
            <w:vAlign w:val="center"/>
          </w:tcPr>
          <w:p w14:paraId="2E2AEF6E" w14:textId="77777777" w:rsidR="001C01B6" w:rsidRPr="0047462D" w:rsidRDefault="001C01B6" w:rsidP="00B85583">
            <w:pPr>
              <w:keepNext/>
              <w:jc w:val="center"/>
            </w:pPr>
            <w:r w:rsidRPr="0047462D">
              <w:t>10,3 (12,4)</w:t>
            </w:r>
          </w:p>
        </w:tc>
      </w:tr>
      <w:tr w:rsidR="001C01B6" w:rsidRPr="0047462D" w14:paraId="7AA69E19" w14:textId="77777777">
        <w:tc>
          <w:tcPr>
            <w:tcW w:w="2032" w:type="dxa"/>
            <w:tcBorders>
              <w:right w:val="single" w:sz="4" w:space="0" w:color="auto"/>
            </w:tcBorders>
            <w:shd w:val="clear" w:color="auto" w:fill="auto"/>
          </w:tcPr>
          <w:p w14:paraId="1271D3F5" w14:textId="77777777" w:rsidR="001C01B6" w:rsidRPr="0047462D" w:rsidRDefault="001C01B6" w:rsidP="00B85583">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33DD245D" w14:textId="77777777" w:rsidR="001C01B6" w:rsidRPr="0047462D" w:rsidRDefault="001C01B6" w:rsidP="00B85583">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45C8CCC4" w14:textId="77777777" w:rsidR="001C01B6" w:rsidRPr="0047462D" w:rsidRDefault="001C01B6" w:rsidP="00B85583">
            <w:pPr>
              <w:keepNext/>
              <w:jc w:val="center"/>
            </w:pPr>
            <w:r w:rsidRPr="0047462D">
              <w:t>22</w:t>
            </w:r>
          </w:p>
        </w:tc>
        <w:tc>
          <w:tcPr>
            <w:tcW w:w="3094" w:type="dxa"/>
            <w:tcBorders>
              <w:left w:val="single" w:sz="4" w:space="0" w:color="auto"/>
            </w:tcBorders>
            <w:shd w:val="clear" w:color="auto" w:fill="auto"/>
            <w:vAlign w:val="center"/>
          </w:tcPr>
          <w:p w14:paraId="436451E5" w14:textId="77777777" w:rsidR="001C01B6" w:rsidRPr="0047462D" w:rsidRDefault="001C01B6" w:rsidP="00B85583">
            <w:pPr>
              <w:keepNext/>
              <w:jc w:val="center"/>
            </w:pPr>
            <w:r w:rsidRPr="0047462D">
              <w:t>-0,6 (10,1)</w:t>
            </w:r>
            <w:r w:rsidRPr="0047462D">
              <w:rPr>
                <w:color w:val="1F497D"/>
                <w:position w:val="6"/>
                <w:sz w:val="16"/>
              </w:rPr>
              <w:t>†</w:t>
            </w:r>
          </w:p>
        </w:tc>
      </w:tr>
      <w:tr w:rsidR="001C01B6" w:rsidRPr="0047462D" w14:paraId="0A54100A" w14:textId="77777777">
        <w:tc>
          <w:tcPr>
            <w:tcW w:w="2032" w:type="dxa"/>
            <w:tcBorders>
              <w:bottom w:val="single" w:sz="4" w:space="0" w:color="auto"/>
              <w:right w:val="single" w:sz="4" w:space="0" w:color="auto"/>
            </w:tcBorders>
            <w:shd w:val="clear" w:color="auto" w:fill="auto"/>
          </w:tcPr>
          <w:p w14:paraId="650C121A" w14:textId="77777777" w:rsidR="001C01B6" w:rsidRPr="0047462D" w:rsidRDefault="001C01B6" w:rsidP="00B85583">
            <w:pPr>
              <w:keepNext/>
              <w:rPr>
                <w:b/>
              </w:rPr>
            </w:pPr>
          </w:p>
        </w:tc>
        <w:tc>
          <w:tcPr>
            <w:tcW w:w="2880" w:type="dxa"/>
            <w:tcBorders>
              <w:left w:val="single" w:sz="4" w:space="0" w:color="auto"/>
              <w:bottom w:val="single" w:sz="4" w:space="0" w:color="auto"/>
              <w:right w:val="single" w:sz="4" w:space="0" w:color="auto"/>
            </w:tcBorders>
            <w:shd w:val="clear" w:color="auto" w:fill="auto"/>
            <w:vAlign w:val="center"/>
          </w:tcPr>
          <w:p w14:paraId="1B1F5460" w14:textId="77777777" w:rsidR="001C01B6" w:rsidRPr="0047462D" w:rsidRDefault="001C01B6" w:rsidP="00B85583">
            <w:pPr>
              <w:keepNext/>
              <w:jc w:val="center"/>
            </w:pPr>
            <w:r w:rsidRPr="0047462D">
              <w:t>96</w:t>
            </w:r>
          </w:p>
        </w:tc>
        <w:tc>
          <w:tcPr>
            <w:tcW w:w="1350" w:type="dxa"/>
            <w:tcBorders>
              <w:left w:val="single" w:sz="4" w:space="0" w:color="auto"/>
              <w:bottom w:val="single" w:sz="4" w:space="0" w:color="auto"/>
              <w:right w:val="single" w:sz="4" w:space="0" w:color="auto"/>
            </w:tcBorders>
            <w:shd w:val="clear" w:color="auto" w:fill="auto"/>
            <w:vAlign w:val="center"/>
          </w:tcPr>
          <w:p w14:paraId="1BF4B40E" w14:textId="77777777" w:rsidR="001C01B6" w:rsidRPr="0047462D" w:rsidRDefault="001C01B6" w:rsidP="00B85583">
            <w:pPr>
              <w:keepNext/>
              <w:jc w:val="center"/>
            </w:pPr>
            <w:r w:rsidRPr="0047462D">
              <w:t>21</w:t>
            </w:r>
          </w:p>
        </w:tc>
        <w:tc>
          <w:tcPr>
            <w:tcW w:w="3094" w:type="dxa"/>
            <w:tcBorders>
              <w:left w:val="single" w:sz="4" w:space="0" w:color="auto"/>
              <w:bottom w:val="single" w:sz="4" w:space="0" w:color="auto"/>
            </w:tcBorders>
            <w:shd w:val="clear" w:color="auto" w:fill="auto"/>
            <w:vAlign w:val="center"/>
          </w:tcPr>
          <w:p w14:paraId="15AC3403" w14:textId="77777777" w:rsidR="001C01B6" w:rsidRPr="0047462D" w:rsidRDefault="001C01B6" w:rsidP="00B85583">
            <w:pPr>
              <w:keepNext/>
              <w:jc w:val="center"/>
            </w:pPr>
            <w:r w:rsidRPr="0047462D">
              <w:t>10,5 (11,5)</w:t>
            </w:r>
          </w:p>
        </w:tc>
      </w:tr>
    </w:tbl>
    <w:p w14:paraId="75AEB003" w14:textId="45AC31FC" w:rsidR="00166294" w:rsidRPr="0047462D" w:rsidRDefault="00166294" w:rsidP="00166294">
      <w:pPr>
        <w:spacing w:before="120"/>
        <w:ind w:left="288" w:hanging="288"/>
        <w:rPr>
          <w:sz w:val="18"/>
          <w:szCs w:val="18"/>
        </w:rPr>
      </w:pPr>
      <w:r w:rsidRPr="0047462D">
        <w:rPr>
          <w:sz w:val="18"/>
          <w:szCs w:val="18"/>
          <w:vertAlign w:val="superscript"/>
        </w:rPr>
        <w:t>*</w:t>
      </w:r>
      <w:r w:rsidRPr="0047462D">
        <w:rPr>
          <w:sz w:val="18"/>
          <w:szCs w:val="18"/>
        </w:rPr>
        <w:tab/>
        <w:t xml:space="preserve">Η θεραπεία πραγματοποιήθηκε κατά τη διάρκεια της τυφλής, ελεγχόμενης, </w:t>
      </w:r>
      <w:r w:rsidR="007A0DE5">
        <w:rPr>
          <w:sz w:val="18"/>
          <w:szCs w:val="18"/>
        </w:rPr>
        <w:t>φ</w:t>
      </w:r>
      <w:r w:rsidRPr="0047462D">
        <w:rPr>
          <w:sz w:val="18"/>
          <w:szCs w:val="18"/>
        </w:rPr>
        <w:t>άσης 3 μελέτης 48 εβδομάδων.</w:t>
      </w:r>
    </w:p>
    <w:p w14:paraId="49A34D6A" w14:textId="77777777" w:rsidR="00166294" w:rsidRPr="0047462D" w:rsidRDefault="00166294" w:rsidP="00166294">
      <w:pPr>
        <w:ind w:left="288" w:hanging="288"/>
        <w:rPr>
          <w:sz w:val="18"/>
          <w:szCs w:val="18"/>
        </w:rPr>
      </w:pPr>
      <w:r w:rsidRPr="0047462D">
        <w:rPr>
          <w:position w:val="6"/>
          <w:sz w:val="18"/>
          <w:szCs w:val="18"/>
          <w:vertAlign w:val="superscript"/>
        </w:rPr>
        <w:t>†</w:t>
      </w:r>
      <w:r w:rsidRPr="0047462D">
        <w:rPr>
          <w:position w:val="6"/>
          <w:sz w:val="18"/>
          <w:szCs w:val="18"/>
        </w:rPr>
        <w:tab/>
      </w:r>
      <w:r w:rsidRPr="0047462D">
        <w:rPr>
          <w:sz w:val="18"/>
          <w:szCs w:val="18"/>
        </w:rPr>
        <w:t>Μεταβολή από την τιμή αναφοράς της προηγούμενης μελέτης μετά από θεραπεία 48 εβδομάδων με εικονικό φάρμακο.</w:t>
      </w:r>
    </w:p>
    <w:p w14:paraId="18DDABC2" w14:textId="77777777" w:rsidR="001C01B6" w:rsidRPr="0047462D" w:rsidRDefault="001C01B6" w:rsidP="001C01B6">
      <w:pPr>
        <w:rPr>
          <w:bCs/>
        </w:rPr>
      </w:pPr>
    </w:p>
    <w:p w14:paraId="0B12F990" w14:textId="2278D723" w:rsidR="001C01B6" w:rsidRPr="0047462D" w:rsidRDefault="001C01B6" w:rsidP="001C01B6">
      <w:r w:rsidRPr="0047462D">
        <w:rPr>
          <w:bCs/>
        </w:rPr>
        <w:t xml:space="preserve">Όταν η μέση (SD) απόλυτη </w:t>
      </w:r>
      <w:r w:rsidR="00E312F0" w:rsidRPr="0047462D">
        <w:rPr>
          <w:rFonts w:eastAsia="Times New Roman"/>
          <w:szCs w:val="22"/>
        </w:rPr>
        <w:t>μεταβολή</w:t>
      </w:r>
      <w:r w:rsidR="00E312F0" w:rsidRPr="0047462D" w:rsidDel="00E312F0">
        <w:rPr>
          <w:bCs/>
        </w:rPr>
        <w:t xml:space="preserve"> </w:t>
      </w:r>
      <w:r w:rsidRPr="0047462D">
        <w:rPr>
          <w:bCs/>
        </w:rPr>
        <w:t>στο ποσοστό προβλεπόμενου FEV</w:t>
      </w:r>
      <w:r w:rsidRPr="0047462D">
        <w:rPr>
          <w:bCs/>
          <w:vertAlign w:val="subscript"/>
        </w:rPr>
        <w:t>1</w:t>
      </w:r>
      <w:r w:rsidRPr="0047462D">
        <w:rPr>
          <w:bCs/>
        </w:rPr>
        <w:t xml:space="preserve"> συγκρίνεται με την τιμή αναφοράς από τη μελέτη 4 για τους ασθενείς στην ομάδα ivacaftor/ivacaftor (n=72), που μεταφέρθηκαν από τη μελέτη 1, η μέση (SD) απόλυτη </w:t>
      </w:r>
      <w:r w:rsidR="00E312F0" w:rsidRPr="0047462D">
        <w:rPr>
          <w:rFonts w:eastAsia="Times New Roman"/>
          <w:szCs w:val="22"/>
        </w:rPr>
        <w:t>μεταβολή</w:t>
      </w:r>
      <w:r w:rsidR="00E312F0" w:rsidRPr="0047462D" w:rsidDel="00E312F0">
        <w:rPr>
          <w:bCs/>
        </w:rPr>
        <w:t xml:space="preserve"> </w:t>
      </w:r>
      <w:r w:rsidRPr="0047462D">
        <w:rPr>
          <w:bCs/>
        </w:rPr>
        <w:t>στο ποσοστό προβλεπόμενου FEV</w:t>
      </w:r>
      <w:r w:rsidRPr="0047462D">
        <w:rPr>
          <w:bCs/>
          <w:vertAlign w:val="subscript"/>
        </w:rPr>
        <w:t>1</w:t>
      </w:r>
      <w:r w:rsidRPr="0047462D">
        <w:rPr>
          <w:bCs/>
        </w:rPr>
        <w:t xml:space="preserve"> ήταν 0,0% (9,05), ενώ για τους ασθενείς στην ομάδα ivacaftor/ivacaftor (n=25), που μεταφέρθηκαν από τη μελέτη 2, το ποσοστό αυτό ήταν 0,6% (9,1). Αυτό δείχνει ότι οι ασθενείς στην ομάδα ivacaftor/ivacaftor διατήρησαν τη βελτίωση στο ποσοστό προβλεπόμενου FEV</w:t>
      </w:r>
      <w:r w:rsidRPr="0047462D">
        <w:rPr>
          <w:bCs/>
          <w:vertAlign w:val="subscript"/>
        </w:rPr>
        <w:t>1</w:t>
      </w:r>
      <w:r w:rsidRPr="0047462D">
        <w:rPr>
          <w:bCs/>
        </w:rPr>
        <w:t xml:space="preserve"> που παρατηρήθηκε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48 της αρχικής μελέτης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0 έως την </w:t>
      </w:r>
      <w:r w:rsidR="00664070" w:rsidRPr="0047462D">
        <w:rPr>
          <w:bCs/>
        </w:rPr>
        <w:t>εβδομάδα</w:t>
      </w:r>
      <w:r w:rsidR="00664070" w:rsidRPr="0047462D">
        <w:rPr>
          <w:rFonts w:eastAsia="Times New Roman"/>
          <w:szCs w:val="22"/>
        </w:rPr>
        <w:t> </w:t>
      </w:r>
      <w:r w:rsidRPr="0047462D">
        <w:rPr>
          <w:bCs/>
        </w:rPr>
        <w:t xml:space="preserve">48)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144. Δεν παρατηρήθηκαν επιπρόσθετες βελτιώσεις στη μελέτη 4 (</w:t>
      </w:r>
      <w:r w:rsidR="00664070" w:rsidRPr="0047462D">
        <w:rPr>
          <w:bCs/>
        </w:rPr>
        <w:t>εβδομάδα</w:t>
      </w:r>
      <w:r w:rsidR="00664070" w:rsidRPr="0047462D">
        <w:rPr>
          <w:rFonts w:eastAsia="Times New Roman"/>
          <w:szCs w:val="22"/>
        </w:rPr>
        <w:t> </w:t>
      </w:r>
      <w:r w:rsidRPr="0047462D">
        <w:rPr>
          <w:bCs/>
        </w:rPr>
        <w:t xml:space="preserve">48 έως την </w:t>
      </w:r>
      <w:r w:rsidR="00664070" w:rsidRPr="0047462D">
        <w:rPr>
          <w:bCs/>
        </w:rPr>
        <w:t>εβδομάδα</w:t>
      </w:r>
      <w:r w:rsidR="00664070" w:rsidRPr="0047462D">
        <w:rPr>
          <w:rFonts w:eastAsia="Times New Roman"/>
          <w:szCs w:val="22"/>
        </w:rPr>
        <w:t> </w:t>
      </w:r>
      <w:r w:rsidRPr="0047462D">
        <w:rPr>
          <w:bCs/>
        </w:rPr>
        <w:t>144).</w:t>
      </w:r>
    </w:p>
    <w:p w14:paraId="71FCB2BF" w14:textId="77777777" w:rsidR="001C01B6" w:rsidRPr="0047462D" w:rsidRDefault="001C01B6" w:rsidP="001C01B6">
      <w:pPr>
        <w:rPr>
          <w:bCs/>
        </w:rPr>
      </w:pPr>
    </w:p>
    <w:p w14:paraId="06623463" w14:textId="6A761D1E" w:rsidR="001C01B6" w:rsidRPr="0047462D" w:rsidRDefault="001C01B6" w:rsidP="001C01B6">
      <w:pPr>
        <w:rPr>
          <w:bCs/>
        </w:rPr>
      </w:pPr>
      <w:r w:rsidRPr="0047462D">
        <w:rPr>
          <w:bCs/>
        </w:rPr>
        <w:t xml:space="preserve">Για τους ασθενείς στην ομάδα εικονικού φαρμάκου/ivacaftor από τη μελέτη 1, η ετησιοποιημένη αναλογία των πνευμονικών παροξύνσεων ήταν υψηλότερη στην αρχική μελέτη όταν οι ασθενείς υποβάλλονταν σε θεραπεία με εικονικό φάρμακο (1,34 συμβάματα/έτος), από ό, τι κατά τη διάρκεια της μεταγενέστερης μελέτης 4 όταν οι ασθενείς μεταφέρθηκαν στο ivacaftor (0,48 συμβάματα/έτος καθ’ όλη τη διάρκεια από την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1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και 0,67 συμβάματα/έτος καθ’ όλη τη διάρκεια από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έως την 96). Για τους ασθενείς στην ομάδα ivacaftor/ivacaftor από τη μελέτη 1, η ετησιοποιημένη αναλογία των πνευμονικών παροξύνσεων ήταν 0,57 συμβάματα/έτος καθ’ όλη τη διάρκεια από την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1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όταν οι ασθενείς υποβάλλονταν σε θεραπεία με ivacaftor. Όταν μεταφέρθηκαν στη μελέτη 4, η αναλογία των ετησιοποιημένων πνευμονικών παροξύνσεων ήταν 0,91 συμβάματα/έτος καθ’ όλη τη διάρκεια από την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1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και 0,77 συμβάματα/έτος καθ’ όλη τη διάρκεια από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48 έως την 96.</w:t>
      </w:r>
    </w:p>
    <w:p w14:paraId="00807C21" w14:textId="77777777" w:rsidR="001C01B6" w:rsidRPr="0047462D" w:rsidRDefault="001C01B6" w:rsidP="001C01B6">
      <w:pPr>
        <w:rPr>
          <w:bCs/>
        </w:rPr>
      </w:pPr>
    </w:p>
    <w:p w14:paraId="5C26C060" w14:textId="77777777" w:rsidR="001C01B6" w:rsidRPr="0047462D" w:rsidRDefault="001C01B6" w:rsidP="001C01B6">
      <w:pPr>
        <w:rPr>
          <w:bCs/>
        </w:rPr>
      </w:pPr>
      <w:r w:rsidRPr="0047462D">
        <w:rPr>
          <w:bCs/>
        </w:rPr>
        <w:t>Για τους ασθενείς που μεταφέρθηκαν από τη μελέτη 2 ο αριθμός των συμβαμάτων ήταν, συνολικά, χαμηλός.</w:t>
      </w:r>
    </w:p>
    <w:p w14:paraId="55AEFA2B" w14:textId="77777777" w:rsidR="001C01B6" w:rsidRPr="0047462D" w:rsidRDefault="001C01B6" w:rsidP="001C01B6">
      <w:pPr>
        <w:rPr>
          <w:bCs/>
        </w:rPr>
      </w:pPr>
    </w:p>
    <w:p w14:paraId="42FD6778" w14:textId="77777777" w:rsidR="00F37A49" w:rsidRPr="0047462D" w:rsidRDefault="00ED7342" w:rsidP="00F37A49">
      <w:pPr>
        <w:keepNext/>
        <w:rPr>
          <w:rFonts w:eastAsia="Times New Roman"/>
          <w:i/>
          <w:iCs/>
          <w:szCs w:val="22"/>
        </w:rPr>
      </w:pPr>
      <w:r w:rsidRPr="0047462D">
        <w:rPr>
          <w:rFonts w:eastAsia="Times New Roman"/>
          <w:i/>
          <w:szCs w:val="22"/>
        </w:rPr>
        <w:t>Μελέτη</w:t>
      </w:r>
      <w:r w:rsidR="004B47B0" w:rsidRPr="0047462D">
        <w:rPr>
          <w:rFonts w:eastAsia="Times New Roman"/>
          <w:i/>
          <w:szCs w:val="22"/>
        </w:rPr>
        <w:t> 6</w:t>
      </w:r>
      <w:r w:rsidR="00F37A49" w:rsidRPr="0047462D">
        <w:rPr>
          <w:rFonts w:eastAsia="Times New Roman"/>
          <w:i/>
          <w:szCs w:val="22"/>
        </w:rPr>
        <w:t xml:space="preserve">: μελέτη σε ασθενείς με ΚΙ με μια μετάλλαξη </w:t>
      </w:r>
      <w:r w:rsidR="00F37A49" w:rsidRPr="0047462D">
        <w:rPr>
          <w:i/>
          <w:lang w:val="en-US"/>
        </w:rPr>
        <w:t>R</w:t>
      </w:r>
      <w:r w:rsidR="00F37A49" w:rsidRPr="0047462D">
        <w:rPr>
          <w:i/>
        </w:rPr>
        <w:t>117</w:t>
      </w:r>
      <w:r w:rsidR="00F37A49" w:rsidRPr="0047462D">
        <w:rPr>
          <w:i/>
          <w:lang w:val="en-US"/>
        </w:rPr>
        <w:t>H</w:t>
      </w:r>
      <w:r w:rsidR="00F37A49" w:rsidRPr="0047462D">
        <w:rPr>
          <w:rFonts w:eastAsia="Times New Roman"/>
          <w:i/>
          <w:szCs w:val="22"/>
        </w:rPr>
        <w:t xml:space="preserve"> στο γονίδιο </w:t>
      </w:r>
      <w:r w:rsidR="00F37A49" w:rsidRPr="0047462D">
        <w:rPr>
          <w:rFonts w:eastAsia="Times New Roman"/>
          <w:i/>
          <w:iCs/>
          <w:szCs w:val="22"/>
        </w:rPr>
        <w:t>CFTR</w:t>
      </w:r>
    </w:p>
    <w:p w14:paraId="4BEB0EA4" w14:textId="0E775005" w:rsidR="004B47B0" w:rsidRPr="0047462D" w:rsidRDefault="004B47B0" w:rsidP="001C01B6">
      <w:pPr>
        <w:keepNext/>
        <w:rPr>
          <w:rFonts w:eastAsia="Times New Roman"/>
          <w:i/>
          <w:szCs w:val="22"/>
        </w:rPr>
      </w:pPr>
    </w:p>
    <w:p w14:paraId="2EE3ABEE" w14:textId="7A065E3F" w:rsidR="00DD506A" w:rsidRPr="0047462D" w:rsidRDefault="00DD506A" w:rsidP="00DD506A">
      <w:pPr>
        <w:tabs>
          <w:tab w:val="left" w:pos="567"/>
        </w:tabs>
        <w:suppressAutoHyphens w:val="0"/>
        <w:spacing w:line="260" w:lineRule="exact"/>
        <w:rPr>
          <w:bCs/>
        </w:rPr>
      </w:pPr>
      <w:r w:rsidRPr="0047462D">
        <w:rPr>
          <w:bCs/>
        </w:rPr>
        <w:t>Η μελέτη</w:t>
      </w:r>
      <w:r w:rsidRPr="0047462D">
        <w:rPr>
          <w:bCs/>
          <w:lang w:val="en-GB"/>
        </w:rPr>
        <w:t> </w:t>
      </w:r>
      <w:r w:rsidRPr="0047462D">
        <w:rPr>
          <w:bCs/>
        </w:rPr>
        <w:t xml:space="preserve">6 αξιολόγησε 69 ασθενείς ηλικίας 6 ετών ή άνω. 53 (76,8%) ασθενείς είχαν τη μετάλλαξη </w:t>
      </w:r>
      <w:r w:rsidRPr="0047462D">
        <w:rPr>
          <w:bCs/>
          <w:i/>
        </w:rPr>
        <w:t>F508del</w:t>
      </w:r>
      <w:r w:rsidRPr="0047462D">
        <w:rPr>
          <w:bCs/>
        </w:rPr>
        <w:t xml:space="preserve"> στο δεύτερο αλληλόμορφο. Η επιβεβαιωμένη παραλλαγή </w:t>
      </w:r>
      <w:r w:rsidRPr="0047462D">
        <w:rPr>
          <w:szCs w:val="22"/>
        </w:rPr>
        <w:t>poly</w:t>
      </w:r>
      <w:r w:rsidRPr="0047462D">
        <w:rPr>
          <w:szCs w:val="22"/>
        </w:rPr>
        <w:noBreakHyphen/>
        <w:t>T</w:t>
      </w:r>
      <w:r w:rsidRPr="0047462D">
        <w:rPr>
          <w:bCs/>
        </w:rPr>
        <w:t xml:space="preserve"> με τη μετάλλαξη </w:t>
      </w:r>
      <w:r w:rsidRPr="0047462D">
        <w:rPr>
          <w:i/>
          <w:iCs/>
          <w:lang w:val="en-US"/>
        </w:rPr>
        <w:t>R</w:t>
      </w:r>
      <w:r w:rsidRPr="0047462D">
        <w:rPr>
          <w:i/>
          <w:iCs/>
        </w:rPr>
        <w:t>117</w:t>
      </w:r>
      <w:r w:rsidRPr="0047462D">
        <w:rPr>
          <w:i/>
          <w:iCs/>
          <w:lang w:val="en-US"/>
        </w:rPr>
        <w:t>H</w:t>
      </w:r>
      <w:r w:rsidRPr="0047462D">
        <w:rPr>
          <w:szCs w:val="22"/>
        </w:rPr>
        <w:t xml:space="preserve"> </w:t>
      </w:r>
      <w:r w:rsidRPr="0047462D">
        <w:rPr>
          <w:bCs/>
        </w:rPr>
        <w:t xml:space="preserve">ήταν </w:t>
      </w:r>
      <w:r w:rsidRPr="0047462D">
        <w:rPr>
          <w:bCs/>
          <w:i/>
        </w:rPr>
        <w:t>5T</w:t>
      </w:r>
      <w:r w:rsidRPr="0047462D">
        <w:rPr>
          <w:bCs/>
        </w:rPr>
        <w:t xml:space="preserve"> σε 38 ασθενείς και </w:t>
      </w:r>
      <w:r w:rsidRPr="0047462D">
        <w:rPr>
          <w:bCs/>
          <w:i/>
        </w:rPr>
        <w:t>7T</w:t>
      </w:r>
      <w:r w:rsidRPr="0047462D">
        <w:rPr>
          <w:bCs/>
        </w:rPr>
        <w:t xml:space="preserve"> σε 16 ασθενείς. Κατά την έναρξη, ο μέσος προβλεπόμενος FEV</w:t>
      </w:r>
      <w:r w:rsidRPr="0047462D">
        <w:rPr>
          <w:bCs/>
          <w:vertAlign w:val="subscript"/>
        </w:rPr>
        <w:t>1</w:t>
      </w:r>
      <w:r w:rsidRPr="0047462D">
        <w:rPr>
          <w:bCs/>
        </w:rPr>
        <w:t xml:space="preserve"> ήταν 73% (εύρος: 32,5% έως 105,5%) και η μέση ηλικία ήταν τα 31 έτη (εύρος: 6 έως 68 έτη). Η μέση απόλυτη </w:t>
      </w:r>
      <w:r w:rsidRPr="0047462D">
        <w:rPr>
          <w:rFonts w:eastAsia="Times New Roman"/>
          <w:szCs w:val="22"/>
        </w:rPr>
        <w:t>μεταβολή</w:t>
      </w:r>
      <w:r w:rsidRPr="0047462D" w:rsidDel="005B7C33">
        <w:rPr>
          <w:bCs/>
        </w:rPr>
        <w:t xml:space="preserve"> </w:t>
      </w:r>
      <w:r w:rsidRPr="0047462D">
        <w:rPr>
          <w:bCs/>
        </w:rPr>
        <w:t>από την τιμή αναφοράς έως την εβδομάδα</w:t>
      </w:r>
      <w:r w:rsidRPr="0047462D">
        <w:rPr>
          <w:rFonts w:eastAsia="Times New Roman"/>
          <w:szCs w:val="22"/>
        </w:rPr>
        <w:t> </w:t>
      </w:r>
      <w:r w:rsidRPr="0047462D">
        <w:rPr>
          <w:bCs/>
        </w:rPr>
        <w:t>24 στο ποσοστό προβλεπόμενου FEV</w:t>
      </w:r>
      <w:r w:rsidRPr="0047462D">
        <w:rPr>
          <w:bCs/>
          <w:vertAlign w:val="subscript"/>
        </w:rPr>
        <w:t>1</w:t>
      </w:r>
      <w:r w:rsidRPr="0047462D">
        <w:rPr>
          <w:bCs/>
        </w:rPr>
        <w:t xml:space="preserve"> (πρωτεύον τελικό σημείο αποτελεσματικότητας) ήταν 2,57 ποσοστιαίες μονάδες στην ομάδα του ivacaftor και 0,46 ποσοστιαίες μονάδες στην ομάδα του εικονικού φαρμάκου. Η εκτιμώμενη διαφορά της θεραπείας για το ivacaftor έναντι του εικονικού φαρμάκου ήταν 2,1 ποσοστιαίες μονάδες (95% CI </w:t>
      </w:r>
      <w:r w:rsidR="004E7300" w:rsidRPr="00F93ECE">
        <w:noBreakHyphen/>
      </w:r>
      <w:r w:rsidRPr="0047462D">
        <w:rPr>
          <w:bCs/>
        </w:rPr>
        <w:t>1,1, 5,4).</w:t>
      </w:r>
    </w:p>
    <w:p w14:paraId="6F478301" w14:textId="77777777" w:rsidR="00DD506A" w:rsidRPr="0047462D" w:rsidRDefault="00DD506A" w:rsidP="00DD506A">
      <w:pPr>
        <w:tabs>
          <w:tab w:val="left" w:pos="567"/>
        </w:tabs>
        <w:suppressAutoHyphens w:val="0"/>
        <w:spacing w:line="260" w:lineRule="exact"/>
        <w:rPr>
          <w:bCs/>
        </w:rPr>
      </w:pPr>
    </w:p>
    <w:p w14:paraId="417B9A7C" w14:textId="10DCD2FA" w:rsidR="007530EA" w:rsidRPr="0047462D" w:rsidRDefault="007530EA" w:rsidP="007530EA">
      <w:pPr>
        <w:tabs>
          <w:tab w:val="left" w:pos="567"/>
        </w:tabs>
        <w:suppressAutoHyphens w:val="0"/>
        <w:spacing w:line="260" w:lineRule="exact"/>
        <w:rPr>
          <w:bCs/>
        </w:rPr>
      </w:pPr>
      <w:r w:rsidRPr="0047462D">
        <w:rPr>
          <w:bCs/>
        </w:rPr>
        <w:t>Διεξήχθη μια προγραμματισμένη ανάλυση υποομάδων σε ασθενείς ηλικίας 18</w:t>
      </w:r>
      <w:r w:rsidR="00D836A7" w:rsidRPr="0047462D">
        <w:rPr>
          <w:bCs/>
          <w:lang w:val="en-US"/>
        </w:rPr>
        <w:t> </w:t>
      </w:r>
      <w:r w:rsidRPr="0047462D">
        <w:rPr>
          <w:bCs/>
        </w:rPr>
        <w:t>ετών και άνω (26</w:t>
      </w:r>
      <w:r w:rsidRPr="0047462D">
        <w:rPr>
          <w:bCs/>
          <w:lang w:val="en-GB"/>
        </w:rPr>
        <w:t> </w:t>
      </w:r>
      <w:r w:rsidRPr="0047462D">
        <w:rPr>
          <w:bCs/>
        </w:rPr>
        <w:t xml:space="preserve">ασθενείς υπό αγωγή με εικονικό φάρμακο και 24 υπό αγωγή με ivacaftor). Η θεραπεία με ivacaftor είχε ως αποτέλεσμα μια μέση απόλυτη </w:t>
      </w:r>
      <w:r w:rsidRPr="0047462D">
        <w:rPr>
          <w:rFonts w:eastAsia="Times New Roman"/>
          <w:szCs w:val="22"/>
        </w:rPr>
        <w:t>μεταβολή</w:t>
      </w:r>
      <w:r w:rsidRPr="0047462D" w:rsidDel="005B7C33">
        <w:rPr>
          <w:bCs/>
        </w:rPr>
        <w:t xml:space="preserve"> </w:t>
      </w:r>
      <w:r w:rsidRPr="0047462D">
        <w:rPr>
          <w:bCs/>
        </w:rPr>
        <w:t>στο ποσοστό προβλεπόμενου FEV</w:t>
      </w:r>
      <w:r w:rsidRPr="0047462D">
        <w:rPr>
          <w:bCs/>
          <w:vertAlign w:val="subscript"/>
        </w:rPr>
        <w:t>1</w:t>
      </w:r>
      <w:r w:rsidRPr="0047462D">
        <w:rPr>
          <w:bCs/>
        </w:rPr>
        <w:t xml:space="preserve"> έως την εβδομάδα</w:t>
      </w:r>
      <w:r w:rsidRPr="0047462D">
        <w:rPr>
          <w:rFonts w:eastAsia="Times New Roman"/>
          <w:szCs w:val="22"/>
        </w:rPr>
        <w:t> </w:t>
      </w:r>
      <w:r w:rsidRPr="0047462D">
        <w:rPr>
          <w:bCs/>
        </w:rPr>
        <w:t>24 της τάξης των 4,5</w:t>
      </w:r>
      <w:r w:rsidR="00D836A7" w:rsidRPr="0047462D">
        <w:rPr>
          <w:bCs/>
          <w:lang w:val="en-US"/>
        </w:rPr>
        <w:t> </w:t>
      </w:r>
      <w:r w:rsidRPr="0047462D">
        <w:rPr>
          <w:bCs/>
        </w:rPr>
        <w:t xml:space="preserve">ποσοστιαίων μονάδων στην ομάδα του ivacaftor έναντι </w:t>
      </w:r>
      <w:r w:rsidR="00D836A7" w:rsidRPr="0047462D">
        <w:rPr>
          <w:bCs/>
        </w:rPr>
        <w:noBreakHyphen/>
      </w:r>
      <w:r w:rsidRPr="0047462D">
        <w:rPr>
          <w:bCs/>
        </w:rPr>
        <w:t>0,</w:t>
      </w:r>
      <w:r w:rsidR="004E7300" w:rsidRPr="0047462D">
        <w:rPr>
          <w:bCs/>
        </w:rPr>
        <w:t>46</w:t>
      </w:r>
      <w:r w:rsidR="004E7300" w:rsidRPr="0047462D">
        <w:rPr>
          <w:lang w:val="en-US"/>
        </w:rPr>
        <w:t> </w:t>
      </w:r>
      <w:r w:rsidRPr="0047462D">
        <w:rPr>
          <w:bCs/>
        </w:rPr>
        <w:t>ποσοστιαίες μονάδες στην ομάδα του εικονικού φαρμάκου. Η εκτιμώμενη διαφορά της θεραπείας για το ivacaftor έναντι του εικονικού φαρμάκου ήταν 5,0</w:t>
      </w:r>
      <w:r w:rsidR="00D836A7" w:rsidRPr="0047462D">
        <w:rPr>
          <w:bCs/>
          <w:lang w:val="en-US"/>
        </w:rPr>
        <w:t> </w:t>
      </w:r>
      <w:r w:rsidRPr="0047462D">
        <w:rPr>
          <w:bCs/>
        </w:rPr>
        <w:t>ποσοστιαίες μονάδες (95% CI 1,1, 8,8).</w:t>
      </w:r>
    </w:p>
    <w:p w14:paraId="3DE26BE7" w14:textId="77777777" w:rsidR="007530EA" w:rsidRPr="0047462D" w:rsidRDefault="007530EA" w:rsidP="007530EA">
      <w:pPr>
        <w:tabs>
          <w:tab w:val="left" w:pos="567"/>
        </w:tabs>
        <w:suppressAutoHyphens w:val="0"/>
        <w:spacing w:line="260" w:lineRule="exact"/>
        <w:rPr>
          <w:bCs/>
        </w:rPr>
      </w:pPr>
    </w:p>
    <w:p w14:paraId="32524320" w14:textId="4A70AF47" w:rsidR="007530EA" w:rsidRPr="0047462D" w:rsidRDefault="007530EA" w:rsidP="007530EA">
      <w:pPr>
        <w:tabs>
          <w:tab w:val="left" w:pos="567"/>
        </w:tabs>
        <w:suppressAutoHyphens w:val="0"/>
        <w:spacing w:line="260" w:lineRule="exact"/>
        <w:rPr>
          <w:bCs/>
        </w:rPr>
      </w:pPr>
      <w:r w:rsidRPr="0047462D">
        <w:rPr>
          <w:bCs/>
        </w:rPr>
        <w:t xml:space="preserve">Σε μια ανάλυση υποομάδων σε ασθενείς με επιβεβαιωμένη γενετική παραλλαγή </w:t>
      </w:r>
      <w:r w:rsidRPr="0047462D">
        <w:rPr>
          <w:i/>
          <w:iCs/>
          <w:lang w:val="en-US"/>
        </w:rPr>
        <w:t>R</w:t>
      </w:r>
      <w:r w:rsidRPr="0047462D">
        <w:rPr>
          <w:i/>
          <w:iCs/>
        </w:rPr>
        <w:t>117</w:t>
      </w:r>
      <w:r w:rsidRPr="0047462D">
        <w:rPr>
          <w:i/>
          <w:iCs/>
          <w:lang w:val="en-US"/>
        </w:rPr>
        <w:t>H</w:t>
      </w:r>
      <w:r w:rsidR="00AC092B" w:rsidRPr="0047462D">
        <w:rPr>
          <w:i/>
          <w:iCs/>
        </w:rPr>
        <w:noBreakHyphen/>
      </w:r>
      <w:r w:rsidRPr="0047462D">
        <w:rPr>
          <w:i/>
          <w:iCs/>
        </w:rPr>
        <w:t>5</w:t>
      </w:r>
      <w:r w:rsidRPr="0047462D">
        <w:rPr>
          <w:i/>
          <w:iCs/>
          <w:lang w:val="en-US"/>
        </w:rPr>
        <w:t>T</w:t>
      </w:r>
      <w:r w:rsidRPr="0047462D">
        <w:rPr>
          <w:bCs/>
        </w:rPr>
        <w:t xml:space="preserve"> η διαφορά στη μέση απόλυτη </w:t>
      </w:r>
      <w:r w:rsidRPr="0047462D">
        <w:rPr>
          <w:rFonts w:eastAsia="Times New Roman"/>
          <w:szCs w:val="22"/>
        </w:rPr>
        <w:t>μεταβολή</w:t>
      </w:r>
      <w:r w:rsidRPr="0047462D" w:rsidDel="005B7C33">
        <w:rPr>
          <w:bCs/>
        </w:rPr>
        <w:t xml:space="preserve"> </w:t>
      </w:r>
      <w:r w:rsidRPr="0047462D">
        <w:rPr>
          <w:bCs/>
        </w:rPr>
        <w:t xml:space="preserve">από την </w:t>
      </w:r>
      <w:r w:rsidR="00B56E6E" w:rsidRPr="0047462D">
        <w:rPr>
          <w:bCs/>
        </w:rPr>
        <w:t>τιμή αναφοράς</w:t>
      </w:r>
      <w:r w:rsidRPr="0047462D">
        <w:rPr>
          <w:bCs/>
        </w:rPr>
        <w:t xml:space="preserve"> έως την εβδομάδα</w:t>
      </w:r>
      <w:r w:rsidRPr="0047462D">
        <w:rPr>
          <w:rFonts w:eastAsia="Times New Roman"/>
          <w:szCs w:val="22"/>
        </w:rPr>
        <w:t> </w:t>
      </w:r>
      <w:r w:rsidRPr="0047462D">
        <w:rPr>
          <w:bCs/>
        </w:rPr>
        <w:t>24 στο ποσοστό προβλεπόμενου FEV</w:t>
      </w:r>
      <w:r w:rsidRPr="0047462D">
        <w:rPr>
          <w:bCs/>
          <w:vertAlign w:val="subscript"/>
        </w:rPr>
        <w:t>1</w:t>
      </w:r>
      <w:r w:rsidRPr="0047462D">
        <w:rPr>
          <w:bCs/>
        </w:rPr>
        <w:t xml:space="preserve"> μεταξύ του ivacaftor και του εικονικού φαρμάκου ήταν 5,3% (95% CI 1,3, 9,3). Σε ασθενείς με επιβεβαιωμένη γενετική παραλλαγή </w:t>
      </w:r>
      <w:r w:rsidRPr="0047462D">
        <w:rPr>
          <w:i/>
          <w:iCs/>
          <w:lang w:val="en-US"/>
        </w:rPr>
        <w:t>R</w:t>
      </w:r>
      <w:r w:rsidRPr="0047462D">
        <w:rPr>
          <w:i/>
          <w:iCs/>
        </w:rPr>
        <w:t>117</w:t>
      </w:r>
      <w:r w:rsidRPr="0047462D">
        <w:rPr>
          <w:i/>
          <w:iCs/>
          <w:lang w:val="en-US"/>
        </w:rPr>
        <w:t>H</w:t>
      </w:r>
      <w:r w:rsidR="00AC092B" w:rsidRPr="0047462D">
        <w:rPr>
          <w:i/>
          <w:iCs/>
        </w:rPr>
        <w:noBreakHyphen/>
      </w:r>
      <w:r w:rsidRPr="0047462D">
        <w:rPr>
          <w:i/>
          <w:iCs/>
        </w:rPr>
        <w:t>7</w:t>
      </w:r>
      <w:r w:rsidRPr="0047462D">
        <w:rPr>
          <w:i/>
          <w:iCs/>
          <w:lang w:val="en-US"/>
        </w:rPr>
        <w:t>T</w:t>
      </w:r>
      <w:r w:rsidRPr="0047462D">
        <w:rPr>
          <w:bCs/>
        </w:rPr>
        <w:t xml:space="preserve">, η διαφορά της θεραπείας μεταξύ του ivacaftor και του εικονικού φαρμάκου ήταν 0,2% (95% CI </w:t>
      </w:r>
      <w:r w:rsidR="00AC092B" w:rsidRPr="0047462D">
        <w:rPr>
          <w:bCs/>
        </w:rPr>
        <w:noBreakHyphen/>
      </w:r>
      <w:r w:rsidRPr="0047462D">
        <w:rPr>
          <w:bCs/>
        </w:rPr>
        <w:t>8,1, 8,5).</w:t>
      </w:r>
    </w:p>
    <w:p w14:paraId="18E60409" w14:textId="77777777" w:rsidR="007530EA" w:rsidRPr="0047462D" w:rsidRDefault="007530EA" w:rsidP="007530EA">
      <w:pPr>
        <w:tabs>
          <w:tab w:val="left" w:pos="567"/>
        </w:tabs>
        <w:suppressAutoHyphens w:val="0"/>
        <w:spacing w:line="260" w:lineRule="exact"/>
      </w:pPr>
    </w:p>
    <w:p w14:paraId="4B3585D7" w14:textId="42546B87" w:rsidR="007530EA" w:rsidRPr="0047462D" w:rsidRDefault="007530EA" w:rsidP="007530EA">
      <w:pPr>
        <w:pStyle w:val="16"/>
        <w:rPr>
          <w:lang w:val="el-GR"/>
        </w:rPr>
      </w:pPr>
      <w:r w:rsidRPr="0047462D">
        <w:rPr>
          <w:lang w:val="el-GR"/>
        </w:rPr>
        <w:t xml:space="preserve">Για τις δευτερεύουσες μεταβλητές αποτελεσματικότητας, δεν παρατηρήθηκαν διαφορές της θεραπείας για το ivacaftor έναντι του εικονικού φαρμάκου στην απόλυτη </w:t>
      </w:r>
      <w:r w:rsidRPr="0047462D">
        <w:rPr>
          <w:rFonts w:eastAsia="Times New Roman"/>
          <w:szCs w:val="22"/>
          <w:lang w:val="el-GR"/>
        </w:rPr>
        <w:t>μεταβολή</w:t>
      </w:r>
      <w:r w:rsidRPr="0047462D" w:rsidDel="005B7C33">
        <w:rPr>
          <w:bCs/>
          <w:lang w:val="el-GR"/>
        </w:rPr>
        <w:t xml:space="preserve"> </w:t>
      </w:r>
      <w:r w:rsidRPr="0047462D">
        <w:rPr>
          <w:lang w:val="el-GR"/>
        </w:rPr>
        <w:t>από την τιμή αναφοράς στον ΔΜΣ την εβδομάδα 24 ή στον χρόνο έως την πρώτη πνευμονική παρόξυνση. Διαφορές της θεραπείας παρατηρήθηκαν στην απόλυτη μεταβολή στη βαθμολογία του αναπνευστικού τομέα του CFQ</w:t>
      </w:r>
      <w:r w:rsidR="00D836A7" w:rsidRPr="0047462D">
        <w:rPr>
          <w:bCs/>
          <w:lang w:val="el-GR"/>
        </w:rPr>
        <w:noBreakHyphen/>
      </w:r>
      <w:r w:rsidRPr="0047462D">
        <w:rPr>
          <w:lang w:val="el-GR"/>
        </w:rPr>
        <w:t>R έως την εβδομάδα 24 (η διαφορά της θεραπείας για το ivacaftor έναντι του εικονικού φαρμάκου ήταν 8,4 [</w:t>
      </w:r>
      <w:r w:rsidR="0015001A" w:rsidRPr="0047462D">
        <w:rPr>
          <w:bCs/>
          <w:lang w:val="el-GR"/>
        </w:rPr>
        <w:t xml:space="preserve">95% </w:t>
      </w:r>
      <w:r w:rsidR="0015001A" w:rsidRPr="0047462D">
        <w:rPr>
          <w:bCs/>
        </w:rPr>
        <w:t>CI </w:t>
      </w:r>
      <w:r w:rsidRPr="0047462D">
        <w:rPr>
          <w:lang w:val="el-GR"/>
        </w:rPr>
        <w:t xml:space="preserve">2,2, 14,6] μονάδες) και για τη μέση </w:t>
      </w:r>
      <w:r w:rsidRPr="0047462D">
        <w:rPr>
          <w:rFonts w:eastAsia="Times New Roman"/>
          <w:szCs w:val="22"/>
          <w:lang w:val="el-GR"/>
        </w:rPr>
        <w:t>μεταβολή</w:t>
      </w:r>
      <w:r w:rsidRPr="0047462D" w:rsidDel="005B7C33">
        <w:rPr>
          <w:bCs/>
          <w:lang w:val="el-GR"/>
        </w:rPr>
        <w:t xml:space="preserve"> </w:t>
      </w:r>
      <w:r w:rsidRPr="0047462D">
        <w:rPr>
          <w:lang w:val="el-GR"/>
        </w:rPr>
        <w:t xml:space="preserve">από την τιμή αναφοράς στο χλώριο ιδρώτα (βλ. </w:t>
      </w:r>
      <w:r w:rsidR="00AC092B" w:rsidRPr="0047462D">
        <w:rPr>
          <w:lang w:val="el-GR"/>
        </w:rPr>
        <w:t>«</w:t>
      </w:r>
      <w:r w:rsidRPr="0047462D">
        <w:rPr>
          <w:lang w:val="el-GR"/>
        </w:rPr>
        <w:t>Φαρμακοδυναμικές επιδράσεις</w:t>
      </w:r>
      <w:r w:rsidR="00AC092B" w:rsidRPr="0047462D">
        <w:rPr>
          <w:lang w:val="el-GR"/>
        </w:rPr>
        <w:t>»</w:t>
      </w:r>
      <w:r w:rsidRPr="0047462D">
        <w:rPr>
          <w:lang w:val="el-GR"/>
        </w:rPr>
        <w:t>).</w:t>
      </w:r>
    </w:p>
    <w:p w14:paraId="1F6DD306" w14:textId="77777777" w:rsidR="004B47B0" w:rsidRPr="0047462D" w:rsidRDefault="004B47B0" w:rsidP="00BB1AF3">
      <w:pPr>
        <w:rPr>
          <w:rFonts w:eastAsia="Times New Roman"/>
          <w:iCs/>
          <w:szCs w:val="22"/>
        </w:rPr>
      </w:pPr>
    </w:p>
    <w:p w14:paraId="34C01A04" w14:textId="0254685E" w:rsidR="001C01B6" w:rsidRPr="0047462D" w:rsidRDefault="004B47B0" w:rsidP="001C01B6">
      <w:pPr>
        <w:keepNext/>
        <w:rPr>
          <w:i/>
          <w:szCs w:val="22"/>
        </w:rPr>
      </w:pPr>
      <w:r w:rsidRPr="0047462D">
        <w:rPr>
          <w:rFonts w:eastAsia="Times New Roman"/>
          <w:i/>
          <w:szCs w:val="22"/>
        </w:rPr>
        <w:t>Μελέτη</w:t>
      </w:r>
      <w:r w:rsidR="00ED7342" w:rsidRPr="0047462D">
        <w:rPr>
          <w:rFonts w:eastAsia="Times New Roman"/>
          <w:i/>
          <w:szCs w:val="22"/>
        </w:rPr>
        <w:t xml:space="preserve"> 7: μελέτη σε παιδιατρικούς ασθενείς με ΚΙ ηλικίας 2 έως κάτω των 6 ετών με μετάλλαξη </w:t>
      </w:r>
      <w:r w:rsidR="00ED7342" w:rsidRPr="0047462D">
        <w:rPr>
          <w:i/>
          <w:szCs w:val="22"/>
        </w:rPr>
        <w:t>G551D</w:t>
      </w:r>
      <w:r w:rsidR="00ED7342" w:rsidRPr="0047462D">
        <w:rPr>
          <w:rFonts w:eastAsia="Times New Roman"/>
          <w:i/>
          <w:szCs w:val="22"/>
        </w:rPr>
        <w:t xml:space="preserve"> ή άλλη</w:t>
      </w:r>
      <w:r w:rsidR="00ED7342" w:rsidRPr="0047462D">
        <w:rPr>
          <w:i/>
          <w:szCs w:val="22"/>
        </w:rPr>
        <w:t xml:space="preserve"> </w:t>
      </w:r>
      <w:r w:rsidR="002E5DA8" w:rsidRPr="0047462D">
        <w:rPr>
          <w:i/>
          <w:szCs w:val="22"/>
        </w:rPr>
        <w:t>«</w:t>
      </w:r>
      <w:r w:rsidR="00ED7342" w:rsidRPr="0047462D">
        <w:rPr>
          <w:i/>
          <w:szCs w:val="22"/>
        </w:rPr>
        <w:t>gating</w:t>
      </w:r>
      <w:r w:rsidR="002E5DA8" w:rsidRPr="0047462D">
        <w:rPr>
          <w:i/>
          <w:szCs w:val="22"/>
        </w:rPr>
        <w:t>»</w:t>
      </w:r>
      <w:r w:rsidR="00ED7342" w:rsidRPr="0047462D">
        <w:rPr>
          <w:i/>
          <w:szCs w:val="22"/>
        </w:rPr>
        <w:t xml:space="preserve"> μετάλλαξη</w:t>
      </w:r>
    </w:p>
    <w:p w14:paraId="7B34900C" w14:textId="77777777" w:rsidR="004E7300" w:rsidRPr="0047462D" w:rsidRDefault="004E7300" w:rsidP="001C01B6">
      <w:pPr>
        <w:keepNext/>
        <w:rPr>
          <w:i/>
        </w:rPr>
      </w:pPr>
    </w:p>
    <w:p w14:paraId="48B2CF7D" w14:textId="3F3D48AD" w:rsidR="001C01B6" w:rsidRPr="0047462D" w:rsidRDefault="001C01B6" w:rsidP="001C01B6">
      <w:pPr>
        <w:tabs>
          <w:tab w:val="left" w:pos="567"/>
        </w:tabs>
        <w:suppressAutoHyphens w:val="0"/>
        <w:spacing w:line="260" w:lineRule="exact"/>
        <w:rPr>
          <w:bCs/>
        </w:rPr>
      </w:pPr>
      <w:r w:rsidRPr="0047462D">
        <w:rPr>
          <w:bCs/>
        </w:rPr>
        <w:t xml:space="preserve">Το φαρμακοκινητικό προφίλ, η ασφάλεια και η αποτελεσματικότητα του ivacaftor σε 34 ασθενείς ηλικίας 2 έως κάτω των 6 ετών με ΚΙ που είχαν μια </w:t>
      </w:r>
      <w:r w:rsidRPr="0047462D">
        <w:rPr>
          <w:i/>
        </w:rPr>
        <w:t>G551D</w:t>
      </w:r>
      <w:r w:rsidRPr="0047462D">
        <w:t xml:space="preserve">, </w:t>
      </w:r>
      <w:r w:rsidRPr="0047462D">
        <w:rPr>
          <w:bCs/>
          <w:i/>
          <w:iCs/>
        </w:rPr>
        <w:t>G1244E</w:t>
      </w:r>
      <w:r w:rsidRPr="0047462D">
        <w:rPr>
          <w:bCs/>
          <w:iCs/>
        </w:rPr>
        <w:t xml:space="preserve">, </w:t>
      </w:r>
      <w:r w:rsidRPr="0047462D">
        <w:rPr>
          <w:bCs/>
          <w:i/>
          <w:iCs/>
        </w:rPr>
        <w:t>G1349D</w:t>
      </w:r>
      <w:r w:rsidRPr="0047462D">
        <w:rPr>
          <w:bCs/>
          <w:iCs/>
        </w:rPr>
        <w:t xml:space="preserve">, </w:t>
      </w:r>
      <w:r w:rsidRPr="0047462D">
        <w:rPr>
          <w:bCs/>
          <w:i/>
          <w:iCs/>
        </w:rPr>
        <w:t>G178R</w:t>
      </w:r>
      <w:r w:rsidRPr="0047462D">
        <w:rPr>
          <w:bCs/>
          <w:iCs/>
        </w:rPr>
        <w:t xml:space="preserve">, </w:t>
      </w:r>
      <w:r w:rsidRPr="0047462D">
        <w:rPr>
          <w:bCs/>
          <w:i/>
          <w:iCs/>
        </w:rPr>
        <w:t>G551S</w:t>
      </w:r>
      <w:r w:rsidRPr="0047462D">
        <w:rPr>
          <w:bCs/>
          <w:iCs/>
        </w:rPr>
        <w:t xml:space="preserve">, </w:t>
      </w:r>
      <w:r w:rsidRPr="0047462D">
        <w:rPr>
          <w:bCs/>
          <w:i/>
          <w:iCs/>
        </w:rPr>
        <w:t>S1251N</w:t>
      </w:r>
      <w:r w:rsidRPr="0047462D">
        <w:rPr>
          <w:bCs/>
          <w:iCs/>
        </w:rPr>
        <w:t xml:space="preserve">, </w:t>
      </w:r>
      <w:r w:rsidRPr="0047462D">
        <w:rPr>
          <w:bCs/>
          <w:i/>
          <w:iCs/>
        </w:rPr>
        <w:t>S1255P</w:t>
      </w:r>
      <w:r w:rsidRPr="0047462D">
        <w:rPr>
          <w:bCs/>
          <w:iCs/>
        </w:rPr>
        <w:t xml:space="preserve">, </w:t>
      </w:r>
      <w:r w:rsidRPr="0047462D">
        <w:rPr>
          <w:bCs/>
          <w:i/>
          <w:iCs/>
        </w:rPr>
        <w:t>S549N</w:t>
      </w:r>
      <w:r w:rsidRPr="0047462D">
        <w:rPr>
          <w:bCs/>
          <w:iCs/>
        </w:rPr>
        <w:t xml:space="preserve"> </w:t>
      </w:r>
      <w:r w:rsidRPr="0047462D">
        <w:rPr>
          <w:bCs/>
        </w:rPr>
        <w:t>ή</w:t>
      </w:r>
      <w:r w:rsidRPr="0047462D">
        <w:rPr>
          <w:bCs/>
          <w:iCs/>
        </w:rPr>
        <w:t xml:space="preserve"> </w:t>
      </w:r>
      <w:r w:rsidRPr="0047462D">
        <w:rPr>
          <w:bCs/>
          <w:i/>
          <w:iCs/>
        </w:rPr>
        <w:t>S549R</w:t>
      </w:r>
      <w:r w:rsidRPr="0047462D">
        <w:rPr>
          <w:bCs/>
        </w:rPr>
        <w:t xml:space="preserve"> μετάλλαξη στο γονίδιο </w:t>
      </w:r>
      <w:r w:rsidRPr="0047462D">
        <w:rPr>
          <w:bCs/>
          <w:i/>
        </w:rPr>
        <w:t>CFTR</w:t>
      </w:r>
      <w:r w:rsidRPr="0047462D">
        <w:rPr>
          <w:bCs/>
        </w:rPr>
        <w:t xml:space="preserve"> αξιολογήθηκαν σε μια μη ελεγχόμενη μελέτη 24 εβδομάδων με ivacaftor (ασθενείς με σωματικό βάρος κάτω των 14 kg έλαβαν 50 mg ivacaftor και ασθενείς με σωματικό βάρος 14 kg ή άνω έλαβαν 75</w:t>
      </w:r>
      <w:r w:rsidR="00AD331E" w:rsidRPr="0047462D">
        <w:rPr>
          <w:bCs/>
          <w:lang w:val="en-GB"/>
        </w:rPr>
        <w:t> </w:t>
      </w:r>
      <w:r w:rsidRPr="0047462D">
        <w:rPr>
          <w:bCs/>
        </w:rPr>
        <w:t xml:space="preserve">mg ivacaftor). Το ivacaftor χορηγήθηκε από στόματος κάθε 12 ώρες με τροφή που περιείχε λίπος επιπρόσθετα στις </w:t>
      </w:r>
      <w:r w:rsidRPr="0047462D">
        <w:rPr>
          <w:rFonts w:eastAsia="Times New Roman"/>
          <w:szCs w:val="22"/>
        </w:rPr>
        <w:t>συνταγογραφηθείσες για την ΚΙ θεραπείες τους</w:t>
      </w:r>
      <w:r w:rsidRPr="0047462D">
        <w:rPr>
          <w:bCs/>
        </w:rPr>
        <w:t>.</w:t>
      </w:r>
    </w:p>
    <w:p w14:paraId="0ECEC58E" w14:textId="77777777" w:rsidR="001C01B6" w:rsidRPr="0047462D" w:rsidRDefault="001C01B6" w:rsidP="001C01B6">
      <w:pPr>
        <w:tabs>
          <w:tab w:val="left" w:pos="567"/>
        </w:tabs>
        <w:suppressAutoHyphens w:val="0"/>
        <w:spacing w:line="260" w:lineRule="exact"/>
        <w:rPr>
          <w:bCs/>
        </w:rPr>
      </w:pPr>
    </w:p>
    <w:p w14:paraId="2D7D9594" w14:textId="67B72951" w:rsidR="001C01B6" w:rsidRPr="0047462D" w:rsidRDefault="001C01B6" w:rsidP="001C01B6">
      <w:pPr>
        <w:tabs>
          <w:tab w:val="left" w:pos="567"/>
        </w:tabs>
        <w:suppressAutoHyphens w:val="0"/>
        <w:spacing w:line="260" w:lineRule="exact"/>
        <w:rPr>
          <w:szCs w:val="22"/>
          <w:u w:val="single"/>
        </w:rPr>
      </w:pPr>
      <w:r w:rsidRPr="0047462D">
        <w:rPr>
          <w:bCs/>
        </w:rPr>
        <w:t xml:space="preserve">Οι ασθενείς στη μελέτη 7 ήταν ηλικίας 2 έως κάτω των 6 ετών (μέση ηλικία τα 3 έτη). Είκοσι έξι ασθενείς εκ των 34 που συμμετείχαν (76,5%) είχαν </w:t>
      </w:r>
      <w:r w:rsidRPr="0047462D">
        <w:rPr>
          <w:i/>
        </w:rPr>
        <w:t>CFTR</w:t>
      </w:r>
      <w:r w:rsidRPr="0047462D">
        <w:t xml:space="preserve"> γονότυπο </w:t>
      </w:r>
      <w:r w:rsidRPr="0047462D">
        <w:rPr>
          <w:i/>
        </w:rPr>
        <w:t>G551D/F508del</w:t>
      </w:r>
      <w:r w:rsidRPr="0047462D">
        <w:rPr>
          <w:bCs/>
        </w:rPr>
        <w:t xml:space="preserve"> με μόνο 2 ασθενείς με μια μη</w:t>
      </w:r>
      <w:r w:rsidR="002E5DA8" w:rsidRPr="0047462D">
        <w:rPr>
          <w:bCs/>
        </w:rPr>
        <w:t xml:space="preserve"> </w:t>
      </w:r>
      <w:r w:rsidRPr="0047462D">
        <w:rPr>
          <w:bCs/>
          <w:i/>
        </w:rPr>
        <w:t>G551D</w:t>
      </w:r>
      <w:r w:rsidRPr="0047462D">
        <w:rPr>
          <w:bCs/>
        </w:rPr>
        <w:t xml:space="preserve"> μετάλλαξη (</w:t>
      </w:r>
      <w:r w:rsidRPr="0047462D">
        <w:rPr>
          <w:bCs/>
          <w:i/>
        </w:rPr>
        <w:t>S549N</w:t>
      </w:r>
      <w:r w:rsidRPr="0047462D">
        <w:rPr>
          <w:bCs/>
        </w:rPr>
        <w:t xml:space="preserve">). Το μέσο (SD) χλώριο ιδρώτα </w:t>
      </w:r>
      <w:r w:rsidR="00684586" w:rsidRPr="0047462D">
        <w:rPr>
          <w:bCs/>
        </w:rPr>
        <w:t>κατά την έναρξη</w:t>
      </w:r>
      <w:r w:rsidRPr="0047462D">
        <w:rPr>
          <w:bCs/>
        </w:rPr>
        <w:t xml:space="preserve"> (</w:t>
      </w:r>
      <w:r w:rsidRPr="0047462D">
        <w:t>n=25</w:t>
      </w:r>
      <w:r w:rsidRPr="0047462D">
        <w:rPr>
          <w:bCs/>
        </w:rPr>
        <w:t>) ήταν 97,88 mmol/</w:t>
      </w:r>
      <w:r w:rsidR="005E47BA" w:rsidRPr="0047462D">
        <w:rPr>
          <w:bCs/>
          <w:lang w:val="en-US"/>
        </w:rPr>
        <w:t>l</w:t>
      </w:r>
      <w:r w:rsidR="005E47BA" w:rsidRPr="0047462D">
        <w:rPr>
          <w:bCs/>
        </w:rPr>
        <w:t xml:space="preserve"> </w:t>
      </w:r>
      <w:r w:rsidRPr="0047462D">
        <w:rPr>
          <w:bCs/>
        </w:rPr>
        <w:t xml:space="preserve">(14,00). Η μέση τιμή (SD) </w:t>
      </w:r>
      <w:r w:rsidR="00F86225">
        <w:rPr>
          <w:bCs/>
        </w:rPr>
        <w:t>ε</w:t>
      </w:r>
      <w:r w:rsidRPr="0047462D">
        <w:rPr>
          <w:bCs/>
        </w:rPr>
        <w:t xml:space="preserve">λαστάσης-1 </w:t>
      </w:r>
      <w:r w:rsidR="00F86225">
        <w:rPr>
          <w:bCs/>
        </w:rPr>
        <w:t>κ</w:t>
      </w:r>
      <w:r w:rsidRPr="0047462D">
        <w:rPr>
          <w:bCs/>
        </w:rPr>
        <w:t xml:space="preserve">οπράνων </w:t>
      </w:r>
      <w:r w:rsidR="00684586" w:rsidRPr="0047462D">
        <w:rPr>
          <w:bCs/>
        </w:rPr>
        <w:t>κατά την έναρξη</w:t>
      </w:r>
      <w:r w:rsidRPr="0047462D">
        <w:rPr>
          <w:bCs/>
        </w:rPr>
        <w:t xml:space="preserve"> (n=27) ήταν 28 μg/g (95).</w:t>
      </w:r>
    </w:p>
    <w:p w14:paraId="45E0230F" w14:textId="77777777" w:rsidR="001C01B6" w:rsidRPr="0047462D" w:rsidRDefault="001C01B6" w:rsidP="001C01B6">
      <w:pPr>
        <w:tabs>
          <w:tab w:val="left" w:pos="567"/>
        </w:tabs>
        <w:suppressAutoHyphens w:val="0"/>
        <w:spacing w:line="260" w:lineRule="exact"/>
        <w:rPr>
          <w:szCs w:val="22"/>
          <w:u w:val="single"/>
        </w:rPr>
      </w:pPr>
    </w:p>
    <w:p w14:paraId="42ADDD8D" w14:textId="6876B4BE" w:rsidR="001C01B6" w:rsidRPr="0047462D" w:rsidRDefault="001C01B6" w:rsidP="001C01B6">
      <w:pPr>
        <w:tabs>
          <w:tab w:val="left" w:pos="567"/>
        </w:tabs>
        <w:suppressAutoHyphens w:val="0"/>
        <w:spacing w:line="260" w:lineRule="exact"/>
        <w:rPr>
          <w:bCs/>
        </w:rPr>
      </w:pPr>
      <w:r w:rsidRPr="0047462D">
        <w:rPr>
          <w:bCs/>
        </w:rPr>
        <w:t xml:space="preserve">Το πρωτεύον </w:t>
      </w:r>
      <w:r w:rsidR="006C6EB4" w:rsidRPr="0047462D">
        <w:rPr>
          <w:bCs/>
        </w:rPr>
        <w:t xml:space="preserve">τελικό </w:t>
      </w:r>
      <w:r w:rsidRPr="0047462D">
        <w:rPr>
          <w:bCs/>
        </w:rPr>
        <w:t xml:space="preserve">σημείο ασφάλειας αξιολογήθηκε έως την </w:t>
      </w:r>
      <w:r w:rsidR="00664070" w:rsidRPr="0047462D">
        <w:rPr>
          <w:bCs/>
        </w:rPr>
        <w:t>ε</w:t>
      </w:r>
      <w:r w:rsidR="000A4B24" w:rsidRPr="0047462D">
        <w:rPr>
          <w:bCs/>
        </w:rPr>
        <w:t>βδομάδα</w:t>
      </w:r>
      <w:r w:rsidR="00C4174E" w:rsidRPr="0047462D">
        <w:rPr>
          <w:rFonts w:eastAsia="Times New Roman"/>
          <w:szCs w:val="22"/>
        </w:rPr>
        <w:t> </w:t>
      </w:r>
      <w:r w:rsidRPr="0047462D">
        <w:rPr>
          <w:bCs/>
        </w:rPr>
        <w:t xml:space="preserve">24 (βλ. παράγραφο 4.8). Τα δευτερεύοντα και διερευνητικά τελικά σημεία αποτελεσματικότητας που αξιολογήθηκαν ήταν η απόλυτη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στο χλώριο ιδρώτα κατά τη διάρκεια της θεραπείας των 24 εβδομάδων, η απόλυτη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στο βάρος, δείκτη μάζας σώματος (ΔΜΣ) και ανάστημα (υποστηρίζεται από τις βαθμολογίες z για το βάρος, τον ΔΜΣ και το ανάστημα) στις 24 εβδομάδες της θεραπείας, καθώς και οι μετρήσεις της παγκρεατικής λειτουργίας, όπως </w:t>
      </w:r>
      <w:r w:rsidR="00F86225">
        <w:rPr>
          <w:bCs/>
        </w:rPr>
        <w:t>ε</w:t>
      </w:r>
      <w:r w:rsidRPr="0047462D">
        <w:rPr>
          <w:bCs/>
        </w:rPr>
        <w:t xml:space="preserve">λαστάση-1 </w:t>
      </w:r>
      <w:r w:rsidR="00F86225">
        <w:rPr>
          <w:bCs/>
        </w:rPr>
        <w:t>κ</w:t>
      </w:r>
      <w:r w:rsidRPr="0047462D">
        <w:rPr>
          <w:bCs/>
        </w:rPr>
        <w:t xml:space="preserve">οπράνων. Δεδομένα σχετικά με </w:t>
      </w:r>
      <w:r w:rsidRPr="0047462D">
        <w:rPr>
          <w:bCs/>
          <w:szCs w:val="22"/>
        </w:rPr>
        <w:t>το ποσοστό προβλεπόμενου FEV</w:t>
      </w:r>
      <w:r w:rsidRPr="0047462D">
        <w:rPr>
          <w:bCs/>
          <w:szCs w:val="22"/>
          <w:vertAlign w:val="subscript"/>
        </w:rPr>
        <w:t>1</w:t>
      </w:r>
      <w:r w:rsidRPr="0047462D">
        <w:rPr>
          <w:bCs/>
        </w:rPr>
        <w:t xml:space="preserve"> (διερευνητικό </w:t>
      </w:r>
      <w:r w:rsidR="006C6EB4" w:rsidRPr="0047462D">
        <w:rPr>
          <w:bCs/>
        </w:rPr>
        <w:t xml:space="preserve">τελικό </w:t>
      </w:r>
      <w:r w:rsidRPr="0047462D">
        <w:rPr>
          <w:bCs/>
        </w:rPr>
        <w:t>σημείο) ήταν διαθέσιμα για 3 ασθενείς στην ομάδα των 50 mg ivacaftor και 17 ασθενείς στη δοσολογική ομάδα των 75 mg.</w:t>
      </w:r>
    </w:p>
    <w:p w14:paraId="231941AB" w14:textId="77777777" w:rsidR="001C01B6" w:rsidRPr="0047462D" w:rsidRDefault="001C01B6" w:rsidP="001C01B6">
      <w:pPr>
        <w:tabs>
          <w:tab w:val="left" w:pos="567"/>
        </w:tabs>
        <w:suppressAutoHyphens w:val="0"/>
        <w:spacing w:line="260" w:lineRule="exact"/>
        <w:rPr>
          <w:bCs/>
        </w:rPr>
      </w:pPr>
    </w:p>
    <w:p w14:paraId="1AF8EFA0" w14:textId="133422C4" w:rsidR="001C01B6" w:rsidRPr="0047462D" w:rsidRDefault="001C01B6" w:rsidP="001C01B6">
      <w:pPr>
        <w:tabs>
          <w:tab w:val="left" w:pos="567"/>
        </w:tabs>
        <w:suppressAutoHyphens w:val="0"/>
        <w:spacing w:line="260" w:lineRule="exact"/>
      </w:pPr>
      <w:r w:rsidRPr="0047462D">
        <w:rPr>
          <w:bCs/>
        </w:rPr>
        <w:t xml:space="preserve">Η μέση (SD) συνολική (αμφότερες οι δοσολογικές ομάδες του ivacaftor συνδυασμένες) απόλυτη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στον ΔΜΣ την </w:t>
      </w:r>
      <w:r w:rsidR="00664070" w:rsidRPr="0047462D">
        <w:rPr>
          <w:bCs/>
        </w:rPr>
        <w:t>ε</w:t>
      </w:r>
      <w:r w:rsidR="000A4B24" w:rsidRPr="0047462D">
        <w:rPr>
          <w:bCs/>
        </w:rPr>
        <w:t>βδομάδα</w:t>
      </w:r>
      <w:r w:rsidR="00C4174E" w:rsidRPr="0047462D">
        <w:rPr>
          <w:rFonts w:eastAsia="Times New Roman"/>
          <w:szCs w:val="22"/>
        </w:rPr>
        <w:t> </w:t>
      </w:r>
      <w:r w:rsidRPr="0047462D">
        <w:rPr>
          <w:bCs/>
        </w:rPr>
        <w:t>24 ήταν 0,32 kg/m</w:t>
      </w:r>
      <w:r w:rsidRPr="0047462D">
        <w:rPr>
          <w:bCs/>
          <w:vertAlign w:val="superscript"/>
        </w:rPr>
        <w:t>2</w:t>
      </w:r>
      <w:r w:rsidRPr="0047462D">
        <w:rPr>
          <w:bCs/>
        </w:rPr>
        <w:t xml:space="preserve"> (0,54) και 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 xml:space="preserve">στη βαθμολογία z του ΔΜΣ για την ηλικία ήταν 0,37 (0,42). 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 xml:space="preserve">στη βαθμολογία z του αναστήματος για την ηλικία ήταν </w:t>
      </w:r>
      <w:r w:rsidRPr="0047462D">
        <w:rPr>
          <w:bCs/>
        </w:rPr>
        <w:noBreakHyphen/>
        <w:t xml:space="preserve">0,01 (0,33). 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στην </w:t>
      </w:r>
      <w:r w:rsidR="00F86225">
        <w:rPr>
          <w:bCs/>
        </w:rPr>
        <w:t>ε</w:t>
      </w:r>
      <w:r w:rsidRPr="0047462D">
        <w:rPr>
          <w:bCs/>
        </w:rPr>
        <w:t xml:space="preserve">λαστάση-1 </w:t>
      </w:r>
      <w:r w:rsidR="00F86225">
        <w:rPr>
          <w:bCs/>
        </w:rPr>
        <w:t>κ</w:t>
      </w:r>
      <w:r w:rsidRPr="0047462D">
        <w:rPr>
          <w:bCs/>
        </w:rPr>
        <w:t xml:space="preserve">οπράνων </w:t>
      </w:r>
      <w:r w:rsidRPr="0047462D">
        <w:t>(</w:t>
      </w:r>
      <w:r w:rsidRPr="0047462D">
        <w:rPr>
          <w:color w:val="000000"/>
          <w:lang w:val="en-US"/>
        </w:rPr>
        <w:t>n</w:t>
      </w:r>
      <w:r w:rsidRPr="0047462D">
        <w:rPr>
          <w:color w:val="000000"/>
        </w:rPr>
        <w:t>=27</w:t>
      </w:r>
      <w:r w:rsidRPr="0047462D">
        <w:t xml:space="preserve">) </w:t>
      </w:r>
      <w:r w:rsidRPr="0047462D">
        <w:rPr>
          <w:bCs/>
        </w:rPr>
        <w:t xml:space="preserve">ήταν 99,8 μg/g (138,4). Σε έξι ασθενείς με αρχικά επίπεδα κάτω από </w:t>
      </w:r>
      <w:r w:rsidRPr="0047462D">
        <w:t>200 µg/</w:t>
      </w:r>
      <w:r w:rsidRPr="0047462D">
        <w:rPr>
          <w:lang w:val="en-US"/>
        </w:rPr>
        <w:t>g</w:t>
      </w:r>
      <w:r w:rsidRPr="0047462D">
        <w:t xml:space="preserve">, επετεύχθη την </w:t>
      </w:r>
      <w:r w:rsidR="00664070" w:rsidRPr="0047462D">
        <w:t>ε</w:t>
      </w:r>
      <w:r w:rsidR="000A4B24" w:rsidRPr="0047462D">
        <w:t xml:space="preserve">βδομάδα </w:t>
      </w:r>
      <w:r w:rsidRPr="0047462D">
        <w:t>24 ένα επίπεδο της τάξης των ≥</w:t>
      </w:r>
      <w:r w:rsidR="0064001E" w:rsidRPr="0047462D">
        <w:t> </w:t>
      </w:r>
      <w:r w:rsidRPr="0047462D">
        <w:t>200 µg/</w:t>
      </w:r>
      <w:r w:rsidRPr="0047462D">
        <w:rPr>
          <w:lang w:val="en-US"/>
        </w:rPr>
        <w:t>g</w:t>
      </w:r>
      <w:r w:rsidRPr="0047462D">
        <w:t xml:space="preserve">. </w:t>
      </w:r>
      <w:r w:rsidRPr="0047462D">
        <w:rPr>
          <w:bCs/>
        </w:rPr>
        <w:t xml:space="preserve">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στο ποσοστό προβλεπόμενου FEV</w:t>
      </w:r>
      <w:r w:rsidRPr="0047462D">
        <w:rPr>
          <w:bCs/>
          <w:vertAlign w:val="subscript"/>
        </w:rPr>
        <w:t>1</w:t>
      </w:r>
      <w:r w:rsidRPr="0047462D">
        <w:rPr>
          <w:bCs/>
        </w:rPr>
        <w:t xml:space="preserve"> από την τιμή αναφοράς την </w:t>
      </w:r>
      <w:r w:rsidR="00664070" w:rsidRPr="0047462D">
        <w:rPr>
          <w:bCs/>
        </w:rPr>
        <w:t>ε</w:t>
      </w:r>
      <w:r w:rsidR="000A4B24" w:rsidRPr="0047462D">
        <w:rPr>
          <w:bCs/>
        </w:rPr>
        <w:t>βδομάδα</w:t>
      </w:r>
      <w:r w:rsidR="00C4174E" w:rsidRPr="0047462D">
        <w:rPr>
          <w:rFonts w:eastAsia="Times New Roman"/>
          <w:szCs w:val="22"/>
        </w:rPr>
        <w:t> </w:t>
      </w:r>
      <w:r w:rsidRPr="0047462D">
        <w:rPr>
          <w:bCs/>
        </w:rPr>
        <w:t xml:space="preserve">24 (διερευνητικό </w:t>
      </w:r>
      <w:r w:rsidR="006C6EB4" w:rsidRPr="0047462D">
        <w:rPr>
          <w:bCs/>
        </w:rPr>
        <w:t xml:space="preserve">τελικό </w:t>
      </w:r>
      <w:r w:rsidRPr="0047462D">
        <w:rPr>
          <w:bCs/>
        </w:rPr>
        <w:t>σημείο) ήταν 1,8 (17,81).</w:t>
      </w:r>
      <w:r w:rsidRPr="0047462D" w:rsidDel="0008534E">
        <w:t xml:space="preserve"> </w:t>
      </w:r>
    </w:p>
    <w:p w14:paraId="5B0D90EF" w14:textId="77777777" w:rsidR="001C01B6" w:rsidRPr="0047462D" w:rsidRDefault="001C01B6" w:rsidP="001C01B6">
      <w:pPr>
        <w:tabs>
          <w:tab w:val="left" w:pos="567"/>
        </w:tabs>
        <w:suppressAutoHyphens w:val="0"/>
        <w:spacing w:line="260" w:lineRule="exact"/>
        <w:rPr>
          <w:szCs w:val="22"/>
          <w:u w:val="single"/>
        </w:rPr>
      </w:pPr>
    </w:p>
    <w:p w14:paraId="327E096D" w14:textId="256A9FD5" w:rsidR="004D4E7B" w:rsidRPr="0047462D" w:rsidRDefault="004D4E7B" w:rsidP="00EB5A36">
      <w:pPr>
        <w:keepNext/>
        <w:rPr>
          <w:rFonts w:eastAsia="MS Mincho"/>
          <w:i/>
        </w:rPr>
      </w:pPr>
      <w:r w:rsidRPr="0047462D">
        <w:rPr>
          <w:rFonts w:eastAsia="MS Mincho"/>
          <w:i/>
        </w:rPr>
        <w:t>Μελέτη 8: μελέτη σε παιδιατρικούς ασθενείς με ΚΙ ηλικίας κάτω των 24 μηνών</w:t>
      </w:r>
    </w:p>
    <w:p w14:paraId="068267EE" w14:textId="77777777" w:rsidR="00A87FCD" w:rsidRPr="0047462D" w:rsidRDefault="00A87FCD" w:rsidP="00EB5A36">
      <w:pPr>
        <w:keepNext/>
        <w:rPr>
          <w:rFonts w:eastAsia="MS Mincho"/>
          <w:i/>
        </w:rPr>
      </w:pPr>
    </w:p>
    <w:p w14:paraId="283C63F4" w14:textId="522670E0" w:rsidR="004D4E7B" w:rsidRPr="0047462D" w:rsidRDefault="00825304" w:rsidP="004D4E7B">
      <w:pPr>
        <w:pStyle w:val="documenttext"/>
        <w:spacing w:after="0"/>
        <w:rPr>
          <w:sz w:val="22"/>
          <w:szCs w:val="22"/>
          <w:lang w:val="el-GR"/>
        </w:rPr>
      </w:pPr>
      <w:r w:rsidRPr="0047462D">
        <w:rPr>
          <w:sz w:val="22"/>
          <w:szCs w:val="22"/>
          <w:lang w:val="el-GR"/>
        </w:rPr>
        <w:t xml:space="preserve">Το </w:t>
      </w:r>
      <w:r w:rsidR="004D4E7B" w:rsidRPr="0047462D">
        <w:rPr>
          <w:sz w:val="22"/>
          <w:szCs w:val="22"/>
          <w:lang w:val="el-GR"/>
        </w:rPr>
        <w:t xml:space="preserve">φαρμακοκινητικό προφίλ, η ασφάλεια και η αποτελεσματικότητα του </w:t>
      </w:r>
      <w:r w:rsidR="004D4E7B" w:rsidRPr="0047462D">
        <w:rPr>
          <w:sz w:val="22"/>
          <w:szCs w:val="22"/>
        </w:rPr>
        <w:t>ivacaftor</w:t>
      </w:r>
      <w:r w:rsidR="004D4E7B" w:rsidRPr="0047462D">
        <w:rPr>
          <w:sz w:val="22"/>
          <w:szCs w:val="22"/>
          <w:lang w:val="el-GR"/>
        </w:rPr>
        <w:t xml:space="preserve"> σε ασθενείς με ΚΙ ηλικίας </w:t>
      </w:r>
      <w:r w:rsidR="00664070" w:rsidRPr="0047462D">
        <w:rPr>
          <w:sz w:val="22"/>
          <w:szCs w:val="22"/>
          <w:lang w:val="el-GR"/>
        </w:rPr>
        <w:t>6</w:t>
      </w:r>
      <w:r w:rsidR="004D4E7B" w:rsidRPr="0047462D">
        <w:rPr>
          <w:sz w:val="22"/>
          <w:szCs w:val="22"/>
        </w:rPr>
        <w:t> </w:t>
      </w:r>
      <w:r w:rsidR="004D4E7B" w:rsidRPr="0047462D">
        <w:rPr>
          <w:sz w:val="22"/>
          <w:szCs w:val="22"/>
          <w:lang w:val="el-GR"/>
        </w:rPr>
        <w:t>μηνών έως κάτω των 24</w:t>
      </w:r>
      <w:r w:rsidR="004D4E7B" w:rsidRPr="0047462D">
        <w:rPr>
          <w:sz w:val="22"/>
          <w:szCs w:val="22"/>
        </w:rPr>
        <w:t> </w:t>
      </w:r>
      <w:r w:rsidR="004D4E7B" w:rsidRPr="0047462D">
        <w:rPr>
          <w:sz w:val="22"/>
          <w:szCs w:val="22"/>
          <w:lang w:val="el-GR"/>
        </w:rPr>
        <w:t xml:space="preserve">μηνών αξιολογήθηκαν σε </w:t>
      </w:r>
      <w:r w:rsidR="006A4A80" w:rsidRPr="0047462D">
        <w:rPr>
          <w:sz w:val="22"/>
          <w:szCs w:val="22"/>
          <w:lang w:val="el-GR"/>
        </w:rPr>
        <w:t>ολοκληρωμένης θεραπείας κο</w:t>
      </w:r>
      <w:r w:rsidR="004D4E7B" w:rsidRPr="0047462D">
        <w:rPr>
          <w:sz w:val="22"/>
          <w:szCs w:val="22"/>
          <w:lang w:val="el-GR"/>
        </w:rPr>
        <w:t xml:space="preserve">όρτη ασθενών σε μια συνεχιζόμενη κλινική μελέτη ανοιχτής επισήμανσης </w:t>
      </w:r>
      <w:r w:rsidR="00F86225">
        <w:rPr>
          <w:sz w:val="22"/>
          <w:szCs w:val="22"/>
          <w:lang w:val="el-GR"/>
        </w:rPr>
        <w:t>φ</w:t>
      </w:r>
      <w:r w:rsidR="004D4E7B" w:rsidRPr="0047462D">
        <w:rPr>
          <w:sz w:val="22"/>
          <w:szCs w:val="22"/>
          <w:lang w:val="el-GR"/>
        </w:rPr>
        <w:t>άσης 3 24 εβδομάδων σε ασθενείς ηλικίας κάτω των 24</w:t>
      </w:r>
      <w:r w:rsidR="004D4E7B" w:rsidRPr="0047462D">
        <w:rPr>
          <w:sz w:val="22"/>
          <w:szCs w:val="22"/>
        </w:rPr>
        <w:t> </w:t>
      </w:r>
      <w:r w:rsidR="004D4E7B" w:rsidRPr="0047462D">
        <w:rPr>
          <w:sz w:val="22"/>
          <w:szCs w:val="22"/>
          <w:lang w:val="el-GR"/>
        </w:rPr>
        <w:t>μηνών (μελέτη</w:t>
      </w:r>
      <w:r w:rsidR="004D4E7B" w:rsidRPr="0047462D">
        <w:rPr>
          <w:sz w:val="22"/>
          <w:szCs w:val="22"/>
        </w:rPr>
        <w:t> </w:t>
      </w:r>
      <w:r w:rsidR="004D4E7B" w:rsidRPr="0047462D">
        <w:rPr>
          <w:sz w:val="22"/>
          <w:szCs w:val="22"/>
          <w:lang w:val="el-GR"/>
        </w:rPr>
        <w:t>8).</w:t>
      </w:r>
    </w:p>
    <w:p w14:paraId="2FD35AD0" w14:textId="77777777" w:rsidR="004D4E7B" w:rsidRPr="0047462D" w:rsidRDefault="004D4E7B" w:rsidP="004D4E7B"/>
    <w:p w14:paraId="5A4FA8DD" w14:textId="4F75815E" w:rsidR="004D4E7B" w:rsidRPr="0047462D" w:rsidRDefault="004D4E7B" w:rsidP="004D4E7B">
      <w:r w:rsidRPr="0047462D">
        <w:t>Στο μέρος</w:t>
      </w:r>
      <w:r w:rsidR="00560C43" w:rsidRPr="0047462D">
        <w:rPr>
          <w:lang w:val="en-GB"/>
        </w:rPr>
        <w:t> </w:t>
      </w:r>
      <w:r w:rsidRPr="0047462D">
        <w:t>Β της μελέτης 8</w:t>
      </w:r>
      <w:r w:rsidR="000B592C" w:rsidRPr="0047462D">
        <w:t>,</w:t>
      </w:r>
      <w:r w:rsidRPr="0047462D">
        <w:t xml:space="preserve"> συμμετείχαν 19 ασθενείς ηλικίας 12 μηνών έως κάτω των 24 μηνών (μέση ηλικία 15,2 μηνών κατά την έναρξη), με </w:t>
      </w:r>
      <w:r w:rsidR="00A60275" w:rsidRPr="0047462D">
        <w:t xml:space="preserve">τους </w:t>
      </w:r>
      <w:r w:rsidRPr="0047462D">
        <w:t xml:space="preserve">18 ασθενείς </w:t>
      </w:r>
      <w:r w:rsidR="00A60275" w:rsidRPr="0047462D">
        <w:t xml:space="preserve">να ολοκλήρωσαν </w:t>
      </w:r>
      <w:r w:rsidRPr="0047462D">
        <w:t>την περίοδο θεραπείας 24 εβδομάδων</w:t>
      </w:r>
      <w:r w:rsidR="00F86225">
        <w:t>,</w:t>
      </w:r>
      <w:r w:rsidR="00AB5252" w:rsidRPr="0047462D">
        <w:t xml:space="preserve"> 11 ασθενείς ηλικίας 6 μηνών έως κάτω των 12 μηνών (μέση ηλικία 9,0 μηνών κατά την έναρξη) με τους 11 ασθενείς να ολοκλήρωσαν όλοι την περίοδο θεραπείας 24 εβδομάδων</w:t>
      </w:r>
      <w:r w:rsidR="00F86225">
        <w:t>, και 6 ασθενείς ηλικίας 4 μηνών έως κάτω των 6 μηνών (μέση ηλικία 4,5 μηνών κατά την έναρξη) με τους 6 ασθενείς να ολοκλήρωσαν όλοι την περίοδο θεραπείας 24 εβδομάδων</w:t>
      </w:r>
      <w:r w:rsidRPr="0047462D">
        <w:t xml:space="preserve">. Οι ασθενείς έλαβαν ivacaftor </w:t>
      </w:r>
      <w:r w:rsidR="00F40926" w:rsidRPr="0047462D">
        <w:t xml:space="preserve">25 mg, </w:t>
      </w:r>
      <w:r w:rsidRPr="0047462D">
        <w:t xml:space="preserve">50 mg ή 75 mg σύμφωνα </w:t>
      </w:r>
      <w:r w:rsidR="009206C0">
        <w:t>με την ηλικία τους και</w:t>
      </w:r>
      <w:r w:rsidRPr="0047462D">
        <w:t xml:space="preserve"> το σωματικό τους βάρος σε κάθε επίσκεψη μελέτης (βλ. παράγραφο</w:t>
      </w:r>
      <w:r w:rsidR="00560C43" w:rsidRPr="0047462D">
        <w:rPr>
          <w:lang w:val="en-GB"/>
        </w:rPr>
        <w:t> </w:t>
      </w:r>
      <w:r w:rsidRPr="0047462D">
        <w:t>4.2). Το ivacaftor χορηγούταν από στόματος κάθε 12 ώρες με τροφή που περιείχε λίπος</w:t>
      </w:r>
      <w:r w:rsidR="001260C5" w:rsidRPr="0047462D">
        <w:t>. Οι ασθενείς συνέχισαν</w:t>
      </w:r>
      <w:r w:rsidRPr="0047462D">
        <w:t xml:space="preserve"> </w:t>
      </w:r>
      <w:r w:rsidR="001260C5" w:rsidRPr="0047462D">
        <w:t xml:space="preserve">τις συνταγογραφημένες </w:t>
      </w:r>
      <w:r w:rsidRPr="0047462D">
        <w:t>καθιερωμέν</w:t>
      </w:r>
      <w:r w:rsidR="001260C5" w:rsidRPr="0047462D">
        <w:t>ες</w:t>
      </w:r>
      <w:r w:rsidRPr="0047462D">
        <w:t xml:space="preserve"> θεραπε</w:t>
      </w:r>
      <w:r w:rsidR="001260C5" w:rsidRPr="0047462D">
        <w:t>ίες</w:t>
      </w:r>
      <w:r w:rsidRPr="0047462D">
        <w:t xml:space="preserve"> </w:t>
      </w:r>
      <w:r w:rsidR="00694102" w:rsidRPr="0047462D">
        <w:t xml:space="preserve">τους </w:t>
      </w:r>
      <w:r w:rsidRPr="0047462D">
        <w:t>για την ΚΙ.</w:t>
      </w:r>
    </w:p>
    <w:p w14:paraId="3D0E152E" w14:textId="77777777" w:rsidR="004D4E7B" w:rsidRPr="0047462D" w:rsidRDefault="004D4E7B" w:rsidP="004D4E7B"/>
    <w:p w14:paraId="604F58F4" w14:textId="77777777" w:rsidR="004D4E7B" w:rsidRPr="0047462D" w:rsidRDefault="004D4E7B" w:rsidP="004D4E7B">
      <w:r w:rsidRPr="0047462D">
        <w:t>Στο μέρος Β της μελέτης 8</w:t>
      </w:r>
      <w:r w:rsidR="00373053" w:rsidRPr="0047462D">
        <w:t>,</w:t>
      </w:r>
      <w:r w:rsidRPr="0047462D">
        <w:t xml:space="preserve"> το πρωτεύον τελικό σημείο ασφάλειας αξιολογήθηκε για τις 24 εβδομάδες (βλ. παράγραφο 4.8). Τα δευτερεύοντα τελικά σημεία ήταν η αξιολόγηση της φαρμακοκινητικής και η απόλυτη μεταβολή από την τιμή αναφοράς στο χλώριο ιδρώτα </w:t>
      </w:r>
      <w:r w:rsidRPr="0047462D">
        <w:rPr>
          <w:bCs/>
        </w:rPr>
        <w:t xml:space="preserve">για τις 24 εβδομάδες </w:t>
      </w:r>
      <w:r w:rsidRPr="0047462D">
        <w:rPr>
          <w:bCs/>
          <w:szCs w:val="22"/>
        </w:rPr>
        <w:t>θεραπείας</w:t>
      </w:r>
      <w:r w:rsidRPr="0047462D">
        <w:t xml:space="preserve"> (βλ. Φαρμακοδυναμικές επιδράσεις). Στα τριτεύοντα τελικά σημεία συμπεριλαμβάνονταν μετρήσεις αποτελεσματικότητας </w:t>
      </w:r>
      <w:r w:rsidR="008C0ACE" w:rsidRPr="0047462D">
        <w:t>όπως η</w:t>
      </w:r>
      <w:r w:rsidRPr="0047462D">
        <w:t xml:space="preserve"> ελαστάση</w:t>
      </w:r>
      <w:r w:rsidRPr="0047462D">
        <w:noBreakHyphen/>
        <w:t>1</w:t>
      </w:r>
      <w:r w:rsidR="00560C43" w:rsidRPr="0047462D">
        <w:rPr>
          <w:lang w:val="en-GB"/>
        </w:rPr>
        <w:t> </w:t>
      </w:r>
      <w:r w:rsidRPr="0047462D">
        <w:t>κοπράνων</w:t>
      </w:r>
      <w:r w:rsidR="008C0ACE" w:rsidRPr="0047462D">
        <w:t xml:space="preserve"> και οι παράμετροι </w:t>
      </w:r>
      <w:r w:rsidRPr="0047462D">
        <w:t>ανάπτυξης</w:t>
      </w:r>
      <w:r w:rsidR="008C0ACE" w:rsidRPr="0047462D">
        <w:t>.</w:t>
      </w:r>
    </w:p>
    <w:p w14:paraId="5F148146" w14:textId="77777777" w:rsidR="004D4E7B" w:rsidRPr="0047462D" w:rsidRDefault="004D4E7B" w:rsidP="004D4E7B"/>
    <w:p w14:paraId="30B04534" w14:textId="69F0D65A" w:rsidR="00F40926" w:rsidRPr="0047462D" w:rsidRDefault="005A337E" w:rsidP="0081732C">
      <w:pPr>
        <w:keepLines/>
      </w:pPr>
      <w:r w:rsidRPr="0047462D">
        <w:t xml:space="preserve">Για ασθενείς ηλικίας </w:t>
      </w:r>
      <w:r w:rsidR="009206C0">
        <w:t>4</w:t>
      </w:r>
      <w:r w:rsidR="00F40926" w:rsidRPr="0047462D">
        <w:t> </w:t>
      </w:r>
      <w:r w:rsidRPr="0047462D">
        <w:t xml:space="preserve">μηνών έως κάτω των </w:t>
      </w:r>
      <w:r w:rsidR="00F40926" w:rsidRPr="0047462D">
        <w:t>24 </w:t>
      </w:r>
      <w:r w:rsidR="001A7C63" w:rsidRPr="0047462D">
        <w:t>μηνών</w:t>
      </w:r>
      <w:r w:rsidR="00F40926" w:rsidRPr="0047462D">
        <w:t xml:space="preserve">, </w:t>
      </w:r>
      <w:r w:rsidR="001A7C63" w:rsidRPr="0047462D">
        <w:t>για τους οποίους υπήρχαν τόσο τιμές αναφοράς όσο και τιμές για την εβδομάδα</w:t>
      </w:r>
      <w:r w:rsidR="00F40926" w:rsidRPr="0047462D">
        <w:t xml:space="preserve"> 24, </w:t>
      </w:r>
      <w:r w:rsidR="005F1772" w:rsidRPr="0047462D">
        <w:t xml:space="preserve">οι </w:t>
      </w:r>
      <w:r w:rsidR="001A7C63" w:rsidRPr="0047462D">
        <w:t>μέσ</w:t>
      </w:r>
      <w:r w:rsidR="005F1772" w:rsidRPr="0047462D">
        <w:t>ες</w:t>
      </w:r>
      <w:r w:rsidR="00F40926" w:rsidRPr="0047462D">
        <w:rPr>
          <w:bCs/>
        </w:rPr>
        <w:t xml:space="preserve"> (SD) </w:t>
      </w:r>
      <w:r w:rsidR="005F1772" w:rsidRPr="0047462D">
        <w:rPr>
          <w:bCs/>
        </w:rPr>
        <w:t xml:space="preserve">βαθμολογίες </w:t>
      </w:r>
      <w:r w:rsidR="005F1772" w:rsidRPr="0047462D">
        <w:rPr>
          <w:bCs/>
          <w:lang w:val="en-US"/>
        </w:rPr>
        <w:t>z</w:t>
      </w:r>
      <w:r w:rsidR="005F1772" w:rsidRPr="0047462D">
        <w:rPr>
          <w:bCs/>
        </w:rPr>
        <w:t xml:space="preserve"> βάρους </w:t>
      </w:r>
      <w:r w:rsidR="001A7C63" w:rsidRPr="0047462D">
        <w:rPr>
          <w:bCs/>
        </w:rPr>
        <w:t>για ηλικία, μήκο</w:t>
      </w:r>
      <w:r w:rsidR="005F1772" w:rsidRPr="0047462D">
        <w:rPr>
          <w:bCs/>
        </w:rPr>
        <w:t>υ</w:t>
      </w:r>
      <w:r w:rsidR="001A7C63" w:rsidRPr="0047462D">
        <w:rPr>
          <w:bCs/>
        </w:rPr>
        <w:t xml:space="preserve">ς για ηλικία και </w:t>
      </w:r>
      <w:r w:rsidR="005F1772" w:rsidRPr="0047462D">
        <w:rPr>
          <w:bCs/>
        </w:rPr>
        <w:t>βάρους για μήκος παρέχονται στον Πίνακα</w:t>
      </w:r>
      <w:r w:rsidR="00F40926" w:rsidRPr="0047462D">
        <w:rPr>
          <w:bCs/>
        </w:rPr>
        <w:t> </w:t>
      </w:r>
      <w:r w:rsidR="00572599" w:rsidRPr="00F93ECE">
        <w:rPr>
          <w:bCs/>
        </w:rPr>
        <w:t>7</w:t>
      </w:r>
      <w:r w:rsidR="00F40926" w:rsidRPr="0047462D">
        <w:rPr>
          <w:bCs/>
        </w:rPr>
        <w:t>.</w:t>
      </w:r>
    </w:p>
    <w:p w14:paraId="755BAF82" w14:textId="77777777" w:rsidR="00F40926" w:rsidRPr="0047462D" w:rsidRDefault="00F40926" w:rsidP="00F40926"/>
    <w:p w14:paraId="59690357" w14:textId="575C276A" w:rsidR="00F40926" w:rsidRPr="0047462D" w:rsidRDefault="000E199F" w:rsidP="001564CA">
      <w:pPr>
        <w:keepNext/>
        <w:spacing w:after="120"/>
        <w:ind w:left="1080" w:hanging="1080"/>
        <w:rPr>
          <w:b/>
          <w:color w:val="000000" w:themeColor="text1"/>
        </w:rPr>
      </w:pPr>
      <w:r w:rsidRPr="0047462D">
        <w:rPr>
          <w:b/>
        </w:rPr>
        <w:t>Πίνακας</w:t>
      </w:r>
      <w:r w:rsidR="00F40926" w:rsidRPr="0047462D">
        <w:rPr>
          <w:b/>
        </w:rPr>
        <w:t> </w:t>
      </w:r>
      <w:r w:rsidR="00572599" w:rsidRPr="00F93ECE">
        <w:rPr>
          <w:b/>
        </w:rPr>
        <w:t>7</w:t>
      </w:r>
      <w:r w:rsidR="00F40926" w:rsidRPr="0047462D">
        <w:rPr>
          <w:b/>
        </w:rPr>
        <w:t xml:space="preserve">: </w:t>
      </w:r>
      <w:r w:rsidR="00141D5B" w:rsidRPr="0047462D">
        <w:rPr>
          <w:b/>
        </w:rPr>
        <w:t xml:space="preserve">Επίδραση του </w:t>
      </w:r>
      <w:r w:rsidR="00F40926" w:rsidRPr="0047462D">
        <w:rPr>
          <w:b/>
        </w:rPr>
        <w:t xml:space="preserve">ivacaftor </w:t>
      </w:r>
      <w:r w:rsidR="00141D5B" w:rsidRPr="0047462D">
        <w:rPr>
          <w:b/>
        </w:rPr>
        <w:t xml:space="preserve">στις παραμέτρους ανάπτυξης σε ασθενείς ηλικίας </w:t>
      </w:r>
      <w:r w:rsidR="009206C0">
        <w:rPr>
          <w:b/>
        </w:rPr>
        <w:t>4</w:t>
      </w:r>
      <w:r w:rsidR="00F40926" w:rsidRPr="0047462D">
        <w:rPr>
          <w:b/>
        </w:rPr>
        <w:t> </w:t>
      </w:r>
      <w:r w:rsidR="00141D5B" w:rsidRPr="0047462D">
        <w:rPr>
          <w:b/>
        </w:rPr>
        <w:t xml:space="preserve">μηνών έως κάτω των </w:t>
      </w:r>
      <w:r w:rsidR="00F40926" w:rsidRPr="0047462D">
        <w:rPr>
          <w:b/>
        </w:rPr>
        <w:t>24 </w:t>
      </w:r>
      <w:r w:rsidR="00141D5B" w:rsidRPr="0047462D">
        <w:rPr>
          <w:b/>
        </w:rPr>
        <w:t>μ</w:t>
      </w:r>
      <w:r w:rsidR="00B73091" w:rsidRPr="0047462D">
        <w:rPr>
          <w:b/>
        </w:rPr>
        <w:t>η</w:t>
      </w:r>
      <w:r w:rsidR="00141D5B" w:rsidRPr="0047462D">
        <w:rPr>
          <w:b/>
        </w:rPr>
        <w:t xml:space="preserve">νών </w:t>
      </w:r>
      <w:r w:rsidR="00663891" w:rsidRPr="0047462D">
        <w:rPr>
          <w:b/>
        </w:rPr>
        <w:t>με τιμές αναφοράς και τιμές για την εβδομάδα 24</w:t>
      </w:r>
    </w:p>
    <w:tbl>
      <w:tblPr>
        <w:tblStyle w:val="TableGrid1"/>
        <w:tblW w:w="9018" w:type="dxa"/>
        <w:tblLayout w:type="fixed"/>
        <w:tblLook w:val="04A0" w:firstRow="1" w:lastRow="0" w:firstColumn="1" w:lastColumn="0" w:noHBand="0" w:noVBand="1"/>
      </w:tblPr>
      <w:tblGrid>
        <w:gridCol w:w="2335"/>
        <w:gridCol w:w="1080"/>
        <w:gridCol w:w="1170"/>
        <w:gridCol w:w="1553"/>
        <w:gridCol w:w="1147"/>
        <w:gridCol w:w="1733"/>
      </w:tblGrid>
      <w:tr w:rsidR="00D31CDF" w:rsidRPr="0047462D" w14:paraId="327D420F" w14:textId="77777777" w:rsidTr="00EB5A36">
        <w:tc>
          <w:tcPr>
            <w:tcW w:w="2335" w:type="dxa"/>
            <w:vMerge w:val="restart"/>
            <w:vAlign w:val="center"/>
          </w:tcPr>
          <w:p w14:paraId="2CB1F6D9" w14:textId="77777777" w:rsidR="00D31CDF" w:rsidRPr="0047462D" w:rsidRDefault="00D31CDF" w:rsidP="001564CA">
            <w:pPr>
              <w:keepNext/>
              <w:rPr>
                <w:rFonts w:ascii="Times New Roman" w:hAnsi="Times New Roman" w:cs="Times New Roman"/>
                <w:b/>
              </w:rPr>
            </w:pPr>
            <w:r w:rsidRPr="0047462D">
              <w:rPr>
                <w:rFonts w:ascii="Times New Roman" w:hAnsi="Times New Roman" w:cs="Times New Roman"/>
                <w:b/>
              </w:rPr>
              <w:t>Παράμετρος</w:t>
            </w:r>
          </w:p>
        </w:tc>
        <w:tc>
          <w:tcPr>
            <w:tcW w:w="1080" w:type="dxa"/>
            <w:vMerge w:val="restart"/>
          </w:tcPr>
          <w:p w14:paraId="4257BF4B" w14:textId="77777777" w:rsidR="00D31CDF" w:rsidRPr="0047462D" w:rsidRDefault="00D31CDF" w:rsidP="00B52D7A">
            <w:pPr>
              <w:keepNext/>
              <w:jc w:val="center"/>
              <w:rPr>
                <w:rFonts w:ascii="Times New Roman" w:hAnsi="Times New Roman" w:cs="Times New Roman"/>
                <w:b/>
              </w:rPr>
            </w:pPr>
            <w:r w:rsidRPr="0047462D">
              <w:rPr>
                <w:rFonts w:ascii="Times New Roman" w:hAnsi="Times New Roman" w:cs="Times New Roman"/>
                <w:b/>
              </w:rPr>
              <w:t>Αριθμός ασθενών</w:t>
            </w:r>
          </w:p>
        </w:tc>
        <w:tc>
          <w:tcPr>
            <w:tcW w:w="2723" w:type="dxa"/>
            <w:gridSpan w:val="2"/>
            <w:vAlign w:val="center"/>
          </w:tcPr>
          <w:p w14:paraId="3B527FA1" w14:textId="68CC5EA9"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Έναρξη</w:t>
            </w:r>
          </w:p>
        </w:tc>
        <w:tc>
          <w:tcPr>
            <w:tcW w:w="2880" w:type="dxa"/>
            <w:gridSpan w:val="2"/>
            <w:vAlign w:val="center"/>
          </w:tcPr>
          <w:p w14:paraId="66F72618" w14:textId="5F1D12E9"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Απόλυτη μεταβολή την εβδομάδα 24</w:t>
            </w:r>
          </w:p>
        </w:tc>
      </w:tr>
      <w:tr w:rsidR="00D31CDF" w:rsidRPr="0047462D" w14:paraId="30DC1CAD" w14:textId="77777777" w:rsidTr="00EB5A36">
        <w:tc>
          <w:tcPr>
            <w:tcW w:w="2335" w:type="dxa"/>
            <w:vMerge/>
            <w:vAlign w:val="center"/>
          </w:tcPr>
          <w:p w14:paraId="0A5BFD0A" w14:textId="77777777" w:rsidR="00D31CDF" w:rsidRPr="0047462D" w:rsidRDefault="00D31CDF">
            <w:pPr>
              <w:keepNext/>
              <w:rPr>
                <w:rFonts w:ascii="Times New Roman" w:hAnsi="Times New Roman" w:cs="Times New Roman"/>
                <w:b/>
              </w:rPr>
            </w:pPr>
          </w:p>
        </w:tc>
        <w:tc>
          <w:tcPr>
            <w:tcW w:w="1080" w:type="dxa"/>
            <w:vMerge/>
          </w:tcPr>
          <w:p w14:paraId="060715F8" w14:textId="77777777" w:rsidR="00D31CDF" w:rsidRPr="0047462D" w:rsidRDefault="00D31CDF">
            <w:pPr>
              <w:keepNext/>
              <w:jc w:val="center"/>
              <w:rPr>
                <w:rFonts w:ascii="Times New Roman" w:hAnsi="Times New Roman" w:cs="Times New Roman"/>
                <w:b/>
              </w:rPr>
            </w:pPr>
          </w:p>
        </w:tc>
        <w:tc>
          <w:tcPr>
            <w:tcW w:w="1170" w:type="dxa"/>
            <w:vAlign w:val="center"/>
          </w:tcPr>
          <w:p w14:paraId="58E27A72"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Μέση τιμή (</w:t>
            </w:r>
            <w:r w:rsidRPr="0047462D">
              <w:rPr>
                <w:rFonts w:ascii="Times New Roman" w:hAnsi="Times New Roman" w:cs="Times New Roman"/>
                <w:b/>
                <w:lang w:val="en-US"/>
              </w:rPr>
              <w:t>SD</w:t>
            </w:r>
            <w:r w:rsidRPr="0047462D">
              <w:rPr>
                <w:rFonts w:ascii="Times New Roman" w:hAnsi="Times New Roman" w:cs="Times New Roman"/>
                <w:b/>
              </w:rPr>
              <w:t>)</w:t>
            </w:r>
          </w:p>
        </w:tc>
        <w:tc>
          <w:tcPr>
            <w:tcW w:w="1553" w:type="dxa"/>
            <w:vAlign w:val="center"/>
          </w:tcPr>
          <w:p w14:paraId="03805FD4"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Διάμεση τιμή (ελάχ., μέγ.)</w:t>
            </w:r>
          </w:p>
        </w:tc>
        <w:tc>
          <w:tcPr>
            <w:tcW w:w="1147" w:type="dxa"/>
            <w:vAlign w:val="center"/>
          </w:tcPr>
          <w:p w14:paraId="6EE8F785"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Μέση τιμή (</w:t>
            </w:r>
            <w:r w:rsidRPr="0047462D">
              <w:rPr>
                <w:rFonts w:ascii="Times New Roman" w:hAnsi="Times New Roman" w:cs="Times New Roman"/>
                <w:b/>
                <w:lang w:val="en-US"/>
              </w:rPr>
              <w:t>SD</w:t>
            </w:r>
            <w:r w:rsidRPr="0047462D">
              <w:rPr>
                <w:rFonts w:ascii="Times New Roman" w:hAnsi="Times New Roman" w:cs="Times New Roman"/>
                <w:b/>
              </w:rPr>
              <w:t>)</w:t>
            </w:r>
          </w:p>
        </w:tc>
        <w:tc>
          <w:tcPr>
            <w:tcW w:w="1733" w:type="dxa"/>
            <w:vAlign w:val="center"/>
          </w:tcPr>
          <w:p w14:paraId="7A6C894C"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Διάμεση τιμή (ελάχ., μέγ.)</w:t>
            </w:r>
          </w:p>
        </w:tc>
      </w:tr>
      <w:tr w:rsidR="00F62B2D" w:rsidRPr="0047462D" w14:paraId="26B3380F" w14:textId="77777777" w:rsidTr="00EB5A36">
        <w:tc>
          <w:tcPr>
            <w:tcW w:w="2335" w:type="dxa"/>
          </w:tcPr>
          <w:p w14:paraId="05C830B6" w14:textId="77777777" w:rsidR="00F62B2D" w:rsidRPr="0047462D" w:rsidRDefault="00F62B2D" w:rsidP="00015DDF">
            <w:pPr>
              <w:keepNext/>
              <w:rPr>
                <w:rFonts w:ascii="Times New Roman" w:hAnsi="Times New Roman" w:cs="Times New Roman"/>
              </w:rPr>
            </w:pPr>
            <w:r w:rsidRPr="0047462D">
              <w:rPr>
                <w:rFonts w:ascii="Times New Roman" w:hAnsi="Times New Roman" w:cs="Times New Roman"/>
              </w:rPr>
              <w:t xml:space="preserve">Βαθμολογία </w:t>
            </w:r>
            <w:r w:rsidRPr="0047462D">
              <w:rPr>
                <w:rFonts w:ascii="Times New Roman" w:hAnsi="Times New Roman" w:cs="Times New Roman"/>
                <w:lang w:val="en-US"/>
              </w:rPr>
              <w:t>z</w:t>
            </w:r>
            <w:r w:rsidRPr="0047462D">
              <w:t xml:space="preserve"> </w:t>
            </w:r>
            <w:r w:rsidRPr="0047462D">
              <w:rPr>
                <w:rFonts w:ascii="Times New Roman" w:hAnsi="Times New Roman" w:cs="Times New Roman"/>
              </w:rPr>
              <w:t>βάρους για ηλικία</w:t>
            </w:r>
          </w:p>
        </w:tc>
        <w:tc>
          <w:tcPr>
            <w:tcW w:w="1080" w:type="dxa"/>
          </w:tcPr>
          <w:p w14:paraId="6C015702" w14:textId="0560FCDB" w:rsidR="00F62B2D" w:rsidRPr="0047462D" w:rsidRDefault="009206C0" w:rsidP="00015DDF">
            <w:pPr>
              <w:keepNext/>
              <w:jc w:val="center"/>
              <w:rPr>
                <w:rFonts w:ascii="Times New Roman" w:hAnsi="Times New Roman" w:cs="Times New Roman"/>
              </w:rPr>
            </w:pPr>
            <w:r>
              <w:rPr>
                <w:rFonts w:ascii="Times New Roman" w:hAnsi="Times New Roman" w:cs="Times New Roman"/>
              </w:rPr>
              <w:t>35</w:t>
            </w:r>
          </w:p>
        </w:tc>
        <w:tc>
          <w:tcPr>
            <w:tcW w:w="1170" w:type="dxa"/>
          </w:tcPr>
          <w:p w14:paraId="0A73DDF8" w14:textId="130E9D60"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17</w:t>
            </w:r>
            <w:r w:rsidRPr="0047462D">
              <w:rPr>
                <w:rFonts w:ascii="Times New Roman" w:hAnsi="Times New Roman" w:cs="Times New Roman"/>
              </w:rPr>
              <w:t xml:space="preserve"> </w:t>
            </w:r>
            <w:r w:rsidR="002B7F06">
              <w:br/>
            </w:r>
            <w:r w:rsidRPr="0047462D">
              <w:rPr>
                <w:rFonts w:ascii="Times New Roman" w:hAnsi="Times New Roman" w:cs="Times New Roman"/>
              </w:rPr>
              <w:t>(0,</w:t>
            </w:r>
            <w:r w:rsidR="009206C0">
              <w:rPr>
                <w:rFonts w:ascii="Times New Roman" w:hAnsi="Times New Roman" w:cs="Times New Roman"/>
              </w:rPr>
              <w:t>85</w:t>
            </w:r>
            <w:r w:rsidRPr="0047462D">
              <w:rPr>
                <w:rFonts w:ascii="Times New Roman" w:hAnsi="Times New Roman" w:cs="Times New Roman"/>
              </w:rPr>
              <w:t>)</w:t>
            </w:r>
          </w:p>
        </w:tc>
        <w:tc>
          <w:tcPr>
            <w:tcW w:w="1553" w:type="dxa"/>
          </w:tcPr>
          <w:p w14:paraId="1A17187C" w14:textId="32B83289"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20</w:t>
            </w:r>
          </w:p>
          <w:p w14:paraId="03131907" w14:textId="5F777042"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[-1</w:t>
            </w:r>
            <w:r w:rsidRPr="0047462D">
              <w:rPr>
                <w:rFonts w:ascii="Times New Roman" w:hAnsi="Times New Roman" w:cs="Times New Roman"/>
                <w:lang w:val="en-US"/>
              </w:rPr>
              <w:t>,</w:t>
            </w:r>
            <w:r w:rsidR="009206C0">
              <w:rPr>
                <w:rFonts w:ascii="Times New Roman" w:hAnsi="Times New Roman" w:cs="Times New Roman"/>
              </w:rPr>
              <w:t>92</w:t>
            </w:r>
            <w:r w:rsidRPr="0047462D">
              <w:rPr>
                <w:rFonts w:ascii="Times New Roman" w:hAnsi="Times New Roman" w:cs="Times New Roman"/>
              </w:rPr>
              <w:t>, 1</w:t>
            </w:r>
            <w:r w:rsidRPr="0047462D">
              <w:rPr>
                <w:rFonts w:ascii="Times New Roman" w:hAnsi="Times New Roman" w:cs="Times New Roman"/>
                <w:lang w:val="en-US"/>
              </w:rPr>
              <w:t>,</w:t>
            </w:r>
            <w:r w:rsidRPr="0047462D">
              <w:rPr>
                <w:rFonts w:ascii="Times New Roman" w:hAnsi="Times New Roman" w:cs="Times New Roman"/>
              </w:rPr>
              <w:t>79]</w:t>
            </w:r>
          </w:p>
        </w:tc>
        <w:tc>
          <w:tcPr>
            <w:tcW w:w="1147" w:type="dxa"/>
          </w:tcPr>
          <w:p w14:paraId="0EB3DC11" w14:textId="07C25C45"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33</w:t>
            </w:r>
            <w:r w:rsidRPr="0047462D">
              <w:rPr>
                <w:rFonts w:ascii="Times New Roman" w:hAnsi="Times New Roman" w:cs="Times New Roman"/>
              </w:rPr>
              <w:t xml:space="preserve"> (0,</w:t>
            </w:r>
            <w:r w:rsidR="009206C0">
              <w:rPr>
                <w:rFonts w:ascii="Times New Roman" w:hAnsi="Times New Roman" w:cs="Times New Roman"/>
              </w:rPr>
              <w:t>53</w:t>
            </w:r>
            <w:r w:rsidRPr="0047462D">
              <w:rPr>
                <w:rFonts w:ascii="Times New Roman" w:hAnsi="Times New Roman" w:cs="Times New Roman"/>
              </w:rPr>
              <w:t>)</w:t>
            </w:r>
          </w:p>
        </w:tc>
        <w:tc>
          <w:tcPr>
            <w:tcW w:w="1733" w:type="dxa"/>
          </w:tcPr>
          <w:p w14:paraId="250E2656" w14:textId="465A7BA3"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26</w:t>
            </w:r>
          </w:p>
          <w:p w14:paraId="2AE17787" w14:textId="77777777"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Pr="0047462D">
              <w:rPr>
                <w:rFonts w:ascii="Times New Roman" w:hAnsi="Times New Roman" w:cs="Times New Roman"/>
              </w:rPr>
              <w:t>54, 1</w:t>
            </w:r>
            <w:r w:rsidRPr="0047462D">
              <w:rPr>
                <w:rFonts w:ascii="Times New Roman" w:hAnsi="Times New Roman" w:cs="Times New Roman"/>
                <w:lang w:val="en-US"/>
              </w:rPr>
              <w:t>,</w:t>
            </w:r>
            <w:r w:rsidRPr="0047462D">
              <w:rPr>
                <w:rFonts w:ascii="Times New Roman" w:hAnsi="Times New Roman" w:cs="Times New Roman"/>
              </w:rPr>
              <w:t>63]</w:t>
            </w:r>
          </w:p>
        </w:tc>
      </w:tr>
      <w:tr w:rsidR="00F62B2D" w:rsidRPr="0047462D" w14:paraId="2A4886D9" w14:textId="77777777" w:rsidTr="00EB5A36">
        <w:tc>
          <w:tcPr>
            <w:tcW w:w="2335" w:type="dxa"/>
          </w:tcPr>
          <w:p w14:paraId="447A4BE6" w14:textId="77777777" w:rsidR="00F62B2D" w:rsidRPr="0047462D" w:rsidRDefault="00F62B2D" w:rsidP="00015DDF">
            <w:pPr>
              <w:keepNext/>
              <w:rPr>
                <w:rFonts w:ascii="Times New Roman" w:hAnsi="Times New Roman" w:cs="Times New Roman"/>
              </w:rPr>
            </w:pPr>
            <w:r w:rsidRPr="0047462D">
              <w:rPr>
                <w:rFonts w:ascii="Times New Roman" w:hAnsi="Times New Roman" w:cs="Times New Roman"/>
              </w:rPr>
              <w:t xml:space="preserve">Βαθμολογία </w:t>
            </w:r>
            <w:r w:rsidRPr="0047462D">
              <w:rPr>
                <w:rFonts w:ascii="Times New Roman" w:hAnsi="Times New Roman" w:cs="Times New Roman"/>
                <w:lang w:val="en-US"/>
              </w:rPr>
              <w:t>z</w:t>
            </w:r>
            <w:r w:rsidRPr="0047462D">
              <w:t xml:space="preserve"> </w:t>
            </w:r>
            <w:r w:rsidRPr="0047462D">
              <w:rPr>
                <w:rFonts w:ascii="Times New Roman" w:hAnsi="Times New Roman" w:cs="Times New Roman"/>
              </w:rPr>
              <w:t>μήκους για ηλικία</w:t>
            </w:r>
          </w:p>
        </w:tc>
        <w:tc>
          <w:tcPr>
            <w:tcW w:w="1080" w:type="dxa"/>
          </w:tcPr>
          <w:p w14:paraId="22BE9617" w14:textId="1845FB60" w:rsidR="00F62B2D" w:rsidRPr="0047462D" w:rsidRDefault="009206C0" w:rsidP="00015DDF">
            <w:pPr>
              <w:keepNext/>
              <w:jc w:val="center"/>
              <w:rPr>
                <w:rFonts w:ascii="Times New Roman" w:hAnsi="Times New Roman" w:cs="Times New Roman"/>
              </w:rPr>
            </w:pPr>
            <w:r>
              <w:rPr>
                <w:rFonts w:ascii="Times New Roman" w:hAnsi="Times New Roman" w:cs="Times New Roman"/>
              </w:rPr>
              <w:t>34</w:t>
            </w:r>
          </w:p>
        </w:tc>
        <w:tc>
          <w:tcPr>
            <w:tcW w:w="1170" w:type="dxa"/>
          </w:tcPr>
          <w:p w14:paraId="0490BA8A" w14:textId="577A3845"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06</w:t>
            </w:r>
            <w:r w:rsidRPr="0047462D">
              <w:rPr>
                <w:rFonts w:ascii="Times New Roman" w:hAnsi="Times New Roman" w:cs="Times New Roman"/>
              </w:rPr>
              <w:t xml:space="preserve"> </w:t>
            </w:r>
            <w:r w:rsidR="002B7F06">
              <w:br/>
            </w:r>
            <w:r w:rsidRPr="0047462D">
              <w:rPr>
                <w:rFonts w:ascii="Times New Roman" w:hAnsi="Times New Roman" w:cs="Times New Roman"/>
              </w:rPr>
              <w:t>(</w:t>
            </w:r>
            <w:r w:rsidR="009206C0">
              <w:rPr>
                <w:rFonts w:ascii="Times New Roman" w:hAnsi="Times New Roman" w:cs="Times New Roman"/>
              </w:rPr>
              <w:t>1</w:t>
            </w:r>
            <w:r w:rsidRPr="0047462D">
              <w:rPr>
                <w:rFonts w:ascii="Times New Roman" w:hAnsi="Times New Roman" w:cs="Times New Roman"/>
              </w:rPr>
              <w:t>,</w:t>
            </w:r>
            <w:r w:rsidR="009206C0">
              <w:rPr>
                <w:rFonts w:ascii="Times New Roman" w:hAnsi="Times New Roman" w:cs="Times New Roman"/>
              </w:rPr>
              <w:t>03</w:t>
            </w:r>
            <w:r w:rsidRPr="0047462D">
              <w:rPr>
                <w:rFonts w:ascii="Times New Roman" w:hAnsi="Times New Roman" w:cs="Times New Roman"/>
              </w:rPr>
              <w:t>)</w:t>
            </w:r>
          </w:p>
        </w:tc>
        <w:tc>
          <w:tcPr>
            <w:tcW w:w="1553" w:type="dxa"/>
          </w:tcPr>
          <w:p w14:paraId="3F50ECDE" w14:textId="06CD8D68"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12</w:t>
            </w:r>
          </w:p>
          <w:p w14:paraId="1E9BC4FC" w14:textId="3EE8E63F"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[-1</w:t>
            </w:r>
            <w:r w:rsidRPr="0047462D">
              <w:rPr>
                <w:rFonts w:ascii="Times New Roman" w:hAnsi="Times New Roman" w:cs="Times New Roman"/>
                <w:lang w:val="en-US"/>
              </w:rPr>
              <w:t>,</w:t>
            </w:r>
            <w:r w:rsidR="009206C0">
              <w:rPr>
                <w:rFonts w:ascii="Times New Roman" w:hAnsi="Times New Roman" w:cs="Times New Roman"/>
              </w:rPr>
              <w:t>99</w:t>
            </w:r>
            <w:r w:rsidRPr="0047462D">
              <w:rPr>
                <w:rFonts w:ascii="Times New Roman" w:hAnsi="Times New Roman" w:cs="Times New Roman"/>
              </w:rPr>
              <w:t xml:space="preserve">, </w:t>
            </w:r>
            <w:r w:rsidR="009206C0">
              <w:rPr>
                <w:rFonts w:ascii="Times New Roman" w:hAnsi="Times New Roman" w:cs="Times New Roman"/>
              </w:rPr>
              <w:t>2,79</w:t>
            </w:r>
            <w:r w:rsidRPr="0047462D">
              <w:rPr>
                <w:rFonts w:ascii="Times New Roman" w:hAnsi="Times New Roman" w:cs="Times New Roman"/>
              </w:rPr>
              <w:t>]</w:t>
            </w:r>
          </w:p>
        </w:tc>
        <w:tc>
          <w:tcPr>
            <w:tcW w:w="1147" w:type="dxa"/>
          </w:tcPr>
          <w:p w14:paraId="58E0C433" w14:textId="2E86F02C"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32</w:t>
            </w:r>
            <w:r w:rsidRPr="0047462D">
              <w:rPr>
                <w:rFonts w:ascii="Times New Roman" w:hAnsi="Times New Roman" w:cs="Times New Roman"/>
              </w:rPr>
              <w:t xml:space="preserve"> (0,</w:t>
            </w:r>
            <w:r w:rsidR="009206C0">
              <w:rPr>
                <w:rFonts w:ascii="Times New Roman" w:hAnsi="Times New Roman" w:cs="Times New Roman"/>
              </w:rPr>
              <w:t>92</w:t>
            </w:r>
            <w:r w:rsidRPr="0047462D">
              <w:rPr>
                <w:rFonts w:ascii="Times New Roman" w:hAnsi="Times New Roman" w:cs="Times New Roman"/>
              </w:rPr>
              <w:t>)</w:t>
            </w:r>
          </w:p>
        </w:tc>
        <w:tc>
          <w:tcPr>
            <w:tcW w:w="1733" w:type="dxa"/>
          </w:tcPr>
          <w:p w14:paraId="41D3AB66" w14:textId="09B887D4"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47</w:t>
            </w:r>
          </w:p>
          <w:p w14:paraId="70633DD8" w14:textId="693E0F97"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w:t>
            </w:r>
            <w:r w:rsidR="007F4BE9" w:rsidRPr="0047462D">
              <w:rPr>
                <w:rFonts w:ascii="Times New Roman" w:hAnsi="Times New Roman" w:cs="Times New Roman"/>
                <w:lang w:val="en-GB"/>
              </w:rPr>
              <w:t>1,81</w:t>
            </w:r>
            <w:r w:rsidRPr="0047462D">
              <w:rPr>
                <w:rFonts w:ascii="Times New Roman" w:hAnsi="Times New Roman" w:cs="Times New Roman"/>
              </w:rPr>
              <w:t xml:space="preserve">, </w:t>
            </w:r>
            <w:r w:rsidR="007F4BE9" w:rsidRPr="0047462D">
              <w:rPr>
                <w:rFonts w:ascii="Times New Roman" w:hAnsi="Times New Roman" w:cs="Times New Roman"/>
                <w:lang w:val="en-GB"/>
              </w:rPr>
              <w:t>3,38</w:t>
            </w:r>
            <w:r w:rsidRPr="0047462D">
              <w:rPr>
                <w:rFonts w:ascii="Times New Roman" w:hAnsi="Times New Roman" w:cs="Times New Roman"/>
              </w:rPr>
              <w:t>]</w:t>
            </w:r>
          </w:p>
        </w:tc>
      </w:tr>
      <w:tr w:rsidR="00F62B2D" w:rsidRPr="0047462D" w14:paraId="0374ED15" w14:textId="77777777" w:rsidTr="00EB5A36">
        <w:tc>
          <w:tcPr>
            <w:tcW w:w="2335" w:type="dxa"/>
          </w:tcPr>
          <w:p w14:paraId="3B6A0494" w14:textId="77777777" w:rsidR="00F62B2D" w:rsidRPr="0047462D" w:rsidRDefault="00F62B2D" w:rsidP="00F62B2D">
            <w:pPr>
              <w:rPr>
                <w:rFonts w:ascii="Times New Roman" w:hAnsi="Times New Roman" w:cs="Times New Roman"/>
              </w:rPr>
            </w:pPr>
            <w:r w:rsidRPr="0047462D">
              <w:rPr>
                <w:rFonts w:ascii="Times New Roman" w:hAnsi="Times New Roman" w:cs="Times New Roman"/>
              </w:rPr>
              <w:t xml:space="preserve">Βαθμολογία </w:t>
            </w:r>
            <w:r w:rsidRPr="0047462D">
              <w:rPr>
                <w:rFonts w:ascii="Times New Roman" w:hAnsi="Times New Roman" w:cs="Times New Roman"/>
                <w:lang w:val="en-US"/>
              </w:rPr>
              <w:t>z</w:t>
            </w:r>
            <w:r w:rsidRPr="0047462D">
              <w:t xml:space="preserve"> </w:t>
            </w:r>
            <w:r w:rsidRPr="0047462D">
              <w:rPr>
                <w:rFonts w:ascii="Times New Roman" w:hAnsi="Times New Roman" w:cs="Times New Roman"/>
              </w:rPr>
              <w:t>βάρους για μήκος</w:t>
            </w:r>
          </w:p>
        </w:tc>
        <w:tc>
          <w:tcPr>
            <w:tcW w:w="1080" w:type="dxa"/>
          </w:tcPr>
          <w:p w14:paraId="6D3E821F" w14:textId="073F7A34" w:rsidR="00F62B2D" w:rsidRPr="0047462D" w:rsidRDefault="009206C0" w:rsidP="00F62B2D">
            <w:pPr>
              <w:jc w:val="center"/>
              <w:rPr>
                <w:rFonts w:ascii="Times New Roman" w:hAnsi="Times New Roman" w:cs="Times New Roman"/>
              </w:rPr>
            </w:pPr>
            <w:r>
              <w:rPr>
                <w:rFonts w:ascii="Times New Roman" w:hAnsi="Times New Roman" w:cs="Times New Roman"/>
              </w:rPr>
              <w:t>34</w:t>
            </w:r>
          </w:p>
        </w:tc>
        <w:tc>
          <w:tcPr>
            <w:tcW w:w="1170" w:type="dxa"/>
          </w:tcPr>
          <w:p w14:paraId="1212CFBB" w14:textId="490863EB" w:rsidR="00F62B2D" w:rsidRPr="0047462D" w:rsidRDefault="00F62B2D" w:rsidP="00F62B2D">
            <w:pPr>
              <w:jc w:val="center"/>
              <w:rPr>
                <w:rFonts w:ascii="Times New Roman" w:hAnsi="Times New Roman" w:cs="Times New Roman"/>
              </w:rPr>
            </w:pPr>
            <w:r w:rsidRPr="0047462D">
              <w:rPr>
                <w:rFonts w:ascii="Times New Roman" w:hAnsi="Times New Roman" w:cs="Times New Roman"/>
                <w:color w:val="000000" w:themeColor="text1"/>
              </w:rPr>
              <w:t>0,</w:t>
            </w:r>
            <w:r w:rsidR="009206C0">
              <w:rPr>
                <w:rFonts w:ascii="Times New Roman" w:hAnsi="Times New Roman" w:cs="Times New Roman"/>
                <w:color w:val="000000" w:themeColor="text1"/>
              </w:rPr>
              <w:t>24</w:t>
            </w:r>
            <w:r w:rsidRPr="0047462D">
              <w:rPr>
                <w:rFonts w:ascii="Times New Roman" w:hAnsi="Times New Roman" w:cs="Times New Roman"/>
                <w:color w:val="000000" w:themeColor="text1"/>
              </w:rPr>
              <w:t xml:space="preserve"> (</w:t>
            </w:r>
            <w:r w:rsidR="009206C0">
              <w:rPr>
                <w:rFonts w:ascii="Times New Roman" w:hAnsi="Times New Roman" w:cs="Times New Roman"/>
                <w:color w:val="000000" w:themeColor="text1"/>
              </w:rPr>
              <w:t>1</w:t>
            </w:r>
            <w:r w:rsidRPr="0047462D">
              <w:rPr>
                <w:rFonts w:ascii="Times New Roman" w:hAnsi="Times New Roman" w:cs="Times New Roman"/>
                <w:color w:val="000000" w:themeColor="text1"/>
              </w:rPr>
              <w:t>,</w:t>
            </w:r>
            <w:r w:rsidR="009206C0">
              <w:rPr>
                <w:rFonts w:ascii="Times New Roman" w:hAnsi="Times New Roman" w:cs="Times New Roman"/>
                <w:color w:val="000000" w:themeColor="text1"/>
              </w:rPr>
              <w:t>01</w:t>
            </w:r>
            <w:r w:rsidRPr="0047462D">
              <w:rPr>
                <w:rFonts w:ascii="Times New Roman" w:hAnsi="Times New Roman" w:cs="Times New Roman"/>
                <w:color w:val="000000" w:themeColor="text1"/>
              </w:rPr>
              <w:t>)</w:t>
            </w:r>
          </w:p>
        </w:tc>
        <w:tc>
          <w:tcPr>
            <w:tcW w:w="1553" w:type="dxa"/>
          </w:tcPr>
          <w:p w14:paraId="76B80522" w14:textId="61EE08CF" w:rsidR="00F62B2D" w:rsidRPr="0047462D" w:rsidRDefault="00F62B2D" w:rsidP="00F62B2D">
            <w:pPr>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26</w:t>
            </w:r>
          </w:p>
          <w:p w14:paraId="0CA9DF24" w14:textId="03D4D042" w:rsidR="00F62B2D" w:rsidRPr="0047462D" w:rsidRDefault="00F62B2D" w:rsidP="00F62B2D">
            <w:pPr>
              <w:jc w:val="center"/>
              <w:rPr>
                <w:rFonts w:ascii="Times New Roman" w:hAnsi="Times New Roman" w:cs="Times New Roman"/>
              </w:rPr>
            </w:pPr>
            <w:r w:rsidRPr="0047462D">
              <w:rPr>
                <w:rFonts w:ascii="Times New Roman" w:hAnsi="Times New Roman" w:cs="Times New Roman"/>
              </w:rPr>
              <w:t>[-1</w:t>
            </w:r>
            <w:r w:rsidRPr="0047462D">
              <w:rPr>
                <w:rFonts w:ascii="Times New Roman" w:hAnsi="Times New Roman" w:cs="Times New Roman"/>
                <w:lang w:val="en-US"/>
              </w:rPr>
              <w:t>,</w:t>
            </w:r>
            <w:r w:rsidR="009206C0">
              <w:rPr>
                <w:rFonts w:ascii="Times New Roman" w:hAnsi="Times New Roman" w:cs="Times New Roman"/>
              </w:rPr>
              <w:t>72</w:t>
            </w:r>
            <w:r w:rsidRPr="0047462D">
              <w:rPr>
                <w:rFonts w:ascii="Times New Roman" w:hAnsi="Times New Roman" w:cs="Times New Roman"/>
              </w:rPr>
              <w:t>, 2</w:t>
            </w:r>
            <w:r w:rsidRPr="0047462D">
              <w:rPr>
                <w:rFonts w:ascii="Times New Roman" w:hAnsi="Times New Roman" w:cs="Times New Roman"/>
                <w:lang w:val="en-US"/>
              </w:rPr>
              <w:t>,</w:t>
            </w:r>
            <w:r w:rsidRPr="0047462D">
              <w:rPr>
                <w:rFonts w:ascii="Times New Roman" w:hAnsi="Times New Roman" w:cs="Times New Roman"/>
              </w:rPr>
              <w:t>16]</w:t>
            </w:r>
          </w:p>
        </w:tc>
        <w:tc>
          <w:tcPr>
            <w:tcW w:w="1147" w:type="dxa"/>
          </w:tcPr>
          <w:p w14:paraId="6BE2303B" w14:textId="1D221648" w:rsidR="00F62B2D" w:rsidRPr="00F93ECE" w:rsidRDefault="00F62B2D" w:rsidP="00F62B2D">
            <w:pPr>
              <w:jc w:val="center"/>
              <w:rPr>
                <w:rFonts w:ascii="Times New Roman" w:hAnsi="Times New Roman" w:cs="Times New Roman"/>
                <w:color w:val="000000" w:themeColor="text1"/>
              </w:rPr>
            </w:pPr>
            <w:r w:rsidRPr="00F93ECE">
              <w:rPr>
                <w:color w:val="000000" w:themeColor="text1"/>
              </w:rPr>
              <w:t>0,</w:t>
            </w:r>
            <w:r w:rsidR="009206C0" w:rsidRPr="00F93ECE">
              <w:rPr>
                <w:color w:val="000000" w:themeColor="text1"/>
              </w:rPr>
              <w:t>24</w:t>
            </w:r>
            <w:r w:rsidRPr="00F93ECE">
              <w:rPr>
                <w:color w:val="000000" w:themeColor="text1"/>
              </w:rPr>
              <w:t xml:space="preserve"> (0,</w:t>
            </w:r>
            <w:r w:rsidR="009206C0" w:rsidRPr="00F93ECE">
              <w:rPr>
                <w:color w:val="000000" w:themeColor="text1"/>
              </w:rPr>
              <w:t>98</w:t>
            </w:r>
            <w:r w:rsidRPr="00F93ECE">
              <w:rPr>
                <w:color w:val="000000" w:themeColor="text1"/>
              </w:rPr>
              <w:t>)</w:t>
            </w:r>
          </w:p>
        </w:tc>
        <w:tc>
          <w:tcPr>
            <w:tcW w:w="1733" w:type="dxa"/>
          </w:tcPr>
          <w:p w14:paraId="5F614490" w14:textId="3FBD77BC" w:rsidR="00F62B2D" w:rsidRPr="0047462D" w:rsidRDefault="00F62B2D" w:rsidP="00F62B2D">
            <w:pPr>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29</w:t>
            </w:r>
          </w:p>
          <w:p w14:paraId="31902F57" w14:textId="77777777" w:rsidR="00F62B2D" w:rsidRPr="0047462D" w:rsidRDefault="00F62B2D" w:rsidP="00F62B2D">
            <w:pPr>
              <w:jc w:val="center"/>
              <w:rPr>
                <w:rFonts w:ascii="Times New Roman" w:hAnsi="Times New Roman" w:cs="Times New Roman"/>
              </w:rPr>
            </w:pPr>
            <w:r w:rsidRPr="0047462D">
              <w:rPr>
                <w:rFonts w:ascii="Times New Roman" w:hAnsi="Times New Roman" w:cs="Times New Roman"/>
              </w:rPr>
              <w:t>[-2</w:t>
            </w:r>
            <w:r w:rsidRPr="0047462D">
              <w:rPr>
                <w:rFonts w:ascii="Times New Roman" w:hAnsi="Times New Roman" w:cs="Times New Roman"/>
                <w:lang w:val="en-US"/>
              </w:rPr>
              <w:t>,</w:t>
            </w:r>
            <w:r w:rsidRPr="0047462D">
              <w:rPr>
                <w:rFonts w:ascii="Times New Roman" w:hAnsi="Times New Roman" w:cs="Times New Roman"/>
              </w:rPr>
              <w:t>04, 2</w:t>
            </w:r>
            <w:r w:rsidRPr="0047462D">
              <w:rPr>
                <w:rFonts w:ascii="Times New Roman" w:hAnsi="Times New Roman" w:cs="Times New Roman"/>
                <w:lang w:val="en-US"/>
              </w:rPr>
              <w:t>,</w:t>
            </w:r>
            <w:r w:rsidRPr="0047462D">
              <w:rPr>
                <w:rFonts w:ascii="Times New Roman" w:hAnsi="Times New Roman" w:cs="Times New Roman"/>
              </w:rPr>
              <w:t>22]</w:t>
            </w:r>
          </w:p>
        </w:tc>
      </w:tr>
    </w:tbl>
    <w:p w14:paraId="5293E625" w14:textId="77777777" w:rsidR="00BD30A6" w:rsidRPr="0047462D" w:rsidRDefault="00BD30A6" w:rsidP="004D4E7B">
      <w:pPr>
        <w:spacing w:line="260" w:lineRule="exact"/>
      </w:pPr>
    </w:p>
    <w:p w14:paraId="0EF1033E" w14:textId="78D655F0" w:rsidR="00F40926" w:rsidRPr="0047462D" w:rsidRDefault="003D018F" w:rsidP="00F40926">
      <w:r w:rsidRPr="0047462D">
        <w:t xml:space="preserve">Σε ασθενείς </w:t>
      </w:r>
      <w:r w:rsidR="00F40926" w:rsidRPr="0047462D">
        <w:t xml:space="preserve">ηλικίας </w:t>
      </w:r>
      <w:r w:rsidR="009206C0">
        <w:t>4</w:t>
      </w:r>
      <w:r w:rsidR="00F40926" w:rsidRPr="0047462D">
        <w:t xml:space="preserve"> μηνών έως κάτω των 24 μηνών, </w:t>
      </w:r>
      <w:r w:rsidRPr="0047462D">
        <w:t xml:space="preserve">για τους οποίους υπήρχαν τόσο τιμές αναφοράς όσο και τιμές για την </w:t>
      </w:r>
      <w:r w:rsidR="009206C0">
        <w:t>ε</w:t>
      </w:r>
      <w:r w:rsidR="004D4E7B" w:rsidRPr="0047462D">
        <w:t>βδομάδα 24</w:t>
      </w:r>
      <w:r w:rsidRPr="0047462D">
        <w:t xml:space="preserve">, </w:t>
      </w:r>
      <w:r w:rsidR="009206C0" w:rsidRPr="00F93ECE">
        <w:t>18</w:t>
      </w:r>
      <w:r w:rsidR="009206C0">
        <w:rPr>
          <w:lang w:val="en-US"/>
        </w:rPr>
        <w:t> </w:t>
      </w:r>
      <w:r w:rsidRPr="0047462D">
        <w:t xml:space="preserve">ασθενείς είχαν παγκρεατική ανεπάρκεια κατά την έναρξη (οριζόμενη ως </w:t>
      </w:r>
      <w:r w:rsidR="004D4E7B" w:rsidRPr="0047462D">
        <w:t xml:space="preserve">ελαστάση-1 κοπράνων </w:t>
      </w:r>
      <w:r w:rsidRPr="0047462D">
        <w:t>&lt;</w:t>
      </w:r>
      <w:r w:rsidR="00F60166" w:rsidRPr="0047462D">
        <w:t> </w:t>
      </w:r>
      <w:r w:rsidRPr="0047462D">
        <w:t>200 µg/g) με μέσες (</w:t>
      </w:r>
      <w:r w:rsidRPr="0047462D">
        <w:rPr>
          <w:lang w:val="en-US"/>
        </w:rPr>
        <w:t>SD</w:t>
      </w:r>
      <w:r w:rsidRPr="0047462D">
        <w:t xml:space="preserve">) τιμές ελαστάσης-1 κοπράνων </w:t>
      </w:r>
      <w:r w:rsidR="004D4E7B" w:rsidRPr="0047462D">
        <w:t xml:space="preserve">κατά την έναρξη και την </w:t>
      </w:r>
      <w:r w:rsidR="009206C0">
        <w:t>ε</w:t>
      </w:r>
      <w:r w:rsidR="004D4E7B" w:rsidRPr="0047462D">
        <w:t xml:space="preserve">βδομάδα 24 </w:t>
      </w:r>
      <w:r w:rsidR="00B340E4">
        <w:t>25,5</w:t>
      </w:r>
      <w:r w:rsidR="0089575E" w:rsidRPr="0047462D">
        <w:rPr>
          <w:lang w:val="en-US"/>
        </w:rPr>
        <w:t> </w:t>
      </w:r>
      <w:r w:rsidR="0089575E" w:rsidRPr="0047462D">
        <w:t>µg/g</w:t>
      </w:r>
      <w:r w:rsidRPr="0047462D">
        <w:t xml:space="preserve"> (</w:t>
      </w:r>
      <w:r w:rsidR="00B340E4">
        <w:t>27,6</w:t>
      </w:r>
      <w:r w:rsidRPr="0047462D">
        <w:t xml:space="preserve">) και </w:t>
      </w:r>
      <w:r w:rsidR="00B340E4">
        <w:t>253,6</w:t>
      </w:r>
      <w:r w:rsidR="0089575E" w:rsidRPr="0047462D">
        <w:rPr>
          <w:lang w:val="en-US"/>
        </w:rPr>
        <w:t> </w:t>
      </w:r>
      <w:r w:rsidR="0089575E" w:rsidRPr="0047462D">
        <w:t>µg/g</w:t>
      </w:r>
      <w:r w:rsidRPr="0047462D">
        <w:t xml:space="preserve"> (</w:t>
      </w:r>
      <w:r w:rsidR="00B340E4">
        <w:t>128,3</w:t>
      </w:r>
      <w:r w:rsidRPr="0047462D">
        <w:t xml:space="preserve">), αντίστοιχα (μέση [SD] απόλυτη μεταβολή </w:t>
      </w:r>
      <w:r w:rsidR="00F40926" w:rsidRPr="0047462D">
        <w:t>228,4</w:t>
      </w:r>
      <w:r w:rsidR="00B340E4">
        <w:t>1</w:t>
      </w:r>
      <w:r w:rsidR="0089575E" w:rsidRPr="0047462D">
        <w:rPr>
          <w:lang w:val="en-US"/>
        </w:rPr>
        <w:t> </w:t>
      </w:r>
      <w:r w:rsidR="0089575E" w:rsidRPr="0047462D">
        <w:t>µg/g</w:t>
      </w:r>
      <w:r w:rsidRPr="0047462D">
        <w:t xml:space="preserve"> [</w:t>
      </w:r>
      <w:r w:rsidR="00B340E4">
        <w:t>128,3</w:t>
      </w:r>
      <w:r w:rsidRPr="0047462D">
        <w:t>]).</w:t>
      </w:r>
      <w:r w:rsidR="00F40926" w:rsidRPr="0047462D">
        <w:t xml:space="preserve"> Τα αποτελέσματα </w:t>
      </w:r>
      <w:r w:rsidR="00B62A8E" w:rsidRPr="0047462D">
        <w:t xml:space="preserve">συμφωνούσαν μεταξύ των κοορτών </w:t>
      </w:r>
      <w:r w:rsidR="00F40926" w:rsidRPr="0047462D">
        <w:t>ηλικιών 12 μηνών έως κάτω των 24 μηνών</w:t>
      </w:r>
      <w:r w:rsidR="00B340E4" w:rsidRPr="00F93ECE">
        <w:t>,</w:t>
      </w:r>
      <w:r w:rsidR="00F40926" w:rsidRPr="0047462D">
        <w:t xml:space="preserve"> 6 μηνών έως κάτω των 12 μηνών</w:t>
      </w:r>
      <w:r w:rsidR="00B340E4" w:rsidRPr="00F93ECE">
        <w:t xml:space="preserve">, </w:t>
      </w:r>
      <w:r w:rsidR="00B340E4">
        <w:t>και 4 μηνών έως κάτω των 6 μηνών</w:t>
      </w:r>
      <w:r w:rsidR="00F40926" w:rsidRPr="0047462D">
        <w:t>.</w:t>
      </w:r>
    </w:p>
    <w:p w14:paraId="1FEDD31E" w14:textId="77777777" w:rsidR="004D4E7B" w:rsidRPr="0047462D" w:rsidRDefault="004D4E7B" w:rsidP="001C01B6">
      <w:pPr>
        <w:tabs>
          <w:tab w:val="left" w:pos="567"/>
        </w:tabs>
        <w:suppressAutoHyphens w:val="0"/>
        <w:spacing w:line="260" w:lineRule="exact"/>
        <w:rPr>
          <w:szCs w:val="22"/>
          <w:u w:val="single"/>
        </w:rPr>
      </w:pPr>
    </w:p>
    <w:p w14:paraId="01C8F733" w14:textId="77777777" w:rsidR="001C01B6" w:rsidRPr="0047462D" w:rsidRDefault="001C01B6" w:rsidP="001C01B6">
      <w:pPr>
        <w:keepNext/>
        <w:rPr>
          <w:rFonts w:eastAsia="Times New Roman"/>
          <w:szCs w:val="22"/>
          <w:u w:val="single"/>
        </w:rPr>
      </w:pPr>
      <w:r w:rsidRPr="0047462D">
        <w:rPr>
          <w:rFonts w:eastAsia="Times New Roman"/>
          <w:szCs w:val="22"/>
          <w:u w:val="single"/>
        </w:rPr>
        <w:t>Παιδιατρικός πληθυσμός</w:t>
      </w:r>
    </w:p>
    <w:p w14:paraId="15C01614" w14:textId="77777777" w:rsidR="000E199F" w:rsidRPr="0047462D" w:rsidRDefault="000E199F" w:rsidP="001C01B6">
      <w:pPr>
        <w:keepNext/>
        <w:rPr>
          <w:szCs w:val="22"/>
        </w:rPr>
      </w:pPr>
    </w:p>
    <w:p w14:paraId="051BB9BD" w14:textId="11086F1E" w:rsidR="001C01B6" w:rsidRPr="0047462D" w:rsidRDefault="001C01B6" w:rsidP="001C01B6">
      <w:pPr>
        <w:rPr>
          <w:szCs w:val="22"/>
          <w:lang w:eastAsia="en-US"/>
        </w:rPr>
      </w:pPr>
      <w:r w:rsidRPr="0047462D">
        <w:rPr>
          <w:rFonts w:eastAsia="Times New Roman"/>
          <w:szCs w:val="22"/>
        </w:rPr>
        <w:t xml:space="preserve">Ο Ευρωπαϊκός Οργανισμός Φαρμάκων έχει δώσει αναβολή από την υποχρέωση υποβολής των αποτελεσμάτων των μελετών με το </w:t>
      </w:r>
      <w:r w:rsidR="00E62EDD" w:rsidRPr="0047462D">
        <w:t>Kalydeco</w:t>
      </w:r>
      <w:r w:rsidR="00E62EDD" w:rsidRPr="00F93ECE">
        <w:t xml:space="preserve"> </w:t>
      </w:r>
      <w:r w:rsidRPr="0047462D">
        <w:rPr>
          <w:rFonts w:eastAsia="Times New Roman"/>
          <w:szCs w:val="22"/>
        </w:rPr>
        <w:t xml:space="preserve">σε </w:t>
      </w:r>
      <w:r w:rsidRPr="0047462D">
        <w:rPr>
          <w:lang w:eastAsia="en-US"/>
        </w:rPr>
        <w:t>μία ή περισσότερες</w:t>
      </w:r>
      <w:r w:rsidRPr="0047462D">
        <w:rPr>
          <w:rFonts w:eastAsia="Times New Roman"/>
          <w:szCs w:val="22"/>
        </w:rPr>
        <w:t xml:space="preserve"> υποκατηγορίες του παιδιατρικού πληθυσμού στην κυστική ίνωση </w:t>
      </w:r>
      <w:r w:rsidR="00F7185D" w:rsidRPr="0047462D">
        <w:rPr>
          <w:rFonts w:eastAsia="Times New Roman"/>
          <w:szCs w:val="22"/>
        </w:rPr>
        <w:t xml:space="preserve">(βλέπε </w:t>
      </w:r>
      <w:r w:rsidRPr="0047462D">
        <w:rPr>
          <w:rFonts w:eastAsia="Times New Roman"/>
          <w:szCs w:val="22"/>
        </w:rPr>
        <w:t>παράγραφο 4.2 για πληροφορίες σχετικά με την παιδιατρική χρήση</w:t>
      </w:r>
      <w:r w:rsidR="00F7185D" w:rsidRPr="0047462D">
        <w:rPr>
          <w:rFonts w:eastAsia="Times New Roman"/>
          <w:szCs w:val="22"/>
        </w:rPr>
        <w:t>)</w:t>
      </w:r>
      <w:r w:rsidRPr="0047462D">
        <w:rPr>
          <w:rFonts w:eastAsia="Times New Roman"/>
          <w:szCs w:val="22"/>
        </w:rPr>
        <w:t>.</w:t>
      </w:r>
    </w:p>
    <w:p w14:paraId="13B1422F" w14:textId="77777777" w:rsidR="001C01B6" w:rsidRPr="0047462D" w:rsidRDefault="001C01B6" w:rsidP="001C01B6">
      <w:pPr>
        <w:ind w:right="-2"/>
        <w:rPr>
          <w:szCs w:val="22"/>
          <w:lang w:eastAsia="en-US"/>
        </w:rPr>
      </w:pPr>
    </w:p>
    <w:p w14:paraId="1244B33C" w14:textId="77777777" w:rsidR="001C01B6" w:rsidRPr="0047462D" w:rsidRDefault="001C01B6" w:rsidP="001C01B6">
      <w:pPr>
        <w:keepNext/>
        <w:ind w:left="567" w:hanging="567"/>
        <w:rPr>
          <w:b/>
          <w:bCs/>
          <w:szCs w:val="22"/>
          <w:lang w:eastAsia="en-US"/>
        </w:rPr>
      </w:pPr>
      <w:r w:rsidRPr="0047462D">
        <w:rPr>
          <w:rFonts w:eastAsia="Times New Roman"/>
          <w:b/>
          <w:bCs/>
          <w:szCs w:val="22"/>
          <w:lang w:eastAsia="en-US"/>
        </w:rPr>
        <w:t>5.2</w:t>
      </w:r>
      <w:r w:rsidRPr="0047462D">
        <w:rPr>
          <w:rFonts w:eastAsia="Times New Roman"/>
          <w:b/>
          <w:bCs/>
          <w:szCs w:val="22"/>
          <w:lang w:eastAsia="en-US"/>
        </w:rPr>
        <w:tab/>
      </w:r>
      <w:r w:rsidRPr="0047462D">
        <w:rPr>
          <w:rFonts w:eastAsia="Times New Roman"/>
          <w:b/>
          <w:bCs/>
          <w:szCs w:val="22"/>
        </w:rPr>
        <w:t>Φαρμακοκινητικές ιδιότητες</w:t>
      </w:r>
    </w:p>
    <w:p w14:paraId="709CB413" w14:textId="77777777" w:rsidR="001C01B6" w:rsidRPr="0047462D" w:rsidRDefault="001C01B6" w:rsidP="001C01B6">
      <w:pPr>
        <w:keepNext/>
        <w:rPr>
          <w:bCs/>
          <w:szCs w:val="22"/>
          <w:lang w:eastAsia="en-US"/>
        </w:rPr>
      </w:pPr>
    </w:p>
    <w:p w14:paraId="46B52E58" w14:textId="77777777" w:rsidR="001C01B6" w:rsidRPr="0047462D" w:rsidRDefault="001C01B6" w:rsidP="001C01B6">
      <w:pPr>
        <w:rPr>
          <w:rFonts w:eastAsia="Times New Roman"/>
          <w:szCs w:val="22"/>
        </w:rPr>
      </w:pPr>
      <w:r w:rsidRPr="0047462D">
        <w:rPr>
          <w:rFonts w:eastAsia="Times New Roman"/>
          <w:szCs w:val="22"/>
        </w:rPr>
        <w:t xml:space="preserve">Η φαρμακοκινητική του ivacaftor είναι παρόμοια μεταξύ υγιών ενηλίκων εθελοντών και ασθενών με ΚΙ. </w:t>
      </w:r>
    </w:p>
    <w:p w14:paraId="2FBFC01C" w14:textId="77777777" w:rsidR="001C01B6" w:rsidRPr="0047462D" w:rsidRDefault="001C01B6" w:rsidP="001C01B6">
      <w:pPr>
        <w:rPr>
          <w:rFonts w:eastAsia="Times New Roman"/>
          <w:szCs w:val="22"/>
        </w:rPr>
      </w:pPr>
    </w:p>
    <w:p w14:paraId="6A39B95A" w14:textId="6F2823E3" w:rsidR="001C01B6" w:rsidRPr="0047462D" w:rsidRDefault="001C01B6" w:rsidP="001C01B6">
      <w:pPr>
        <w:rPr>
          <w:szCs w:val="22"/>
          <w:lang w:eastAsia="en-US"/>
        </w:rPr>
      </w:pPr>
      <w:r w:rsidRPr="0047462D">
        <w:rPr>
          <w:rFonts w:eastAsia="Times New Roman"/>
          <w:szCs w:val="22"/>
        </w:rPr>
        <w:t>Μετά</w:t>
      </w:r>
      <w:r w:rsidR="00F60166" w:rsidRPr="0047462D">
        <w:rPr>
          <w:rFonts w:eastAsia="Times New Roman"/>
          <w:szCs w:val="22"/>
        </w:rPr>
        <w:t xml:space="preserve"> την</w:t>
      </w:r>
      <w:r w:rsidRPr="0047462D">
        <w:rPr>
          <w:rFonts w:eastAsia="Times New Roman"/>
          <w:szCs w:val="22"/>
        </w:rPr>
        <w:t xml:space="preserve"> από στόματος χορήγηση εφάπαξ δόσης των 150 mg σε υγιείς εθελοντές σε κατάσταση σίτισης, η μέση τιμή (±SD) για AUC και C</w:t>
      </w:r>
      <w:r w:rsidRPr="0047462D">
        <w:rPr>
          <w:rFonts w:eastAsia="Times New Roman"/>
          <w:szCs w:val="22"/>
          <w:vertAlign w:val="subscript"/>
        </w:rPr>
        <w:t>max</w:t>
      </w:r>
      <w:r w:rsidRPr="0047462D">
        <w:rPr>
          <w:rFonts w:eastAsia="Times New Roman"/>
          <w:szCs w:val="22"/>
        </w:rPr>
        <w:t xml:space="preserve"> ήταν 10600 (5260) ng*hr/</w:t>
      </w:r>
      <w:r w:rsidR="00966B5F" w:rsidRPr="0047462D">
        <w:rPr>
          <w:rFonts w:eastAsia="Times New Roman"/>
          <w:szCs w:val="22"/>
        </w:rPr>
        <w:t xml:space="preserve">ml </w:t>
      </w:r>
      <w:r w:rsidRPr="0047462D">
        <w:rPr>
          <w:rFonts w:eastAsia="Times New Roman"/>
          <w:szCs w:val="22"/>
        </w:rPr>
        <w:t>και 768 (233) ng/</w:t>
      </w:r>
      <w:r w:rsidR="00966B5F" w:rsidRPr="0047462D">
        <w:rPr>
          <w:rFonts w:eastAsia="Times New Roman"/>
          <w:szCs w:val="22"/>
        </w:rPr>
        <w:t>ml</w:t>
      </w:r>
      <w:r w:rsidRPr="0047462D">
        <w:rPr>
          <w:rFonts w:eastAsia="Times New Roman"/>
          <w:szCs w:val="22"/>
        </w:rPr>
        <w:t xml:space="preserve">, αντίστοιχα. Μετά από χορήγηση δόσης κάθε 12 ώρες, οι συγκεντρώσεις πλάσματος του ivacaftor σε σταθερή κατάσταση </w:t>
      </w:r>
      <w:r w:rsidR="00F60166" w:rsidRPr="0047462D">
        <w:rPr>
          <w:rFonts w:eastAsia="Times New Roman"/>
          <w:szCs w:val="22"/>
        </w:rPr>
        <w:t xml:space="preserve">επιτεύχθηκαν </w:t>
      </w:r>
      <w:r w:rsidRPr="0047462D">
        <w:rPr>
          <w:rFonts w:eastAsia="Times New Roman"/>
          <w:szCs w:val="22"/>
        </w:rPr>
        <w:t xml:space="preserve">στις </w:t>
      </w:r>
      <w:r w:rsidR="00254E8A" w:rsidRPr="0047462D">
        <w:rPr>
          <w:rFonts w:eastAsia="Times New Roman"/>
          <w:szCs w:val="22"/>
        </w:rPr>
        <w:t>η</w:t>
      </w:r>
      <w:r w:rsidR="00A025B8" w:rsidRPr="0047462D">
        <w:rPr>
          <w:rFonts w:eastAsia="Times New Roman"/>
          <w:szCs w:val="22"/>
        </w:rPr>
        <w:t>μέρες </w:t>
      </w:r>
      <w:r w:rsidRPr="0047462D">
        <w:rPr>
          <w:rFonts w:eastAsia="Times New Roman"/>
          <w:szCs w:val="22"/>
        </w:rPr>
        <w:t xml:space="preserve">3 έως 5, με λόγο συσσώρευσης που </w:t>
      </w:r>
      <w:r w:rsidR="00F60166" w:rsidRPr="0047462D">
        <w:rPr>
          <w:rFonts w:eastAsia="Times New Roman"/>
          <w:szCs w:val="22"/>
        </w:rPr>
        <w:t xml:space="preserve">κυμαινόταν </w:t>
      </w:r>
      <w:r w:rsidRPr="0047462D">
        <w:rPr>
          <w:rFonts w:eastAsia="Times New Roman"/>
          <w:szCs w:val="22"/>
        </w:rPr>
        <w:t>από 2,2 έως 2,9.</w:t>
      </w:r>
    </w:p>
    <w:p w14:paraId="4388A0F7" w14:textId="77777777" w:rsidR="001C01B6" w:rsidRPr="0047462D" w:rsidRDefault="001C01B6" w:rsidP="001C01B6">
      <w:pPr>
        <w:pStyle w:val="labeltextheading"/>
        <w:keepNext w:val="0"/>
        <w:suppressAutoHyphens w:val="0"/>
        <w:rPr>
          <w:szCs w:val="22"/>
          <w:lang w:val="el-GR"/>
        </w:rPr>
      </w:pPr>
    </w:p>
    <w:p w14:paraId="6B93F374" w14:textId="77777777" w:rsidR="001C01B6" w:rsidRPr="0047462D" w:rsidRDefault="001C01B6" w:rsidP="001C01B6">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Απορρόφηση</w:t>
      </w:r>
    </w:p>
    <w:p w14:paraId="25EF8D2C" w14:textId="77777777" w:rsidR="00254E8A" w:rsidRPr="0047462D" w:rsidRDefault="00254E8A" w:rsidP="001C01B6">
      <w:pPr>
        <w:pStyle w:val="labeltextheading"/>
        <w:rPr>
          <w:sz w:val="22"/>
          <w:szCs w:val="22"/>
          <w:lang w:val="el-GR"/>
        </w:rPr>
      </w:pPr>
    </w:p>
    <w:p w14:paraId="72079757" w14:textId="76CAC5BC"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Μετά από χορήγηση πολλαπλών από στόματος δόσεων του ivacaftor, η έκθεση σε ivacaftor γενικά αυξήθηκε με δόση από 25 mg κάθε 12 ώρες έως 450 mg κάθε 12 ώρες. </w:t>
      </w:r>
      <w:r w:rsidR="0003797A" w:rsidRPr="0047462D">
        <w:rPr>
          <w:rFonts w:eastAsia="Times New Roman"/>
          <w:sz w:val="22"/>
          <w:szCs w:val="22"/>
          <w:lang w:val="el-GR"/>
        </w:rPr>
        <w:t>Κατά τη χορήγηση με τροφή που περιείχε λίπος, η</w:t>
      </w:r>
      <w:r w:rsidRPr="0047462D">
        <w:rPr>
          <w:rFonts w:eastAsia="Times New Roman"/>
          <w:sz w:val="22"/>
          <w:szCs w:val="22"/>
          <w:lang w:val="el-GR"/>
        </w:rPr>
        <w:t xml:space="preserve"> έκθεση </w:t>
      </w:r>
      <w:r w:rsidR="0003797A" w:rsidRPr="0047462D">
        <w:rPr>
          <w:rFonts w:eastAsia="Times New Roman"/>
          <w:sz w:val="22"/>
          <w:szCs w:val="22"/>
          <w:lang w:val="el-GR"/>
        </w:rPr>
        <w:t xml:space="preserve">στο </w:t>
      </w:r>
      <w:r w:rsidRPr="0047462D">
        <w:rPr>
          <w:rFonts w:eastAsia="Times New Roman"/>
          <w:sz w:val="22"/>
          <w:szCs w:val="22"/>
          <w:lang w:val="el-GR"/>
        </w:rPr>
        <w:t>ivacaftor αυξήθηκε κατά περίπου 2,5 έως 4 φορές.</w:t>
      </w:r>
      <w:r w:rsidR="001B3411" w:rsidRPr="0047462D">
        <w:rPr>
          <w:rFonts w:eastAsia="Times New Roman"/>
          <w:sz w:val="22"/>
          <w:szCs w:val="22"/>
          <w:lang w:val="el-GR"/>
        </w:rPr>
        <w:t xml:space="preserve"> </w:t>
      </w:r>
      <w:r w:rsidR="0003797A" w:rsidRPr="0047462D">
        <w:rPr>
          <w:rFonts w:eastAsia="Times New Roman"/>
          <w:sz w:val="22"/>
          <w:szCs w:val="22"/>
          <w:lang w:val="el-GR"/>
        </w:rPr>
        <w:t xml:space="preserve">Συνεπώς, το </w:t>
      </w:r>
      <w:r w:rsidRPr="0047462D">
        <w:rPr>
          <w:rFonts w:eastAsia="Times New Roman"/>
          <w:sz w:val="22"/>
          <w:szCs w:val="22"/>
          <w:lang w:val="el-GR"/>
        </w:rPr>
        <w:t>ivacaftor θα πρέπει να χορηγείται μαζί με τροφή που περιέχει λίπος. Ο διάμεσος (εύρος) t</w:t>
      </w:r>
      <w:r w:rsidRPr="0047462D">
        <w:rPr>
          <w:rFonts w:eastAsia="Times New Roman"/>
          <w:sz w:val="22"/>
          <w:szCs w:val="22"/>
          <w:vertAlign w:val="subscript"/>
          <w:lang w:val="el-GR"/>
        </w:rPr>
        <w:t>max</w:t>
      </w:r>
      <w:r w:rsidRPr="0047462D">
        <w:rPr>
          <w:rFonts w:eastAsia="Times New Roman"/>
          <w:sz w:val="22"/>
          <w:szCs w:val="22"/>
          <w:lang w:val="el-GR"/>
        </w:rPr>
        <w:t xml:space="preserve"> είναι περίπου 4,0 (3,0, 6,0)</w:t>
      </w:r>
      <w:r w:rsidRPr="0047462D">
        <w:rPr>
          <w:rFonts w:eastAsia="Times New Roman"/>
          <w:sz w:val="22"/>
          <w:szCs w:val="22"/>
          <w:lang w:val="en-GB"/>
        </w:rPr>
        <w:t> </w:t>
      </w:r>
      <w:r w:rsidRPr="0047462D">
        <w:rPr>
          <w:rFonts w:eastAsia="Times New Roman"/>
          <w:sz w:val="22"/>
          <w:szCs w:val="22"/>
          <w:lang w:val="el-GR"/>
        </w:rPr>
        <w:t>ώρες στη κατάσταση σίτισης.</w:t>
      </w:r>
    </w:p>
    <w:p w14:paraId="2845D3F3" w14:textId="77777777" w:rsidR="001C01B6" w:rsidRPr="0047462D" w:rsidRDefault="001C01B6" w:rsidP="001C01B6">
      <w:pPr>
        <w:pStyle w:val="labeltext"/>
        <w:rPr>
          <w:rFonts w:eastAsia="Times New Roman"/>
          <w:sz w:val="22"/>
          <w:szCs w:val="22"/>
          <w:lang w:val="el-GR"/>
        </w:rPr>
      </w:pPr>
    </w:p>
    <w:p w14:paraId="19E0E81F" w14:textId="7B8EDD8B" w:rsidR="001C01B6" w:rsidRPr="0047462D" w:rsidRDefault="001C01B6" w:rsidP="001C01B6">
      <w:pPr>
        <w:pStyle w:val="labeltext"/>
        <w:rPr>
          <w:szCs w:val="22"/>
          <w:u w:val="single"/>
          <w:lang w:val="el-GR" w:eastAsia="en-US"/>
        </w:rPr>
      </w:pPr>
      <w:r w:rsidRPr="0047462D">
        <w:rPr>
          <w:rFonts w:eastAsia="Times New Roman"/>
          <w:sz w:val="22"/>
          <w:szCs w:val="22"/>
          <w:lang w:val="el-GR"/>
        </w:rPr>
        <w:t xml:space="preserve">Τα κοκκία ivacaftor (2 </w:t>
      </w:r>
      <w:r w:rsidRPr="0047462D">
        <w:rPr>
          <w:bCs/>
          <w:iCs/>
        </w:rPr>
        <w:t>x</w:t>
      </w:r>
      <w:r w:rsidRPr="0047462D">
        <w:rPr>
          <w:rFonts w:eastAsia="Times New Roman"/>
          <w:sz w:val="22"/>
          <w:szCs w:val="22"/>
          <w:lang w:val="el-GR"/>
        </w:rPr>
        <w:t xml:space="preserve"> 75</w:t>
      </w:r>
      <w:r w:rsidRPr="0047462D">
        <w:rPr>
          <w:rFonts w:eastAsia="Times New Roman"/>
          <w:sz w:val="22"/>
          <w:szCs w:val="22"/>
          <w:lang w:val="en-GB"/>
        </w:rPr>
        <w:t> </w:t>
      </w:r>
      <w:r w:rsidRPr="0047462D">
        <w:rPr>
          <w:rFonts w:eastAsia="Times New Roman"/>
          <w:sz w:val="22"/>
          <w:szCs w:val="22"/>
          <w:lang w:val="el-GR"/>
        </w:rPr>
        <w:t>mg φακελλίσκοι) είχαν παρόμοια βιοδιαθεσιμότητα όπως το δισκίο των 150</w:t>
      </w:r>
      <w:r w:rsidRPr="0047462D">
        <w:rPr>
          <w:rFonts w:eastAsia="Times New Roman"/>
          <w:sz w:val="22"/>
          <w:szCs w:val="22"/>
          <w:lang w:val="en-GB"/>
        </w:rPr>
        <w:t> </w:t>
      </w:r>
      <w:r w:rsidRPr="0047462D">
        <w:rPr>
          <w:rFonts w:eastAsia="Times New Roman"/>
          <w:sz w:val="22"/>
          <w:szCs w:val="22"/>
          <w:lang w:val="el-GR"/>
        </w:rPr>
        <w:t xml:space="preserve">mg όταν </w:t>
      </w:r>
      <w:r w:rsidR="00F60166" w:rsidRPr="0047462D">
        <w:rPr>
          <w:rFonts w:eastAsia="Times New Roman"/>
          <w:sz w:val="22"/>
          <w:szCs w:val="22"/>
          <w:lang w:val="el-GR"/>
        </w:rPr>
        <w:t xml:space="preserve">χορηγήθηκαν </w:t>
      </w:r>
      <w:r w:rsidRPr="0047462D">
        <w:rPr>
          <w:rFonts w:eastAsia="Times New Roman"/>
          <w:sz w:val="22"/>
          <w:szCs w:val="22"/>
          <w:lang w:val="el-GR"/>
        </w:rPr>
        <w:t xml:space="preserve">με τροφή που </w:t>
      </w:r>
      <w:r w:rsidR="00F60166" w:rsidRPr="0047462D">
        <w:rPr>
          <w:rFonts w:eastAsia="Times New Roman"/>
          <w:sz w:val="22"/>
          <w:szCs w:val="22"/>
          <w:lang w:val="el-GR"/>
        </w:rPr>
        <w:t xml:space="preserve">περιείχε </w:t>
      </w:r>
      <w:r w:rsidRPr="0047462D">
        <w:rPr>
          <w:rFonts w:eastAsia="Times New Roman"/>
          <w:sz w:val="22"/>
          <w:szCs w:val="22"/>
          <w:lang w:val="el-GR"/>
        </w:rPr>
        <w:t xml:space="preserve">λίπος σε υγιή ενήλικα άτομα. Η γεωμετρική μέση αναλογία των ελαχίστων τετραγώνων (90% CI) για τα κοκκία σε σχέση με τα δισκία ήταν 0,951 (0,839, 1,08) για την </w:t>
      </w:r>
      <w:r w:rsidRPr="0047462D">
        <w:rPr>
          <w:bCs/>
          <w:iCs/>
        </w:rPr>
        <w:t>AUC</w:t>
      </w:r>
      <w:r w:rsidRPr="0047462D">
        <w:rPr>
          <w:bCs/>
          <w:iCs/>
          <w:vertAlign w:val="subscript"/>
          <w:lang w:val="el-GR"/>
        </w:rPr>
        <w:t>0-∞</w:t>
      </w:r>
      <w:r w:rsidRPr="0047462D">
        <w:rPr>
          <w:rFonts w:eastAsia="Times New Roman"/>
          <w:sz w:val="22"/>
          <w:szCs w:val="22"/>
          <w:lang w:val="el-GR"/>
        </w:rPr>
        <w:t xml:space="preserve"> και 0,918 (0,750, 1,12) για τη </w:t>
      </w:r>
      <w:r w:rsidRPr="0047462D">
        <w:rPr>
          <w:bCs/>
          <w:iCs/>
        </w:rPr>
        <w:t>C</w:t>
      </w:r>
      <w:r w:rsidRPr="0047462D">
        <w:rPr>
          <w:bCs/>
          <w:iCs/>
          <w:vertAlign w:val="subscript"/>
        </w:rPr>
        <w:t>max</w:t>
      </w:r>
      <w:r w:rsidRPr="0047462D">
        <w:rPr>
          <w:rFonts w:eastAsia="Times New Roman"/>
          <w:sz w:val="22"/>
          <w:szCs w:val="22"/>
          <w:lang w:val="el-GR"/>
        </w:rPr>
        <w:t>. Η επίδραση της τροφής στην απορρόφηση του ivacaftor είναι παρόμοια για αμφότερες τις φαρμακοτεχνικές μορφές, δηλ. δισκία και κοκκία.</w:t>
      </w:r>
    </w:p>
    <w:p w14:paraId="6435B4BE" w14:textId="77777777" w:rsidR="001C01B6" w:rsidRPr="0047462D" w:rsidRDefault="001C01B6" w:rsidP="001C01B6">
      <w:pPr>
        <w:ind w:right="-2"/>
        <w:rPr>
          <w:szCs w:val="22"/>
          <w:u w:val="single"/>
          <w:lang w:eastAsia="en-US"/>
        </w:rPr>
      </w:pPr>
    </w:p>
    <w:p w14:paraId="7B63C1CC" w14:textId="77777777" w:rsidR="001C01B6" w:rsidRPr="0047462D" w:rsidRDefault="001C01B6" w:rsidP="001C01B6">
      <w:pPr>
        <w:keepNext/>
        <w:rPr>
          <w:rFonts w:eastAsia="Times New Roman"/>
          <w:szCs w:val="22"/>
          <w:u w:val="single"/>
        </w:rPr>
      </w:pPr>
      <w:r w:rsidRPr="0047462D">
        <w:rPr>
          <w:rFonts w:eastAsia="Times New Roman"/>
          <w:szCs w:val="22"/>
          <w:u w:val="single"/>
        </w:rPr>
        <w:t>Κατανομή</w:t>
      </w:r>
    </w:p>
    <w:p w14:paraId="3D0EBB13" w14:textId="77777777" w:rsidR="00254E8A" w:rsidRPr="0047462D" w:rsidRDefault="00254E8A" w:rsidP="001C01B6">
      <w:pPr>
        <w:keepNext/>
        <w:rPr>
          <w:szCs w:val="22"/>
          <w:u w:val="single"/>
          <w:lang w:eastAsia="en-US"/>
        </w:rPr>
      </w:pPr>
    </w:p>
    <w:p w14:paraId="452A5826" w14:textId="69A3FA81"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Το ivacaftor δεσμεύεται </w:t>
      </w:r>
      <w:r w:rsidR="00F60166" w:rsidRPr="0047462D">
        <w:rPr>
          <w:rFonts w:eastAsia="Times New Roman"/>
          <w:sz w:val="22"/>
          <w:szCs w:val="22"/>
          <w:lang w:val="el-GR"/>
        </w:rPr>
        <w:t xml:space="preserve">περίπου </w:t>
      </w:r>
      <w:r w:rsidRPr="0047462D">
        <w:rPr>
          <w:rFonts w:eastAsia="Times New Roman"/>
          <w:sz w:val="22"/>
          <w:szCs w:val="22"/>
          <w:lang w:val="el-GR"/>
        </w:rPr>
        <w:t>κατά 99% σε πρωτεΐνες πλάσματος, κυρίως στην άλφα 1-όξινη γλυκοπρωτεΐνη και την αλβουμίνη. Το ivacaftor δεν δεσμεύεται σε ανθρώπινα ερυθροκύτταρα του αίματος.</w:t>
      </w:r>
      <w:r w:rsidR="00182004" w:rsidRPr="00F93ECE">
        <w:rPr>
          <w:rFonts w:eastAsia="Times New Roman"/>
          <w:sz w:val="22"/>
          <w:szCs w:val="22"/>
          <w:lang w:val="el-GR"/>
        </w:rPr>
        <w:t xml:space="preserve"> </w:t>
      </w:r>
      <w:r w:rsidRPr="0047462D">
        <w:rPr>
          <w:rFonts w:eastAsia="Times New Roman"/>
          <w:sz w:val="22"/>
          <w:szCs w:val="22"/>
          <w:lang w:val="el-GR"/>
        </w:rPr>
        <w:t xml:space="preserve">Μετά </w:t>
      </w:r>
      <w:r w:rsidR="00F60166" w:rsidRPr="0047462D">
        <w:rPr>
          <w:rFonts w:eastAsia="Times New Roman"/>
          <w:sz w:val="22"/>
          <w:szCs w:val="22"/>
          <w:lang w:val="el-GR"/>
        </w:rPr>
        <w:t xml:space="preserve">την </w:t>
      </w:r>
      <w:r w:rsidRPr="0047462D">
        <w:rPr>
          <w:rFonts w:eastAsia="Times New Roman"/>
          <w:sz w:val="22"/>
          <w:szCs w:val="22"/>
          <w:lang w:val="el-GR"/>
        </w:rPr>
        <w:t xml:space="preserve">από στόματος χορήγηση </w:t>
      </w:r>
      <w:r w:rsidR="001B3411" w:rsidRPr="0047462D">
        <w:rPr>
          <w:sz w:val="22"/>
          <w:szCs w:val="22"/>
        </w:rPr>
        <w:t>ivacaftor</w:t>
      </w:r>
      <w:r w:rsidR="001B3411" w:rsidRPr="0047462D">
        <w:rPr>
          <w:sz w:val="22"/>
          <w:szCs w:val="22"/>
          <w:lang w:val="el-GR"/>
        </w:rPr>
        <w:t xml:space="preserve"> </w:t>
      </w:r>
      <w:r w:rsidRPr="0047462D">
        <w:rPr>
          <w:rFonts w:eastAsia="Times New Roman"/>
          <w:sz w:val="22"/>
          <w:szCs w:val="22"/>
          <w:lang w:val="el-GR"/>
        </w:rPr>
        <w:t>150 mg κάθε 12 ώρες για 7 ημέρες σε υγιείς εθελοντές σε κατάσταση σίτισης, ο μέσος (±SD) φαινόμενος όγκος κατανομής ήταν 353 </w:t>
      </w:r>
      <w:r w:rsidR="00182004" w:rsidRPr="0047462D">
        <w:rPr>
          <w:rFonts w:eastAsia="Times New Roman"/>
          <w:sz w:val="22"/>
          <w:szCs w:val="22"/>
        </w:rPr>
        <w:t>l</w:t>
      </w:r>
      <w:r w:rsidRPr="0047462D">
        <w:rPr>
          <w:rFonts w:eastAsia="Times New Roman"/>
          <w:sz w:val="22"/>
          <w:szCs w:val="22"/>
          <w:lang w:val="el-GR"/>
        </w:rPr>
        <w:t>(122).</w:t>
      </w:r>
    </w:p>
    <w:p w14:paraId="048473B0" w14:textId="77777777" w:rsidR="001C01B6" w:rsidRPr="0047462D" w:rsidRDefault="001C01B6" w:rsidP="001C01B6">
      <w:pPr>
        <w:pStyle w:val="labeltext"/>
        <w:rPr>
          <w:rFonts w:eastAsia="Times New Roman"/>
          <w:sz w:val="22"/>
          <w:szCs w:val="22"/>
          <w:u w:val="single"/>
          <w:lang w:val="el-GR"/>
        </w:rPr>
      </w:pPr>
    </w:p>
    <w:p w14:paraId="6856DE28" w14:textId="77777777" w:rsidR="001C01B6" w:rsidRPr="0047462D" w:rsidRDefault="001C01B6" w:rsidP="001C01B6">
      <w:pPr>
        <w:pStyle w:val="labeltext"/>
        <w:keepNext/>
        <w:rPr>
          <w:rFonts w:eastAsia="Times New Roman"/>
          <w:sz w:val="22"/>
          <w:szCs w:val="22"/>
          <w:u w:val="single"/>
          <w:lang w:val="el-GR"/>
        </w:rPr>
      </w:pPr>
      <w:r w:rsidRPr="0047462D">
        <w:rPr>
          <w:rFonts w:eastAsia="Times New Roman"/>
          <w:sz w:val="22"/>
          <w:szCs w:val="22"/>
          <w:u w:val="single"/>
          <w:lang w:val="el-GR"/>
        </w:rPr>
        <w:t>Βιομετασχηματισμός</w:t>
      </w:r>
    </w:p>
    <w:p w14:paraId="67959FB6" w14:textId="77777777" w:rsidR="00254E8A" w:rsidRPr="0047462D" w:rsidRDefault="00254E8A" w:rsidP="001C01B6">
      <w:pPr>
        <w:pStyle w:val="labeltext"/>
        <w:keepNext/>
        <w:rPr>
          <w:szCs w:val="22"/>
          <w:u w:val="single"/>
          <w:lang w:val="el-GR" w:eastAsia="en-US"/>
        </w:rPr>
      </w:pPr>
    </w:p>
    <w:p w14:paraId="721CFAA1" w14:textId="77777777" w:rsidR="001C01B6" w:rsidRPr="0047462D" w:rsidRDefault="001C01B6" w:rsidP="001C01B6">
      <w:pPr>
        <w:pStyle w:val="labeltext"/>
        <w:rPr>
          <w:szCs w:val="22"/>
          <w:u w:val="single"/>
          <w:lang w:val="el-GR" w:eastAsia="en-US"/>
        </w:rPr>
      </w:pPr>
      <w:r w:rsidRPr="0047462D">
        <w:rPr>
          <w:rFonts w:eastAsia="Times New Roman"/>
          <w:sz w:val="22"/>
          <w:szCs w:val="22"/>
          <w:lang w:val="el-GR"/>
        </w:rPr>
        <w:t xml:space="preserve">Το ivacaftor μεταβολίζεται εκτενώς στον άνθρωπο. </w:t>
      </w:r>
      <w:r w:rsidRPr="0047462D">
        <w:rPr>
          <w:rFonts w:eastAsia="Times New Roman"/>
          <w:i/>
          <w:iCs/>
          <w:sz w:val="22"/>
          <w:szCs w:val="22"/>
          <w:lang w:val="el-GR"/>
        </w:rPr>
        <w:t>In vitro</w:t>
      </w:r>
      <w:r w:rsidRPr="0047462D">
        <w:rPr>
          <w:rFonts w:eastAsia="Times New Roman"/>
          <w:sz w:val="22"/>
          <w:szCs w:val="22"/>
          <w:lang w:val="el-GR"/>
        </w:rPr>
        <w:t xml:space="preserve"> και </w:t>
      </w:r>
      <w:r w:rsidRPr="0047462D">
        <w:rPr>
          <w:rFonts w:eastAsia="Times New Roman"/>
          <w:i/>
          <w:iCs/>
          <w:sz w:val="22"/>
          <w:szCs w:val="22"/>
          <w:lang w:val="el-GR"/>
        </w:rPr>
        <w:t>in vivo</w:t>
      </w:r>
      <w:r w:rsidRPr="0047462D">
        <w:rPr>
          <w:rFonts w:eastAsia="Times New Roman"/>
          <w:sz w:val="22"/>
          <w:szCs w:val="22"/>
          <w:lang w:val="el-GR"/>
        </w:rPr>
        <w:t xml:space="preserve"> δεδομένα υποδεικνύουν ότι το ivacaftor μεταβολίζεται κυρίως από το CYP3A. Οι M1 και M6 είναι οι δύο κύριοι μεταβολίτες του ivacaftor στον άνθρωπο. Ο M1 έχει περίπου το ένα έκτο της ισχύος του ivacaftor και θεωρείται φαρμακολογικά ενεργός. Ο M6 έχει λιγότερο από το ένα πεντηκοστό της ισχύος του ivacaftor και δεν θεωρείται φαρμακολογικά ενεργός.</w:t>
      </w:r>
    </w:p>
    <w:p w14:paraId="5CC7F9CF" w14:textId="77777777" w:rsidR="001C01B6" w:rsidRPr="0081732C" w:rsidRDefault="001C01B6" w:rsidP="001C01B6">
      <w:pPr>
        <w:ind w:right="-2"/>
        <w:rPr>
          <w:szCs w:val="22"/>
          <w:u w:val="single"/>
          <w:lang w:eastAsia="en-US"/>
        </w:rPr>
      </w:pPr>
    </w:p>
    <w:p w14:paraId="65EC5718" w14:textId="52CE0EA3" w:rsidR="00182004" w:rsidRPr="00F93ECE" w:rsidRDefault="00182004" w:rsidP="00182004">
      <w:pPr>
        <w:pStyle w:val="labeltext"/>
        <w:rPr>
          <w:sz w:val="22"/>
          <w:szCs w:val="22"/>
          <w:lang w:val="el-GR"/>
        </w:rPr>
      </w:pPr>
      <w:r w:rsidRPr="00F93ECE">
        <w:rPr>
          <w:sz w:val="22"/>
          <w:szCs w:val="22"/>
          <w:lang w:val="el-GR"/>
        </w:rPr>
        <w:t xml:space="preserve">Η επίδραση του </w:t>
      </w:r>
      <w:r w:rsidR="00572599" w:rsidRPr="0081732C">
        <w:rPr>
          <w:sz w:val="22"/>
          <w:szCs w:val="22"/>
          <w:lang w:val="el-GR"/>
        </w:rPr>
        <w:t>ετερ</w:t>
      </w:r>
      <w:r w:rsidRPr="00F93ECE">
        <w:rPr>
          <w:sz w:val="22"/>
          <w:szCs w:val="22"/>
          <w:lang w:val="el-GR"/>
        </w:rPr>
        <w:t xml:space="preserve">όζυγου γονότυπου </w:t>
      </w:r>
      <w:r w:rsidRPr="00F93ECE">
        <w:rPr>
          <w:iCs/>
          <w:sz w:val="22"/>
          <w:szCs w:val="22"/>
          <w:lang w:val="el-GR"/>
        </w:rPr>
        <w:t>CYP3A4*22</w:t>
      </w:r>
      <w:r w:rsidRPr="00F93ECE">
        <w:rPr>
          <w:sz w:val="22"/>
          <w:szCs w:val="22"/>
          <w:lang w:val="el-GR"/>
        </w:rPr>
        <w:t xml:space="preserve"> στην έκθεση στο ivacaftor είναι συνεπής με την επίδραση συγχορήγησης ασθενούς αναστολέα του CYP3A4, γεγονός που δεν είναι κλινικά σημαντικό. Καμία προσαρμογή της δόσης του ivacaftor δεν θεωρείται απαραίτητη. Η επίδραση σε ασθενείς με ομόζυγο γονότυπο </w:t>
      </w:r>
      <w:r w:rsidRPr="00F93ECE">
        <w:rPr>
          <w:iCs/>
          <w:sz w:val="22"/>
          <w:szCs w:val="22"/>
          <w:lang w:val="el-GR"/>
        </w:rPr>
        <w:t>CYP3A4*22</w:t>
      </w:r>
      <w:r w:rsidRPr="00F93ECE">
        <w:rPr>
          <w:sz w:val="22"/>
          <w:szCs w:val="22"/>
          <w:lang w:val="el-GR"/>
        </w:rPr>
        <w:t xml:space="preserve"> αναμένεται να είναι ισχυρότερη. Ωστόσο δεν υπάρχουν διαθέσιμα δεδομένα για αυτούς τους ασθενείς.</w:t>
      </w:r>
    </w:p>
    <w:p w14:paraId="4034D233" w14:textId="77777777" w:rsidR="00AF2F17" w:rsidRPr="0081732C" w:rsidRDefault="00AF2F17" w:rsidP="001C01B6">
      <w:pPr>
        <w:ind w:right="-2"/>
        <w:rPr>
          <w:szCs w:val="22"/>
          <w:u w:val="single"/>
          <w:lang w:eastAsia="en-US"/>
        </w:rPr>
      </w:pPr>
    </w:p>
    <w:p w14:paraId="4570D840" w14:textId="77777777" w:rsidR="001C01B6" w:rsidRPr="0047462D" w:rsidRDefault="001C01B6" w:rsidP="001C01B6">
      <w:pPr>
        <w:keepNext/>
        <w:rPr>
          <w:rFonts w:eastAsia="Times New Roman"/>
          <w:szCs w:val="22"/>
          <w:u w:val="single"/>
        </w:rPr>
      </w:pPr>
      <w:r w:rsidRPr="0047462D">
        <w:rPr>
          <w:rFonts w:eastAsia="Times New Roman"/>
          <w:szCs w:val="22"/>
          <w:u w:val="single"/>
        </w:rPr>
        <w:t>Αποβολή</w:t>
      </w:r>
    </w:p>
    <w:p w14:paraId="1524F468" w14:textId="77777777" w:rsidR="00254E8A" w:rsidRPr="0047462D" w:rsidRDefault="00254E8A" w:rsidP="001C01B6">
      <w:pPr>
        <w:keepNext/>
        <w:rPr>
          <w:szCs w:val="22"/>
          <w:u w:val="single"/>
          <w:lang w:eastAsia="en-US"/>
        </w:rPr>
      </w:pPr>
    </w:p>
    <w:p w14:paraId="45C0F580" w14:textId="2A808EB5" w:rsidR="001C01B6" w:rsidRPr="0047462D" w:rsidRDefault="001C01B6" w:rsidP="001C01B6">
      <w:pPr>
        <w:pStyle w:val="labeltext"/>
        <w:rPr>
          <w:szCs w:val="22"/>
          <w:u w:val="single"/>
          <w:lang w:val="el-GR" w:eastAsia="en-US"/>
        </w:rPr>
      </w:pPr>
      <w:r w:rsidRPr="0047462D">
        <w:rPr>
          <w:rFonts w:eastAsia="Times New Roman"/>
          <w:sz w:val="22"/>
          <w:szCs w:val="22"/>
          <w:lang w:val="el-GR"/>
        </w:rPr>
        <w:t xml:space="preserve">Μετά </w:t>
      </w:r>
      <w:r w:rsidR="00F60166" w:rsidRPr="0047462D">
        <w:rPr>
          <w:rFonts w:eastAsia="Times New Roman"/>
          <w:sz w:val="22"/>
          <w:szCs w:val="22"/>
          <w:lang w:val="el-GR"/>
        </w:rPr>
        <w:t xml:space="preserve">την </w:t>
      </w:r>
      <w:r w:rsidRPr="0047462D">
        <w:rPr>
          <w:rFonts w:eastAsia="Times New Roman"/>
          <w:sz w:val="22"/>
          <w:szCs w:val="22"/>
          <w:lang w:val="el-GR"/>
        </w:rPr>
        <w:t>από στόματος χορήγηση</w:t>
      </w:r>
      <w:r w:rsidR="001B3411" w:rsidRPr="0047462D">
        <w:rPr>
          <w:rFonts w:eastAsia="Times New Roman"/>
          <w:sz w:val="22"/>
          <w:szCs w:val="22"/>
          <w:lang w:val="el-GR"/>
        </w:rPr>
        <w:t xml:space="preserve"> σε υγιείς εθελοντές</w:t>
      </w:r>
      <w:r w:rsidRPr="0047462D">
        <w:rPr>
          <w:rFonts w:eastAsia="Times New Roman"/>
          <w:sz w:val="22"/>
          <w:szCs w:val="22"/>
          <w:lang w:val="el-GR"/>
        </w:rPr>
        <w:t xml:space="preserve">, η πλειονότητα του ivacaftor (87,8%) αποβλήθηκε στα κόπρανα μετά από μεταβολική μετατροπή. Οι κύριοι μεταβολίτες M1 και M6 υπολογίστηκαν περίπου στο 65% της συνολικής δόσης που </w:t>
      </w:r>
      <w:r w:rsidR="00F60166" w:rsidRPr="0047462D">
        <w:rPr>
          <w:rFonts w:eastAsia="Times New Roman"/>
          <w:sz w:val="22"/>
          <w:szCs w:val="22"/>
          <w:lang w:val="el-GR"/>
        </w:rPr>
        <w:t xml:space="preserve">αποβλήθηκε </w:t>
      </w:r>
      <w:r w:rsidRPr="0047462D">
        <w:rPr>
          <w:rFonts w:eastAsia="Times New Roman"/>
          <w:sz w:val="22"/>
          <w:szCs w:val="22"/>
          <w:lang w:val="el-GR"/>
        </w:rPr>
        <w:t xml:space="preserve">με το 22% ως M1 και το 43% ως M6. Υπήρχε αμελητέα </w:t>
      </w:r>
      <w:r w:rsidR="00C7337C" w:rsidRPr="0047462D">
        <w:rPr>
          <w:rFonts w:eastAsia="Times New Roman"/>
          <w:sz w:val="22"/>
          <w:szCs w:val="22"/>
          <w:lang w:val="el-GR"/>
        </w:rPr>
        <w:t xml:space="preserve">απέκκριση </w:t>
      </w:r>
      <w:r w:rsidR="00F60166" w:rsidRPr="0047462D">
        <w:rPr>
          <w:rFonts w:eastAsia="Times New Roman"/>
          <w:sz w:val="22"/>
          <w:szCs w:val="22"/>
          <w:lang w:val="el-GR"/>
        </w:rPr>
        <w:t xml:space="preserve">του </w:t>
      </w:r>
      <w:r w:rsidR="00F60166" w:rsidRPr="0047462D">
        <w:rPr>
          <w:rFonts w:eastAsia="Times New Roman"/>
          <w:sz w:val="22"/>
          <w:szCs w:val="22"/>
        </w:rPr>
        <w:t>ivacaftor</w:t>
      </w:r>
      <w:r w:rsidR="00C7337C" w:rsidRPr="0047462D" w:rsidDel="00C7337C">
        <w:rPr>
          <w:rFonts w:eastAsia="Times New Roman"/>
          <w:sz w:val="22"/>
          <w:szCs w:val="22"/>
          <w:lang w:val="el-GR"/>
        </w:rPr>
        <w:t xml:space="preserve"> </w:t>
      </w:r>
      <w:r w:rsidRPr="0047462D">
        <w:rPr>
          <w:rFonts w:eastAsia="Times New Roman"/>
          <w:sz w:val="22"/>
          <w:szCs w:val="22"/>
          <w:lang w:val="el-GR"/>
        </w:rPr>
        <w:t>στα ούρα ως αμετάβλητη μητρική ουσία. Ο φαινόμενος τελικός χρόνος ημίσειας ζωής ήταν περίπου 12 ώρες μετά από εφάπαξ δόση στη κατάσταση σίτισης. Η φαινόμενη κάθαρση (CL/F) του ivacaftor ήταν παρόμοια για υγιή άτομα και για ασθενείς με ΚΙ. Η μέση (±SD) CL/F για μια εφάπαξ δόση των 150 mg ήταν 17,3 (8,4) </w:t>
      </w:r>
      <w:r w:rsidR="00C30385" w:rsidRPr="0047462D">
        <w:rPr>
          <w:rFonts w:eastAsia="Times New Roman"/>
          <w:sz w:val="22"/>
          <w:szCs w:val="22"/>
        </w:rPr>
        <w:t>l</w:t>
      </w:r>
      <w:r w:rsidRPr="0047462D">
        <w:rPr>
          <w:rFonts w:eastAsia="Times New Roman"/>
          <w:sz w:val="22"/>
          <w:szCs w:val="22"/>
          <w:lang w:val="el-GR"/>
        </w:rPr>
        <w:t>/hr σε υγιή άτομα.</w:t>
      </w:r>
    </w:p>
    <w:p w14:paraId="1697006D" w14:textId="77777777" w:rsidR="001C01B6" w:rsidRPr="0047462D" w:rsidRDefault="001C01B6" w:rsidP="001C01B6">
      <w:pPr>
        <w:pStyle w:val="labeltext"/>
        <w:suppressAutoHyphens w:val="0"/>
        <w:rPr>
          <w:szCs w:val="22"/>
          <w:lang w:val="el-GR" w:eastAsia="en-US"/>
        </w:rPr>
      </w:pPr>
    </w:p>
    <w:p w14:paraId="39F80FAB" w14:textId="77777777" w:rsidR="001C01B6" w:rsidRPr="0047462D" w:rsidRDefault="00F7185D" w:rsidP="001C01B6">
      <w:pPr>
        <w:keepNext/>
        <w:jc w:val="both"/>
        <w:rPr>
          <w:noProof/>
          <w:szCs w:val="22"/>
          <w:u w:val="single"/>
        </w:rPr>
      </w:pPr>
      <w:r w:rsidRPr="0047462D">
        <w:rPr>
          <w:noProof/>
          <w:szCs w:val="22"/>
          <w:u w:val="single"/>
        </w:rPr>
        <w:t>Γραμμικότητα/μη γραμμικότητα</w:t>
      </w:r>
    </w:p>
    <w:p w14:paraId="7C7DE431" w14:textId="77777777" w:rsidR="00254E8A" w:rsidRPr="0047462D" w:rsidRDefault="00254E8A" w:rsidP="001C01B6">
      <w:pPr>
        <w:keepNext/>
        <w:jc w:val="both"/>
        <w:rPr>
          <w:rFonts w:eastAsia="Times New Roman"/>
          <w:szCs w:val="22"/>
          <w:u w:val="single"/>
        </w:rPr>
      </w:pPr>
    </w:p>
    <w:p w14:paraId="04A81A2D" w14:textId="77777777" w:rsidR="001C01B6" w:rsidRPr="0047462D" w:rsidRDefault="001C01B6" w:rsidP="001C01B6">
      <w:pPr>
        <w:jc w:val="both"/>
        <w:rPr>
          <w:rFonts w:eastAsia="Times New Roman"/>
          <w:szCs w:val="22"/>
          <w:u w:val="single"/>
        </w:rPr>
      </w:pPr>
      <w:r w:rsidRPr="0047462D">
        <w:rPr>
          <w:rFonts w:eastAsia="Times New Roman"/>
          <w:iCs/>
          <w:szCs w:val="22"/>
          <w:lang w:eastAsia="en-US"/>
        </w:rPr>
        <w:t>Η φαρμακοκινητική του ivacaftor είναι γενικά γραμμική αναφορικά με το</w:t>
      </w:r>
      <w:r w:rsidR="00E93FC5" w:rsidRPr="0047462D">
        <w:rPr>
          <w:rFonts w:eastAsia="Times New Roman"/>
          <w:iCs/>
          <w:szCs w:val="22"/>
          <w:lang w:eastAsia="en-US"/>
        </w:rPr>
        <w:t>ν</w:t>
      </w:r>
      <w:r w:rsidRPr="0047462D">
        <w:rPr>
          <w:rFonts w:eastAsia="Times New Roman"/>
          <w:iCs/>
          <w:szCs w:val="22"/>
          <w:lang w:eastAsia="en-US"/>
        </w:rPr>
        <w:t xml:space="preserve"> χρόνο ή το εύρος της δόσης από 25 mg έως 250 mg.</w:t>
      </w:r>
    </w:p>
    <w:p w14:paraId="4000D2E4" w14:textId="77777777" w:rsidR="001C01B6" w:rsidRPr="0047462D" w:rsidRDefault="001C01B6" w:rsidP="001C01B6">
      <w:pPr>
        <w:jc w:val="both"/>
        <w:rPr>
          <w:rFonts w:eastAsia="Times New Roman"/>
          <w:szCs w:val="22"/>
          <w:u w:val="single"/>
        </w:rPr>
      </w:pPr>
    </w:p>
    <w:p w14:paraId="7AA7448C" w14:textId="77777777" w:rsidR="00254E8A" w:rsidRPr="0047462D" w:rsidRDefault="00254E8A" w:rsidP="00EB5A36">
      <w:pPr>
        <w:keepNext/>
        <w:jc w:val="both"/>
        <w:rPr>
          <w:rFonts w:eastAsia="Times New Roman"/>
          <w:szCs w:val="22"/>
          <w:u w:val="single"/>
        </w:rPr>
      </w:pPr>
      <w:r w:rsidRPr="0047462D">
        <w:rPr>
          <w:rFonts w:eastAsia="Times New Roman"/>
          <w:szCs w:val="22"/>
          <w:u w:val="single"/>
        </w:rPr>
        <w:t>Ειδικοί πληθυσμοί</w:t>
      </w:r>
    </w:p>
    <w:p w14:paraId="7DFDB940" w14:textId="77777777" w:rsidR="00254E8A" w:rsidRPr="0047462D" w:rsidRDefault="00254E8A" w:rsidP="00EB5A36">
      <w:pPr>
        <w:keepNext/>
        <w:jc w:val="both"/>
        <w:rPr>
          <w:rFonts w:eastAsia="Times New Roman"/>
          <w:szCs w:val="22"/>
        </w:rPr>
      </w:pPr>
    </w:p>
    <w:p w14:paraId="09B8B8F9" w14:textId="53D9CCC2" w:rsidR="001C01B6" w:rsidRPr="0047462D" w:rsidRDefault="001C01B6" w:rsidP="009E0463">
      <w:pPr>
        <w:pStyle w:val="labeltext"/>
        <w:keepNext/>
        <w:rPr>
          <w:rFonts w:eastAsia="Times New Roman"/>
          <w:i/>
          <w:iCs/>
          <w:sz w:val="22"/>
          <w:szCs w:val="22"/>
          <w:lang w:val="el-GR" w:eastAsia="en-US"/>
        </w:rPr>
      </w:pPr>
      <w:r w:rsidRPr="0047462D">
        <w:rPr>
          <w:rFonts w:eastAsia="Times New Roman"/>
          <w:i/>
          <w:iCs/>
          <w:sz w:val="22"/>
          <w:szCs w:val="22"/>
          <w:lang w:val="el-GR" w:eastAsia="en-US"/>
        </w:rPr>
        <w:t>Ηπατική δυσλειτουργία</w:t>
      </w:r>
    </w:p>
    <w:p w14:paraId="65910A43" w14:textId="77777777" w:rsidR="00A87FCD" w:rsidRPr="0047462D" w:rsidRDefault="00A87FCD" w:rsidP="009E0463">
      <w:pPr>
        <w:pStyle w:val="labeltext"/>
        <w:keepNext/>
        <w:rPr>
          <w:rFonts w:eastAsia="Times New Roman"/>
          <w:i/>
          <w:iCs/>
          <w:sz w:val="22"/>
          <w:szCs w:val="22"/>
          <w:lang w:val="el-GR"/>
        </w:rPr>
      </w:pPr>
    </w:p>
    <w:p w14:paraId="0E9CF184" w14:textId="51ABD026" w:rsidR="000F0E6D" w:rsidRPr="0047462D" w:rsidRDefault="001C01B6" w:rsidP="000F0E6D">
      <w:pPr>
        <w:pStyle w:val="labeltext"/>
        <w:rPr>
          <w:sz w:val="22"/>
          <w:szCs w:val="22"/>
          <w:lang w:val="el-GR"/>
        </w:rPr>
      </w:pPr>
      <w:r w:rsidRPr="0047462D">
        <w:rPr>
          <w:rFonts w:eastAsia="Times New Roman"/>
          <w:sz w:val="22"/>
          <w:szCs w:val="22"/>
          <w:lang w:val="el-GR"/>
        </w:rPr>
        <w:t xml:space="preserve">Μετά από εφάπαξ δόση των </w:t>
      </w:r>
      <w:r w:rsidRPr="0047462D">
        <w:rPr>
          <w:sz w:val="22"/>
          <w:szCs w:val="22"/>
          <w:lang w:val="el-GR"/>
        </w:rPr>
        <w:t>150</w:t>
      </w:r>
      <w:r w:rsidRPr="0047462D">
        <w:rPr>
          <w:sz w:val="22"/>
          <w:szCs w:val="22"/>
        </w:rPr>
        <w:t> mg</w:t>
      </w:r>
      <w:r w:rsidRPr="0047462D">
        <w:rPr>
          <w:rFonts w:eastAsia="Times New Roman"/>
          <w:sz w:val="22"/>
          <w:szCs w:val="22"/>
          <w:lang w:val="el-GR"/>
        </w:rPr>
        <w:t xml:space="preserve"> </w:t>
      </w:r>
      <w:r w:rsidRPr="0047462D">
        <w:rPr>
          <w:sz w:val="22"/>
          <w:szCs w:val="22"/>
        </w:rPr>
        <w:t>ivacaftor</w:t>
      </w:r>
      <w:r w:rsidRPr="0047462D">
        <w:rPr>
          <w:sz w:val="22"/>
          <w:szCs w:val="22"/>
          <w:lang w:val="el-GR"/>
        </w:rPr>
        <w:t>, οι</w:t>
      </w:r>
      <w:r w:rsidRPr="0047462D">
        <w:rPr>
          <w:rFonts w:eastAsia="Times New Roman"/>
          <w:sz w:val="22"/>
          <w:szCs w:val="22"/>
          <w:lang w:val="el-GR"/>
        </w:rPr>
        <w:t xml:space="preserve"> ενήλικες ασθενείς με μέτρια </w:t>
      </w:r>
      <w:r w:rsidR="00966B5F" w:rsidRPr="0047462D">
        <w:rPr>
          <w:rFonts w:eastAsia="Times New Roman"/>
          <w:sz w:val="22"/>
          <w:szCs w:val="22"/>
          <w:lang w:val="el-GR"/>
        </w:rPr>
        <w:t xml:space="preserve">ηπατική </w:t>
      </w:r>
      <w:r w:rsidRPr="0047462D">
        <w:rPr>
          <w:rFonts w:eastAsia="Times New Roman"/>
          <w:sz w:val="22"/>
          <w:szCs w:val="22"/>
          <w:lang w:val="el-GR"/>
        </w:rPr>
        <w:t>δυσλειτουργία (Τάξη Β κατά Child-Pugh, βαθμός</w:t>
      </w:r>
      <w:r w:rsidRPr="0047462D">
        <w:rPr>
          <w:rFonts w:eastAsia="Times New Roman"/>
          <w:sz w:val="22"/>
          <w:szCs w:val="22"/>
          <w:lang w:val="en-GB"/>
        </w:rPr>
        <w:t> </w:t>
      </w:r>
      <w:r w:rsidRPr="0047462D">
        <w:rPr>
          <w:rFonts w:eastAsia="Times New Roman"/>
          <w:sz w:val="22"/>
          <w:szCs w:val="22"/>
          <w:lang w:val="el-GR"/>
        </w:rPr>
        <w:t>7 έως</w:t>
      </w:r>
      <w:r w:rsidRPr="0047462D">
        <w:rPr>
          <w:rFonts w:eastAsia="Times New Roman"/>
          <w:sz w:val="22"/>
          <w:szCs w:val="22"/>
          <w:lang w:val="en-GB"/>
        </w:rPr>
        <w:t> </w:t>
      </w:r>
      <w:r w:rsidRPr="0047462D">
        <w:rPr>
          <w:rFonts w:eastAsia="Times New Roman"/>
          <w:sz w:val="22"/>
          <w:szCs w:val="22"/>
          <w:lang w:val="el-GR"/>
        </w:rPr>
        <w:t>9) είχαν παρόμοια C</w:t>
      </w:r>
      <w:r w:rsidRPr="0047462D">
        <w:rPr>
          <w:rFonts w:eastAsia="Times New Roman"/>
          <w:sz w:val="22"/>
          <w:szCs w:val="22"/>
          <w:vertAlign w:val="subscript"/>
          <w:lang w:val="el-GR"/>
        </w:rPr>
        <w:t>max</w:t>
      </w:r>
      <w:r w:rsidRPr="0047462D">
        <w:rPr>
          <w:rFonts w:eastAsia="Times New Roman"/>
          <w:sz w:val="22"/>
          <w:szCs w:val="22"/>
          <w:lang w:val="el-GR"/>
        </w:rPr>
        <w:t xml:space="preserve"> του ivacaftor (μέση τιμή </w:t>
      </w:r>
      <w:r w:rsidRPr="0047462D">
        <w:rPr>
          <w:sz w:val="22"/>
          <w:szCs w:val="22"/>
          <w:lang w:val="el-GR"/>
        </w:rPr>
        <w:t>[±</w:t>
      </w:r>
      <w:r w:rsidRPr="0047462D">
        <w:rPr>
          <w:sz w:val="22"/>
          <w:szCs w:val="22"/>
        </w:rPr>
        <w:t>SD</w:t>
      </w:r>
      <w:r w:rsidRPr="0047462D">
        <w:rPr>
          <w:sz w:val="22"/>
          <w:szCs w:val="22"/>
          <w:lang w:val="el-GR"/>
        </w:rPr>
        <w:t>] της τάξης των 735 [331]</w:t>
      </w:r>
      <w:r w:rsidRPr="0047462D">
        <w:rPr>
          <w:sz w:val="22"/>
          <w:szCs w:val="22"/>
          <w:lang w:val="en-GB"/>
        </w:rPr>
        <w:t> </w:t>
      </w:r>
      <w:r w:rsidRPr="0047462D">
        <w:rPr>
          <w:sz w:val="22"/>
          <w:szCs w:val="22"/>
        </w:rPr>
        <w:t>ng</w:t>
      </w:r>
      <w:r w:rsidRPr="0047462D">
        <w:rPr>
          <w:sz w:val="22"/>
          <w:szCs w:val="22"/>
          <w:lang w:val="el-GR"/>
        </w:rPr>
        <w:t>/</w:t>
      </w:r>
      <w:r w:rsidR="00966B5F" w:rsidRPr="0047462D">
        <w:rPr>
          <w:sz w:val="22"/>
          <w:szCs w:val="22"/>
        </w:rPr>
        <w:t>ml</w:t>
      </w:r>
      <w:r w:rsidRPr="0047462D">
        <w:rPr>
          <w:sz w:val="22"/>
          <w:szCs w:val="22"/>
          <w:lang w:val="el-GR"/>
        </w:rPr>
        <w:t xml:space="preserve">) </w:t>
      </w:r>
      <w:r w:rsidRPr="0047462D">
        <w:rPr>
          <w:rFonts w:eastAsia="Times New Roman"/>
          <w:sz w:val="22"/>
          <w:szCs w:val="22"/>
          <w:lang w:val="el-GR"/>
        </w:rPr>
        <w:t>αλλά περίπου δύο φορές αύξηση στην AUC</w:t>
      </w:r>
      <w:r w:rsidRPr="0047462D">
        <w:rPr>
          <w:rFonts w:eastAsia="Times New Roman"/>
          <w:sz w:val="22"/>
          <w:szCs w:val="22"/>
          <w:vertAlign w:val="subscript"/>
          <w:lang w:val="el-GR"/>
        </w:rPr>
        <w:t>0-∞</w:t>
      </w:r>
      <w:r w:rsidRPr="0047462D">
        <w:rPr>
          <w:rFonts w:eastAsia="Times New Roman"/>
          <w:sz w:val="22"/>
          <w:szCs w:val="22"/>
          <w:lang w:val="el-GR"/>
        </w:rPr>
        <w:t xml:space="preserve"> του ivacaftor </w:t>
      </w:r>
      <w:r w:rsidRPr="0047462D">
        <w:rPr>
          <w:sz w:val="22"/>
          <w:szCs w:val="22"/>
          <w:lang w:val="el-GR"/>
        </w:rPr>
        <w:t>(μέση τιμή [±</w:t>
      </w:r>
      <w:r w:rsidRPr="0047462D">
        <w:rPr>
          <w:sz w:val="22"/>
          <w:szCs w:val="22"/>
        </w:rPr>
        <w:t>SD</w:t>
      </w:r>
      <w:r w:rsidRPr="0047462D">
        <w:rPr>
          <w:sz w:val="22"/>
          <w:szCs w:val="22"/>
          <w:lang w:val="el-GR"/>
        </w:rPr>
        <w:t>] της τάξης των 16800 [6140]</w:t>
      </w:r>
      <w:r w:rsidRPr="0047462D">
        <w:rPr>
          <w:sz w:val="22"/>
          <w:szCs w:val="22"/>
          <w:lang w:val="en-GB"/>
        </w:rPr>
        <w:t> </w:t>
      </w:r>
      <w:r w:rsidRPr="0047462D">
        <w:rPr>
          <w:sz w:val="22"/>
          <w:szCs w:val="22"/>
        </w:rPr>
        <w:t>ng</w:t>
      </w:r>
      <w:r w:rsidRPr="0047462D">
        <w:rPr>
          <w:sz w:val="22"/>
          <w:szCs w:val="22"/>
          <w:lang w:val="el-GR"/>
        </w:rPr>
        <w:t>*</w:t>
      </w:r>
      <w:r w:rsidRPr="0047462D">
        <w:rPr>
          <w:sz w:val="22"/>
          <w:szCs w:val="22"/>
        </w:rPr>
        <w:t>hr</w:t>
      </w:r>
      <w:r w:rsidRPr="0047462D">
        <w:rPr>
          <w:sz w:val="22"/>
          <w:szCs w:val="22"/>
          <w:lang w:val="el-GR"/>
        </w:rPr>
        <w:t>/</w:t>
      </w:r>
      <w:r w:rsidR="00966B5F" w:rsidRPr="0047462D">
        <w:rPr>
          <w:sz w:val="22"/>
          <w:szCs w:val="22"/>
        </w:rPr>
        <w:t>ml</w:t>
      </w:r>
      <w:r w:rsidRPr="0047462D">
        <w:rPr>
          <w:sz w:val="22"/>
          <w:szCs w:val="22"/>
          <w:lang w:val="el-GR"/>
        </w:rPr>
        <w:t xml:space="preserve">) </w:t>
      </w:r>
      <w:r w:rsidRPr="0047462D">
        <w:rPr>
          <w:rFonts w:eastAsia="Times New Roman"/>
          <w:sz w:val="22"/>
          <w:szCs w:val="22"/>
          <w:lang w:val="el-GR"/>
        </w:rPr>
        <w:t xml:space="preserve">σε σύγκριση με υγιή άτομα με </w:t>
      </w:r>
      <w:r w:rsidR="00992CCF" w:rsidRPr="0047462D">
        <w:rPr>
          <w:rFonts w:eastAsia="Times New Roman"/>
          <w:sz w:val="22"/>
          <w:szCs w:val="22"/>
          <w:lang w:val="el-GR"/>
        </w:rPr>
        <w:t xml:space="preserve">αντίστοιχα </w:t>
      </w:r>
      <w:r w:rsidRPr="0047462D">
        <w:rPr>
          <w:rFonts w:eastAsia="Times New Roman"/>
          <w:sz w:val="22"/>
          <w:szCs w:val="22"/>
          <w:lang w:val="el-GR"/>
        </w:rPr>
        <w:t xml:space="preserve">δημογραφικά στοιχεία. </w:t>
      </w:r>
      <w:r w:rsidRPr="0047462D">
        <w:rPr>
          <w:bCs/>
          <w:sz w:val="22"/>
          <w:szCs w:val="22"/>
          <w:lang w:val="el-GR"/>
        </w:rPr>
        <w:t xml:space="preserve">Προσομοιώσεις για την πρόβλεψη της έκθεσης </w:t>
      </w:r>
      <w:r w:rsidR="00E70D5A" w:rsidRPr="0047462D">
        <w:rPr>
          <w:bCs/>
          <w:sz w:val="22"/>
          <w:szCs w:val="22"/>
          <w:lang w:val="el-GR"/>
        </w:rPr>
        <w:t>στο</w:t>
      </w:r>
      <w:r w:rsidR="00992CCF" w:rsidRPr="0047462D">
        <w:rPr>
          <w:bCs/>
          <w:sz w:val="22"/>
          <w:szCs w:val="22"/>
          <w:lang w:val="el-GR"/>
        </w:rPr>
        <w:t xml:space="preserve"> </w:t>
      </w:r>
      <w:r w:rsidR="00992CCF" w:rsidRPr="0047462D">
        <w:rPr>
          <w:bCs/>
          <w:sz w:val="22"/>
          <w:szCs w:val="22"/>
        </w:rPr>
        <w:t>ivacaftor</w:t>
      </w:r>
      <w:r w:rsidR="00992CCF" w:rsidRPr="0047462D">
        <w:rPr>
          <w:bCs/>
          <w:sz w:val="22"/>
          <w:szCs w:val="22"/>
          <w:lang w:val="el-GR"/>
        </w:rPr>
        <w:t xml:space="preserve"> </w:t>
      </w:r>
      <w:r w:rsidRPr="0047462D">
        <w:rPr>
          <w:bCs/>
          <w:sz w:val="22"/>
          <w:szCs w:val="22"/>
          <w:lang w:val="el-GR"/>
        </w:rPr>
        <w:t>σε σταθερή κατάσταση έδειξε ότι μειώνοντας τη δοσολογία από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κάθε 12</w:t>
      </w:r>
      <w:r w:rsidRPr="0047462D">
        <w:rPr>
          <w:rFonts w:eastAsia="Times New Roman"/>
          <w:sz w:val="22"/>
          <w:szCs w:val="22"/>
          <w:lang w:val="en-GB"/>
        </w:rPr>
        <w:t> </w:t>
      </w:r>
      <w:r w:rsidRPr="0047462D">
        <w:rPr>
          <w:bCs/>
          <w:sz w:val="22"/>
          <w:szCs w:val="22"/>
          <w:lang w:val="el-GR"/>
        </w:rPr>
        <w:t>ώρες σε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άπαξ ημερησίως, ενήλικες με μέτρια ηπατική δυσλειτουργία θα </w:t>
      </w:r>
      <w:r w:rsidR="00992CCF" w:rsidRPr="0047462D">
        <w:rPr>
          <w:bCs/>
          <w:sz w:val="22"/>
          <w:szCs w:val="22"/>
          <w:lang w:val="el-GR"/>
        </w:rPr>
        <w:t xml:space="preserve">είχαν </w:t>
      </w:r>
      <w:r w:rsidRPr="0047462D">
        <w:rPr>
          <w:bCs/>
          <w:sz w:val="22"/>
          <w:szCs w:val="22"/>
          <w:lang w:val="el-GR"/>
        </w:rPr>
        <w:t xml:space="preserve">συγκρίσιμες τιμές </w:t>
      </w:r>
      <w:r w:rsidRPr="0047462D">
        <w:rPr>
          <w:sz w:val="22"/>
          <w:szCs w:val="22"/>
        </w:rPr>
        <w:t>C</w:t>
      </w:r>
      <w:r w:rsidRPr="0047462D">
        <w:rPr>
          <w:sz w:val="22"/>
          <w:szCs w:val="22"/>
          <w:vertAlign w:val="subscript"/>
        </w:rPr>
        <w:t>min</w:t>
      </w:r>
      <w:r w:rsidRPr="0047462D">
        <w:rPr>
          <w:bCs/>
          <w:sz w:val="22"/>
          <w:szCs w:val="22"/>
          <w:lang w:val="el-GR"/>
        </w:rPr>
        <w:t xml:space="preserve"> σε σταθερή κατάσταση όπως εκείνες που λαμβάνονται με δόση των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κάθε 12</w:t>
      </w:r>
      <w:r w:rsidRPr="0047462D">
        <w:rPr>
          <w:rFonts w:eastAsia="Times New Roman"/>
          <w:sz w:val="22"/>
          <w:szCs w:val="22"/>
          <w:lang w:val="en-GB"/>
        </w:rPr>
        <w:t> </w:t>
      </w:r>
      <w:r w:rsidRPr="0047462D">
        <w:rPr>
          <w:bCs/>
          <w:sz w:val="22"/>
          <w:szCs w:val="22"/>
          <w:lang w:val="el-GR"/>
        </w:rPr>
        <w:t>ώρες σε ενήλικες χωρίς ηπατική δυσλειτουργία.</w:t>
      </w:r>
      <w:r w:rsidR="00E62EDD" w:rsidRPr="00F93ECE">
        <w:rPr>
          <w:bCs/>
          <w:sz w:val="22"/>
          <w:szCs w:val="22"/>
          <w:lang w:val="el-GR"/>
        </w:rPr>
        <w:t xml:space="preserve"> </w:t>
      </w:r>
      <w:r w:rsidR="00E62EDD" w:rsidRPr="0047462D">
        <w:rPr>
          <w:bCs/>
          <w:sz w:val="22"/>
          <w:szCs w:val="22"/>
          <w:lang w:val="el-GR"/>
        </w:rPr>
        <w:t xml:space="preserve">Με βάση αυτά τα αποτελέσματα, συνιστάται ένα τροποποιημένο σχήμα με </w:t>
      </w:r>
      <w:r w:rsidR="00E62EDD" w:rsidRPr="0047462D">
        <w:rPr>
          <w:bCs/>
          <w:sz w:val="22"/>
          <w:szCs w:val="22"/>
        </w:rPr>
        <w:t>Kalydeco</w:t>
      </w:r>
      <w:r w:rsidR="00E62EDD" w:rsidRPr="00F93ECE">
        <w:rPr>
          <w:bCs/>
          <w:sz w:val="22"/>
          <w:szCs w:val="22"/>
          <w:lang w:val="el-GR"/>
        </w:rPr>
        <w:t xml:space="preserve"> </w:t>
      </w:r>
      <w:r w:rsidR="002B7F06">
        <w:rPr>
          <w:bCs/>
          <w:sz w:val="22"/>
          <w:szCs w:val="22"/>
          <w:lang w:val="el-GR"/>
        </w:rPr>
        <w:t xml:space="preserve">ως </w:t>
      </w:r>
      <w:r w:rsidR="002B7F06" w:rsidRPr="0047462D">
        <w:rPr>
          <w:bCs/>
          <w:sz w:val="22"/>
          <w:szCs w:val="22"/>
          <w:lang w:val="el-GR"/>
        </w:rPr>
        <w:t xml:space="preserve">μονοθεραπεία </w:t>
      </w:r>
      <w:r w:rsidR="00E62EDD" w:rsidRPr="0047462D">
        <w:rPr>
          <w:bCs/>
          <w:sz w:val="22"/>
          <w:szCs w:val="22"/>
          <w:lang w:val="el-GR"/>
        </w:rPr>
        <w:t>για ασθενείς με μέτρια ηπατική δυσλειτουργία</w:t>
      </w:r>
      <w:r w:rsidR="00E62EDD" w:rsidRPr="00F93ECE">
        <w:rPr>
          <w:bCs/>
          <w:sz w:val="22"/>
          <w:szCs w:val="22"/>
          <w:lang w:val="el-GR"/>
        </w:rPr>
        <w:t xml:space="preserve"> (</w:t>
      </w:r>
      <w:r w:rsidR="00E62EDD" w:rsidRPr="0047462D">
        <w:rPr>
          <w:bCs/>
          <w:sz w:val="22"/>
          <w:szCs w:val="22"/>
          <w:lang w:val="el-GR"/>
        </w:rPr>
        <w:t>βλ. παράγραφο </w:t>
      </w:r>
      <w:r w:rsidR="00E62EDD" w:rsidRPr="00F93ECE">
        <w:rPr>
          <w:bCs/>
          <w:sz w:val="22"/>
          <w:szCs w:val="22"/>
          <w:lang w:val="el-GR"/>
        </w:rPr>
        <w:t>4.2).</w:t>
      </w:r>
    </w:p>
    <w:p w14:paraId="35EA0C40" w14:textId="77777777" w:rsidR="001C01B6" w:rsidRPr="0047462D" w:rsidRDefault="001C01B6" w:rsidP="001C01B6">
      <w:pPr>
        <w:pStyle w:val="labeltext"/>
        <w:rPr>
          <w:rFonts w:eastAsia="Times New Roman"/>
          <w:sz w:val="22"/>
          <w:szCs w:val="22"/>
          <w:lang w:val="el-GR"/>
        </w:rPr>
      </w:pPr>
    </w:p>
    <w:p w14:paraId="6EE4CF09" w14:textId="362E2DCC" w:rsidR="001C01B6" w:rsidRPr="0047462D" w:rsidRDefault="000F0E6D" w:rsidP="001C01B6">
      <w:pPr>
        <w:pStyle w:val="labeltext"/>
        <w:rPr>
          <w:rFonts w:eastAsia="Times New Roman"/>
          <w:sz w:val="22"/>
          <w:szCs w:val="22"/>
          <w:lang w:val="el-GR"/>
        </w:rPr>
      </w:pPr>
      <w:r w:rsidRPr="0047462D">
        <w:rPr>
          <w:sz w:val="22"/>
          <w:szCs w:val="22"/>
          <w:lang w:val="el-GR"/>
        </w:rPr>
        <w:t xml:space="preserve">Η επίδραση της </w:t>
      </w:r>
      <w:r w:rsidR="00162128" w:rsidRPr="0047462D">
        <w:rPr>
          <w:rFonts w:eastAsia="Times New Roman"/>
          <w:sz w:val="22"/>
          <w:szCs w:val="22"/>
          <w:lang w:val="el-GR"/>
        </w:rPr>
        <w:t xml:space="preserve">σοβαρής </w:t>
      </w:r>
      <w:r w:rsidR="001C01B6" w:rsidRPr="0047462D">
        <w:rPr>
          <w:rFonts w:eastAsia="Times New Roman"/>
          <w:sz w:val="22"/>
          <w:szCs w:val="22"/>
          <w:lang w:val="el-GR"/>
        </w:rPr>
        <w:t>ηπατική</w:t>
      </w:r>
      <w:r w:rsidRPr="0047462D">
        <w:rPr>
          <w:rFonts w:eastAsia="Times New Roman"/>
          <w:sz w:val="22"/>
          <w:szCs w:val="22"/>
          <w:lang w:val="el-GR"/>
        </w:rPr>
        <w:t>ς</w:t>
      </w:r>
      <w:r w:rsidR="001C01B6" w:rsidRPr="0047462D">
        <w:rPr>
          <w:rFonts w:eastAsia="Times New Roman"/>
          <w:sz w:val="22"/>
          <w:szCs w:val="22"/>
          <w:lang w:val="el-GR"/>
        </w:rPr>
        <w:t xml:space="preserve"> δυσλειτουργία</w:t>
      </w:r>
      <w:r w:rsidRPr="0047462D">
        <w:rPr>
          <w:rFonts w:eastAsia="Times New Roman"/>
          <w:sz w:val="22"/>
          <w:szCs w:val="22"/>
          <w:lang w:val="el-GR"/>
        </w:rPr>
        <w:t>ς</w:t>
      </w:r>
      <w:r w:rsidR="001C01B6" w:rsidRPr="0047462D">
        <w:rPr>
          <w:rFonts w:eastAsia="Times New Roman"/>
          <w:sz w:val="22"/>
          <w:szCs w:val="22"/>
          <w:lang w:val="el-GR"/>
        </w:rPr>
        <w:t xml:space="preserve"> (Τάξη Γ κατά Child-Pugh, βαθμός</w:t>
      </w:r>
      <w:r w:rsidR="001C01B6" w:rsidRPr="0047462D">
        <w:rPr>
          <w:rFonts w:eastAsia="Times New Roman"/>
          <w:sz w:val="22"/>
          <w:szCs w:val="22"/>
          <w:lang w:val="en-GB"/>
        </w:rPr>
        <w:t> </w:t>
      </w:r>
      <w:r w:rsidR="001C01B6" w:rsidRPr="0047462D">
        <w:rPr>
          <w:rFonts w:eastAsia="Times New Roman"/>
          <w:sz w:val="22"/>
          <w:szCs w:val="22"/>
          <w:lang w:val="el-GR"/>
        </w:rPr>
        <w:t>10 έως</w:t>
      </w:r>
      <w:r w:rsidR="001C01B6" w:rsidRPr="0047462D">
        <w:rPr>
          <w:rFonts w:eastAsia="Times New Roman"/>
          <w:sz w:val="22"/>
          <w:szCs w:val="22"/>
          <w:lang w:val="en-GB"/>
        </w:rPr>
        <w:t> </w:t>
      </w:r>
      <w:r w:rsidR="001C01B6" w:rsidRPr="0047462D">
        <w:rPr>
          <w:rFonts w:eastAsia="Times New Roman"/>
          <w:sz w:val="22"/>
          <w:szCs w:val="22"/>
          <w:lang w:val="el-GR"/>
        </w:rPr>
        <w:t xml:space="preserve">15) </w:t>
      </w:r>
      <w:r w:rsidRPr="0047462D">
        <w:rPr>
          <w:sz w:val="22"/>
          <w:szCs w:val="22"/>
          <w:lang w:val="el-GR"/>
        </w:rPr>
        <w:t xml:space="preserve">στη φαρμακοκινητική του </w:t>
      </w:r>
      <w:r w:rsidRPr="0047462D">
        <w:rPr>
          <w:sz w:val="22"/>
          <w:szCs w:val="22"/>
        </w:rPr>
        <w:t>ivacaftor</w:t>
      </w:r>
      <w:r w:rsidRPr="0047462D">
        <w:rPr>
          <w:sz w:val="22"/>
          <w:szCs w:val="22"/>
          <w:lang w:val="el-GR"/>
        </w:rPr>
        <w:t xml:space="preserve"> δεν έχει μελετηθεί</w:t>
      </w:r>
      <w:r w:rsidR="001C01B6" w:rsidRPr="0047462D">
        <w:rPr>
          <w:rFonts w:eastAsia="Times New Roman"/>
          <w:sz w:val="22"/>
          <w:szCs w:val="22"/>
          <w:lang w:val="el-GR"/>
        </w:rPr>
        <w:t xml:space="preserve">. </w:t>
      </w:r>
      <w:r w:rsidRPr="0047462D">
        <w:rPr>
          <w:rFonts w:eastAsia="Times New Roman"/>
          <w:sz w:val="22"/>
          <w:szCs w:val="22"/>
          <w:lang w:val="el-GR"/>
        </w:rPr>
        <w:t xml:space="preserve">Το μέγεθος της αύξησης </w:t>
      </w:r>
      <w:r w:rsidRPr="0047462D">
        <w:rPr>
          <w:sz w:val="22"/>
          <w:szCs w:val="22"/>
          <w:lang w:val="el-GR"/>
        </w:rPr>
        <w:t xml:space="preserve">στην </w:t>
      </w:r>
      <w:r w:rsidRPr="0047462D">
        <w:rPr>
          <w:rFonts w:eastAsia="Times New Roman"/>
          <w:sz w:val="22"/>
          <w:szCs w:val="22"/>
          <w:lang w:val="el-GR"/>
        </w:rPr>
        <w:t xml:space="preserve">έκθεση σε αυτούς τους ασθενείς είναι άγνωστο, </w:t>
      </w:r>
      <w:r w:rsidRPr="0047462D">
        <w:rPr>
          <w:sz w:val="22"/>
          <w:szCs w:val="22"/>
          <w:lang w:val="el-GR"/>
        </w:rPr>
        <w:t xml:space="preserve">αλλά </w:t>
      </w:r>
      <w:r w:rsidRPr="0047462D">
        <w:rPr>
          <w:rFonts w:eastAsia="Times New Roman"/>
          <w:sz w:val="22"/>
          <w:szCs w:val="22"/>
          <w:lang w:val="el-GR"/>
        </w:rPr>
        <w:t>αναμένεται να είναι μεγαλύτερο από αυτό που παρατηρήθηκε σε ασθενείς με μέτρια ηπατική δυσλειτουργία.</w:t>
      </w:r>
      <w:r w:rsidR="00E62EDD" w:rsidRPr="0047462D">
        <w:rPr>
          <w:rFonts w:eastAsia="Times New Roman"/>
          <w:sz w:val="22"/>
          <w:szCs w:val="22"/>
          <w:lang w:val="el-GR"/>
        </w:rPr>
        <w:t xml:space="preserve"> Συνεπώς, δεν συνιστάται η χρήση του Kalydeco σε ασθενείς με </w:t>
      </w:r>
      <w:r w:rsidR="002247F9" w:rsidRPr="0047462D">
        <w:rPr>
          <w:rFonts w:eastAsia="Times New Roman"/>
          <w:sz w:val="22"/>
          <w:szCs w:val="22"/>
          <w:lang w:val="el-GR"/>
        </w:rPr>
        <w:t>σοβαρή</w:t>
      </w:r>
      <w:r w:rsidR="00E62EDD" w:rsidRPr="0047462D">
        <w:rPr>
          <w:rFonts w:eastAsia="Times New Roman"/>
          <w:sz w:val="22"/>
          <w:szCs w:val="22"/>
          <w:lang w:val="el-GR"/>
        </w:rPr>
        <w:t xml:space="preserve"> ηπατική δυσλειτουργία εκτός εάν τα οφέλη υπερτερούν των κινδύνων (βλ. παράγραφο 4.2 και παράγραφο 4.4).</w:t>
      </w:r>
    </w:p>
    <w:p w14:paraId="5AE779AA" w14:textId="77777777" w:rsidR="001C01B6" w:rsidRPr="0047462D" w:rsidRDefault="001C01B6" w:rsidP="001C01B6">
      <w:pPr>
        <w:pStyle w:val="labeltext"/>
        <w:rPr>
          <w:sz w:val="22"/>
          <w:szCs w:val="22"/>
          <w:lang w:val="el-GR"/>
        </w:rPr>
      </w:pPr>
    </w:p>
    <w:p w14:paraId="4C128156" w14:textId="2935D5A9" w:rsidR="00182004" w:rsidRPr="00F93ECE" w:rsidRDefault="00E62EDD" w:rsidP="00182004">
      <w:pPr>
        <w:pStyle w:val="labeltext"/>
        <w:rPr>
          <w:sz w:val="22"/>
          <w:szCs w:val="22"/>
          <w:lang w:val="el-GR"/>
        </w:rPr>
      </w:pPr>
      <w:r w:rsidRPr="0047462D">
        <w:rPr>
          <w:sz w:val="22"/>
          <w:szCs w:val="22"/>
          <w:lang w:val="el-GR"/>
        </w:rPr>
        <w:t>Δεν θεωρείται απαραίτητη η ρύθμιση της δόσης για ασθενείς με ήπια ηπατική δυσλειτουργία</w:t>
      </w:r>
      <w:r w:rsidR="00182004" w:rsidRPr="00F93ECE">
        <w:rPr>
          <w:sz w:val="22"/>
          <w:szCs w:val="22"/>
          <w:lang w:val="el-GR"/>
        </w:rPr>
        <w:t>.</w:t>
      </w:r>
    </w:p>
    <w:p w14:paraId="34945A53" w14:textId="77777777" w:rsidR="000F0E6D" w:rsidRPr="0047462D" w:rsidRDefault="000F0E6D" w:rsidP="001C01B6">
      <w:pPr>
        <w:pStyle w:val="labeltext"/>
        <w:rPr>
          <w:sz w:val="22"/>
          <w:szCs w:val="22"/>
          <w:lang w:val="el-GR"/>
        </w:rPr>
      </w:pPr>
    </w:p>
    <w:p w14:paraId="3A59DF38" w14:textId="084399BD" w:rsidR="001C01B6" w:rsidRPr="0047462D" w:rsidRDefault="001C01B6" w:rsidP="001C01B6">
      <w:pPr>
        <w:pStyle w:val="labeltext"/>
        <w:keepNext/>
        <w:rPr>
          <w:rFonts w:eastAsia="Times New Roman"/>
          <w:i/>
          <w:iCs/>
          <w:sz w:val="22"/>
          <w:szCs w:val="22"/>
          <w:lang w:val="el-GR" w:eastAsia="en-US"/>
        </w:rPr>
      </w:pPr>
      <w:r w:rsidRPr="0047462D">
        <w:rPr>
          <w:rFonts w:eastAsia="Times New Roman"/>
          <w:i/>
          <w:iCs/>
          <w:sz w:val="22"/>
          <w:szCs w:val="22"/>
          <w:lang w:val="el-GR" w:eastAsia="en-US"/>
        </w:rPr>
        <w:t>Νεφρική δυσλειτουργία</w:t>
      </w:r>
    </w:p>
    <w:p w14:paraId="246DA2A1" w14:textId="77777777" w:rsidR="00A87FCD" w:rsidRPr="0047462D" w:rsidRDefault="00A87FCD" w:rsidP="001C01B6">
      <w:pPr>
        <w:pStyle w:val="labeltext"/>
        <w:keepNext/>
        <w:rPr>
          <w:rFonts w:eastAsia="Times New Roman"/>
          <w:i/>
          <w:iCs/>
          <w:sz w:val="22"/>
          <w:szCs w:val="22"/>
          <w:lang w:val="el-GR"/>
        </w:rPr>
      </w:pPr>
    </w:p>
    <w:p w14:paraId="24D5429C" w14:textId="0AE3AFAA" w:rsidR="00254E8A"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Δεν έχουν πραγματοποιηθεί φαρμακοκινητικές μελέτες με το ivacaftor σε ασθενείς με νεφρική δυσλειτουργία. Σε μια φαρμακοκινητική μελέτη στον άνθρωπο, υπήρχε ελάχιστη αποβολή του ivacaftor και των μεταβολιτών του στα ούρα (μόνο το 6,6% της ολικής ραδιενέργειας ανακτήθηκε στα ούρα). Υπήρχε αμελητέα απέκκριση </w:t>
      </w:r>
      <w:r w:rsidR="00992CCF" w:rsidRPr="0047462D">
        <w:rPr>
          <w:rFonts w:eastAsia="Times New Roman"/>
          <w:sz w:val="22"/>
          <w:szCs w:val="22"/>
          <w:lang w:val="el-GR"/>
        </w:rPr>
        <w:t xml:space="preserve">του ivacaftor </w:t>
      </w:r>
      <w:r w:rsidRPr="0047462D">
        <w:rPr>
          <w:rFonts w:eastAsia="Times New Roman"/>
          <w:sz w:val="22"/>
          <w:szCs w:val="22"/>
          <w:lang w:val="el-GR"/>
        </w:rPr>
        <w:t>στα ούρα ως αμετάβλητη μητρική ουσία (κάτω από το 0,01% μετά από εφάπαξ από στόματος δόση των 500 mg).</w:t>
      </w:r>
    </w:p>
    <w:p w14:paraId="2469174A" w14:textId="77777777" w:rsidR="00254E8A" w:rsidRPr="0047462D" w:rsidRDefault="00254E8A" w:rsidP="001C01B6">
      <w:pPr>
        <w:pStyle w:val="labeltext"/>
        <w:rPr>
          <w:rFonts w:eastAsia="Times New Roman"/>
          <w:sz w:val="22"/>
          <w:szCs w:val="22"/>
          <w:lang w:val="el-GR"/>
        </w:rPr>
      </w:pPr>
    </w:p>
    <w:p w14:paraId="6EAF49B2" w14:textId="60F87A0A" w:rsidR="001C01B6" w:rsidRPr="0047462D" w:rsidRDefault="000F0E6D" w:rsidP="001C01B6">
      <w:pPr>
        <w:pStyle w:val="labeltext"/>
        <w:rPr>
          <w:rFonts w:eastAsia="Times New Roman"/>
          <w:sz w:val="22"/>
          <w:szCs w:val="22"/>
          <w:lang w:val="el-GR"/>
        </w:rPr>
      </w:pPr>
      <w:r w:rsidRPr="0047462D">
        <w:rPr>
          <w:rFonts w:eastAsia="Times New Roman"/>
          <w:sz w:val="22"/>
          <w:szCs w:val="22"/>
          <w:lang w:val="el-GR"/>
        </w:rPr>
        <w:t>Δ</w:t>
      </w:r>
      <w:r w:rsidR="001C01B6" w:rsidRPr="0047462D">
        <w:rPr>
          <w:rFonts w:eastAsia="Times New Roman"/>
          <w:sz w:val="22"/>
          <w:szCs w:val="22"/>
          <w:lang w:val="el-GR"/>
        </w:rPr>
        <w:t>ε</w:t>
      </w:r>
      <w:r w:rsidR="007C1D4F" w:rsidRPr="0047462D">
        <w:rPr>
          <w:rFonts w:eastAsia="Times New Roman"/>
          <w:sz w:val="22"/>
          <w:szCs w:val="22"/>
          <w:lang w:val="el-GR"/>
        </w:rPr>
        <w:t>ν</w:t>
      </w:r>
      <w:r w:rsidR="001C01B6" w:rsidRPr="0047462D">
        <w:rPr>
          <w:rFonts w:eastAsia="Times New Roman"/>
          <w:sz w:val="22"/>
          <w:szCs w:val="22"/>
          <w:lang w:val="el-GR"/>
        </w:rPr>
        <w:t xml:space="preserve"> συνιστάται ρύθμιση της δόσης για ήπια και μέτρια νεφρική δυσλειτουργία. Ωστόσο, συνιστάται προσοχή κατά τη χορήγηση του ivacaftor σε ασθενείς με </w:t>
      </w:r>
      <w:r w:rsidR="00AA1815" w:rsidRPr="0047462D">
        <w:rPr>
          <w:rFonts w:eastAsia="Times New Roman"/>
          <w:sz w:val="22"/>
          <w:szCs w:val="22"/>
          <w:lang w:val="el-GR"/>
        </w:rPr>
        <w:t xml:space="preserve">σοβαρή </w:t>
      </w:r>
      <w:r w:rsidR="001C01B6" w:rsidRPr="0047462D">
        <w:rPr>
          <w:rFonts w:eastAsia="Times New Roman"/>
          <w:sz w:val="22"/>
          <w:szCs w:val="22"/>
          <w:lang w:val="el-GR"/>
        </w:rPr>
        <w:t>νεφρική δυσλειτουργία (κάθαρση κρεατινίνης μικρότερη ή ίση των 30 </w:t>
      </w:r>
      <w:r w:rsidR="00966B5F" w:rsidRPr="0047462D">
        <w:rPr>
          <w:rFonts w:eastAsia="Times New Roman"/>
          <w:sz w:val="22"/>
          <w:szCs w:val="22"/>
          <w:lang w:val="el-GR"/>
        </w:rPr>
        <w:t>m</w:t>
      </w:r>
      <w:r w:rsidR="00966B5F" w:rsidRPr="0047462D">
        <w:rPr>
          <w:rFonts w:eastAsia="Times New Roman"/>
          <w:sz w:val="22"/>
          <w:szCs w:val="22"/>
        </w:rPr>
        <w:t>l</w:t>
      </w:r>
      <w:r w:rsidR="001C01B6" w:rsidRPr="0047462D">
        <w:rPr>
          <w:rFonts w:eastAsia="Times New Roman"/>
          <w:sz w:val="22"/>
          <w:szCs w:val="22"/>
          <w:lang w:val="el-GR"/>
        </w:rPr>
        <w:t>/min) ή νεφρική νόσο τελικού σταδίου (βλ. παραγράφους</w:t>
      </w:r>
      <w:r w:rsidR="001C01B6" w:rsidRPr="0047462D">
        <w:rPr>
          <w:rFonts w:eastAsia="Times New Roman"/>
          <w:sz w:val="22"/>
          <w:szCs w:val="22"/>
          <w:lang w:val="en-GB"/>
        </w:rPr>
        <w:t> </w:t>
      </w:r>
      <w:r w:rsidR="001C01B6" w:rsidRPr="0047462D">
        <w:rPr>
          <w:rFonts w:eastAsia="Times New Roman"/>
          <w:sz w:val="22"/>
          <w:szCs w:val="22"/>
          <w:lang w:val="el-GR"/>
        </w:rPr>
        <w:t>4.2 και</w:t>
      </w:r>
      <w:r w:rsidR="001C01B6" w:rsidRPr="0047462D">
        <w:rPr>
          <w:rFonts w:eastAsia="Times New Roman"/>
          <w:sz w:val="22"/>
          <w:szCs w:val="22"/>
          <w:lang w:val="en-GB"/>
        </w:rPr>
        <w:t> </w:t>
      </w:r>
      <w:r w:rsidR="001C01B6" w:rsidRPr="0047462D">
        <w:rPr>
          <w:rFonts w:eastAsia="Times New Roman"/>
          <w:sz w:val="22"/>
          <w:szCs w:val="22"/>
          <w:lang w:val="el-GR"/>
        </w:rPr>
        <w:t xml:space="preserve">4.4). </w:t>
      </w:r>
    </w:p>
    <w:p w14:paraId="55AB2D5F" w14:textId="77777777" w:rsidR="002B7B08" w:rsidRPr="0047462D" w:rsidRDefault="002B7B08" w:rsidP="001C01B6">
      <w:pPr>
        <w:pStyle w:val="labeltext"/>
        <w:rPr>
          <w:sz w:val="22"/>
          <w:szCs w:val="22"/>
          <w:lang w:val="el-GR"/>
        </w:rPr>
      </w:pPr>
    </w:p>
    <w:p w14:paraId="22F86B28" w14:textId="1D04D275" w:rsidR="002B7B08" w:rsidRPr="0047462D" w:rsidRDefault="002B7B08" w:rsidP="009A2EEC">
      <w:pPr>
        <w:pStyle w:val="labeltext"/>
        <w:keepNext/>
        <w:rPr>
          <w:i/>
          <w:sz w:val="22"/>
          <w:szCs w:val="22"/>
          <w:lang w:val="el-GR"/>
        </w:rPr>
      </w:pPr>
      <w:r w:rsidRPr="0047462D">
        <w:rPr>
          <w:i/>
          <w:sz w:val="22"/>
          <w:szCs w:val="22"/>
          <w:lang w:val="el-GR"/>
        </w:rPr>
        <w:t>Φυλή</w:t>
      </w:r>
    </w:p>
    <w:p w14:paraId="5D0A8F6B" w14:textId="77777777" w:rsidR="00A87FCD" w:rsidRPr="0047462D" w:rsidRDefault="00A87FCD" w:rsidP="009A2EEC">
      <w:pPr>
        <w:pStyle w:val="labeltext"/>
        <w:keepNext/>
        <w:rPr>
          <w:i/>
          <w:sz w:val="22"/>
          <w:szCs w:val="22"/>
          <w:lang w:val="el-GR"/>
        </w:rPr>
      </w:pPr>
    </w:p>
    <w:p w14:paraId="2F33A89C" w14:textId="77777777" w:rsidR="002B7B08" w:rsidRPr="0047462D" w:rsidRDefault="002B7B08" w:rsidP="002B7B08">
      <w:pPr>
        <w:pStyle w:val="labeltext"/>
        <w:rPr>
          <w:iCs/>
          <w:sz w:val="22"/>
          <w:szCs w:val="22"/>
          <w:lang w:val="el-GR"/>
        </w:rPr>
      </w:pPr>
      <w:r w:rsidRPr="0047462D">
        <w:rPr>
          <w:iCs/>
          <w:sz w:val="22"/>
          <w:szCs w:val="22"/>
          <w:lang w:val="el-GR"/>
        </w:rPr>
        <w:t xml:space="preserve">Η φυλή δεν είχε κλινικά σημαντική επίδραση στη φαρμακοκινητική του </w:t>
      </w:r>
      <w:r w:rsidRPr="0047462D">
        <w:rPr>
          <w:iCs/>
          <w:sz w:val="22"/>
          <w:szCs w:val="22"/>
          <w:lang w:val="en-GB"/>
        </w:rPr>
        <w:t>ivacaftor</w:t>
      </w:r>
      <w:r w:rsidRPr="0047462D">
        <w:rPr>
          <w:iCs/>
          <w:sz w:val="22"/>
          <w:szCs w:val="22"/>
          <w:lang w:val="el-GR"/>
        </w:rPr>
        <w:t xml:space="preserve"> σε λευκούς (</w:t>
      </w:r>
      <w:r w:rsidRPr="0047462D">
        <w:rPr>
          <w:iCs/>
          <w:sz w:val="22"/>
          <w:szCs w:val="22"/>
          <w:lang w:val="en-GB"/>
        </w:rPr>
        <w:t>n</w:t>
      </w:r>
      <w:r w:rsidRPr="0047462D">
        <w:rPr>
          <w:iCs/>
          <w:sz w:val="22"/>
          <w:szCs w:val="22"/>
          <w:lang w:val="el-GR"/>
        </w:rPr>
        <w:t>=379) και μη λευκούς ασθενείς (</w:t>
      </w:r>
      <w:r w:rsidRPr="0047462D">
        <w:rPr>
          <w:iCs/>
          <w:sz w:val="22"/>
          <w:szCs w:val="22"/>
          <w:lang w:val="en-GB"/>
        </w:rPr>
        <w:t>n</w:t>
      </w:r>
      <w:r w:rsidRPr="0047462D">
        <w:rPr>
          <w:iCs/>
          <w:sz w:val="22"/>
          <w:szCs w:val="22"/>
          <w:lang w:val="el-GR"/>
        </w:rPr>
        <w:t>=29) με βάση μια ανάλυση φαρμακοκινητικής πληθυσμού.</w:t>
      </w:r>
    </w:p>
    <w:p w14:paraId="6BD842A9" w14:textId="77777777" w:rsidR="002B7B08" w:rsidRPr="0047462D" w:rsidRDefault="002B7B08" w:rsidP="002B7B08">
      <w:pPr>
        <w:pStyle w:val="labeltext"/>
        <w:rPr>
          <w:iCs/>
          <w:sz w:val="22"/>
          <w:szCs w:val="22"/>
          <w:lang w:val="el-GR"/>
        </w:rPr>
      </w:pPr>
    </w:p>
    <w:p w14:paraId="62822D00" w14:textId="792CEF8F" w:rsidR="002B7B08" w:rsidRPr="0047462D" w:rsidRDefault="002B7B08" w:rsidP="009A2EEC">
      <w:pPr>
        <w:pStyle w:val="labeltext"/>
        <w:keepNext/>
        <w:rPr>
          <w:i/>
          <w:sz w:val="22"/>
          <w:szCs w:val="22"/>
          <w:lang w:val="el-GR"/>
        </w:rPr>
      </w:pPr>
      <w:r w:rsidRPr="0047462D">
        <w:rPr>
          <w:i/>
          <w:sz w:val="22"/>
          <w:szCs w:val="22"/>
          <w:lang w:val="el-GR"/>
        </w:rPr>
        <w:t>Φύλο</w:t>
      </w:r>
    </w:p>
    <w:p w14:paraId="4BEF2C2C" w14:textId="77777777" w:rsidR="00A87FCD" w:rsidRPr="0047462D" w:rsidRDefault="00A87FCD" w:rsidP="009A2EEC">
      <w:pPr>
        <w:pStyle w:val="labeltext"/>
        <w:keepNext/>
        <w:rPr>
          <w:i/>
          <w:sz w:val="22"/>
          <w:szCs w:val="22"/>
          <w:lang w:val="el-GR"/>
        </w:rPr>
      </w:pPr>
    </w:p>
    <w:p w14:paraId="37055083" w14:textId="77777777" w:rsidR="002B7B08" w:rsidRPr="0047462D" w:rsidRDefault="002B7B08" w:rsidP="002B7B08">
      <w:pPr>
        <w:pStyle w:val="labeltext"/>
        <w:rPr>
          <w:iCs/>
          <w:sz w:val="22"/>
          <w:szCs w:val="22"/>
          <w:lang w:val="el-GR"/>
        </w:rPr>
      </w:pPr>
      <w:r w:rsidRPr="0047462D">
        <w:rPr>
          <w:iCs/>
          <w:sz w:val="22"/>
          <w:szCs w:val="22"/>
          <w:lang w:val="el-GR"/>
        </w:rPr>
        <w:t xml:space="preserve">Οι φαρμακοκινητικές παράμετροι του </w:t>
      </w:r>
      <w:r w:rsidRPr="0047462D">
        <w:rPr>
          <w:iCs/>
          <w:sz w:val="22"/>
          <w:szCs w:val="22"/>
          <w:lang w:val="en-GB"/>
        </w:rPr>
        <w:t>ivacaftor</w:t>
      </w:r>
      <w:r w:rsidRPr="0047462D">
        <w:rPr>
          <w:iCs/>
          <w:sz w:val="22"/>
          <w:szCs w:val="22"/>
          <w:lang w:val="el-GR"/>
        </w:rPr>
        <w:t xml:space="preserve"> είναι παρόμοιες σε άρρενες και θήλεις.</w:t>
      </w:r>
    </w:p>
    <w:p w14:paraId="61EE8090" w14:textId="77777777" w:rsidR="002B7B08" w:rsidRPr="0047462D" w:rsidRDefault="002B7B08" w:rsidP="002B7B08">
      <w:pPr>
        <w:pStyle w:val="labeltext"/>
        <w:rPr>
          <w:iCs/>
          <w:sz w:val="22"/>
          <w:szCs w:val="22"/>
          <w:lang w:val="el-GR"/>
        </w:rPr>
      </w:pPr>
    </w:p>
    <w:p w14:paraId="15C6FF63" w14:textId="317E6B21" w:rsidR="002B7B08" w:rsidRPr="0047462D" w:rsidRDefault="002B7B08" w:rsidP="009A2EEC">
      <w:pPr>
        <w:pStyle w:val="labeltext"/>
        <w:keepNext/>
        <w:rPr>
          <w:i/>
          <w:sz w:val="22"/>
          <w:szCs w:val="22"/>
          <w:lang w:val="el-GR"/>
        </w:rPr>
      </w:pPr>
      <w:r w:rsidRPr="0047462D">
        <w:rPr>
          <w:i/>
          <w:sz w:val="22"/>
          <w:szCs w:val="22"/>
          <w:lang w:val="el-GR"/>
        </w:rPr>
        <w:t>Ηλικιωμένο</w:t>
      </w:r>
      <w:r w:rsidR="00F649B7" w:rsidRPr="0047462D">
        <w:rPr>
          <w:i/>
          <w:sz w:val="22"/>
          <w:szCs w:val="22"/>
          <w:lang w:val="el-GR"/>
        </w:rPr>
        <w:t>ι</w:t>
      </w:r>
    </w:p>
    <w:p w14:paraId="59E08DFB" w14:textId="77777777" w:rsidR="00A87FCD" w:rsidRPr="0047462D" w:rsidRDefault="00A87FCD" w:rsidP="009A2EEC">
      <w:pPr>
        <w:pStyle w:val="labeltext"/>
        <w:keepNext/>
        <w:rPr>
          <w:i/>
          <w:sz w:val="22"/>
          <w:szCs w:val="22"/>
          <w:lang w:val="el-GR"/>
        </w:rPr>
      </w:pPr>
    </w:p>
    <w:p w14:paraId="0E404219" w14:textId="2F724791" w:rsidR="002B7B08" w:rsidRPr="0047462D" w:rsidRDefault="002B7B08" w:rsidP="002B7B08">
      <w:pPr>
        <w:pStyle w:val="labeltext"/>
        <w:rPr>
          <w:iCs/>
          <w:sz w:val="22"/>
          <w:szCs w:val="22"/>
          <w:lang w:val="el-GR"/>
        </w:rPr>
      </w:pPr>
      <w:r w:rsidRPr="0047462D">
        <w:rPr>
          <w:iCs/>
          <w:sz w:val="22"/>
          <w:szCs w:val="22"/>
          <w:lang w:val="el-GR"/>
        </w:rPr>
        <w:t xml:space="preserve">Σε κλινικές μελέτες για </w:t>
      </w:r>
      <w:r w:rsidR="00182004" w:rsidRPr="0047462D">
        <w:rPr>
          <w:iCs/>
          <w:sz w:val="22"/>
          <w:szCs w:val="22"/>
          <w:lang w:val="el-GR"/>
        </w:rPr>
        <w:t xml:space="preserve">το </w:t>
      </w:r>
      <w:r w:rsidR="00F649B7" w:rsidRPr="0047462D">
        <w:rPr>
          <w:iCs/>
          <w:sz w:val="22"/>
          <w:szCs w:val="22"/>
          <w:lang w:val="en-GB"/>
        </w:rPr>
        <w:t>ivacaftor</w:t>
      </w:r>
      <w:r w:rsidR="00F649B7" w:rsidRPr="0047462D">
        <w:rPr>
          <w:iCs/>
          <w:sz w:val="22"/>
          <w:szCs w:val="22"/>
          <w:lang w:val="el-GR"/>
        </w:rPr>
        <w:t xml:space="preserve"> </w:t>
      </w:r>
      <w:r w:rsidR="00182004" w:rsidRPr="0047462D">
        <w:rPr>
          <w:iCs/>
          <w:sz w:val="22"/>
          <w:szCs w:val="22"/>
          <w:lang w:val="el-GR"/>
        </w:rPr>
        <w:t xml:space="preserve">ως μονοθεραπεία </w:t>
      </w:r>
      <w:r w:rsidRPr="0047462D">
        <w:rPr>
          <w:iCs/>
          <w:sz w:val="22"/>
          <w:szCs w:val="22"/>
          <w:lang w:val="el-GR"/>
        </w:rPr>
        <w:t>δεν συμπεριλήφθηκαν επαρκείς αριθμοί ασθενών ηλικίας 65</w:t>
      </w:r>
      <w:r w:rsidRPr="0047462D">
        <w:rPr>
          <w:iCs/>
          <w:sz w:val="22"/>
          <w:szCs w:val="22"/>
          <w:lang w:val="en-GB"/>
        </w:rPr>
        <w:t> </w:t>
      </w:r>
      <w:r w:rsidRPr="0047462D">
        <w:rPr>
          <w:iCs/>
          <w:sz w:val="22"/>
          <w:szCs w:val="22"/>
          <w:lang w:val="el-GR"/>
        </w:rPr>
        <w:t xml:space="preserve">ετών και άνω ώστε να προσδιοριστεί αν </w:t>
      </w:r>
      <w:r w:rsidR="000F0E6D" w:rsidRPr="0047462D">
        <w:rPr>
          <w:iCs/>
          <w:sz w:val="22"/>
          <w:szCs w:val="22"/>
          <w:lang w:val="el-GR"/>
        </w:rPr>
        <w:t>οι φαρμακοκινητικές παράμετροι είναι ή δεν είναι παρόμοιες με εκείνες νεότερων ενηλίκων.</w:t>
      </w:r>
    </w:p>
    <w:p w14:paraId="52347759" w14:textId="77777777" w:rsidR="001C01B6" w:rsidRPr="0047462D" w:rsidRDefault="001C01B6" w:rsidP="001C01B6">
      <w:pPr>
        <w:pStyle w:val="labeltext"/>
        <w:rPr>
          <w:sz w:val="22"/>
          <w:szCs w:val="22"/>
          <w:lang w:val="el-GR"/>
        </w:rPr>
      </w:pPr>
    </w:p>
    <w:p w14:paraId="41D36900" w14:textId="16B3AA7B" w:rsidR="001C01B6" w:rsidRPr="0047462D" w:rsidRDefault="001C01B6" w:rsidP="001C01B6">
      <w:pPr>
        <w:pStyle w:val="labeltextheading"/>
        <w:rPr>
          <w:rFonts w:eastAsia="Times New Roman"/>
          <w:sz w:val="22"/>
          <w:szCs w:val="22"/>
          <w:lang w:val="el-GR"/>
        </w:rPr>
      </w:pPr>
      <w:r w:rsidRPr="0047462D">
        <w:rPr>
          <w:rFonts w:eastAsia="Times New Roman"/>
          <w:sz w:val="22"/>
          <w:szCs w:val="22"/>
          <w:lang w:val="el-GR"/>
        </w:rPr>
        <w:t>Παιδιατρικός πληθυσμός</w:t>
      </w:r>
    </w:p>
    <w:p w14:paraId="059FF16D" w14:textId="77777777" w:rsidR="00A87FCD" w:rsidRPr="0047462D" w:rsidRDefault="00A87FCD" w:rsidP="001C01B6">
      <w:pPr>
        <w:pStyle w:val="labeltextheading"/>
        <w:rPr>
          <w:rFonts w:eastAsia="Times New Roman"/>
          <w:sz w:val="22"/>
          <w:szCs w:val="22"/>
          <w:lang w:val="el-GR"/>
        </w:rPr>
      </w:pPr>
    </w:p>
    <w:p w14:paraId="666FEC68" w14:textId="475D144D" w:rsidR="001C01B6" w:rsidRPr="0047462D" w:rsidRDefault="00121FAE" w:rsidP="001C01B6">
      <w:pPr>
        <w:pStyle w:val="labeltextheading"/>
        <w:keepNext w:val="0"/>
        <w:rPr>
          <w:rFonts w:eastAsia="Times New Roman"/>
          <w:i w:val="0"/>
          <w:iCs w:val="0"/>
          <w:sz w:val="22"/>
          <w:szCs w:val="22"/>
          <w:u w:val="single"/>
          <w:lang w:val="el-GR"/>
        </w:rPr>
      </w:pPr>
      <w:r w:rsidRPr="0047462D">
        <w:rPr>
          <w:rFonts w:eastAsia="Times New Roman"/>
          <w:i w:val="0"/>
          <w:iCs w:val="0"/>
          <w:sz w:val="22"/>
          <w:szCs w:val="22"/>
          <w:lang w:val="el-GR" w:eastAsia="zh-CN"/>
        </w:rPr>
        <w:t xml:space="preserve">Η προβλεπόμενη έκθεση στο ivacaftor με βάση τις παρατηρηθείσες συγκεντρώσεις του ivacaftor σε </w:t>
      </w:r>
      <w:r w:rsidR="00324990">
        <w:rPr>
          <w:rFonts w:eastAsia="Times New Roman"/>
          <w:i w:val="0"/>
          <w:iCs w:val="0"/>
          <w:sz w:val="22"/>
          <w:szCs w:val="22"/>
          <w:lang w:val="el-GR" w:eastAsia="zh-CN"/>
        </w:rPr>
        <w:t>φ</w:t>
      </w:r>
      <w:r w:rsidRPr="0047462D">
        <w:rPr>
          <w:rFonts w:eastAsia="Times New Roman"/>
          <w:i w:val="0"/>
          <w:iCs w:val="0"/>
          <w:sz w:val="22"/>
          <w:szCs w:val="22"/>
          <w:lang w:val="el-GR" w:eastAsia="zh-CN"/>
        </w:rPr>
        <w:t xml:space="preserve">άσης 2 και 3 μελέτες, όπως καθορίστηκε </w:t>
      </w:r>
      <w:r w:rsidRPr="0047462D">
        <w:rPr>
          <w:i w:val="0"/>
          <w:sz w:val="22"/>
          <w:szCs w:val="22"/>
          <w:lang w:val="el-GR"/>
        </w:rPr>
        <w:t>χρησιμοποιώντας ανάλυση φαρµακοκινητικής πληθυσμού,</w:t>
      </w:r>
      <w:r w:rsidRPr="0047462D">
        <w:rPr>
          <w:rFonts w:eastAsia="Times New Roman"/>
          <w:i w:val="0"/>
          <w:iCs w:val="0"/>
          <w:sz w:val="22"/>
          <w:szCs w:val="22"/>
          <w:lang w:val="el-GR" w:eastAsia="zh-CN"/>
        </w:rPr>
        <w:t xml:space="preserve"> παρουσιάζεται ανά ηλικιακή ομάδα στον Πίνακα</w:t>
      </w:r>
      <w:r w:rsidRPr="0047462D">
        <w:rPr>
          <w:rFonts w:eastAsia="Times New Roman"/>
          <w:i w:val="0"/>
          <w:iCs w:val="0"/>
          <w:sz w:val="22"/>
          <w:szCs w:val="22"/>
          <w:lang w:val="en-GB" w:eastAsia="zh-CN"/>
        </w:rPr>
        <w:t> </w:t>
      </w:r>
      <w:r w:rsidR="00572599" w:rsidRPr="0047462D">
        <w:rPr>
          <w:rFonts w:eastAsia="Times New Roman"/>
          <w:i w:val="0"/>
          <w:iCs w:val="0"/>
          <w:sz w:val="22"/>
          <w:szCs w:val="22"/>
          <w:lang w:val="el-GR" w:eastAsia="zh-CN"/>
        </w:rPr>
        <w:t>8</w:t>
      </w:r>
      <w:r w:rsidRPr="0047462D">
        <w:rPr>
          <w:rFonts w:eastAsia="Times New Roman"/>
          <w:i w:val="0"/>
          <w:iCs w:val="0"/>
          <w:sz w:val="22"/>
          <w:szCs w:val="22"/>
          <w:lang w:val="el-GR" w:eastAsia="zh-CN"/>
        </w:rPr>
        <w:t>.</w:t>
      </w:r>
    </w:p>
    <w:p w14:paraId="6ECD2F97" w14:textId="77777777" w:rsidR="00254E8A" w:rsidRPr="0047462D" w:rsidRDefault="00254E8A" w:rsidP="00254E8A"/>
    <w:p w14:paraId="50A79D94" w14:textId="2C4C707C" w:rsidR="00254E8A" w:rsidRPr="0047462D" w:rsidRDefault="00254E8A" w:rsidP="00EB5A36">
      <w:pPr>
        <w:keepNext/>
        <w:spacing w:after="120"/>
        <w:rPr>
          <w:b/>
          <w:bCs/>
        </w:rPr>
      </w:pPr>
      <w:r w:rsidRPr="0047462D">
        <w:rPr>
          <w:b/>
          <w:bCs/>
        </w:rPr>
        <w:t>Πίνακας </w:t>
      </w:r>
      <w:r w:rsidR="00572599" w:rsidRPr="0047462D">
        <w:rPr>
          <w:b/>
          <w:bCs/>
        </w:rPr>
        <w:t>8</w:t>
      </w:r>
      <w:r w:rsidRPr="0047462D">
        <w:rPr>
          <w:b/>
          <w:bCs/>
        </w:rPr>
        <w:t>: Μέση (</w:t>
      </w:r>
      <w:r w:rsidRPr="0047462D">
        <w:rPr>
          <w:b/>
          <w:bCs/>
          <w:lang w:val="en-US"/>
        </w:rPr>
        <w:t>SD</w:t>
      </w:r>
      <w:r w:rsidRPr="0047462D">
        <w:rPr>
          <w:b/>
          <w:bCs/>
        </w:rPr>
        <w:t xml:space="preserve">) έκθεση στο </w:t>
      </w:r>
      <w:r w:rsidRPr="0047462D">
        <w:rPr>
          <w:b/>
          <w:bCs/>
          <w:lang w:val="en-US"/>
        </w:rPr>
        <w:t>ivacaftor</w:t>
      </w:r>
      <w:r w:rsidRPr="0047462D">
        <w:rPr>
          <w:b/>
          <w:bCs/>
        </w:rPr>
        <w:t xml:space="preserve"> ανά ηλικιακή ομάδα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8"/>
        <w:gridCol w:w="2460"/>
        <w:gridCol w:w="2035"/>
        <w:gridCol w:w="2036"/>
      </w:tblGrid>
      <w:tr w:rsidR="001C01B6" w:rsidRPr="00604911" w14:paraId="76EDE09E" w14:textId="77777777">
        <w:trPr>
          <w:cantSplit/>
          <w:trHeight w:val="478"/>
          <w:tblHeader/>
        </w:trPr>
        <w:tc>
          <w:tcPr>
            <w:tcW w:w="2518" w:type="dxa"/>
            <w:tcMar>
              <w:top w:w="0" w:type="dxa"/>
              <w:left w:w="108" w:type="dxa"/>
              <w:bottom w:w="0" w:type="dxa"/>
              <w:right w:w="108" w:type="dxa"/>
            </w:tcMar>
          </w:tcPr>
          <w:p w14:paraId="5A5FE247" w14:textId="77777777" w:rsidR="001C01B6" w:rsidRPr="0047462D" w:rsidRDefault="001C01B6" w:rsidP="00EB5A36">
            <w:pPr>
              <w:keepNext/>
              <w:spacing w:after="120"/>
              <w:rPr>
                <w:b/>
              </w:rPr>
            </w:pPr>
            <w:r w:rsidRPr="0047462D">
              <w:rPr>
                <w:b/>
              </w:rPr>
              <w:t>Ηλικιακή ομάδα</w:t>
            </w:r>
          </w:p>
        </w:tc>
        <w:tc>
          <w:tcPr>
            <w:tcW w:w="2460" w:type="dxa"/>
            <w:tcMar>
              <w:top w:w="0" w:type="dxa"/>
              <w:left w:w="108" w:type="dxa"/>
              <w:bottom w:w="0" w:type="dxa"/>
              <w:right w:w="108" w:type="dxa"/>
            </w:tcMar>
          </w:tcPr>
          <w:p w14:paraId="2B78AEDD" w14:textId="77777777" w:rsidR="001C01B6" w:rsidRPr="0047462D" w:rsidRDefault="001C01B6" w:rsidP="00EB5A36">
            <w:pPr>
              <w:keepNext/>
              <w:spacing w:after="120"/>
              <w:rPr>
                <w:b/>
              </w:rPr>
            </w:pPr>
            <w:r w:rsidRPr="0047462D">
              <w:rPr>
                <w:b/>
              </w:rPr>
              <w:t>Δόση</w:t>
            </w:r>
          </w:p>
        </w:tc>
        <w:tc>
          <w:tcPr>
            <w:tcW w:w="2035" w:type="dxa"/>
            <w:tcMar>
              <w:top w:w="0" w:type="dxa"/>
              <w:left w:w="108" w:type="dxa"/>
              <w:bottom w:w="0" w:type="dxa"/>
              <w:right w:w="108" w:type="dxa"/>
            </w:tcMar>
          </w:tcPr>
          <w:p w14:paraId="4FD90B6F" w14:textId="77777777" w:rsidR="001C01B6" w:rsidRPr="0047462D" w:rsidRDefault="001C01B6" w:rsidP="00EB5A36">
            <w:pPr>
              <w:keepNext/>
              <w:spacing w:after="120"/>
              <w:rPr>
                <w:b/>
                <w:lang w:val="en-US"/>
              </w:rPr>
            </w:pPr>
            <w:r w:rsidRPr="0047462D">
              <w:rPr>
                <w:b/>
                <w:lang w:val="en-US"/>
              </w:rPr>
              <w:t>C</w:t>
            </w:r>
            <w:r w:rsidRPr="0047462D">
              <w:rPr>
                <w:b/>
                <w:vertAlign w:val="subscript"/>
                <w:lang w:val="en-US"/>
              </w:rPr>
              <w:t>min, ss</w:t>
            </w:r>
            <w:r w:rsidRPr="0047462D">
              <w:rPr>
                <w:b/>
                <w:lang w:val="en-US"/>
              </w:rPr>
              <w:t xml:space="preserve"> (ng/</w:t>
            </w:r>
            <w:r w:rsidR="00966B5F" w:rsidRPr="0047462D">
              <w:rPr>
                <w:b/>
                <w:lang w:val="en-US"/>
              </w:rPr>
              <w:t>ml</w:t>
            </w:r>
            <w:r w:rsidRPr="0047462D">
              <w:rPr>
                <w:b/>
                <w:lang w:val="en-US"/>
              </w:rPr>
              <w:t>)</w:t>
            </w:r>
          </w:p>
        </w:tc>
        <w:tc>
          <w:tcPr>
            <w:tcW w:w="2036" w:type="dxa"/>
            <w:tcMar>
              <w:top w:w="0" w:type="dxa"/>
              <w:left w:w="108" w:type="dxa"/>
              <w:bottom w:w="0" w:type="dxa"/>
              <w:right w:w="108" w:type="dxa"/>
            </w:tcMar>
          </w:tcPr>
          <w:p w14:paraId="54986F2C" w14:textId="537BE8EF" w:rsidR="001C01B6" w:rsidRPr="0047462D" w:rsidRDefault="001C01B6" w:rsidP="00EB5A36">
            <w:pPr>
              <w:keepNext/>
              <w:spacing w:after="120"/>
              <w:rPr>
                <w:b/>
                <w:vertAlign w:val="subscript"/>
                <w:lang w:val="en-US"/>
              </w:rPr>
            </w:pPr>
            <w:r w:rsidRPr="0047462D">
              <w:rPr>
                <w:b/>
                <w:lang w:val="en-US"/>
              </w:rPr>
              <w:t>AUC</w:t>
            </w:r>
            <w:r w:rsidRPr="0047462D">
              <w:rPr>
                <w:b/>
                <w:vertAlign w:val="subscript"/>
              </w:rPr>
              <w:t>τ</w:t>
            </w:r>
            <w:r w:rsidRPr="0047462D">
              <w:rPr>
                <w:b/>
                <w:vertAlign w:val="subscript"/>
                <w:lang w:val="en-US"/>
              </w:rPr>
              <w:t>,ss</w:t>
            </w:r>
            <w:r w:rsidRPr="0047462D">
              <w:rPr>
                <w:b/>
                <w:lang w:val="en-US"/>
              </w:rPr>
              <w:t xml:space="preserve"> (ng</w:t>
            </w:r>
            <w:r w:rsidR="00254E8A" w:rsidRPr="0047462D">
              <w:rPr>
                <w:b/>
                <w:lang w:val="de-DE"/>
              </w:rPr>
              <w:t>*</w:t>
            </w:r>
            <w:r w:rsidRPr="0047462D">
              <w:rPr>
                <w:b/>
                <w:lang w:val="en-US"/>
              </w:rPr>
              <w:t>h/</w:t>
            </w:r>
            <w:r w:rsidR="00966B5F" w:rsidRPr="0047462D">
              <w:rPr>
                <w:b/>
                <w:lang w:val="en-US"/>
              </w:rPr>
              <w:t>ml</w:t>
            </w:r>
            <w:r w:rsidRPr="0047462D">
              <w:rPr>
                <w:b/>
                <w:lang w:val="en-US"/>
              </w:rPr>
              <w:t>)</w:t>
            </w:r>
          </w:p>
        </w:tc>
      </w:tr>
      <w:tr w:rsidR="00324990" w:rsidRPr="0047462D" w14:paraId="59752895" w14:textId="77777777">
        <w:trPr>
          <w:cantSplit/>
          <w:trHeight w:val="478"/>
        </w:trPr>
        <w:tc>
          <w:tcPr>
            <w:tcW w:w="2518" w:type="dxa"/>
            <w:tcMar>
              <w:top w:w="0" w:type="dxa"/>
              <w:left w:w="108" w:type="dxa"/>
              <w:bottom w:w="0" w:type="dxa"/>
              <w:right w:w="108" w:type="dxa"/>
            </w:tcMar>
          </w:tcPr>
          <w:p w14:paraId="372A7759" w14:textId="58E0A749" w:rsidR="00324990" w:rsidRPr="00324990" w:rsidRDefault="00324990" w:rsidP="0081732C">
            <w:pPr>
              <w:pStyle w:val="labeltext"/>
              <w:keepNext/>
              <w:rPr>
                <w:sz w:val="22"/>
                <w:szCs w:val="22"/>
                <w:lang w:val="el-GR"/>
              </w:rPr>
            </w:pPr>
            <w:r w:rsidRPr="00F93ECE">
              <w:rPr>
                <w:sz w:val="22"/>
                <w:szCs w:val="22"/>
                <w:lang w:val="el-GR"/>
              </w:rPr>
              <w:t>4</w:t>
            </w:r>
            <w:r w:rsidRPr="00F93ECE">
              <w:rPr>
                <w:sz w:val="22"/>
                <w:szCs w:val="22"/>
              </w:rPr>
              <w:t> </w:t>
            </w:r>
            <w:r>
              <w:rPr>
                <w:sz w:val="22"/>
                <w:szCs w:val="22"/>
                <w:lang w:val="el-GR"/>
              </w:rPr>
              <w:t xml:space="preserve">μηνών έως κάτω των </w:t>
            </w:r>
            <w:r w:rsidRPr="00F93ECE">
              <w:rPr>
                <w:sz w:val="22"/>
                <w:szCs w:val="22"/>
                <w:lang w:val="el-GR"/>
              </w:rPr>
              <w:t>6</w:t>
            </w:r>
            <w:r w:rsidRPr="00F93ECE">
              <w:rPr>
                <w:sz w:val="22"/>
                <w:szCs w:val="22"/>
              </w:rPr>
              <w:t> </w:t>
            </w:r>
            <w:r>
              <w:rPr>
                <w:sz w:val="22"/>
                <w:szCs w:val="22"/>
                <w:lang w:val="el-GR"/>
              </w:rPr>
              <w:t xml:space="preserve">μηνών </w:t>
            </w:r>
            <w:r w:rsidRPr="00F93ECE">
              <w:rPr>
                <w:sz w:val="22"/>
                <w:szCs w:val="22"/>
                <w:lang w:val="el-GR"/>
              </w:rPr>
              <w:t>(</w:t>
            </w:r>
            <w:r w:rsidR="0081732C" w:rsidRPr="00F93ECE">
              <w:rPr>
                <w:rFonts w:hint="eastAsia"/>
                <w:lang w:val="el-GR"/>
              </w:rPr>
              <w:t>≥</w:t>
            </w:r>
            <w:r w:rsidRPr="00F93ECE">
              <w:rPr>
                <w:sz w:val="22"/>
                <w:szCs w:val="22"/>
                <w:lang w:val="el-GR"/>
              </w:rPr>
              <w:t>5</w:t>
            </w:r>
            <w:r w:rsidRPr="00F93ECE">
              <w:rPr>
                <w:sz w:val="22"/>
                <w:szCs w:val="22"/>
              </w:rPr>
              <w:t> kg</w:t>
            </w:r>
            <w:r w:rsidRPr="00F93ECE">
              <w:rPr>
                <w:sz w:val="22"/>
                <w:szCs w:val="22"/>
                <w:lang w:val="el-GR"/>
              </w:rPr>
              <w:t>)</w:t>
            </w:r>
          </w:p>
        </w:tc>
        <w:tc>
          <w:tcPr>
            <w:tcW w:w="2460" w:type="dxa"/>
            <w:tcMar>
              <w:top w:w="0" w:type="dxa"/>
              <w:left w:w="108" w:type="dxa"/>
              <w:bottom w:w="0" w:type="dxa"/>
              <w:right w:w="108" w:type="dxa"/>
            </w:tcMar>
          </w:tcPr>
          <w:p w14:paraId="73314F98" w14:textId="68FA9817" w:rsidR="00324990" w:rsidRPr="00324990" w:rsidRDefault="00324990" w:rsidP="00324990">
            <w:pPr>
              <w:keepNext/>
              <w:rPr>
                <w:szCs w:val="22"/>
              </w:rPr>
            </w:pPr>
            <w:r w:rsidRPr="00324990">
              <w:rPr>
                <w:szCs w:val="22"/>
              </w:rPr>
              <w:t xml:space="preserve">25 mg </w:t>
            </w:r>
            <w:r>
              <w:rPr>
                <w:szCs w:val="22"/>
              </w:rPr>
              <w:t xml:space="preserve">κάθε </w:t>
            </w:r>
            <w:r w:rsidRPr="00324990">
              <w:rPr>
                <w:szCs w:val="22"/>
              </w:rPr>
              <w:t>12</w:t>
            </w:r>
            <w:r>
              <w:rPr>
                <w:szCs w:val="22"/>
              </w:rPr>
              <w:t> ώρες</w:t>
            </w:r>
          </w:p>
        </w:tc>
        <w:tc>
          <w:tcPr>
            <w:tcW w:w="2035" w:type="dxa"/>
            <w:tcMar>
              <w:top w:w="0" w:type="dxa"/>
              <w:left w:w="108" w:type="dxa"/>
              <w:bottom w:w="0" w:type="dxa"/>
              <w:right w:w="108" w:type="dxa"/>
            </w:tcMar>
          </w:tcPr>
          <w:p w14:paraId="45C77840" w14:textId="4613B23B" w:rsidR="00324990" w:rsidRPr="00253857" w:rsidRDefault="00324990" w:rsidP="00324990">
            <w:pPr>
              <w:keepNext/>
              <w:rPr>
                <w:szCs w:val="22"/>
                <w:lang w:val="en-US"/>
              </w:rPr>
            </w:pPr>
            <w:r w:rsidRPr="00D9772A">
              <w:rPr>
                <w:szCs w:val="22"/>
              </w:rPr>
              <w:t>371 (183)</w:t>
            </w:r>
          </w:p>
        </w:tc>
        <w:tc>
          <w:tcPr>
            <w:tcW w:w="2036" w:type="dxa"/>
            <w:tcMar>
              <w:top w:w="0" w:type="dxa"/>
              <w:left w:w="108" w:type="dxa"/>
              <w:bottom w:w="0" w:type="dxa"/>
              <w:right w:w="108" w:type="dxa"/>
            </w:tcMar>
          </w:tcPr>
          <w:p w14:paraId="105CF6CF" w14:textId="7CA950B4" w:rsidR="00324990" w:rsidRPr="00324990" w:rsidRDefault="00324990" w:rsidP="00324990">
            <w:pPr>
              <w:keepNext/>
              <w:rPr>
                <w:szCs w:val="22"/>
              </w:rPr>
            </w:pPr>
            <w:r w:rsidRPr="00447181">
              <w:rPr>
                <w:szCs w:val="22"/>
              </w:rPr>
              <w:t>6480 (2520)</w:t>
            </w:r>
          </w:p>
        </w:tc>
      </w:tr>
      <w:tr w:rsidR="00254E8A" w:rsidRPr="0047462D" w14:paraId="5DEF66D6" w14:textId="77777777">
        <w:trPr>
          <w:cantSplit/>
          <w:trHeight w:val="478"/>
        </w:trPr>
        <w:tc>
          <w:tcPr>
            <w:tcW w:w="2518" w:type="dxa"/>
            <w:tcMar>
              <w:top w:w="0" w:type="dxa"/>
              <w:left w:w="108" w:type="dxa"/>
              <w:bottom w:w="0" w:type="dxa"/>
              <w:right w:w="108" w:type="dxa"/>
            </w:tcMar>
          </w:tcPr>
          <w:p w14:paraId="1ECF1459" w14:textId="77777777" w:rsidR="00254E8A" w:rsidRPr="0047462D" w:rsidRDefault="00254E8A" w:rsidP="00254E8A">
            <w:pPr>
              <w:pStyle w:val="labeltext"/>
              <w:keepNext/>
              <w:rPr>
                <w:sz w:val="22"/>
                <w:szCs w:val="22"/>
                <w:lang w:val="el-GR"/>
              </w:rPr>
            </w:pPr>
            <w:r w:rsidRPr="0047462D">
              <w:rPr>
                <w:sz w:val="22"/>
                <w:szCs w:val="22"/>
                <w:lang w:val="el-GR"/>
              </w:rPr>
              <w:t>6</w:t>
            </w:r>
            <w:r w:rsidRPr="0047462D">
              <w:rPr>
                <w:sz w:val="22"/>
                <w:szCs w:val="22"/>
              </w:rPr>
              <w:t> </w:t>
            </w:r>
            <w:r w:rsidRPr="0047462D">
              <w:rPr>
                <w:sz w:val="22"/>
                <w:szCs w:val="22"/>
                <w:lang w:val="el-GR"/>
              </w:rPr>
              <w:t>μηνών έως κάτω των 12</w:t>
            </w:r>
            <w:r w:rsidRPr="0047462D">
              <w:rPr>
                <w:sz w:val="22"/>
                <w:szCs w:val="22"/>
              </w:rPr>
              <w:t> </w:t>
            </w:r>
            <w:r w:rsidRPr="0047462D">
              <w:rPr>
                <w:sz w:val="22"/>
                <w:szCs w:val="22"/>
                <w:lang w:val="el-GR"/>
              </w:rPr>
              <w:t>μηνών (5</w:t>
            </w:r>
            <w:r w:rsidRPr="0047462D">
              <w:rPr>
                <w:sz w:val="22"/>
                <w:szCs w:val="22"/>
              </w:rPr>
              <w:t> kg</w:t>
            </w:r>
            <w:r w:rsidRPr="0047462D">
              <w:rPr>
                <w:sz w:val="22"/>
                <w:szCs w:val="22"/>
                <w:lang w:val="el-GR"/>
              </w:rPr>
              <w:t xml:space="preserve"> έως &lt;</w:t>
            </w:r>
            <w:r w:rsidR="00992CCF" w:rsidRPr="0047462D">
              <w:rPr>
                <w:sz w:val="22"/>
                <w:szCs w:val="22"/>
                <w:lang w:val="el-GR"/>
              </w:rPr>
              <w:t> </w:t>
            </w:r>
            <w:r w:rsidRPr="0047462D">
              <w:rPr>
                <w:sz w:val="22"/>
                <w:szCs w:val="22"/>
                <w:lang w:val="el-GR"/>
              </w:rPr>
              <w:t>7</w:t>
            </w:r>
            <w:r w:rsidRPr="0047462D">
              <w:rPr>
                <w:sz w:val="22"/>
                <w:szCs w:val="22"/>
              </w:rPr>
              <w:t> kg</w:t>
            </w:r>
            <w:r w:rsidRPr="0047462D">
              <w:rPr>
                <w:sz w:val="22"/>
                <w:szCs w:val="22"/>
                <w:lang w:val="el-GR"/>
              </w:rPr>
              <w:t>)</w:t>
            </w:r>
            <w:r w:rsidRPr="0047462D">
              <w:rPr>
                <w:sz w:val="22"/>
                <w:szCs w:val="22"/>
              </w:rPr>
              <w:t> </w:t>
            </w:r>
            <w:r w:rsidRPr="0047462D">
              <w:rPr>
                <w:sz w:val="22"/>
                <w:szCs w:val="22"/>
                <w:vertAlign w:val="superscript"/>
                <w:lang w:val="el-GR"/>
              </w:rPr>
              <w:t>*</w:t>
            </w:r>
          </w:p>
        </w:tc>
        <w:tc>
          <w:tcPr>
            <w:tcW w:w="2460" w:type="dxa"/>
            <w:tcMar>
              <w:top w:w="0" w:type="dxa"/>
              <w:left w:w="108" w:type="dxa"/>
              <w:bottom w:w="0" w:type="dxa"/>
              <w:right w:w="108" w:type="dxa"/>
            </w:tcMar>
          </w:tcPr>
          <w:p w14:paraId="094C530E" w14:textId="77777777" w:rsidR="00254E8A" w:rsidRPr="0047462D" w:rsidRDefault="00254E8A" w:rsidP="00254E8A">
            <w:pPr>
              <w:keepNext/>
              <w:rPr>
                <w:szCs w:val="22"/>
              </w:rPr>
            </w:pPr>
            <w:r w:rsidRPr="0047462D">
              <w:rPr>
                <w:szCs w:val="22"/>
              </w:rPr>
              <w:t xml:space="preserve">25 mg </w:t>
            </w:r>
            <w:r w:rsidRPr="0047462D">
              <w:t>κάθε 12 ώρες</w:t>
            </w:r>
          </w:p>
        </w:tc>
        <w:tc>
          <w:tcPr>
            <w:tcW w:w="2035" w:type="dxa"/>
            <w:tcMar>
              <w:top w:w="0" w:type="dxa"/>
              <w:left w:w="108" w:type="dxa"/>
              <w:bottom w:w="0" w:type="dxa"/>
              <w:right w:w="108" w:type="dxa"/>
            </w:tcMar>
          </w:tcPr>
          <w:p w14:paraId="501B06D1" w14:textId="36A59F14" w:rsidR="00254E8A" w:rsidRPr="0047462D" w:rsidRDefault="00556BF2" w:rsidP="00254E8A">
            <w:pPr>
              <w:keepNext/>
              <w:rPr>
                <w:szCs w:val="22"/>
                <w:lang w:val="en-US"/>
              </w:rPr>
            </w:pPr>
            <w:r w:rsidRPr="0047462D">
              <w:rPr>
                <w:szCs w:val="22"/>
                <w:lang w:val="en-US"/>
              </w:rPr>
              <w:t>336</w:t>
            </w:r>
          </w:p>
        </w:tc>
        <w:tc>
          <w:tcPr>
            <w:tcW w:w="2036" w:type="dxa"/>
            <w:tcMar>
              <w:top w:w="0" w:type="dxa"/>
              <w:left w:w="108" w:type="dxa"/>
              <w:bottom w:w="0" w:type="dxa"/>
              <w:right w:w="108" w:type="dxa"/>
            </w:tcMar>
          </w:tcPr>
          <w:p w14:paraId="37E16BC0" w14:textId="0AD4A45A" w:rsidR="00254E8A" w:rsidRPr="0047462D" w:rsidRDefault="00254E8A" w:rsidP="00254E8A">
            <w:pPr>
              <w:keepNext/>
              <w:rPr>
                <w:szCs w:val="22"/>
              </w:rPr>
            </w:pPr>
            <w:r w:rsidRPr="0047462D">
              <w:rPr>
                <w:szCs w:val="22"/>
              </w:rPr>
              <w:t>5</w:t>
            </w:r>
            <w:r w:rsidR="00556BF2" w:rsidRPr="0047462D">
              <w:rPr>
                <w:szCs w:val="22"/>
                <w:lang w:val="en-US"/>
              </w:rPr>
              <w:t>41</w:t>
            </w:r>
            <w:r w:rsidRPr="0047462D">
              <w:rPr>
                <w:szCs w:val="22"/>
              </w:rPr>
              <w:t>0</w:t>
            </w:r>
          </w:p>
        </w:tc>
      </w:tr>
      <w:tr w:rsidR="00254E8A" w:rsidRPr="0047462D" w14:paraId="700C3174" w14:textId="77777777">
        <w:trPr>
          <w:cantSplit/>
          <w:trHeight w:val="478"/>
        </w:trPr>
        <w:tc>
          <w:tcPr>
            <w:tcW w:w="2518" w:type="dxa"/>
            <w:tcMar>
              <w:top w:w="0" w:type="dxa"/>
              <w:left w:w="108" w:type="dxa"/>
              <w:bottom w:w="0" w:type="dxa"/>
              <w:right w:w="108" w:type="dxa"/>
            </w:tcMar>
          </w:tcPr>
          <w:p w14:paraId="44490186" w14:textId="77777777" w:rsidR="00254E8A" w:rsidRPr="0047462D" w:rsidRDefault="00254E8A" w:rsidP="00254E8A">
            <w:pPr>
              <w:pStyle w:val="labeltext"/>
              <w:keepNext/>
              <w:rPr>
                <w:sz w:val="22"/>
                <w:szCs w:val="22"/>
                <w:lang w:val="el-GR"/>
              </w:rPr>
            </w:pPr>
            <w:r w:rsidRPr="0047462D">
              <w:rPr>
                <w:sz w:val="22"/>
                <w:szCs w:val="22"/>
                <w:lang w:val="el-GR"/>
              </w:rPr>
              <w:t>6</w:t>
            </w:r>
            <w:r w:rsidRPr="0047462D">
              <w:rPr>
                <w:sz w:val="22"/>
                <w:szCs w:val="22"/>
              </w:rPr>
              <w:t> </w:t>
            </w:r>
            <w:r w:rsidRPr="0047462D">
              <w:rPr>
                <w:sz w:val="22"/>
                <w:szCs w:val="22"/>
                <w:lang w:val="el-GR"/>
              </w:rPr>
              <w:t>μηνών έως κάτω των 12</w:t>
            </w:r>
            <w:r w:rsidRPr="0047462D">
              <w:rPr>
                <w:sz w:val="22"/>
                <w:szCs w:val="22"/>
              </w:rPr>
              <w:t> </w:t>
            </w:r>
            <w:r w:rsidRPr="0047462D">
              <w:rPr>
                <w:sz w:val="22"/>
                <w:szCs w:val="22"/>
                <w:lang w:val="el-GR"/>
              </w:rPr>
              <w:t>μηνών (7</w:t>
            </w:r>
            <w:r w:rsidRPr="0047462D">
              <w:rPr>
                <w:sz w:val="22"/>
                <w:szCs w:val="22"/>
              </w:rPr>
              <w:t> kg</w:t>
            </w:r>
            <w:r w:rsidRPr="0047462D">
              <w:rPr>
                <w:sz w:val="22"/>
                <w:szCs w:val="22"/>
                <w:lang w:val="el-GR"/>
              </w:rPr>
              <w:t xml:space="preserve"> έως &lt;</w:t>
            </w:r>
            <w:r w:rsidR="00992CCF" w:rsidRPr="0047462D">
              <w:rPr>
                <w:sz w:val="22"/>
                <w:szCs w:val="22"/>
                <w:lang w:val="el-GR"/>
              </w:rPr>
              <w:t> </w:t>
            </w:r>
            <w:r w:rsidRPr="0047462D">
              <w:rPr>
                <w:sz w:val="22"/>
                <w:szCs w:val="22"/>
                <w:lang w:val="el-GR"/>
              </w:rPr>
              <w:t>14</w:t>
            </w:r>
            <w:r w:rsidRPr="0047462D">
              <w:rPr>
                <w:sz w:val="22"/>
                <w:szCs w:val="22"/>
              </w:rPr>
              <w:t> kg</w:t>
            </w:r>
            <w:r w:rsidRPr="0047462D">
              <w:rPr>
                <w:sz w:val="22"/>
                <w:szCs w:val="22"/>
                <w:lang w:val="el-GR"/>
              </w:rPr>
              <w:t>)</w:t>
            </w:r>
          </w:p>
        </w:tc>
        <w:tc>
          <w:tcPr>
            <w:tcW w:w="2460" w:type="dxa"/>
            <w:tcMar>
              <w:top w:w="0" w:type="dxa"/>
              <w:left w:w="108" w:type="dxa"/>
              <w:bottom w:w="0" w:type="dxa"/>
              <w:right w:w="108" w:type="dxa"/>
            </w:tcMar>
          </w:tcPr>
          <w:p w14:paraId="3FCC4D18" w14:textId="77777777" w:rsidR="00254E8A" w:rsidRPr="0047462D" w:rsidRDefault="00254E8A" w:rsidP="00254E8A">
            <w:pPr>
              <w:keepNext/>
              <w:rPr>
                <w:szCs w:val="22"/>
              </w:rPr>
            </w:pPr>
            <w:r w:rsidRPr="0047462D">
              <w:rPr>
                <w:szCs w:val="22"/>
              </w:rPr>
              <w:t xml:space="preserve">50 mg </w:t>
            </w:r>
            <w:r w:rsidRPr="0047462D">
              <w:t>κάθε 12 ώρες</w:t>
            </w:r>
          </w:p>
        </w:tc>
        <w:tc>
          <w:tcPr>
            <w:tcW w:w="2035" w:type="dxa"/>
            <w:tcMar>
              <w:top w:w="0" w:type="dxa"/>
              <w:left w:w="108" w:type="dxa"/>
              <w:bottom w:w="0" w:type="dxa"/>
              <w:right w:w="108" w:type="dxa"/>
            </w:tcMar>
          </w:tcPr>
          <w:p w14:paraId="1BB65C46" w14:textId="1AB1D243" w:rsidR="00254E8A" w:rsidRPr="0047462D" w:rsidRDefault="00556BF2" w:rsidP="00254E8A">
            <w:pPr>
              <w:keepNext/>
              <w:rPr>
                <w:szCs w:val="22"/>
              </w:rPr>
            </w:pPr>
            <w:r w:rsidRPr="0047462D">
              <w:t>508 (252</w:t>
            </w:r>
            <w:r w:rsidR="00254E8A" w:rsidRPr="0047462D">
              <w:rPr>
                <w:szCs w:val="22"/>
              </w:rPr>
              <w:t>)</w:t>
            </w:r>
          </w:p>
        </w:tc>
        <w:tc>
          <w:tcPr>
            <w:tcW w:w="2036" w:type="dxa"/>
            <w:tcMar>
              <w:top w:w="0" w:type="dxa"/>
              <w:left w:w="108" w:type="dxa"/>
              <w:bottom w:w="0" w:type="dxa"/>
              <w:right w:w="108" w:type="dxa"/>
            </w:tcMar>
          </w:tcPr>
          <w:p w14:paraId="3DFEB901" w14:textId="32DC0558" w:rsidR="00254E8A" w:rsidRPr="0047462D" w:rsidRDefault="00556BF2" w:rsidP="00254E8A">
            <w:pPr>
              <w:keepNext/>
              <w:rPr>
                <w:szCs w:val="22"/>
              </w:rPr>
            </w:pPr>
            <w:r w:rsidRPr="0047462D">
              <w:t>9140 (4200</w:t>
            </w:r>
            <w:r w:rsidR="00254E8A" w:rsidRPr="0047462D">
              <w:rPr>
                <w:szCs w:val="22"/>
              </w:rPr>
              <w:t>)</w:t>
            </w:r>
          </w:p>
        </w:tc>
      </w:tr>
      <w:tr w:rsidR="00AC0C22" w:rsidRPr="0047462D" w14:paraId="6EC1C661" w14:textId="77777777">
        <w:trPr>
          <w:cantSplit/>
          <w:trHeight w:val="478"/>
        </w:trPr>
        <w:tc>
          <w:tcPr>
            <w:tcW w:w="2518" w:type="dxa"/>
            <w:tcMar>
              <w:top w:w="0" w:type="dxa"/>
              <w:left w:w="108" w:type="dxa"/>
              <w:bottom w:w="0" w:type="dxa"/>
              <w:right w:w="108" w:type="dxa"/>
            </w:tcMar>
          </w:tcPr>
          <w:p w14:paraId="7EBD082A" w14:textId="3D7E8924" w:rsidR="00AC0C22" w:rsidRPr="00604911" w:rsidRDefault="00AC0C22" w:rsidP="00F93ECE">
            <w:pPr>
              <w:pStyle w:val="labeltext"/>
              <w:keepNext/>
            </w:pPr>
            <w:r w:rsidRPr="00F93ECE">
              <w:rPr>
                <w:szCs w:val="22"/>
                <w:lang w:val="el-GR"/>
              </w:rPr>
              <w:t>12</w:t>
            </w:r>
            <w:r w:rsidRPr="0047462D">
              <w:rPr>
                <w:sz w:val="22"/>
                <w:szCs w:val="22"/>
              </w:rPr>
              <w:t> </w:t>
            </w:r>
            <w:r w:rsidRPr="00F93ECE">
              <w:rPr>
                <w:szCs w:val="22"/>
                <w:lang w:val="el-GR"/>
              </w:rPr>
              <w:t>μηνών έως κάτω των 24</w:t>
            </w:r>
            <w:r w:rsidRPr="0047462D">
              <w:rPr>
                <w:sz w:val="22"/>
                <w:szCs w:val="22"/>
              </w:rPr>
              <w:t> </w:t>
            </w:r>
            <w:r w:rsidRPr="00F93ECE">
              <w:rPr>
                <w:szCs w:val="22"/>
                <w:lang w:val="el-GR"/>
              </w:rPr>
              <w:t>μηνών</w:t>
            </w:r>
            <w:r w:rsidR="00324990" w:rsidRPr="00C749BA">
              <w:rPr>
                <w:sz w:val="22"/>
                <w:szCs w:val="22"/>
                <w:lang w:val="el-GR"/>
              </w:rPr>
              <w:t xml:space="preserve"> </w:t>
            </w:r>
            <w:r w:rsidRPr="00AC7A36">
              <w:rPr>
                <w:sz w:val="22"/>
                <w:szCs w:val="22"/>
                <w:lang w:val="el-GR"/>
              </w:rPr>
              <w:t>(7</w:t>
            </w:r>
            <w:r w:rsidRPr="00F93ECE">
              <w:rPr>
                <w:sz w:val="22"/>
                <w:szCs w:val="22"/>
              </w:rPr>
              <w:t> kg</w:t>
            </w:r>
            <w:r w:rsidRPr="00AC7A36">
              <w:rPr>
                <w:sz w:val="22"/>
                <w:szCs w:val="22"/>
                <w:lang w:val="el-GR"/>
              </w:rPr>
              <w:t xml:space="preserve"> έως &lt;</w:t>
            </w:r>
            <w:r w:rsidR="00992CCF" w:rsidRPr="00F93ECE">
              <w:rPr>
                <w:sz w:val="22"/>
                <w:szCs w:val="22"/>
              </w:rPr>
              <w:t> </w:t>
            </w:r>
            <w:r w:rsidRPr="00AC7A36">
              <w:rPr>
                <w:sz w:val="22"/>
                <w:szCs w:val="22"/>
                <w:lang w:val="el-GR"/>
              </w:rPr>
              <w:t>14</w:t>
            </w:r>
            <w:r w:rsidRPr="00F93ECE">
              <w:rPr>
                <w:sz w:val="22"/>
                <w:szCs w:val="22"/>
              </w:rPr>
              <w:t> kg</w:t>
            </w:r>
            <w:r w:rsidRPr="00AC7A36">
              <w:rPr>
                <w:sz w:val="22"/>
                <w:szCs w:val="22"/>
                <w:lang w:val="el-GR"/>
              </w:rPr>
              <w:t>)</w:t>
            </w:r>
          </w:p>
        </w:tc>
        <w:tc>
          <w:tcPr>
            <w:tcW w:w="2460" w:type="dxa"/>
            <w:tcMar>
              <w:top w:w="0" w:type="dxa"/>
              <w:left w:w="108" w:type="dxa"/>
              <w:bottom w:w="0" w:type="dxa"/>
              <w:right w:w="108" w:type="dxa"/>
            </w:tcMar>
          </w:tcPr>
          <w:p w14:paraId="34EF3B7A" w14:textId="77777777" w:rsidR="00AC0C22" w:rsidRPr="0047462D" w:rsidRDefault="00AC0C22" w:rsidP="00AC0C22">
            <w:pPr>
              <w:keepNext/>
              <w:rPr>
                <w:lang w:val="en-US"/>
              </w:rPr>
            </w:pPr>
            <w:r w:rsidRPr="0047462D">
              <w:t>50 mg κάθε 12 ώρες</w:t>
            </w:r>
          </w:p>
        </w:tc>
        <w:tc>
          <w:tcPr>
            <w:tcW w:w="2035" w:type="dxa"/>
            <w:tcMar>
              <w:top w:w="0" w:type="dxa"/>
              <w:left w:w="108" w:type="dxa"/>
              <w:bottom w:w="0" w:type="dxa"/>
              <w:right w:w="108" w:type="dxa"/>
            </w:tcMar>
          </w:tcPr>
          <w:p w14:paraId="58C999DA" w14:textId="77777777" w:rsidR="00AC0C22" w:rsidRPr="0047462D" w:rsidRDefault="00AC0C22" w:rsidP="00AC0C22">
            <w:pPr>
              <w:keepNext/>
              <w:rPr>
                <w:lang w:val="en-US"/>
              </w:rPr>
            </w:pPr>
            <w:r w:rsidRPr="0047462D">
              <w:t>440 (212)</w:t>
            </w:r>
          </w:p>
        </w:tc>
        <w:tc>
          <w:tcPr>
            <w:tcW w:w="2036" w:type="dxa"/>
            <w:tcMar>
              <w:top w:w="0" w:type="dxa"/>
              <w:left w:w="108" w:type="dxa"/>
              <w:bottom w:w="0" w:type="dxa"/>
              <w:right w:w="108" w:type="dxa"/>
            </w:tcMar>
          </w:tcPr>
          <w:p w14:paraId="49201490" w14:textId="77777777" w:rsidR="00AC0C22" w:rsidRPr="0047462D" w:rsidRDefault="00AC0C22" w:rsidP="00AC0C22">
            <w:pPr>
              <w:keepNext/>
              <w:rPr>
                <w:lang w:val="en-US"/>
              </w:rPr>
            </w:pPr>
            <w:r w:rsidRPr="0047462D">
              <w:t>9050 (3050)</w:t>
            </w:r>
          </w:p>
        </w:tc>
      </w:tr>
      <w:tr w:rsidR="00AC0C22" w:rsidRPr="0047462D" w14:paraId="4FA5A7B4" w14:textId="77777777">
        <w:trPr>
          <w:cantSplit/>
          <w:trHeight w:val="478"/>
        </w:trPr>
        <w:tc>
          <w:tcPr>
            <w:tcW w:w="2518" w:type="dxa"/>
            <w:tcMar>
              <w:top w:w="0" w:type="dxa"/>
              <w:left w:w="108" w:type="dxa"/>
              <w:bottom w:w="0" w:type="dxa"/>
              <w:right w:w="108" w:type="dxa"/>
            </w:tcMar>
          </w:tcPr>
          <w:p w14:paraId="48CCE6F9" w14:textId="3A5FF9F4" w:rsidR="00AC0C22" w:rsidRPr="00604911" w:rsidRDefault="00AC0C22" w:rsidP="00F93ECE">
            <w:pPr>
              <w:pStyle w:val="labeltext"/>
              <w:keepNext/>
            </w:pPr>
            <w:r w:rsidRPr="0047462D">
              <w:rPr>
                <w:sz w:val="22"/>
                <w:szCs w:val="22"/>
                <w:lang w:val="el-GR"/>
              </w:rPr>
              <w:t>12</w:t>
            </w:r>
            <w:r w:rsidRPr="00F93ECE">
              <w:rPr>
                <w:szCs w:val="22"/>
                <w:lang w:val="el-GR"/>
              </w:rPr>
              <w:t> </w:t>
            </w:r>
            <w:r w:rsidRPr="0047462D">
              <w:rPr>
                <w:sz w:val="22"/>
                <w:szCs w:val="22"/>
                <w:lang w:val="el-GR"/>
              </w:rPr>
              <w:t>μηνών έως κάτω των 24</w:t>
            </w:r>
            <w:r w:rsidRPr="00F93ECE">
              <w:rPr>
                <w:szCs w:val="22"/>
                <w:lang w:val="el-GR"/>
              </w:rPr>
              <w:t> </w:t>
            </w:r>
            <w:r w:rsidRPr="0047462D">
              <w:rPr>
                <w:sz w:val="22"/>
                <w:szCs w:val="22"/>
                <w:lang w:val="el-GR"/>
              </w:rPr>
              <w:t>μηνών</w:t>
            </w:r>
            <w:r w:rsidR="00324990" w:rsidRPr="00324990">
              <w:rPr>
                <w:sz w:val="22"/>
                <w:szCs w:val="22"/>
                <w:lang w:val="el-GR"/>
              </w:rPr>
              <w:t xml:space="preserve"> </w:t>
            </w:r>
            <w:r w:rsidRPr="00324990">
              <w:rPr>
                <w:sz w:val="22"/>
                <w:szCs w:val="22"/>
                <w:lang w:val="el-GR"/>
              </w:rPr>
              <w:t>(</w:t>
            </w:r>
            <w:r w:rsidR="00D85450" w:rsidRPr="00F93ECE">
              <w:rPr>
                <w:rFonts w:hint="eastAsia"/>
                <w:sz w:val="22"/>
                <w:szCs w:val="22"/>
                <w:lang w:val="el-GR"/>
              </w:rPr>
              <w:t>≥</w:t>
            </w:r>
            <w:r w:rsidR="00992CCF" w:rsidRPr="00F93ECE">
              <w:rPr>
                <w:sz w:val="22"/>
                <w:szCs w:val="22"/>
                <w:lang w:val="el-GR"/>
              </w:rPr>
              <w:t> </w:t>
            </w:r>
            <w:r w:rsidRPr="00324990">
              <w:rPr>
                <w:sz w:val="22"/>
                <w:szCs w:val="22"/>
                <w:lang w:val="el-GR"/>
              </w:rPr>
              <w:t>14</w:t>
            </w:r>
            <w:r w:rsidR="00176AF0" w:rsidRPr="00F93ECE">
              <w:rPr>
                <w:sz w:val="22"/>
                <w:szCs w:val="22"/>
                <w:lang w:val="el-GR"/>
              </w:rPr>
              <w:t> </w:t>
            </w:r>
            <w:r w:rsidRPr="00324990">
              <w:rPr>
                <w:sz w:val="22"/>
                <w:szCs w:val="22"/>
                <w:lang w:val="el-GR"/>
              </w:rPr>
              <w:t xml:space="preserve">kg </w:t>
            </w:r>
            <w:r w:rsidRPr="00F93ECE">
              <w:rPr>
                <w:sz w:val="22"/>
                <w:szCs w:val="22"/>
                <w:lang w:val="el-GR"/>
              </w:rPr>
              <w:t>έως</w:t>
            </w:r>
            <w:r w:rsidRPr="00324990">
              <w:rPr>
                <w:sz w:val="22"/>
                <w:szCs w:val="22"/>
                <w:lang w:val="el-GR"/>
              </w:rPr>
              <w:t xml:space="preserve"> &lt;</w:t>
            </w:r>
            <w:r w:rsidR="00992CCF" w:rsidRPr="00324990">
              <w:rPr>
                <w:sz w:val="22"/>
                <w:szCs w:val="22"/>
                <w:lang w:val="el-GR"/>
              </w:rPr>
              <w:t> </w:t>
            </w:r>
            <w:r w:rsidRPr="00324990">
              <w:rPr>
                <w:sz w:val="22"/>
                <w:szCs w:val="22"/>
                <w:lang w:val="el-GR"/>
              </w:rPr>
              <w:t>25</w:t>
            </w:r>
            <w:r w:rsidR="00176AF0" w:rsidRPr="00F93ECE">
              <w:rPr>
                <w:sz w:val="22"/>
                <w:szCs w:val="22"/>
                <w:lang w:val="el-GR"/>
              </w:rPr>
              <w:t> </w:t>
            </w:r>
            <w:r w:rsidRPr="00324990">
              <w:rPr>
                <w:sz w:val="22"/>
                <w:szCs w:val="22"/>
                <w:lang w:val="el-GR"/>
              </w:rPr>
              <w:t>kg)</w:t>
            </w:r>
          </w:p>
        </w:tc>
        <w:tc>
          <w:tcPr>
            <w:tcW w:w="2460" w:type="dxa"/>
            <w:tcMar>
              <w:top w:w="0" w:type="dxa"/>
              <w:left w:w="108" w:type="dxa"/>
              <w:bottom w:w="0" w:type="dxa"/>
              <w:right w:w="108" w:type="dxa"/>
            </w:tcMar>
          </w:tcPr>
          <w:p w14:paraId="77C5C51B" w14:textId="77777777" w:rsidR="00AC0C22" w:rsidRPr="0047462D" w:rsidRDefault="00AC0C22" w:rsidP="00AC0C22">
            <w:pPr>
              <w:keepNext/>
              <w:rPr>
                <w:lang w:val="en-US"/>
              </w:rPr>
            </w:pPr>
            <w:r w:rsidRPr="0047462D">
              <w:t>75 mg κάθε 12 ώρες</w:t>
            </w:r>
          </w:p>
        </w:tc>
        <w:tc>
          <w:tcPr>
            <w:tcW w:w="2035" w:type="dxa"/>
            <w:tcMar>
              <w:top w:w="0" w:type="dxa"/>
              <w:left w:w="108" w:type="dxa"/>
              <w:bottom w:w="0" w:type="dxa"/>
              <w:right w:w="108" w:type="dxa"/>
            </w:tcMar>
          </w:tcPr>
          <w:p w14:paraId="7927972A" w14:textId="77777777" w:rsidR="00AC0C22" w:rsidRPr="0047462D" w:rsidRDefault="00AC0C22" w:rsidP="00AC0C22">
            <w:pPr>
              <w:keepNext/>
              <w:rPr>
                <w:lang w:val="en-US"/>
              </w:rPr>
            </w:pPr>
            <w:r w:rsidRPr="0047462D">
              <w:t>451 (125)</w:t>
            </w:r>
          </w:p>
        </w:tc>
        <w:tc>
          <w:tcPr>
            <w:tcW w:w="2036" w:type="dxa"/>
            <w:tcMar>
              <w:top w:w="0" w:type="dxa"/>
              <w:left w:w="108" w:type="dxa"/>
              <w:bottom w:w="0" w:type="dxa"/>
              <w:right w:w="108" w:type="dxa"/>
            </w:tcMar>
          </w:tcPr>
          <w:p w14:paraId="7EDF17EC" w14:textId="77777777" w:rsidR="00AC0C22" w:rsidRPr="0047462D" w:rsidRDefault="00AC0C22" w:rsidP="00AC0C22">
            <w:pPr>
              <w:keepNext/>
              <w:rPr>
                <w:lang w:val="en-US"/>
              </w:rPr>
            </w:pPr>
            <w:r w:rsidRPr="0047462D">
              <w:t>9600 (1800)</w:t>
            </w:r>
          </w:p>
        </w:tc>
      </w:tr>
      <w:tr w:rsidR="001C01B6" w:rsidRPr="0047462D" w14:paraId="21B6CE12" w14:textId="77777777">
        <w:trPr>
          <w:cantSplit/>
          <w:trHeight w:val="478"/>
        </w:trPr>
        <w:tc>
          <w:tcPr>
            <w:tcW w:w="2518" w:type="dxa"/>
            <w:tcMar>
              <w:top w:w="0" w:type="dxa"/>
              <w:left w:w="108" w:type="dxa"/>
              <w:bottom w:w="0" w:type="dxa"/>
              <w:right w:w="108" w:type="dxa"/>
            </w:tcMar>
          </w:tcPr>
          <w:p w14:paraId="504BAE54" w14:textId="0F04D13F" w:rsidR="001C01B6" w:rsidRPr="0047462D" w:rsidRDefault="001C01B6" w:rsidP="00324990">
            <w:pPr>
              <w:keepNext/>
              <w:rPr>
                <w:lang w:val="en-US"/>
              </w:rPr>
            </w:pPr>
            <w:r w:rsidRPr="0047462D">
              <w:rPr>
                <w:lang w:val="en-US"/>
              </w:rPr>
              <w:t xml:space="preserve">2 </w:t>
            </w:r>
            <w:r w:rsidRPr="0047462D">
              <w:t>έως</w:t>
            </w:r>
            <w:r w:rsidRPr="0047462D">
              <w:rPr>
                <w:lang w:val="en-US"/>
              </w:rPr>
              <w:t xml:space="preserve"> 5</w:t>
            </w:r>
            <w:r w:rsidR="0073704C" w:rsidRPr="0047462D">
              <w:rPr>
                <w:lang w:val="en-GB"/>
              </w:rPr>
              <w:t> </w:t>
            </w:r>
            <w:r w:rsidRPr="0047462D">
              <w:t>ετών</w:t>
            </w:r>
            <w:r w:rsidR="00324990">
              <w:t xml:space="preserve"> </w:t>
            </w:r>
            <w:r w:rsidRPr="0047462D">
              <w:rPr>
                <w:lang w:val="en-US"/>
              </w:rPr>
              <w:t>(&lt;</w:t>
            </w:r>
            <w:r w:rsidR="00992CCF" w:rsidRPr="0047462D">
              <w:t> </w:t>
            </w:r>
            <w:r w:rsidRPr="0047462D">
              <w:rPr>
                <w:lang w:val="en-US"/>
              </w:rPr>
              <w:t>14 kg)</w:t>
            </w:r>
          </w:p>
        </w:tc>
        <w:tc>
          <w:tcPr>
            <w:tcW w:w="2460" w:type="dxa"/>
            <w:tcMar>
              <w:top w:w="0" w:type="dxa"/>
              <w:left w:w="108" w:type="dxa"/>
              <w:bottom w:w="0" w:type="dxa"/>
              <w:right w:w="108" w:type="dxa"/>
            </w:tcMar>
          </w:tcPr>
          <w:p w14:paraId="026BB38C" w14:textId="77777777" w:rsidR="001C01B6" w:rsidRPr="0047462D" w:rsidRDefault="001C01B6" w:rsidP="009A2EEC">
            <w:pPr>
              <w:keepNext/>
            </w:pPr>
            <w:r w:rsidRPr="0047462D">
              <w:rPr>
                <w:lang w:val="en-US"/>
              </w:rPr>
              <w:t xml:space="preserve">50 mg </w:t>
            </w:r>
            <w:r w:rsidRPr="0047462D">
              <w:t>κάθε 12 ώρες</w:t>
            </w:r>
          </w:p>
        </w:tc>
        <w:tc>
          <w:tcPr>
            <w:tcW w:w="2035" w:type="dxa"/>
            <w:tcMar>
              <w:top w:w="0" w:type="dxa"/>
              <w:left w:w="108" w:type="dxa"/>
              <w:bottom w:w="0" w:type="dxa"/>
              <w:right w:w="108" w:type="dxa"/>
            </w:tcMar>
          </w:tcPr>
          <w:p w14:paraId="78D3ABF7" w14:textId="77777777" w:rsidR="001C01B6" w:rsidRPr="0047462D" w:rsidRDefault="001C01B6" w:rsidP="009A2EEC">
            <w:pPr>
              <w:keepNext/>
              <w:rPr>
                <w:lang w:val="en-US"/>
              </w:rPr>
            </w:pPr>
            <w:r w:rsidRPr="0047462D">
              <w:rPr>
                <w:lang w:val="en-US"/>
              </w:rPr>
              <w:t>577 (317)</w:t>
            </w:r>
          </w:p>
        </w:tc>
        <w:tc>
          <w:tcPr>
            <w:tcW w:w="2036" w:type="dxa"/>
            <w:tcMar>
              <w:top w:w="0" w:type="dxa"/>
              <w:left w:w="108" w:type="dxa"/>
              <w:bottom w:w="0" w:type="dxa"/>
              <w:right w:w="108" w:type="dxa"/>
            </w:tcMar>
          </w:tcPr>
          <w:p w14:paraId="6B792614" w14:textId="77777777" w:rsidR="001C01B6" w:rsidRPr="0047462D" w:rsidRDefault="001C01B6" w:rsidP="009A2EEC">
            <w:pPr>
              <w:keepNext/>
              <w:rPr>
                <w:lang w:val="en-US"/>
              </w:rPr>
            </w:pPr>
            <w:r w:rsidRPr="0047462D">
              <w:rPr>
                <w:lang w:val="en-US"/>
              </w:rPr>
              <w:t>10500 (4260)</w:t>
            </w:r>
          </w:p>
        </w:tc>
      </w:tr>
      <w:tr w:rsidR="001C01B6" w:rsidRPr="0047462D" w14:paraId="049B7D84" w14:textId="77777777">
        <w:trPr>
          <w:cantSplit/>
          <w:trHeight w:val="478"/>
        </w:trPr>
        <w:tc>
          <w:tcPr>
            <w:tcW w:w="2518" w:type="dxa"/>
            <w:tcMar>
              <w:top w:w="0" w:type="dxa"/>
              <w:left w:w="108" w:type="dxa"/>
              <w:bottom w:w="0" w:type="dxa"/>
              <w:right w:w="108" w:type="dxa"/>
            </w:tcMar>
          </w:tcPr>
          <w:p w14:paraId="5ACBA716" w14:textId="46DC1BED" w:rsidR="001C01B6" w:rsidRPr="0047462D" w:rsidRDefault="001C01B6" w:rsidP="00324990">
            <w:pPr>
              <w:keepNext/>
            </w:pPr>
            <w:r w:rsidRPr="0047462D">
              <w:t>2 έως 5</w:t>
            </w:r>
            <w:r w:rsidR="0073704C" w:rsidRPr="0047462D">
              <w:rPr>
                <w:lang w:val="en-GB"/>
              </w:rPr>
              <w:t> </w:t>
            </w:r>
            <w:r w:rsidRPr="0047462D">
              <w:t>ετών</w:t>
            </w:r>
            <w:r w:rsidR="00324990">
              <w:t xml:space="preserve"> </w:t>
            </w:r>
            <w:r w:rsidRPr="0047462D">
              <w:t>(≥</w:t>
            </w:r>
            <w:r w:rsidR="00992CCF" w:rsidRPr="0047462D">
              <w:t> </w:t>
            </w:r>
            <w:r w:rsidRPr="0047462D">
              <w:t>14</w:t>
            </w:r>
            <w:r w:rsidRPr="0047462D">
              <w:rPr>
                <w:lang w:val="en-US"/>
              </w:rPr>
              <w:t> kg</w:t>
            </w:r>
            <w:r w:rsidRPr="0047462D">
              <w:t xml:space="preserve"> έως &lt;</w:t>
            </w:r>
            <w:r w:rsidR="00992CCF" w:rsidRPr="0047462D">
              <w:t> </w:t>
            </w:r>
            <w:r w:rsidRPr="0047462D">
              <w:t>25</w:t>
            </w:r>
            <w:r w:rsidRPr="0047462D">
              <w:rPr>
                <w:lang w:val="en-US"/>
              </w:rPr>
              <w:t> kg</w:t>
            </w:r>
            <w:r w:rsidRPr="0047462D">
              <w:t>)</w:t>
            </w:r>
          </w:p>
        </w:tc>
        <w:tc>
          <w:tcPr>
            <w:tcW w:w="2460" w:type="dxa"/>
            <w:tcMar>
              <w:top w:w="0" w:type="dxa"/>
              <w:left w:w="108" w:type="dxa"/>
              <w:bottom w:w="0" w:type="dxa"/>
              <w:right w:w="108" w:type="dxa"/>
            </w:tcMar>
          </w:tcPr>
          <w:p w14:paraId="51D5EA9B" w14:textId="77777777" w:rsidR="001C01B6" w:rsidRPr="0047462D" w:rsidRDefault="001C01B6" w:rsidP="009A2EEC">
            <w:pPr>
              <w:keepNext/>
            </w:pPr>
            <w:r w:rsidRPr="0047462D">
              <w:rPr>
                <w:lang w:val="en-US"/>
              </w:rPr>
              <w:t xml:space="preserve">75 mg </w:t>
            </w:r>
            <w:r w:rsidRPr="0047462D">
              <w:t>κάθε 12 ώρες</w:t>
            </w:r>
          </w:p>
        </w:tc>
        <w:tc>
          <w:tcPr>
            <w:tcW w:w="2035" w:type="dxa"/>
            <w:tcMar>
              <w:top w:w="0" w:type="dxa"/>
              <w:left w:w="108" w:type="dxa"/>
              <w:bottom w:w="0" w:type="dxa"/>
              <w:right w:w="108" w:type="dxa"/>
            </w:tcMar>
          </w:tcPr>
          <w:p w14:paraId="16962091" w14:textId="77777777" w:rsidR="001C01B6" w:rsidRPr="0047462D" w:rsidRDefault="001C01B6" w:rsidP="009A2EEC">
            <w:pPr>
              <w:keepNext/>
              <w:rPr>
                <w:lang w:val="en-US"/>
              </w:rPr>
            </w:pPr>
            <w:r w:rsidRPr="0047462D">
              <w:rPr>
                <w:lang w:val="en-US"/>
              </w:rPr>
              <w:t>629 (296)</w:t>
            </w:r>
          </w:p>
        </w:tc>
        <w:tc>
          <w:tcPr>
            <w:tcW w:w="2036" w:type="dxa"/>
            <w:tcMar>
              <w:top w:w="0" w:type="dxa"/>
              <w:left w:w="108" w:type="dxa"/>
              <w:bottom w:w="0" w:type="dxa"/>
              <w:right w:w="108" w:type="dxa"/>
            </w:tcMar>
          </w:tcPr>
          <w:p w14:paraId="186C0F81" w14:textId="77777777" w:rsidR="001C01B6" w:rsidRPr="0047462D" w:rsidRDefault="001C01B6" w:rsidP="009A2EEC">
            <w:pPr>
              <w:keepNext/>
              <w:rPr>
                <w:lang w:val="en-US"/>
              </w:rPr>
            </w:pPr>
            <w:r w:rsidRPr="0047462D">
              <w:rPr>
                <w:lang w:val="en-US"/>
              </w:rPr>
              <w:t>11300 (3820)</w:t>
            </w:r>
          </w:p>
        </w:tc>
      </w:tr>
      <w:tr w:rsidR="001C01B6" w:rsidRPr="0047462D" w14:paraId="3B0C0931" w14:textId="77777777">
        <w:trPr>
          <w:cantSplit/>
          <w:trHeight w:val="478"/>
        </w:trPr>
        <w:tc>
          <w:tcPr>
            <w:tcW w:w="2518" w:type="dxa"/>
            <w:tcMar>
              <w:top w:w="0" w:type="dxa"/>
              <w:left w:w="108" w:type="dxa"/>
              <w:bottom w:w="0" w:type="dxa"/>
              <w:right w:w="108" w:type="dxa"/>
            </w:tcMar>
          </w:tcPr>
          <w:p w14:paraId="74DA9E02" w14:textId="05283C3A" w:rsidR="001C01B6" w:rsidRPr="0047462D" w:rsidRDefault="001C01B6" w:rsidP="00324990">
            <w:pPr>
              <w:keepNext/>
            </w:pPr>
            <w:r w:rsidRPr="0047462D">
              <w:t>6 έως 11</w:t>
            </w:r>
            <w:r w:rsidR="0073704C" w:rsidRPr="0047462D">
              <w:rPr>
                <w:lang w:val="en-GB"/>
              </w:rPr>
              <w:t> </w:t>
            </w:r>
            <w:r w:rsidRPr="0047462D">
              <w:t>ετών</w:t>
            </w:r>
            <w:r w:rsidR="00A60275" w:rsidRPr="0047462D">
              <w:rPr>
                <w:szCs w:val="22"/>
              </w:rPr>
              <w:t> </w:t>
            </w:r>
            <w:r w:rsidR="007F5C75" w:rsidRPr="0047462D">
              <w:rPr>
                <w:position w:val="6"/>
                <w:vertAlign w:val="superscript"/>
              </w:rPr>
              <w:t>†</w:t>
            </w:r>
            <w:r w:rsidR="00324990">
              <w:t xml:space="preserve"> </w:t>
            </w:r>
            <w:r w:rsidRPr="0047462D">
              <w:t>(≥</w:t>
            </w:r>
            <w:r w:rsidR="00992CCF" w:rsidRPr="0047462D">
              <w:t> </w:t>
            </w:r>
            <w:r w:rsidRPr="0047462D">
              <w:t>14</w:t>
            </w:r>
            <w:r w:rsidRPr="0047462D">
              <w:rPr>
                <w:lang w:val="en-US"/>
              </w:rPr>
              <w:t> kg</w:t>
            </w:r>
            <w:r w:rsidRPr="0047462D">
              <w:t xml:space="preserve"> έως &lt;</w:t>
            </w:r>
            <w:r w:rsidR="00992CCF" w:rsidRPr="0047462D">
              <w:t> </w:t>
            </w:r>
            <w:r w:rsidRPr="0047462D">
              <w:t>25</w:t>
            </w:r>
            <w:r w:rsidRPr="0047462D">
              <w:rPr>
                <w:lang w:val="en-US"/>
              </w:rPr>
              <w:t> kg</w:t>
            </w:r>
            <w:r w:rsidRPr="0047462D">
              <w:t>)</w:t>
            </w:r>
          </w:p>
        </w:tc>
        <w:tc>
          <w:tcPr>
            <w:tcW w:w="2460" w:type="dxa"/>
            <w:tcMar>
              <w:top w:w="0" w:type="dxa"/>
              <w:left w:w="108" w:type="dxa"/>
              <w:bottom w:w="0" w:type="dxa"/>
              <w:right w:w="108" w:type="dxa"/>
            </w:tcMar>
          </w:tcPr>
          <w:p w14:paraId="01ECB22F" w14:textId="77777777" w:rsidR="001C01B6" w:rsidRPr="0047462D" w:rsidRDefault="001C01B6" w:rsidP="009A2EEC">
            <w:pPr>
              <w:keepNext/>
            </w:pPr>
            <w:r w:rsidRPr="0047462D">
              <w:rPr>
                <w:lang w:val="en-US"/>
              </w:rPr>
              <w:t xml:space="preserve">75 mg </w:t>
            </w:r>
            <w:r w:rsidRPr="0047462D">
              <w:t>κάθε 12 ώρες</w:t>
            </w:r>
          </w:p>
        </w:tc>
        <w:tc>
          <w:tcPr>
            <w:tcW w:w="2035" w:type="dxa"/>
            <w:tcMar>
              <w:top w:w="0" w:type="dxa"/>
              <w:left w:w="108" w:type="dxa"/>
              <w:bottom w:w="0" w:type="dxa"/>
              <w:right w:w="108" w:type="dxa"/>
            </w:tcMar>
          </w:tcPr>
          <w:p w14:paraId="707C6780" w14:textId="77777777" w:rsidR="001C01B6" w:rsidRPr="0047462D" w:rsidRDefault="001C01B6" w:rsidP="009A2EEC">
            <w:pPr>
              <w:keepNext/>
              <w:rPr>
                <w:lang w:val="en-US"/>
              </w:rPr>
            </w:pPr>
            <w:r w:rsidRPr="0047462D">
              <w:rPr>
                <w:lang w:val="en-US"/>
              </w:rPr>
              <w:t>641 (329)</w:t>
            </w:r>
          </w:p>
        </w:tc>
        <w:tc>
          <w:tcPr>
            <w:tcW w:w="2036" w:type="dxa"/>
            <w:tcMar>
              <w:top w:w="0" w:type="dxa"/>
              <w:left w:w="108" w:type="dxa"/>
              <w:bottom w:w="0" w:type="dxa"/>
              <w:right w:w="108" w:type="dxa"/>
            </w:tcMar>
          </w:tcPr>
          <w:p w14:paraId="6F9B7CB4" w14:textId="77777777" w:rsidR="001C01B6" w:rsidRPr="0047462D" w:rsidRDefault="001C01B6" w:rsidP="009A2EEC">
            <w:pPr>
              <w:keepNext/>
              <w:rPr>
                <w:lang w:val="en-US"/>
              </w:rPr>
            </w:pPr>
            <w:r w:rsidRPr="0047462D">
              <w:rPr>
                <w:lang w:val="en-US"/>
              </w:rPr>
              <w:t>10760 (4470)</w:t>
            </w:r>
          </w:p>
        </w:tc>
      </w:tr>
      <w:tr w:rsidR="001C01B6" w:rsidRPr="0047462D" w14:paraId="18CD5E6A" w14:textId="77777777">
        <w:trPr>
          <w:cantSplit/>
          <w:trHeight w:val="463"/>
        </w:trPr>
        <w:tc>
          <w:tcPr>
            <w:tcW w:w="2518" w:type="dxa"/>
            <w:tcMar>
              <w:top w:w="0" w:type="dxa"/>
              <w:left w:w="108" w:type="dxa"/>
              <w:bottom w:w="0" w:type="dxa"/>
              <w:right w:w="108" w:type="dxa"/>
            </w:tcMar>
          </w:tcPr>
          <w:p w14:paraId="6404E3D7" w14:textId="739B2A79" w:rsidR="001C01B6" w:rsidRPr="0047462D" w:rsidRDefault="001C01B6" w:rsidP="00324990">
            <w:pPr>
              <w:keepNext/>
              <w:rPr>
                <w:lang w:val="en-US"/>
              </w:rPr>
            </w:pPr>
            <w:r w:rsidRPr="0047462D">
              <w:t>6 έως 11</w:t>
            </w:r>
            <w:r w:rsidR="0073704C" w:rsidRPr="0047462D">
              <w:rPr>
                <w:lang w:val="en-GB"/>
              </w:rPr>
              <w:t> </w:t>
            </w:r>
            <w:r w:rsidRPr="0047462D">
              <w:t>ετών</w:t>
            </w:r>
            <w:r w:rsidR="00A60275" w:rsidRPr="0047462D">
              <w:rPr>
                <w:szCs w:val="22"/>
              </w:rPr>
              <w:t> </w:t>
            </w:r>
            <w:r w:rsidR="007F5C75" w:rsidRPr="0047462D">
              <w:rPr>
                <w:position w:val="6"/>
                <w:vertAlign w:val="superscript"/>
              </w:rPr>
              <w:t>†</w:t>
            </w:r>
            <w:r w:rsidR="00324990">
              <w:t xml:space="preserve"> </w:t>
            </w:r>
            <w:r w:rsidRPr="0047462D">
              <w:rPr>
                <w:lang w:val="en-US"/>
              </w:rPr>
              <w:t>(≥</w:t>
            </w:r>
            <w:r w:rsidR="00992CCF" w:rsidRPr="0047462D">
              <w:t> </w:t>
            </w:r>
            <w:r w:rsidRPr="0047462D">
              <w:rPr>
                <w:lang w:val="en-US"/>
              </w:rPr>
              <w:t>25 kg)</w:t>
            </w:r>
          </w:p>
        </w:tc>
        <w:tc>
          <w:tcPr>
            <w:tcW w:w="2460" w:type="dxa"/>
            <w:tcMar>
              <w:top w:w="0" w:type="dxa"/>
              <w:left w:w="108" w:type="dxa"/>
              <w:bottom w:w="0" w:type="dxa"/>
              <w:right w:w="108" w:type="dxa"/>
            </w:tcMar>
          </w:tcPr>
          <w:p w14:paraId="2AA58B32" w14:textId="77777777" w:rsidR="001C01B6" w:rsidRPr="0047462D" w:rsidRDefault="001C01B6" w:rsidP="009A2EEC">
            <w:pPr>
              <w:keepNext/>
            </w:pPr>
            <w:r w:rsidRPr="0047462D">
              <w:rPr>
                <w:lang w:val="en-US"/>
              </w:rPr>
              <w:t xml:space="preserve">150 mg </w:t>
            </w:r>
            <w:r w:rsidRPr="0047462D">
              <w:t>κάθε 12 ώρες</w:t>
            </w:r>
          </w:p>
        </w:tc>
        <w:tc>
          <w:tcPr>
            <w:tcW w:w="2035" w:type="dxa"/>
            <w:tcMar>
              <w:top w:w="0" w:type="dxa"/>
              <w:left w:w="108" w:type="dxa"/>
              <w:bottom w:w="0" w:type="dxa"/>
              <w:right w:w="108" w:type="dxa"/>
            </w:tcMar>
          </w:tcPr>
          <w:p w14:paraId="2BD9B9B5" w14:textId="77777777" w:rsidR="001C01B6" w:rsidRPr="0047462D" w:rsidRDefault="001C01B6" w:rsidP="009A2EEC">
            <w:pPr>
              <w:keepNext/>
              <w:rPr>
                <w:lang w:val="en-US"/>
              </w:rPr>
            </w:pPr>
            <w:r w:rsidRPr="0047462D">
              <w:rPr>
                <w:lang w:val="en-US"/>
              </w:rPr>
              <w:t>958 (546)</w:t>
            </w:r>
          </w:p>
        </w:tc>
        <w:tc>
          <w:tcPr>
            <w:tcW w:w="2036" w:type="dxa"/>
            <w:tcMar>
              <w:top w:w="0" w:type="dxa"/>
              <w:left w:w="108" w:type="dxa"/>
              <w:bottom w:w="0" w:type="dxa"/>
              <w:right w:w="108" w:type="dxa"/>
            </w:tcMar>
          </w:tcPr>
          <w:p w14:paraId="5AB6259A" w14:textId="77777777" w:rsidR="001C01B6" w:rsidRPr="0047462D" w:rsidRDefault="001C01B6" w:rsidP="009A2EEC">
            <w:pPr>
              <w:keepNext/>
              <w:rPr>
                <w:lang w:val="en-US"/>
              </w:rPr>
            </w:pPr>
            <w:r w:rsidRPr="0047462D">
              <w:rPr>
                <w:lang w:val="en-US"/>
              </w:rPr>
              <w:t>15300 (7340)</w:t>
            </w:r>
          </w:p>
        </w:tc>
      </w:tr>
      <w:tr w:rsidR="001C01B6" w:rsidRPr="0047462D" w14:paraId="30B9E26D" w14:textId="77777777">
        <w:trPr>
          <w:cantSplit/>
          <w:trHeight w:val="495"/>
        </w:trPr>
        <w:tc>
          <w:tcPr>
            <w:tcW w:w="2518" w:type="dxa"/>
            <w:tcMar>
              <w:top w:w="0" w:type="dxa"/>
              <w:left w:w="108" w:type="dxa"/>
              <w:bottom w:w="0" w:type="dxa"/>
              <w:right w:w="108" w:type="dxa"/>
            </w:tcMar>
          </w:tcPr>
          <w:p w14:paraId="19ABB757" w14:textId="20E10617" w:rsidR="001C01B6" w:rsidRPr="0047462D" w:rsidRDefault="001C01B6" w:rsidP="009A2EEC">
            <w:pPr>
              <w:keepNext/>
            </w:pPr>
            <w:r w:rsidRPr="0047462D">
              <w:rPr>
                <w:lang w:val="en-US"/>
              </w:rPr>
              <w:t xml:space="preserve">12 </w:t>
            </w:r>
            <w:r w:rsidRPr="0047462D">
              <w:t>έως</w:t>
            </w:r>
            <w:r w:rsidRPr="0047462D">
              <w:rPr>
                <w:lang w:val="en-US"/>
              </w:rPr>
              <w:t xml:space="preserve"> 17</w:t>
            </w:r>
            <w:r w:rsidR="0073704C" w:rsidRPr="0047462D">
              <w:rPr>
                <w:lang w:val="en-GB"/>
              </w:rPr>
              <w:t> </w:t>
            </w:r>
            <w:r w:rsidRPr="0047462D">
              <w:t>ετών</w:t>
            </w:r>
          </w:p>
        </w:tc>
        <w:tc>
          <w:tcPr>
            <w:tcW w:w="2460" w:type="dxa"/>
            <w:tcMar>
              <w:top w:w="0" w:type="dxa"/>
              <w:left w:w="108" w:type="dxa"/>
              <w:bottom w:w="0" w:type="dxa"/>
              <w:right w:w="108" w:type="dxa"/>
            </w:tcMar>
          </w:tcPr>
          <w:p w14:paraId="6BA54C3C" w14:textId="77777777" w:rsidR="001C01B6" w:rsidRPr="0047462D" w:rsidRDefault="001C01B6" w:rsidP="009A2EEC">
            <w:pPr>
              <w:keepNext/>
            </w:pPr>
            <w:r w:rsidRPr="0047462D">
              <w:rPr>
                <w:lang w:val="en-US"/>
              </w:rPr>
              <w:t xml:space="preserve">150 mg </w:t>
            </w:r>
            <w:r w:rsidRPr="0047462D">
              <w:t>κάθε 12 ώρες</w:t>
            </w:r>
          </w:p>
        </w:tc>
        <w:tc>
          <w:tcPr>
            <w:tcW w:w="2035" w:type="dxa"/>
            <w:tcMar>
              <w:top w:w="0" w:type="dxa"/>
              <w:left w:w="108" w:type="dxa"/>
              <w:bottom w:w="0" w:type="dxa"/>
              <w:right w:w="108" w:type="dxa"/>
            </w:tcMar>
          </w:tcPr>
          <w:p w14:paraId="3F6A8C83" w14:textId="77777777" w:rsidR="001C01B6" w:rsidRPr="0047462D" w:rsidRDefault="001C01B6" w:rsidP="009A2EEC">
            <w:pPr>
              <w:keepNext/>
              <w:rPr>
                <w:lang w:val="en-US"/>
              </w:rPr>
            </w:pPr>
            <w:r w:rsidRPr="0047462D">
              <w:rPr>
                <w:lang w:val="en-US"/>
              </w:rPr>
              <w:t>564 (242)</w:t>
            </w:r>
          </w:p>
        </w:tc>
        <w:tc>
          <w:tcPr>
            <w:tcW w:w="2036" w:type="dxa"/>
            <w:tcMar>
              <w:top w:w="0" w:type="dxa"/>
              <w:left w:w="108" w:type="dxa"/>
              <w:bottom w:w="0" w:type="dxa"/>
              <w:right w:w="108" w:type="dxa"/>
            </w:tcMar>
          </w:tcPr>
          <w:p w14:paraId="759D5B06" w14:textId="77777777" w:rsidR="001C01B6" w:rsidRPr="0047462D" w:rsidRDefault="001C01B6" w:rsidP="009A2EEC">
            <w:pPr>
              <w:keepNext/>
              <w:rPr>
                <w:lang w:val="en-US"/>
              </w:rPr>
            </w:pPr>
            <w:r w:rsidRPr="0047462D">
              <w:rPr>
                <w:lang w:val="en-US"/>
              </w:rPr>
              <w:t>9240 (3420)</w:t>
            </w:r>
          </w:p>
        </w:tc>
      </w:tr>
      <w:tr w:rsidR="001C01B6" w:rsidRPr="0047462D" w14:paraId="3485A824" w14:textId="77777777">
        <w:trPr>
          <w:cantSplit/>
          <w:trHeight w:val="463"/>
        </w:trPr>
        <w:tc>
          <w:tcPr>
            <w:tcW w:w="2518" w:type="dxa"/>
            <w:tcMar>
              <w:top w:w="0" w:type="dxa"/>
              <w:left w:w="108" w:type="dxa"/>
              <w:bottom w:w="0" w:type="dxa"/>
              <w:right w:w="108" w:type="dxa"/>
            </w:tcMar>
          </w:tcPr>
          <w:p w14:paraId="66304324" w14:textId="77777777" w:rsidR="001C01B6" w:rsidRPr="0047462D" w:rsidRDefault="001C01B6" w:rsidP="00EB5A36">
            <w:pPr>
              <w:keepNext/>
              <w:rPr>
                <w:lang w:val="en-US"/>
              </w:rPr>
            </w:pPr>
            <w:r w:rsidRPr="0047462D">
              <w:t>Ενήλικες</w:t>
            </w:r>
            <w:r w:rsidRPr="0047462D">
              <w:rPr>
                <w:lang w:val="en-US"/>
              </w:rPr>
              <w:t xml:space="preserve"> (≥</w:t>
            </w:r>
            <w:r w:rsidR="00992CCF" w:rsidRPr="0047462D">
              <w:t> </w:t>
            </w:r>
            <w:r w:rsidRPr="0047462D">
              <w:rPr>
                <w:lang w:val="en-US"/>
              </w:rPr>
              <w:t>18 </w:t>
            </w:r>
            <w:r w:rsidRPr="0047462D">
              <w:t>ετών</w:t>
            </w:r>
            <w:r w:rsidRPr="0047462D">
              <w:rPr>
                <w:lang w:val="en-US"/>
              </w:rPr>
              <w:t>)</w:t>
            </w:r>
          </w:p>
        </w:tc>
        <w:tc>
          <w:tcPr>
            <w:tcW w:w="2460" w:type="dxa"/>
            <w:tcMar>
              <w:top w:w="0" w:type="dxa"/>
              <w:left w:w="108" w:type="dxa"/>
              <w:bottom w:w="0" w:type="dxa"/>
              <w:right w:w="108" w:type="dxa"/>
            </w:tcMar>
          </w:tcPr>
          <w:p w14:paraId="648CAA39" w14:textId="77777777" w:rsidR="001C01B6" w:rsidRPr="0047462D" w:rsidRDefault="001C01B6" w:rsidP="00EB5A36">
            <w:pPr>
              <w:keepNext/>
            </w:pPr>
            <w:r w:rsidRPr="0047462D">
              <w:rPr>
                <w:lang w:val="en-US"/>
              </w:rPr>
              <w:t xml:space="preserve">150 mg </w:t>
            </w:r>
            <w:r w:rsidRPr="0047462D">
              <w:t>κάθε 12 ώρες</w:t>
            </w:r>
          </w:p>
        </w:tc>
        <w:tc>
          <w:tcPr>
            <w:tcW w:w="2035" w:type="dxa"/>
            <w:tcMar>
              <w:top w:w="0" w:type="dxa"/>
              <w:left w:w="108" w:type="dxa"/>
              <w:bottom w:w="0" w:type="dxa"/>
              <w:right w:w="108" w:type="dxa"/>
            </w:tcMar>
          </w:tcPr>
          <w:p w14:paraId="036B2700" w14:textId="77777777" w:rsidR="001C01B6" w:rsidRPr="0047462D" w:rsidRDefault="001C01B6" w:rsidP="00EB5A36">
            <w:pPr>
              <w:keepNext/>
              <w:rPr>
                <w:lang w:val="en-US"/>
              </w:rPr>
            </w:pPr>
            <w:r w:rsidRPr="0047462D">
              <w:rPr>
                <w:lang w:val="en-US"/>
              </w:rPr>
              <w:t>701 (317)</w:t>
            </w:r>
          </w:p>
        </w:tc>
        <w:tc>
          <w:tcPr>
            <w:tcW w:w="2036" w:type="dxa"/>
            <w:tcMar>
              <w:top w:w="0" w:type="dxa"/>
              <w:left w:w="108" w:type="dxa"/>
              <w:bottom w:w="0" w:type="dxa"/>
              <w:right w:w="108" w:type="dxa"/>
            </w:tcMar>
          </w:tcPr>
          <w:p w14:paraId="40C3D9C1" w14:textId="77777777" w:rsidR="001C01B6" w:rsidRPr="0047462D" w:rsidRDefault="001C01B6" w:rsidP="00EB5A36">
            <w:pPr>
              <w:keepNext/>
              <w:rPr>
                <w:lang w:val="en-US"/>
              </w:rPr>
            </w:pPr>
            <w:r w:rsidRPr="0047462D">
              <w:rPr>
                <w:lang w:val="en-US"/>
              </w:rPr>
              <w:t>10700 (4100)</w:t>
            </w:r>
          </w:p>
        </w:tc>
      </w:tr>
    </w:tbl>
    <w:p w14:paraId="296B060E" w14:textId="77777777" w:rsidR="007F5C75" w:rsidRPr="0047462D" w:rsidRDefault="007F5C75" w:rsidP="00EB5A36">
      <w:pPr>
        <w:keepNext/>
        <w:spacing w:before="120"/>
        <w:ind w:left="274" w:hanging="274"/>
        <w:rPr>
          <w:sz w:val="18"/>
          <w:szCs w:val="18"/>
        </w:rPr>
      </w:pPr>
      <w:r w:rsidRPr="0047462D">
        <w:rPr>
          <w:sz w:val="18"/>
          <w:szCs w:val="18"/>
          <w:vertAlign w:val="superscript"/>
        </w:rPr>
        <w:t>*</w:t>
      </w:r>
      <w:r w:rsidRPr="0047462D">
        <w:rPr>
          <w:vertAlign w:val="superscript"/>
        </w:rPr>
        <w:tab/>
      </w:r>
      <w:r w:rsidRPr="0047462D">
        <w:rPr>
          <w:bCs/>
          <w:sz w:val="18"/>
          <w:szCs w:val="18"/>
        </w:rPr>
        <w:t>Τιμές που βασίζονται σε δεδομένα από έναν μεμονωμένο ασθενή, δεν αναφέρθηκε τυπική απόκλιση</w:t>
      </w:r>
    </w:p>
    <w:p w14:paraId="09D40CD9" w14:textId="77777777" w:rsidR="007F5C75" w:rsidRPr="0047462D" w:rsidRDefault="007F5C75" w:rsidP="007F5C75">
      <w:pPr>
        <w:ind w:left="270" w:hanging="270"/>
        <w:rPr>
          <w:bCs/>
          <w:sz w:val="18"/>
          <w:szCs w:val="18"/>
        </w:rPr>
      </w:pPr>
      <w:r w:rsidRPr="0047462D">
        <w:rPr>
          <w:position w:val="6"/>
          <w:sz w:val="18"/>
          <w:szCs w:val="18"/>
          <w:vertAlign w:val="superscript"/>
        </w:rPr>
        <w:t>†</w:t>
      </w:r>
      <w:r w:rsidRPr="0047462D">
        <w:rPr>
          <w:sz w:val="18"/>
          <w:szCs w:val="18"/>
        </w:rPr>
        <w:tab/>
      </w:r>
      <w:r w:rsidRPr="0047462D">
        <w:rPr>
          <w:bCs/>
          <w:sz w:val="18"/>
          <w:szCs w:val="18"/>
        </w:rPr>
        <w:t>Οι εκθέσεις σε άτομα 6 έως 11 ετών είναι προβλέψεις που βασίζονται σε προσομοιώσεις από το μοντέλο φαρμακοκινητικής πληθυσμού με χρήση δεδομένων που ελήφθησαν γι' αυτή την ηλικιακή ομάδα.</w:t>
      </w:r>
    </w:p>
    <w:p w14:paraId="26FD986E" w14:textId="77777777" w:rsidR="001C01B6" w:rsidRPr="0047462D" w:rsidRDefault="001C01B6" w:rsidP="001C01B6">
      <w:pPr>
        <w:pStyle w:val="labeltext"/>
        <w:rPr>
          <w:sz w:val="22"/>
          <w:szCs w:val="22"/>
          <w:u w:val="single"/>
          <w:lang w:val="el-GR"/>
        </w:rPr>
      </w:pPr>
    </w:p>
    <w:p w14:paraId="69CD8542" w14:textId="77777777" w:rsidR="001C01B6" w:rsidRPr="0047462D" w:rsidRDefault="001C01B6" w:rsidP="001C01B6">
      <w:pPr>
        <w:keepNext/>
        <w:tabs>
          <w:tab w:val="left" w:pos="567"/>
        </w:tabs>
        <w:suppressAutoHyphens w:val="0"/>
        <w:spacing w:line="260" w:lineRule="exact"/>
        <w:outlineLvl w:val="0"/>
        <w:rPr>
          <w:b/>
          <w:bCs/>
          <w:noProof/>
          <w:szCs w:val="22"/>
          <w:lang w:eastAsia="en-US"/>
        </w:rPr>
      </w:pPr>
      <w:r w:rsidRPr="0047462D">
        <w:rPr>
          <w:b/>
          <w:bCs/>
          <w:noProof/>
          <w:szCs w:val="22"/>
          <w:lang w:eastAsia="en-US"/>
        </w:rPr>
        <w:t>5.3</w:t>
      </w:r>
      <w:r w:rsidRPr="0047462D">
        <w:rPr>
          <w:b/>
          <w:bCs/>
          <w:noProof/>
          <w:szCs w:val="22"/>
          <w:lang w:eastAsia="en-US"/>
        </w:rPr>
        <w:tab/>
        <w:t>Προκλινικά δεδομένα για την ασφάλεια</w:t>
      </w:r>
    </w:p>
    <w:p w14:paraId="0C7E11E4" w14:textId="77777777" w:rsidR="001C01B6" w:rsidRPr="0047462D" w:rsidRDefault="001C01B6" w:rsidP="001C01B6">
      <w:pPr>
        <w:keepNext/>
        <w:rPr>
          <w:szCs w:val="22"/>
          <w:lang w:eastAsia="en-US"/>
        </w:rPr>
      </w:pPr>
    </w:p>
    <w:p w14:paraId="5B81144B" w14:textId="77777777" w:rsidR="009D194F" w:rsidRPr="0047462D" w:rsidRDefault="009D194F" w:rsidP="009D194F">
      <w:pPr>
        <w:rPr>
          <w:szCs w:val="22"/>
          <w:lang w:eastAsia="en-US"/>
        </w:rPr>
      </w:pPr>
      <w:r w:rsidRPr="0047462D">
        <w:rPr>
          <w:rFonts w:eastAsia="Times New Roman"/>
          <w:szCs w:val="22"/>
        </w:rPr>
        <w:t>Τα μη κλινικά</w:t>
      </w:r>
      <w:r w:rsidR="00CD18E1" w:rsidRPr="0047462D">
        <w:rPr>
          <w:rFonts w:eastAsia="Times New Roman"/>
          <w:szCs w:val="22"/>
        </w:rPr>
        <w:t xml:space="preserve"> δεδομένα </w:t>
      </w:r>
      <w:r w:rsidRPr="0047462D">
        <w:rPr>
          <w:rFonts w:eastAsia="Times New Roman"/>
          <w:szCs w:val="22"/>
        </w:rPr>
        <w:t>δεν αποκαλύπτουν ιδιαίτερο κίνδυνο για τον άνθρωπο με βάση</w:t>
      </w:r>
      <w:r w:rsidR="00CD7370" w:rsidRPr="0047462D">
        <w:rPr>
          <w:rFonts w:eastAsia="Times New Roman"/>
          <w:szCs w:val="22"/>
        </w:rPr>
        <w:t xml:space="preserve"> τις</w:t>
      </w:r>
      <w:r w:rsidRPr="0047462D">
        <w:rPr>
          <w:rFonts w:eastAsia="Times New Roman"/>
          <w:szCs w:val="22"/>
        </w:rPr>
        <w:t xml:space="preserve"> συμβατικές μελέτες </w:t>
      </w:r>
      <w:r w:rsidRPr="0047462D">
        <w:t xml:space="preserve">φαρμακολογικής ασφάλειας, τοξικότητας επαναλαμβανόμενων δόσεων, γονοτοξικότητας </w:t>
      </w:r>
      <w:r w:rsidR="001A0A22" w:rsidRPr="0047462D">
        <w:t xml:space="preserve">και </w:t>
      </w:r>
      <w:r w:rsidRPr="0047462D">
        <w:t>ενδεχόμενης καρκινογόνου δράσης.</w:t>
      </w:r>
    </w:p>
    <w:p w14:paraId="01F4717E" w14:textId="77777777" w:rsidR="00F01053" w:rsidRPr="0047462D" w:rsidRDefault="00F01053" w:rsidP="00F01053"/>
    <w:p w14:paraId="19B2A600" w14:textId="77777777" w:rsidR="00F01053" w:rsidRPr="0047462D" w:rsidRDefault="00F01053" w:rsidP="00F01053">
      <w:pPr>
        <w:keepNext/>
        <w:rPr>
          <w:u w:val="single"/>
        </w:rPr>
      </w:pPr>
      <w:r w:rsidRPr="0047462D">
        <w:rPr>
          <w:u w:val="single"/>
        </w:rPr>
        <w:t>Κύηση και γονιμότητα</w:t>
      </w:r>
    </w:p>
    <w:p w14:paraId="7596FC74" w14:textId="77777777" w:rsidR="00F01053" w:rsidRPr="0047462D" w:rsidRDefault="00F01053" w:rsidP="00F01053">
      <w:pPr>
        <w:keepNext/>
        <w:rPr>
          <w:i/>
        </w:rPr>
      </w:pPr>
    </w:p>
    <w:p w14:paraId="4886896F" w14:textId="73B36789" w:rsidR="009D194F" w:rsidRPr="0047462D" w:rsidRDefault="001C01B6" w:rsidP="009D194F">
      <w:r w:rsidRPr="0047462D">
        <w:rPr>
          <w:rFonts w:eastAsia="Times New Roman"/>
          <w:szCs w:val="22"/>
        </w:rPr>
        <w:t xml:space="preserve">Το </w:t>
      </w:r>
      <w:r w:rsidR="00E90E8C" w:rsidRPr="0047462D">
        <w:rPr>
          <w:rFonts w:eastAsia="Times New Roman"/>
          <w:szCs w:val="22"/>
          <w:lang w:val="en-US"/>
        </w:rPr>
        <w:t>i</w:t>
      </w:r>
      <w:r w:rsidR="00E90E8C" w:rsidRPr="0047462D">
        <w:rPr>
          <w:rFonts w:eastAsia="Times New Roman"/>
          <w:szCs w:val="22"/>
        </w:rPr>
        <w:t xml:space="preserve">vacaftor </w:t>
      </w:r>
      <w:r w:rsidR="009D194F" w:rsidRPr="0047462D">
        <w:rPr>
          <w:rFonts w:eastAsia="Times New Roman"/>
          <w:szCs w:val="22"/>
        </w:rPr>
        <w:t>σχετίστηκε με ελαφρές μειώσεις των βαρών των σπερματοδόχων κύστεων, μια μείωση</w:t>
      </w:r>
      <w:r w:rsidRPr="0047462D">
        <w:rPr>
          <w:rFonts w:eastAsia="Times New Roman"/>
          <w:szCs w:val="22"/>
        </w:rPr>
        <w:t xml:space="preserve"> </w:t>
      </w:r>
      <w:r w:rsidR="009D194F" w:rsidRPr="0047462D">
        <w:rPr>
          <w:rFonts w:eastAsia="Times New Roman"/>
          <w:szCs w:val="22"/>
        </w:rPr>
        <w:t xml:space="preserve">του συνολικού δείκτη γονιμότητας και του αριθμού κυήσεων σε θήλεις που ζευγάρωσαν με άρρενες υπό αγωγή και σημαντικές μειώσεις στον </w:t>
      </w:r>
      <w:r w:rsidRPr="0047462D">
        <w:rPr>
          <w:rFonts w:eastAsia="Times New Roman"/>
          <w:szCs w:val="22"/>
        </w:rPr>
        <w:t>αριθμό ωχρών σωματίων και θέσεων εμφύτευσης</w:t>
      </w:r>
      <w:r w:rsidR="009D194F" w:rsidRPr="0047462D">
        <w:rPr>
          <w:rFonts w:eastAsia="Times New Roman"/>
          <w:szCs w:val="22"/>
        </w:rPr>
        <w:t xml:space="preserve"> με επακόλουθες μειώσεις </w:t>
      </w:r>
      <w:r w:rsidR="009D194F" w:rsidRPr="0047462D">
        <w:t>στον μέσο αριθμό νεογνών και στον μέσο αριθμό βιώσιµων εμβρύων ανά νεογνό σε θήλεις υπό αγωγή</w:t>
      </w:r>
      <w:r w:rsidR="009D194F" w:rsidRPr="0047462D">
        <w:rPr>
          <w:rFonts w:eastAsia="Times New Roman"/>
          <w:szCs w:val="22"/>
        </w:rPr>
        <w:t xml:space="preserve">. </w:t>
      </w:r>
      <w:r w:rsidR="009D194F" w:rsidRPr="0047462D">
        <w:t xml:space="preserve">Το ανώτατο </w:t>
      </w:r>
      <w:r w:rsidR="00A937F2" w:rsidRPr="0047462D">
        <w:t xml:space="preserve">επίπεδο </w:t>
      </w:r>
      <w:r w:rsidR="009D194F" w:rsidRPr="0047462D">
        <w:t>μη παρατηρήσιμων ανεπιθύμητων ενεργειών</w:t>
      </w:r>
      <w:r w:rsidR="00D64A11" w:rsidRPr="0047462D">
        <w:t xml:space="preserve"> (NOAEL</w:t>
      </w:r>
      <w:r w:rsidR="009D194F" w:rsidRPr="0047462D">
        <w:t>) για τα ευρήματα γονιμότητας</w:t>
      </w:r>
      <w:r w:rsidR="00D64A11" w:rsidRPr="0047462D">
        <w:t xml:space="preserve"> </w:t>
      </w:r>
      <w:r w:rsidR="009D194F" w:rsidRPr="0047462D">
        <w:t xml:space="preserve">παρέχει ένα επίπεδο έκθεσης </w:t>
      </w:r>
      <w:r w:rsidR="003B7703" w:rsidRPr="0047462D">
        <w:t xml:space="preserve">περίπου </w:t>
      </w:r>
      <w:r w:rsidR="00D64A11" w:rsidRPr="0047462D">
        <w:t>4</w:t>
      </w:r>
      <w:r w:rsidR="009D194F" w:rsidRPr="0047462D">
        <w:t xml:space="preserve"> φορές τη συστηματική έκθεση στο </w:t>
      </w:r>
      <w:r w:rsidR="007C3EE8" w:rsidRPr="0047462D">
        <w:rPr>
          <w:rFonts w:eastAsia="Times New Roman"/>
          <w:color w:val="000000"/>
          <w:szCs w:val="22"/>
        </w:rPr>
        <w:t xml:space="preserve">ivacaftor και </w:t>
      </w:r>
      <w:r w:rsidR="009D194F" w:rsidRPr="0047462D">
        <w:rPr>
          <w:rFonts w:eastAsia="Times New Roman"/>
          <w:color w:val="000000"/>
          <w:szCs w:val="22"/>
        </w:rPr>
        <w:t>τους</w:t>
      </w:r>
      <w:r w:rsidR="007C3EE8" w:rsidRPr="0047462D">
        <w:rPr>
          <w:rFonts w:eastAsia="Times New Roman"/>
          <w:color w:val="000000"/>
          <w:szCs w:val="22"/>
        </w:rPr>
        <w:t xml:space="preserve"> μεταβολίτες του</w:t>
      </w:r>
      <w:r w:rsidR="009D194F" w:rsidRPr="0047462D">
        <w:rPr>
          <w:rFonts w:eastAsia="Times New Roman"/>
          <w:color w:val="000000"/>
          <w:szCs w:val="22"/>
        </w:rPr>
        <w:t xml:space="preserve"> </w:t>
      </w:r>
      <w:r w:rsidR="00D64A11" w:rsidRPr="0047462D">
        <w:t xml:space="preserve">όταν χορηγείται ως </w:t>
      </w:r>
      <w:r w:rsidR="00130972" w:rsidRPr="0047462D">
        <w:t xml:space="preserve">μονοθεραπεία </w:t>
      </w:r>
      <w:r w:rsidR="00D64A11" w:rsidRPr="0047462D">
        <w:t xml:space="preserve">ivacaftor σε </w:t>
      </w:r>
      <w:r w:rsidR="009D194F" w:rsidRPr="0047462D">
        <w:t>ενήλικ</w:t>
      </w:r>
      <w:r w:rsidR="00130972" w:rsidRPr="0047462D">
        <w:t>ες</w:t>
      </w:r>
      <w:r w:rsidR="009D194F" w:rsidRPr="0047462D">
        <w:t xml:space="preserve"> </w:t>
      </w:r>
      <w:r w:rsidR="00130972" w:rsidRPr="0047462D">
        <w:t>α</w:t>
      </w:r>
      <w:r w:rsidR="009D194F" w:rsidRPr="0047462D">
        <w:t>νθρ</w:t>
      </w:r>
      <w:r w:rsidR="00130972" w:rsidRPr="0047462D">
        <w:t>ώ</w:t>
      </w:r>
      <w:r w:rsidR="009D194F" w:rsidRPr="0047462D">
        <w:t>πο</w:t>
      </w:r>
      <w:r w:rsidR="00130972" w:rsidRPr="0047462D">
        <w:t>υς</w:t>
      </w:r>
      <w:r w:rsidR="009D194F" w:rsidRPr="0047462D">
        <w:t xml:space="preserve"> στη μέγιστη συνιστώμενη δόση για τον άνθρωπο (MRHD).</w:t>
      </w:r>
      <w:r w:rsidR="003E0B49" w:rsidRPr="0047462D">
        <w:t xml:space="preserve"> Σε εγκύους επίμυες και κονίκλους παρατηρήθηκε μεταφορά του ivacaftor μέσω του πλακούντα.</w:t>
      </w:r>
    </w:p>
    <w:p w14:paraId="6C535192" w14:textId="77777777" w:rsidR="003E0B49" w:rsidRPr="0047462D" w:rsidRDefault="003E0B49" w:rsidP="003E0B49"/>
    <w:p w14:paraId="536D3D9B" w14:textId="77777777" w:rsidR="003E0B49" w:rsidRPr="0047462D" w:rsidRDefault="003E0B49" w:rsidP="003E0B49">
      <w:pPr>
        <w:keepNext/>
        <w:rPr>
          <w:u w:val="single"/>
        </w:rPr>
      </w:pPr>
      <w:r w:rsidRPr="0047462D">
        <w:rPr>
          <w:u w:val="single"/>
        </w:rPr>
        <w:t>Περιγεννητική και μεταγεννητική ανάπτυξη</w:t>
      </w:r>
    </w:p>
    <w:p w14:paraId="20E14EFC" w14:textId="77777777" w:rsidR="001C01B6" w:rsidRPr="0047462D" w:rsidRDefault="001C01B6" w:rsidP="00EB5A36">
      <w:pPr>
        <w:keepNext/>
        <w:rPr>
          <w:szCs w:val="22"/>
        </w:rPr>
      </w:pPr>
    </w:p>
    <w:p w14:paraId="7E9FCDB2" w14:textId="6F0E8809" w:rsidR="001C01B6" w:rsidRPr="0047462D" w:rsidRDefault="003E0B49" w:rsidP="001C01B6">
      <w:pPr>
        <w:rPr>
          <w:rFonts w:eastAsia="Times New Roman"/>
          <w:szCs w:val="22"/>
        </w:rPr>
      </w:pPr>
      <w:r w:rsidRPr="0047462D">
        <w:t>Τ</w:t>
      </w:r>
      <w:r w:rsidR="009D194F" w:rsidRPr="0047462D">
        <w:t xml:space="preserve">ο ivacaftor μείωσε τους </w:t>
      </w:r>
      <w:r w:rsidR="001C01B6" w:rsidRPr="0047462D">
        <w:rPr>
          <w:rFonts w:eastAsia="Times New Roman"/>
          <w:szCs w:val="22"/>
        </w:rPr>
        <w:t>δείκτες επιβίωσης και θηλασμού</w:t>
      </w:r>
      <w:r w:rsidR="00A07D43" w:rsidRPr="0047462D">
        <w:rPr>
          <w:rFonts w:eastAsia="Times New Roman"/>
          <w:szCs w:val="22"/>
        </w:rPr>
        <w:t xml:space="preserve"> </w:t>
      </w:r>
      <w:r w:rsidR="009D194F" w:rsidRPr="0047462D">
        <w:rPr>
          <w:rFonts w:eastAsia="Times New Roman"/>
          <w:szCs w:val="22"/>
        </w:rPr>
        <w:t>και προκάλεσε μια μείωση</w:t>
      </w:r>
      <w:r w:rsidR="001C01B6" w:rsidRPr="0047462D">
        <w:rPr>
          <w:rFonts w:eastAsia="Times New Roman"/>
          <w:szCs w:val="22"/>
        </w:rPr>
        <w:t xml:space="preserve"> στο σωματικό βάρος των νεογνών. </w:t>
      </w:r>
      <w:r w:rsidR="009D194F" w:rsidRPr="0047462D">
        <w:t xml:space="preserve">Το NOAEL για τη βιωσιμότητα και ανάπτυξη στα νεογνά παρέχει ένα επίπεδο έκθεσης </w:t>
      </w:r>
      <w:r w:rsidR="00D64A11" w:rsidRPr="0047462D">
        <w:t>περίπου 3</w:t>
      </w:r>
      <w:r w:rsidR="009D194F" w:rsidRPr="0047462D">
        <w:t xml:space="preserve"> φορές τη συστηματική έκθεση στο </w:t>
      </w:r>
      <w:r w:rsidR="00D64A11" w:rsidRPr="0047462D">
        <w:t xml:space="preserve">ivacaftor και τους μεταβολίτες του όταν χορηγείται ως </w:t>
      </w:r>
      <w:r w:rsidR="00130972" w:rsidRPr="0047462D">
        <w:t xml:space="preserve">μονοθεραπεία </w:t>
      </w:r>
      <w:r w:rsidR="009D194F" w:rsidRPr="0047462D">
        <w:t xml:space="preserve">ivacaftor </w:t>
      </w:r>
      <w:r w:rsidR="00D64A11" w:rsidRPr="0047462D">
        <w:t>σε</w:t>
      </w:r>
      <w:r w:rsidR="009D194F" w:rsidRPr="0047462D">
        <w:t xml:space="preserve"> ενήλικ</w:t>
      </w:r>
      <w:r w:rsidR="00130972" w:rsidRPr="0047462D">
        <w:t>ες</w:t>
      </w:r>
      <w:r w:rsidR="009D194F" w:rsidRPr="0047462D">
        <w:t xml:space="preserve"> </w:t>
      </w:r>
      <w:r w:rsidR="00130972" w:rsidRPr="0047462D">
        <w:t>ανθρώπους</w:t>
      </w:r>
      <w:r w:rsidR="009D194F" w:rsidRPr="0047462D">
        <w:t xml:space="preserve"> στη MRHD</w:t>
      </w:r>
      <w:r w:rsidR="009D194F" w:rsidRPr="0047462D">
        <w:rPr>
          <w:rFonts w:eastAsia="Times New Roman"/>
          <w:szCs w:val="22"/>
        </w:rPr>
        <w:t>.</w:t>
      </w:r>
    </w:p>
    <w:p w14:paraId="53A30FB0" w14:textId="77777777" w:rsidR="003E0B49" w:rsidRPr="0047462D" w:rsidRDefault="003E0B49" w:rsidP="003E0B49">
      <w:pPr>
        <w:rPr>
          <w:rFonts w:eastAsia="Times New Roman"/>
          <w:szCs w:val="22"/>
        </w:rPr>
      </w:pPr>
    </w:p>
    <w:p w14:paraId="319DADAD" w14:textId="77777777" w:rsidR="003E0B49" w:rsidRPr="0047462D" w:rsidRDefault="003E0B49" w:rsidP="003E0B49">
      <w:pPr>
        <w:keepNext/>
        <w:rPr>
          <w:u w:val="single"/>
        </w:rPr>
      </w:pPr>
      <w:r w:rsidRPr="0047462D">
        <w:rPr>
          <w:u w:val="single"/>
        </w:rPr>
        <w:t>Μελέτες σε νεαρά ζώα</w:t>
      </w:r>
    </w:p>
    <w:p w14:paraId="091C9E6B" w14:textId="77777777" w:rsidR="001C01B6" w:rsidRPr="0047462D" w:rsidRDefault="001C01B6" w:rsidP="00EB5A36">
      <w:pPr>
        <w:keepNext/>
        <w:rPr>
          <w:rFonts w:eastAsia="Times New Roman"/>
          <w:szCs w:val="22"/>
        </w:rPr>
      </w:pPr>
    </w:p>
    <w:p w14:paraId="29F616CF" w14:textId="6091BF92" w:rsidR="001C01B6" w:rsidRPr="0047462D" w:rsidRDefault="001C01B6" w:rsidP="001C01B6">
      <w:pPr>
        <w:rPr>
          <w:rFonts w:eastAsia="Times New Roman"/>
          <w:szCs w:val="22"/>
        </w:rPr>
      </w:pPr>
      <w:r w:rsidRPr="0047462D">
        <w:rPr>
          <w:szCs w:val="22"/>
        </w:rPr>
        <w:t xml:space="preserve">Ευρήματα καταρρακτών παρατηρήθηκαν σε </w:t>
      </w:r>
      <w:r w:rsidR="00966B5F" w:rsidRPr="0047462D">
        <w:rPr>
          <w:szCs w:val="22"/>
        </w:rPr>
        <w:t xml:space="preserve">νεαρούς </w:t>
      </w:r>
      <w:r w:rsidRPr="0047462D">
        <w:rPr>
          <w:szCs w:val="22"/>
        </w:rPr>
        <w:t xml:space="preserve">επίμυες που έλαβαν δόση από την </w:t>
      </w:r>
      <w:r w:rsidR="003E0B49" w:rsidRPr="0047462D">
        <w:rPr>
          <w:szCs w:val="22"/>
        </w:rPr>
        <w:t>η</w:t>
      </w:r>
      <w:r w:rsidR="007C3EE8" w:rsidRPr="0047462D">
        <w:rPr>
          <w:szCs w:val="22"/>
        </w:rPr>
        <w:t>μέρα</w:t>
      </w:r>
      <w:r w:rsidR="00496D1A" w:rsidRPr="0047462D">
        <w:rPr>
          <w:rFonts w:eastAsia="Times New Roman"/>
          <w:szCs w:val="22"/>
        </w:rPr>
        <w:t> </w:t>
      </w:r>
      <w:r w:rsidRPr="0047462D">
        <w:rPr>
          <w:szCs w:val="22"/>
        </w:rPr>
        <w:t xml:space="preserve">7 μετά τη γέννηση έως την ημέρα 35 </w:t>
      </w:r>
      <w:r w:rsidR="00D64A11" w:rsidRPr="0047462D">
        <w:rPr>
          <w:szCs w:val="22"/>
        </w:rPr>
        <w:t>σ</w:t>
      </w:r>
      <w:r w:rsidRPr="0047462D">
        <w:rPr>
          <w:szCs w:val="22"/>
        </w:rPr>
        <w:t>ε επίπεδα</w:t>
      </w:r>
      <w:r w:rsidR="003B7703" w:rsidRPr="0047462D">
        <w:rPr>
          <w:szCs w:val="22"/>
        </w:rPr>
        <w:t xml:space="preserve"> έκθεσης στο</w:t>
      </w:r>
      <w:r w:rsidRPr="0047462D">
        <w:rPr>
          <w:szCs w:val="22"/>
        </w:rPr>
        <w:t xml:space="preserve"> </w:t>
      </w:r>
      <w:r w:rsidR="00B873BF" w:rsidRPr="0047462D">
        <w:t>ivacaftor</w:t>
      </w:r>
      <w:r w:rsidR="00B873BF" w:rsidRPr="0047462D">
        <w:rPr>
          <w:szCs w:val="22"/>
        </w:rPr>
        <w:t xml:space="preserve"> </w:t>
      </w:r>
      <w:r w:rsidRPr="0047462D">
        <w:rPr>
          <w:szCs w:val="22"/>
        </w:rPr>
        <w:t>0,22</w:t>
      </w:r>
      <w:r w:rsidR="00496D1A" w:rsidRPr="0047462D">
        <w:rPr>
          <w:rFonts w:eastAsia="Times New Roman"/>
          <w:szCs w:val="22"/>
        </w:rPr>
        <w:t> </w:t>
      </w:r>
      <w:r w:rsidRPr="0047462D">
        <w:rPr>
          <w:szCs w:val="22"/>
        </w:rPr>
        <w:t xml:space="preserve">φορές τη </w:t>
      </w:r>
      <w:r w:rsidR="007C3EE8" w:rsidRPr="0047462D">
        <w:t>MRHD</w:t>
      </w:r>
      <w:r w:rsidRPr="0047462D">
        <w:rPr>
          <w:szCs w:val="22"/>
        </w:rPr>
        <w:t xml:space="preserve"> με βάση τη συστηματική έκθεση σε ivacaftor και τους μεταβολίτες του</w:t>
      </w:r>
      <w:r w:rsidR="00D64A11" w:rsidRPr="0047462D">
        <w:rPr>
          <w:szCs w:val="22"/>
        </w:rPr>
        <w:t xml:space="preserve"> </w:t>
      </w:r>
      <w:r w:rsidR="00D64A11" w:rsidRPr="0047462D">
        <w:t xml:space="preserve">όταν χορηγείται ως </w:t>
      </w:r>
      <w:r w:rsidR="00130972" w:rsidRPr="0047462D">
        <w:t xml:space="preserve">μονοθεραπεία </w:t>
      </w:r>
      <w:r w:rsidR="00D64A11" w:rsidRPr="0047462D">
        <w:t>ivacafto</w:t>
      </w:r>
      <w:r w:rsidR="00994CE2" w:rsidRPr="0047462D">
        <w:rPr>
          <w:lang w:val="en-US"/>
        </w:rPr>
        <w:t>r</w:t>
      </w:r>
      <w:r w:rsidRPr="0047462D">
        <w:rPr>
          <w:szCs w:val="22"/>
        </w:rPr>
        <w:t xml:space="preserve">. </w:t>
      </w:r>
      <w:r w:rsidR="00A937F2" w:rsidRPr="0047462D">
        <w:rPr>
          <w:szCs w:val="22"/>
        </w:rPr>
        <w:t xml:space="preserve">Αυτό το εύρημα </w:t>
      </w:r>
      <w:r w:rsidRPr="0047462D">
        <w:rPr>
          <w:szCs w:val="22"/>
        </w:rPr>
        <w:t>δεν παρατηρήθηκ</w:t>
      </w:r>
      <w:r w:rsidR="00A937F2" w:rsidRPr="0047462D">
        <w:rPr>
          <w:szCs w:val="22"/>
        </w:rPr>
        <w:t>ε</w:t>
      </w:r>
      <w:r w:rsidRPr="0047462D">
        <w:rPr>
          <w:szCs w:val="22"/>
        </w:rPr>
        <w:t xml:space="preserve"> σε έμβρυα που προκύπτουν από μητέρες επίμυων που υποβλήθηκαν σε θεραπεία </w:t>
      </w:r>
      <w:r w:rsidR="00B873BF" w:rsidRPr="0047462D">
        <w:rPr>
          <w:szCs w:val="22"/>
        </w:rPr>
        <w:t xml:space="preserve">με </w:t>
      </w:r>
      <w:r w:rsidR="00B873BF" w:rsidRPr="0047462D">
        <w:t xml:space="preserve">ivacaftor </w:t>
      </w:r>
      <w:r w:rsidRPr="0047462D">
        <w:rPr>
          <w:szCs w:val="22"/>
        </w:rPr>
        <w:t xml:space="preserve">κατά την κύηση, </w:t>
      </w:r>
      <w:r w:rsidR="00B873BF" w:rsidRPr="0047462D">
        <w:rPr>
          <w:szCs w:val="22"/>
        </w:rPr>
        <w:t xml:space="preserve">τις </w:t>
      </w:r>
      <w:r w:rsidR="003E0B49" w:rsidRPr="0047462D">
        <w:rPr>
          <w:szCs w:val="22"/>
        </w:rPr>
        <w:t>η</w:t>
      </w:r>
      <w:r w:rsidR="007C3EE8" w:rsidRPr="0047462D">
        <w:rPr>
          <w:szCs w:val="22"/>
        </w:rPr>
        <w:t>μέρ</w:t>
      </w:r>
      <w:r w:rsidR="00B873BF" w:rsidRPr="0047462D">
        <w:rPr>
          <w:szCs w:val="22"/>
        </w:rPr>
        <w:t>ες</w:t>
      </w:r>
      <w:r w:rsidR="00496D1A" w:rsidRPr="0047462D">
        <w:rPr>
          <w:rFonts w:eastAsia="Times New Roman"/>
          <w:szCs w:val="22"/>
        </w:rPr>
        <w:t> </w:t>
      </w:r>
      <w:r w:rsidRPr="0047462D">
        <w:rPr>
          <w:szCs w:val="22"/>
        </w:rPr>
        <w:t xml:space="preserve">7 έως 17, σε νεογνά επίμυων που εκτέθηκαν </w:t>
      </w:r>
      <w:r w:rsidR="00B873BF" w:rsidRPr="0047462D">
        <w:rPr>
          <w:szCs w:val="22"/>
        </w:rPr>
        <w:t xml:space="preserve">στο </w:t>
      </w:r>
      <w:r w:rsidR="00B873BF" w:rsidRPr="0047462D">
        <w:t>ivacaftor</w:t>
      </w:r>
      <w:r w:rsidRPr="0047462D">
        <w:rPr>
          <w:szCs w:val="22"/>
        </w:rPr>
        <w:t xml:space="preserve"> μέσω της πρόσληψης γάλακτος έως την </w:t>
      </w:r>
      <w:r w:rsidR="003E0B49" w:rsidRPr="0047462D">
        <w:rPr>
          <w:szCs w:val="22"/>
        </w:rPr>
        <w:t>η</w:t>
      </w:r>
      <w:r w:rsidRPr="0047462D">
        <w:rPr>
          <w:szCs w:val="22"/>
        </w:rPr>
        <w:t>μέρα</w:t>
      </w:r>
      <w:r w:rsidR="00496D1A" w:rsidRPr="0047462D">
        <w:rPr>
          <w:rFonts w:eastAsia="Times New Roman"/>
          <w:szCs w:val="22"/>
        </w:rPr>
        <w:t> </w:t>
      </w:r>
      <w:r w:rsidRPr="0047462D">
        <w:rPr>
          <w:szCs w:val="22"/>
        </w:rPr>
        <w:t xml:space="preserve">20 μετά την κύηση, σε επίμυες ηλικίας 7 εβδομάδων, </w:t>
      </w:r>
      <w:r w:rsidR="00D94EC8" w:rsidRPr="0047462D">
        <w:rPr>
          <w:szCs w:val="22"/>
        </w:rPr>
        <w:t xml:space="preserve">ούτε </w:t>
      </w:r>
      <w:r w:rsidRPr="0047462D">
        <w:rPr>
          <w:szCs w:val="22"/>
        </w:rPr>
        <w:t xml:space="preserve">σε σκύλους ηλικίας </w:t>
      </w:r>
      <w:r w:rsidR="00B873BF" w:rsidRPr="0047462D">
        <w:rPr>
          <w:szCs w:val="22"/>
        </w:rPr>
        <w:t>3,5</w:t>
      </w:r>
      <w:r w:rsidRPr="0047462D">
        <w:rPr>
          <w:szCs w:val="22"/>
        </w:rPr>
        <w:t xml:space="preserve"> έως 5 μηνών</w:t>
      </w:r>
      <w:r w:rsidR="00B873BF" w:rsidRPr="0047462D">
        <w:rPr>
          <w:szCs w:val="22"/>
        </w:rPr>
        <w:t xml:space="preserve"> που υποβλήθηκαν σε θεραπεία με </w:t>
      </w:r>
      <w:r w:rsidR="00B873BF" w:rsidRPr="0047462D">
        <w:t>ivacaftor</w:t>
      </w:r>
      <w:r w:rsidRPr="0047462D">
        <w:rPr>
          <w:szCs w:val="22"/>
        </w:rPr>
        <w:t>. Η δυνητική σημασία αυτών των ευρημάτων για τον άνθρωπο δεν είναι γνωστή.</w:t>
      </w:r>
    </w:p>
    <w:p w14:paraId="60D5D5EB" w14:textId="77777777" w:rsidR="00D0340E" w:rsidRPr="0047462D" w:rsidRDefault="00D0340E" w:rsidP="001C01B6">
      <w:pPr>
        <w:rPr>
          <w:rFonts w:eastAsia="Times New Roman"/>
          <w:szCs w:val="22"/>
        </w:rPr>
      </w:pPr>
    </w:p>
    <w:p w14:paraId="067C8698" w14:textId="77777777" w:rsidR="001C01B6" w:rsidRPr="0047462D" w:rsidRDefault="001C01B6" w:rsidP="001C01B6">
      <w:pPr>
        <w:rPr>
          <w:szCs w:val="22"/>
          <w:lang w:eastAsia="en-US"/>
        </w:rPr>
      </w:pPr>
    </w:p>
    <w:p w14:paraId="7244301C" w14:textId="77777777" w:rsidR="001C01B6" w:rsidRPr="0047462D" w:rsidRDefault="001C01B6" w:rsidP="00BE55AB">
      <w:pPr>
        <w:keepNext/>
        <w:tabs>
          <w:tab w:val="left" w:pos="567"/>
        </w:tabs>
        <w:suppressAutoHyphens w:val="0"/>
        <w:spacing w:line="260" w:lineRule="exact"/>
        <w:rPr>
          <w:b/>
          <w:bCs/>
          <w:noProof/>
          <w:szCs w:val="22"/>
          <w:lang w:eastAsia="en-US"/>
        </w:rPr>
      </w:pPr>
      <w:r w:rsidRPr="0047462D">
        <w:rPr>
          <w:b/>
          <w:bCs/>
          <w:noProof/>
          <w:szCs w:val="22"/>
          <w:lang w:eastAsia="en-US"/>
        </w:rPr>
        <w:t>6.</w:t>
      </w:r>
      <w:r w:rsidRPr="0047462D">
        <w:rPr>
          <w:b/>
          <w:bCs/>
          <w:noProof/>
          <w:szCs w:val="22"/>
          <w:lang w:eastAsia="en-US"/>
        </w:rPr>
        <w:tab/>
        <w:t>ΦΑΡΜΑΚΕΥΤΙΚΕΣ ΠΛΗΡΟΦΟΡΙΕΣ</w:t>
      </w:r>
    </w:p>
    <w:p w14:paraId="3CF69988" w14:textId="77777777" w:rsidR="001C01B6" w:rsidRPr="0047462D" w:rsidRDefault="001C01B6" w:rsidP="00BE55AB">
      <w:pPr>
        <w:keepNext/>
        <w:rPr>
          <w:szCs w:val="22"/>
          <w:lang w:eastAsia="en-US"/>
        </w:rPr>
      </w:pPr>
    </w:p>
    <w:p w14:paraId="5B6CDDE2" w14:textId="77777777" w:rsidR="001C01B6" w:rsidRPr="0047462D" w:rsidRDefault="001C01B6" w:rsidP="00BE55AB">
      <w:pPr>
        <w:keepNext/>
        <w:ind w:left="567" w:hanging="567"/>
        <w:rPr>
          <w:i/>
          <w:iCs/>
          <w:szCs w:val="22"/>
          <w:lang w:eastAsia="en-US"/>
        </w:rPr>
      </w:pPr>
      <w:r w:rsidRPr="0047462D">
        <w:rPr>
          <w:rFonts w:eastAsia="Times New Roman"/>
          <w:b/>
          <w:bCs/>
          <w:szCs w:val="22"/>
          <w:lang w:eastAsia="en-US"/>
        </w:rPr>
        <w:t>6.1</w:t>
      </w:r>
      <w:r w:rsidRPr="0047462D">
        <w:rPr>
          <w:rFonts w:eastAsia="Times New Roman"/>
          <w:b/>
          <w:bCs/>
          <w:szCs w:val="22"/>
          <w:lang w:eastAsia="en-US"/>
        </w:rPr>
        <w:tab/>
      </w:r>
      <w:r w:rsidRPr="0047462D">
        <w:rPr>
          <w:rFonts w:eastAsia="Times New Roman"/>
          <w:b/>
          <w:bCs/>
          <w:szCs w:val="22"/>
        </w:rPr>
        <w:t>Κατάλογος εκδόχων</w:t>
      </w:r>
    </w:p>
    <w:p w14:paraId="7A88FB05" w14:textId="77777777" w:rsidR="001C01B6" w:rsidRPr="0047462D" w:rsidRDefault="001C01B6" w:rsidP="005B1B70">
      <w:pPr>
        <w:keepNext/>
        <w:rPr>
          <w:i/>
          <w:iCs/>
          <w:szCs w:val="22"/>
          <w:lang w:eastAsia="en-US"/>
        </w:rPr>
      </w:pPr>
    </w:p>
    <w:p w14:paraId="7412D970" w14:textId="77777777" w:rsidR="003E0B49" w:rsidRPr="0047462D" w:rsidRDefault="008C7489" w:rsidP="00EB5A36">
      <w:pPr>
        <w:keepNext/>
        <w:rPr>
          <w:rFonts w:eastAsia="Times New Roman"/>
          <w:szCs w:val="22"/>
        </w:rPr>
      </w:pPr>
      <w:r w:rsidRPr="0047462D">
        <w:rPr>
          <w:rFonts w:eastAsia="Times New Roman"/>
          <w:szCs w:val="22"/>
        </w:rPr>
        <w:t>Διοξείδιο πυριτίου</w:t>
      </w:r>
      <w:r w:rsidR="003E0B49" w:rsidRPr="0047462D">
        <w:rPr>
          <w:rFonts w:eastAsia="Times New Roman"/>
          <w:szCs w:val="22"/>
        </w:rPr>
        <w:t>, κολλοειδές άνυδρο</w:t>
      </w:r>
    </w:p>
    <w:p w14:paraId="51AFA83C" w14:textId="77777777" w:rsidR="001C01B6" w:rsidRPr="0047462D" w:rsidRDefault="001C01B6" w:rsidP="005B1B70">
      <w:pPr>
        <w:keepNext/>
        <w:rPr>
          <w:rFonts w:eastAsia="Times New Roman"/>
          <w:szCs w:val="22"/>
        </w:rPr>
      </w:pPr>
      <w:r w:rsidRPr="0047462D">
        <w:rPr>
          <w:rFonts w:eastAsia="Times New Roman"/>
          <w:szCs w:val="22"/>
        </w:rPr>
        <w:t>Νατριούχος καρμελλόζη διασταυρούμενη</w:t>
      </w:r>
    </w:p>
    <w:p w14:paraId="5AD5DE10" w14:textId="77777777" w:rsidR="001C01B6" w:rsidRPr="0047462D" w:rsidRDefault="001C01B6" w:rsidP="009A2EEC">
      <w:pPr>
        <w:keepNext/>
        <w:rPr>
          <w:rFonts w:eastAsia="Times New Roman"/>
          <w:szCs w:val="22"/>
        </w:rPr>
      </w:pPr>
      <w:r w:rsidRPr="0047462D">
        <w:rPr>
          <w:rFonts w:eastAsia="Times New Roman"/>
          <w:szCs w:val="22"/>
        </w:rPr>
        <w:t>Υπρομελλόζη οξική ηλεκτρική</w:t>
      </w:r>
    </w:p>
    <w:p w14:paraId="59B4E49A" w14:textId="77777777" w:rsidR="001C01B6" w:rsidRPr="0047462D" w:rsidRDefault="001C01B6" w:rsidP="009A2EEC">
      <w:pPr>
        <w:keepNext/>
        <w:rPr>
          <w:rFonts w:eastAsia="Times New Roman"/>
          <w:szCs w:val="22"/>
        </w:rPr>
      </w:pPr>
      <w:r w:rsidRPr="0047462D">
        <w:rPr>
          <w:rFonts w:eastAsia="Times New Roman"/>
          <w:szCs w:val="22"/>
        </w:rPr>
        <w:t>Μονοϋδρική λακτόζη</w:t>
      </w:r>
    </w:p>
    <w:p w14:paraId="0BB2CB27" w14:textId="77777777" w:rsidR="001C01B6" w:rsidRPr="0047462D" w:rsidRDefault="001C01B6" w:rsidP="009A2EEC">
      <w:pPr>
        <w:keepNext/>
        <w:rPr>
          <w:rFonts w:eastAsia="MS Mincho"/>
          <w:i/>
          <w:iCs/>
          <w:szCs w:val="22"/>
          <w:lang w:eastAsia="ja-JP"/>
        </w:rPr>
      </w:pPr>
      <w:r w:rsidRPr="0047462D">
        <w:rPr>
          <w:rFonts w:eastAsia="Times New Roman"/>
          <w:szCs w:val="22"/>
        </w:rPr>
        <w:t>Στεατικό μαγνήσιο</w:t>
      </w:r>
    </w:p>
    <w:p w14:paraId="65285D86" w14:textId="77777777" w:rsidR="001C01B6" w:rsidRPr="0047462D" w:rsidRDefault="001C01B6" w:rsidP="009A2EEC">
      <w:pPr>
        <w:keepNext/>
        <w:rPr>
          <w:rFonts w:eastAsia="Times New Roman"/>
          <w:szCs w:val="22"/>
        </w:rPr>
      </w:pPr>
      <w:r w:rsidRPr="0047462D">
        <w:rPr>
          <w:rFonts w:eastAsia="Times New Roman"/>
          <w:szCs w:val="22"/>
        </w:rPr>
        <w:t>Μαννιτόλη</w:t>
      </w:r>
    </w:p>
    <w:p w14:paraId="5898CD06" w14:textId="77777777" w:rsidR="001C01B6" w:rsidRPr="0047462D" w:rsidRDefault="001C01B6" w:rsidP="009A2EEC">
      <w:pPr>
        <w:keepNext/>
        <w:rPr>
          <w:rFonts w:eastAsia="Times New Roman"/>
          <w:szCs w:val="22"/>
        </w:rPr>
      </w:pPr>
      <w:r w:rsidRPr="0047462D">
        <w:rPr>
          <w:rFonts w:eastAsia="Times New Roman"/>
          <w:szCs w:val="22"/>
        </w:rPr>
        <w:t>Σουκραλόζη</w:t>
      </w:r>
    </w:p>
    <w:p w14:paraId="78FE35DE" w14:textId="77777777" w:rsidR="001C01B6" w:rsidRPr="0047462D" w:rsidRDefault="001C01B6" w:rsidP="001C01B6">
      <w:pPr>
        <w:rPr>
          <w:rFonts w:eastAsia="Times New Roman"/>
          <w:szCs w:val="22"/>
        </w:rPr>
      </w:pPr>
      <w:r w:rsidRPr="0047462D">
        <w:rPr>
          <w:rFonts w:eastAsia="Times New Roman"/>
          <w:szCs w:val="22"/>
        </w:rPr>
        <w:t>Λαουρυλοθειικό νάτριο</w:t>
      </w:r>
      <w:r w:rsidR="000F0E6D" w:rsidRPr="0047462D">
        <w:rPr>
          <w:rFonts w:eastAsia="Times New Roman"/>
          <w:szCs w:val="22"/>
        </w:rPr>
        <w:t xml:space="preserve"> </w:t>
      </w:r>
      <w:r w:rsidR="000F0E6D" w:rsidRPr="0047462D">
        <w:rPr>
          <w:rFonts w:eastAsia="MS Mincho"/>
          <w:lang w:eastAsia="ja-JP"/>
        </w:rPr>
        <w:t>(E487)</w:t>
      </w:r>
    </w:p>
    <w:p w14:paraId="4B658BEB" w14:textId="77777777" w:rsidR="001C01B6" w:rsidRPr="0047462D" w:rsidRDefault="001C01B6" w:rsidP="001C01B6">
      <w:pPr>
        <w:rPr>
          <w:szCs w:val="22"/>
          <w:lang w:eastAsia="en-US"/>
        </w:rPr>
      </w:pPr>
    </w:p>
    <w:p w14:paraId="11B5A365" w14:textId="77777777" w:rsidR="001C01B6" w:rsidRPr="0047462D" w:rsidRDefault="001C01B6" w:rsidP="001C01B6">
      <w:pPr>
        <w:keepNext/>
        <w:tabs>
          <w:tab w:val="left" w:pos="567"/>
        </w:tabs>
        <w:suppressAutoHyphens w:val="0"/>
        <w:spacing w:line="260" w:lineRule="exact"/>
        <w:outlineLvl w:val="0"/>
        <w:rPr>
          <w:b/>
          <w:bCs/>
          <w:noProof/>
          <w:szCs w:val="22"/>
          <w:lang w:eastAsia="en-US"/>
        </w:rPr>
      </w:pPr>
      <w:r w:rsidRPr="0047462D">
        <w:rPr>
          <w:b/>
          <w:bCs/>
          <w:noProof/>
          <w:szCs w:val="22"/>
          <w:lang w:eastAsia="en-US"/>
        </w:rPr>
        <w:t>6.2</w:t>
      </w:r>
      <w:r w:rsidRPr="0047462D">
        <w:rPr>
          <w:b/>
          <w:bCs/>
          <w:noProof/>
          <w:szCs w:val="22"/>
          <w:lang w:eastAsia="en-US"/>
        </w:rPr>
        <w:tab/>
        <w:t>Ασυμβατότητες</w:t>
      </w:r>
    </w:p>
    <w:p w14:paraId="004A1830" w14:textId="77777777" w:rsidR="001C01B6" w:rsidRPr="0047462D" w:rsidRDefault="001C01B6" w:rsidP="001C01B6">
      <w:pPr>
        <w:keepNext/>
        <w:rPr>
          <w:szCs w:val="22"/>
          <w:lang w:eastAsia="en-US"/>
        </w:rPr>
      </w:pPr>
    </w:p>
    <w:p w14:paraId="358E8948" w14:textId="77777777" w:rsidR="001C01B6" w:rsidRPr="0047462D" w:rsidRDefault="001C01B6" w:rsidP="001C01B6">
      <w:pPr>
        <w:rPr>
          <w:szCs w:val="22"/>
          <w:lang w:eastAsia="en-US"/>
        </w:rPr>
      </w:pPr>
      <w:r w:rsidRPr="0047462D">
        <w:rPr>
          <w:rFonts w:eastAsia="Times New Roman"/>
          <w:szCs w:val="22"/>
        </w:rPr>
        <w:t>Δεν εφαρμόζεται.</w:t>
      </w:r>
    </w:p>
    <w:p w14:paraId="38357091" w14:textId="77777777" w:rsidR="001C01B6" w:rsidRPr="0047462D" w:rsidRDefault="001C01B6" w:rsidP="001C01B6">
      <w:pPr>
        <w:rPr>
          <w:szCs w:val="22"/>
          <w:lang w:eastAsia="en-US"/>
        </w:rPr>
      </w:pPr>
    </w:p>
    <w:p w14:paraId="752C31A1"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6.3</w:t>
      </w:r>
      <w:r w:rsidRPr="0047462D">
        <w:rPr>
          <w:rFonts w:eastAsia="Times New Roman"/>
          <w:b/>
          <w:bCs/>
          <w:szCs w:val="22"/>
          <w:lang w:eastAsia="en-US"/>
        </w:rPr>
        <w:tab/>
      </w:r>
      <w:r w:rsidRPr="0047462D">
        <w:rPr>
          <w:rFonts w:eastAsia="Times New Roman"/>
          <w:b/>
          <w:bCs/>
          <w:szCs w:val="22"/>
        </w:rPr>
        <w:t>Διάρκεια ζωής</w:t>
      </w:r>
    </w:p>
    <w:p w14:paraId="3B78EE37" w14:textId="77777777" w:rsidR="001C01B6" w:rsidRPr="0047462D" w:rsidRDefault="001C01B6" w:rsidP="001C01B6">
      <w:pPr>
        <w:keepNext/>
        <w:rPr>
          <w:szCs w:val="22"/>
          <w:lang w:eastAsia="en-US"/>
        </w:rPr>
      </w:pPr>
    </w:p>
    <w:p w14:paraId="29579038" w14:textId="77777777" w:rsidR="001C01B6" w:rsidRPr="0047462D" w:rsidRDefault="005E2C1B" w:rsidP="001C01B6">
      <w:pPr>
        <w:rPr>
          <w:rFonts w:eastAsia="Times New Roman"/>
          <w:szCs w:val="22"/>
        </w:rPr>
      </w:pPr>
      <w:r w:rsidRPr="0047462D">
        <w:rPr>
          <w:rFonts w:eastAsia="Times New Roman"/>
          <w:szCs w:val="22"/>
        </w:rPr>
        <w:t>3 </w:t>
      </w:r>
      <w:r w:rsidR="001C01B6" w:rsidRPr="0047462D">
        <w:rPr>
          <w:rFonts w:eastAsia="Times New Roman"/>
          <w:szCs w:val="22"/>
        </w:rPr>
        <w:t>χρόνια.</w:t>
      </w:r>
    </w:p>
    <w:p w14:paraId="1F447ED3" w14:textId="77777777" w:rsidR="001C01B6" w:rsidRPr="0047462D" w:rsidRDefault="001C01B6" w:rsidP="001C01B6">
      <w:pPr>
        <w:rPr>
          <w:rFonts w:eastAsia="Times New Roman"/>
          <w:szCs w:val="22"/>
        </w:rPr>
      </w:pPr>
    </w:p>
    <w:p w14:paraId="21C22D43" w14:textId="10BC7A28" w:rsidR="001C01B6" w:rsidRPr="0047462D" w:rsidRDefault="001C01B6" w:rsidP="001C01B6">
      <w:pPr>
        <w:rPr>
          <w:szCs w:val="22"/>
          <w:lang w:eastAsia="en-US"/>
        </w:rPr>
      </w:pPr>
      <w:r w:rsidRPr="0047462D">
        <w:rPr>
          <w:rFonts w:eastAsia="Times New Roman"/>
          <w:szCs w:val="22"/>
        </w:rPr>
        <w:t>Μόλις αναμειχθεί,</w:t>
      </w:r>
      <w:r w:rsidR="00CF4123" w:rsidRPr="0047462D">
        <w:rPr>
          <w:rFonts w:eastAsia="Times New Roman"/>
          <w:szCs w:val="22"/>
          <w:lang w:val="en-GB"/>
        </w:rPr>
        <w:t>s</w:t>
      </w:r>
      <w:r w:rsidRPr="0047462D">
        <w:rPr>
          <w:rFonts w:eastAsia="Times New Roman"/>
          <w:szCs w:val="22"/>
        </w:rPr>
        <w:t xml:space="preserve"> το </w:t>
      </w:r>
      <w:r w:rsidR="00F7185D" w:rsidRPr="0047462D">
        <w:rPr>
          <w:rFonts w:eastAsia="Times New Roman"/>
          <w:szCs w:val="22"/>
        </w:rPr>
        <w:t xml:space="preserve">μείγμα </w:t>
      </w:r>
      <w:r w:rsidRPr="0047462D">
        <w:rPr>
          <w:rFonts w:eastAsia="Times New Roman"/>
          <w:szCs w:val="22"/>
        </w:rPr>
        <w:t xml:space="preserve">έχει </w:t>
      </w:r>
      <w:r w:rsidR="00A937F2" w:rsidRPr="0047462D">
        <w:rPr>
          <w:rFonts w:eastAsia="Times New Roman"/>
          <w:szCs w:val="22"/>
        </w:rPr>
        <w:t xml:space="preserve">καταδειχθεί </w:t>
      </w:r>
      <w:r w:rsidRPr="0047462D">
        <w:rPr>
          <w:rFonts w:eastAsia="Times New Roman"/>
          <w:szCs w:val="22"/>
        </w:rPr>
        <w:t>ότι είναι σταθερό για μία ώρα.</w:t>
      </w:r>
    </w:p>
    <w:p w14:paraId="314F1731" w14:textId="77777777" w:rsidR="001C01B6" w:rsidRPr="0047462D" w:rsidRDefault="001C01B6" w:rsidP="001C01B6">
      <w:pPr>
        <w:rPr>
          <w:szCs w:val="22"/>
          <w:lang w:eastAsia="en-US"/>
        </w:rPr>
      </w:pPr>
    </w:p>
    <w:p w14:paraId="423980F4"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6.4</w:t>
      </w:r>
      <w:r w:rsidRPr="0047462D">
        <w:rPr>
          <w:rFonts w:eastAsia="Times New Roman"/>
          <w:b/>
          <w:bCs/>
          <w:szCs w:val="22"/>
          <w:lang w:eastAsia="en-US"/>
        </w:rPr>
        <w:tab/>
      </w:r>
      <w:r w:rsidRPr="0047462D">
        <w:rPr>
          <w:rFonts w:eastAsia="Times New Roman"/>
          <w:b/>
          <w:bCs/>
          <w:szCs w:val="22"/>
        </w:rPr>
        <w:t>Ιδιαίτερες προφυλάξεις κατά τη φύλαξη του προϊόντος</w:t>
      </w:r>
    </w:p>
    <w:p w14:paraId="3314D56D" w14:textId="77777777" w:rsidR="001C01B6" w:rsidRPr="0047462D" w:rsidRDefault="001C01B6" w:rsidP="001C01B6">
      <w:pPr>
        <w:keepNext/>
        <w:ind w:left="567" w:hanging="567"/>
        <w:rPr>
          <w:szCs w:val="22"/>
          <w:lang w:eastAsia="en-US"/>
        </w:rPr>
      </w:pPr>
    </w:p>
    <w:p w14:paraId="414C86B2" w14:textId="77777777" w:rsidR="001C01B6" w:rsidRPr="0047462D" w:rsidRDefault="00510012" w:rsidP="001C01B6">
      <w:pPr>
        <w:rPr>
          <w:szCs w:val="22"/>
          <w:lang w:eastAsia="en-US"/>
        </w:rPr>
      </w:pPr>
      <w:r w:rsidRPr="0047462D">
        <w:rPr>
          <w:noProof/>
        </w:rPr>
        <w:t>Το φαρμακευτικό αυτό προϊόν δεν απαιτεί ιδιαίτερες συνθήκες φύλαξης</w:t>
      </w:r>
      <w:r w:rsidR="001C01B6" w:rsidRPr="0047462D">
        <w:rPr>
          <w:rFonts w:eastAsia="Times New Roman"/>
          <w:szCs w:val="22"/>
        </w:rPr>
        <w:t>.</w:t>
      </w:r>
    </w:p>
    <w:p w14:paraId="2FD83B2C" w14:textId="77777777" w:rsidR="001C01B6" w:rsidRPr="0047462D" w:rsidRDefault="001C01B6" w:rsidP="001C01B6">
      <w:pPr>
        <w:rPr>
          <w:szCs w:val="22"/>
          <w:lang w:eastAsia="en-US"/>
        </w:rPr>
      </w:pPr>
    </w:p>
    <w:p w14:paraId="1562DF07" w14:textId="77777777" w:rsidR="001C01B6" w:rsidRPr="0047462D" w:rsidRDefault="001C01B6" w:rsidP="001C01B6">
      <w:pPr>
        <w:keepNext/>
        <w:tabs>
          <w:tab w:val="left" w:pos="567"/>
        </w:tabs>
        <w:suppressAutoHyphens w:val="0"/>
        <w:outlineLvl w:val="0"/>
        <w:rPr>
          <w:b/>
          <w:bCs/>
          <w:noProof/>
          <w:szCs w:val="22"/>
          <w:lang w:eastAsia="en-US"/>
        </w:rPr>
      </w:pPr>
      <w:r w:rsidRPr="0047462D">
        <w:rPr>
          <w:b/>
          <w:bCs/>
          <w:noProof/>
          <w:szCs w:val="22"/>
          <w:lang w:eastAsia="en-US"/>
        </w:rPr>
        <w:t>6.5</w:t>
      </w:r>
      <w:r w:rsidRPr="0047462D">
        <w:rPr>
          <w:b/>
          <w:bCs/>
          <w:noProof/>
          <w:szCs w:val="22"/>
          <w:lang w:eastAsia="en-US"/>
        </w:rPr>
        <w:tab/>
        <w:t>Φύση και συστατικά του περιέκτη</w:t>
      </w:r>
    </w:p>
    <w:p w14:paraId="0D12D36E" w14:textId="77777777" w:rsidR="001C01B6" w:rsidRPr="0047462D" w:rsidRDefault="001C01B6" w:rsidP="001C01B6">
      <w:pPr>
        <w:keepNext/>
        <w:rPr>
          <w:szCs w:val="22"/>
          <w:lang w:eastAsia="en-US"/>
        </w:rPr>
      </w:pPr>
    </w:p>
    <w:p w14:paraId="2645EC2B" w14:textId="77777777" w:rsidR="001C01B6" w:rsidRPr="0047462D" w:rsidRDefault="00F7185D" w:rsidP="001C01B6">
      <w:pPr>
        <w:rPr>
          <w:bCs/>
        </w:rPr>
      </w:pPr>
      <w:r w:rsidRPr="0047462D">
        <w:rPr>
          <w:bCs/>
        </w:rPr>
        <w:t xml:space="preserve">Τα κοκκία είναι συσκευασμένα </w:t>
      </w:r>
      <w:r w:rsidR="001C01B6" w:rsidRPr="0047462D">
        <w:rPr>
          <w:bCs/>
        </w:rPr>
        <w:t>σε έναν φακελλίσκο με διαξονικό προσανατολισμό από πολυαιθυλένιο τερεφθαλικό/πολυαιθυλένιο/φύλλο αλουμινίου/πολυαιθυλένιο (BOPET/PE/φύλλο αλουμινίου/PE).</w:t>
      </w:r>
    </w:p>
    <w:p w14:paraId="6381F2DA" w14:textId="77777777" w:rsidR="001C01B6" w:rsidRPr="0047462D" w:rsidRDefault="001C01B6" w:rsidP="001C01B6">
      <w:pPr>
        <w:rPr>
          <w:bCs/>
        </w:rPr>
      </w:pPr>
    </w:p>
    <w:p w14:paraId="0B4E8F1B" w14:textId="08CFE134" w:rsidR="001C01B6" w:rsidRPr="0047462D" w:rsidRDefault="00A937F2" w:rsidP="001C01B6">
      <w:pPr>
        <w:rPr>
          <w:szCs w:val="22"/>
          <w:lang w:eastAsia="en-US"/>
        </w:rPr>
      </w:pPr>
      <w:r w:rsidRPr="0047462D">
        <w:rPr>
          <w:szCs w:val="22"/>
          <w:lang w:eastAsia="en-US"/>
        </w:rPr>
        <w:t>Σ</w:t>
      </w:r>
      <w:r w:rsidR="001C01B6" w:rsidRPr="0047462D">
        <w:rPr>
          <w:szCs w:val="22"/>
          <w:lang w:eastAsia="en-US"/>
        </w:rPr>
        <w:t>υσκευασία 56 φακελλίσκων (περιέχει 4 ξεχωριστές καρτέλες με 14 φακελλίσκους ανά καρτέλα)</w:t>
      </w:r>
    </w:p>
    <w:p w14:paraId="5FD4C697" w14:textId="77777777" w:rsidR="001C01B6" w:rsidRPr="0047462D" w:rsidRDefault="001C01B6" w:rsidP="001C01B6">
      <w:pPr>
        <w:rPr>
          <w:szCs w:val="22"/>
          <w:lang w:eastAsia="en-US"/>
        </w:rPr>
      </w:pPr>
    </w:p>
    <w:p w14:paraId="00D36926" w14:textId="77777777" w:rsidR="001C01B6" w:rsidRPr="0047462D" w:rsidRDefault="001C01B6" w:rsidP="001C01B6">
      <w:pPr>
        <w:keepNext/>
        <w:ind w:left="567" w:hanging="567"/>
        <w:rPr>
          <w:i/>
          <w:iCs/>
          <w:szCs w:val="22"/>
          <w:lang w:eastAsia="en-US"/>
        </w:rPr>
      </w:pPr>
      <w:r w:rsidRPr="0047462D">
        <w:rPr>
          <w:rFonts w:eastAsia="Times New Roman"/>
          <w:b/>
          <w:bCs/>
          <w:szCs w:val="22"/>
          <w:lang w:eastAsia="en-US"/>
        </w:rPr>
        <w:t>6.6</w:t>
      </w:r>
      <w:r w:rsidRPr="0047462D">
        <w:rPr>
          <w:rFonts w:eastAsia="Times New Roman"/>
          <w:b/>
          <w:bCs/>
          <w:szCs w:val="22"/>
          <w:lang w:eastAsia="en-US"/>
        </w:rPr>
        <w:tab/>
      </w:r>
      <w:r w:rsidRPr="0047462D">
        <w:rPr>
          <w:rFonts w:eastAsia="Times New Roman"/>
          <w:b/>
          <w:bCs/>
          <w:szCs w:val="22"/>
        </w:rPr>
        <w:t>Ιδιαίτερες προφυλάξεις απόρριψης και άλλος χειρισμός</w:t>
      </w:r>
    </w:p>
    <w:p w14:paraId="4975858F" w14:textId="77777777" w:rsidR="001C01B6" w:rsidRPr="0047462D" w:rsidRDefault="001C01B6" w:rsidP="001C01B6">
      <w:pPr>
        <w:keepNext/>
        <w:rPr>
          <w:i/>
          <w:iCs/>
          <w:szCs w:val="22"/>
          <w:lang w:eastAsia="en-US"/>
        </w:rPr>
      </w:pPr>
    </w:p>
    <w:p w14:paraId="3C91A5FA" w14:textId="77777777" w:rsidR="001C01B6" w:rsidRPr="0047462D" w:rsidRDefault="00510012" w:rsidP="001C01B6">
      <w:pPr>
        <w:rPr>
          <w:szCs w:val="22"/>
          <w:lang w:eastAsia="en-US"/>
        </w:rPr>
      </w:pPr>
      <w:r w:rsidRPr="0047462D">
        <w:rPr>
          <w:noProof/>
          <w:szCs w:val="22"/>
        </w:rPr>
        <w:t>Κάθε αχρησιμοποίητο φαρμακευτικό προϊόν ή υπόλειμμα πρέπει να απορρίπτεται σύμφωνα με τις κατά τόπους ισχύουσες σχετικές διατάξεις</w:t>
      </w:r>
      <w:r w:rsidR="001C01B6" w:rsidRPr="0047462D">
        <w:rPr>
          <w:rFonts w:eastAsia="Arial0"/>
          <w:szCs w:val="22"/>
        </w:rPr>
        <w:t>.</w:t>
      </w:r>
    </w:p>
    <w:p w14:paraId="3A9943C2" w14:textId="77777777" w:rsidR="001C01B6" w:rsidRPr="0047462D" w:rsidRDefault="001C01B6" w:rsidP="001C01B6">
      <w:pPr>
        <w:rPr>
          <w:szCs w:val="22"/>
          <w:lang w:eastAsia="en-US"/>
        </w:rPr>
      </w:pPr>
    </w:p>
    <w:p w14:paraId="24C93E72" w14:textId="77777777" w:rsidR="001C01B6" w:rsidRPr="0047462D" w:rsidRDefault="001C01B6" w:rsidP="001C01B6">
      <w:pPr>
        <w:rPr>
          <w:szCs w:val="22"/>
          <w:lang w:eastAsia="en-US"/>
        </w:rPr>
      </w:pPr>
    </w:p>
    <w:p w14:paraId="576D7481"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ΚΑΤΟΧΟΣ ΤΗΣ ΑΔΕΙΑΣ ΚΥΚΛΟΦΟΡΙΑΣ</w:t>
      </w:r>
    </w:p>
    <w:p w14:paraId="1D1B5195" w14:textId="77777777" w:rsidR="001C01B6" w:rsidRPr="0047462D" w:rsidRDefault="001C01B6" w:rsidP="001C01B6">
      <w:pPr>
        <w:keepNext/>
        <w:rPr>
          <w:szCs w:val="22"/>
          <w:lang w:eastAsia="en-US"/>
        </w:rPr>
      </w:pPr>
    </w:p>
    <w:p w14:paraId="3C157701" w14:textId="77777777" w:rsidR="00AE0285" w:rsidRPr="0047462D" w:rsidRDefault="00AE0285" w:rsidP="00D3539C">
      <w:pPr>
        <w:keepNext/>
        <w:rPr>
          <w:iCs/>
        </w:rPr>
      </w:pPr>
      <w:r w:rsidRPr="0047462D">
        <w:rPr>
          <w:iCs/>
          <w:lang w:val="en-GB"/>
        </w:rPr>
        <w:t>Vertex</w:t>
      </w:r>
      <w:r w:rsidRPr="0047462D">
        <w:rPr>
          <w:iCs/>
        </w:rPr>
        <w:t xml:space="preserve"> </w:t>
      </w:r>
      <w:r w:rsidRPr="0047462D">
        <w:rPr>
          <w:iCs/>
          <w:lang w:val="en-GB"/>
        </w:rPr>
        <w:t>Pharmaceuticals</w:t>
      </w:r>
      <w:r w:rsidRPr="0047462D">
        <w:rPr>
          <w:iCs/>
        </w:rPr>
        <w:t xml:space="preserve"> (</w:t>
      </w:r>
      <w:r w:rsidRPr="0047462D">
        <w:rPr>
          <w:iCs/>
          <w:lang w:val="en-GB"/>
        </w:rPr>
        <w:t>Ireland</w:t>
      </w:r>
      <w:r w:rsidRPr="0047462D">
        <w:rPr>
          <w:iCs/>
        </w:rPr>
        <w:t xml:space="preserve">) </w:t>
      </w:r>
      <w:r w:rsidRPr="0047462D">
        <w:rPr>
          <w:iCs/>
          <w:lang w:val="en-GB"/>
        </w:rPr>
        <w:t>Limited</w:t>
      </w:r>
    </w:p>
    <w:p w14:paraId="1E832BD8" w14:textId="77777777" w:rsidR="00AE0285" w:rsidRPr="0047462D" w:rsidRDefault="00AE0285" w:rsidP="00D3539C">
      <w:pPr>
        <w:keepNext/>
        <w:rPr>
          <w:iCs/>
          <w:lang w:val="en-GB"/>
        </w:rPr>
      </w:pPr>
      <w:r w:rsidRPr="0047462D">
        <w:rPr>
          <w:iCs/>
          <w:lang w:val="en-GB"/>
        </w:rPr>
        <w:t>28-32 Pembroke Street Upper</w:t>
      </w:r>
    </w:p>
    <w:p w14:paraId="2935C613" w14:textId="77777777" w:rsidR="00AE0285" w:rsidRPr="0047462D" w:rsidRDefault="00AE0285" w:rsidP="00D3539C">
      <w:pPr>
        <w:keepNext/>
        <w:rPr>
          <w:iCs/>
          <w:lang w:val="en-GB"/>
        </w:rPr>
      </w:pPr>
      <w:r w:rsidRPr="0047462D">
        <w:rPr>
          <w:iCs/>
          <w:lang w:val="en-GB"/>
        </w:rPr>
        <w:t>Dublin 2, D02 EK84</w:t>
      </w:r>
    </w:p>
    <w:p w14:paraId="0EFCA11F" w14:textId="77777777" w:rsidR="00AE0285" w:rsidRPr="0047462D" w:rsidRDefault="00AE0285" w:rsidP="00AE0285">
      <w:pPr>
        <w:rPr>
          <w:rFonts w:eastAsia="Times New Roman"/>
          <w:szCs w:val="22"/>
        </w:rPr>
      </w:pPr>
      <w:r w:rsidRPr="0047462D">
        <w:rPr>
          <w:iCs/>
        </w:rPr>
        <w:t>Ιρλανδία</w:t>
      </w:r>
    </w:p>
    <w:p w14:paraId="0CBDCA0D" w14:textId="77777777" w:rsidR="001C01B6" w:rsidRPr="0047462D" w:rsidRDefault="001C01B6" w:rsidP="001C01B6">
      <w:pPr>
        <w:rPr>
          <w:szCs w:val="22"/>
          <w:lang w:eastAsia="en-US"/>
        </w:rPr>
      </w:pPr>
    </w:p>
    <w:p w14:paraId="67FD1981" w14:textId="77777777" w:rsidR="001C01B6" w:rsidRPr="0047462D" w:rsidRDefault="001C01B6" w:rsidP="001C01B6">
      <w:pPr>
        <w:rPr>
          <w:szCs w:val="22"/>
          <w:lang w:eastAsia="en-US"/>
        </w:rPr>
      </w:pPr>
    </w:p>
    <w:p w14:paraId="73C86052"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692430A8" w14:textId="77777777" w:rsidR="001C01B6" w:rsidRPr="0047462D" w:rsidRDefault="001C01B6" w:rsidP="001C01B6">
      <w:pPr>
        <w:keepNext/>
        <w:tabs>
          <w:tab w:val="left" w:pos="1080"/>
        </w:tabs>
        <w:rPr>
          <w:szCs w:val="22"/>
          <w:lang w:eastAsia="en-US"/>
        </w:rPr>
      </w:pPr>
    </w:p>
    <w:p w14:paraId="2C6B9B70" w14:textId="77777777" w:rsidR="003E0B49" w:rsidRPr="0047462D" w:rsidRDefault="001C01B6" w:rsidP="001C01B6">
      <w:pPr>
        <w:rPr>
          <w:rFonts w:cs="Verdana"/>
        </w:rPr>
      </w:pPr>
      <w:r w:rsidRPr="0047462D">
        <w:rPr>
          <w:szCs w:val="24"/>
        </w:rPr>
        <w:t>EU</w:t>
      </w:r>
      <w:r w:rsidRPr="0047462D">
        <w:rPr>
          <w:rFonts w:cs="Verdana"/>
          <w:color w:val="000000"/>
        </w:rPr>
        <w:t>/1/12/782/003</w:t>
      </w:r>
    </w:p>
    <w:p w14:paraId="3736DB93" w14:textId="29FF2FE7" w:rsidR="001C01B6" w:rsidRPr="0047462D" w:rsidRDefault="003E0B49" w:rsidP="001C01B6">
      <w:pPr>
        <w:rPr>
          <w:szCs w:val="24"/>
        </w:rPr>
      </w:pPr>
      <w:r w:rsidRPr="0047462D">
        <w:t>EU/1/12/782/</w:t>
      </w:r>
      <w:r w:rsidR="00F7185D" w:rsidRPr="0047462D">
        <w:rPr>
          <w:rFonts w:cs="Verdana"/>
        </w:rPr>
        <w:t>004</w:t>
      </w:r>
      <w:r w:rsidR="001C01B6" w:rsidRPr="0047462D">
        <w:rPr>
          <w:szCs w:val="24"/>
        </w:rPr>
        <w:t xml:space="preserve"> </w:t>
      </w:r>
    </w:p>
    <w:p w14:paraId="4E925F9B" w14:textId="77777777" w:rsidR="003E0B49" w:rsidRPr="0047462D" w:rsidRDefault="003E0B49" w:rsidP="003E0B49">
      <w:r w:rsidRPr="0047462D">
        <w:t>EU/1/12/782/006</w:t>
      </w:r>
    </w:p>
    <w:p w14:paraId="606AA8E7" w14:textId="77777777" w:rsidR="001C01B6" w:rsidRPr="0047462D" w:rsidRDefault="001C01B6" w:rsidP="001C01B6">
      <w:pPr>
        <w:rPr>
          <w:szCs w:val="22"/>
          <w:lang w:eastAsia="en-US"/>
        </w:rPr>
      </w:pPr>
    </w:p>
    <w:p w14:paraId="76DE9FD3" w14:textId="77777777" w:rsidR="001C01B6" w:rsidRPr="0047462D" w:rsidRDefault="001C01B6" w:rsidP="001C01B6">
      <w:pPr>
        <w:rPr>
          <w:szCs w:val="22"/>
          <w:lang w:eastAsia="en-US"/>
        </w:rPr>
      </w:pPr>
    </w:p>
    <w:p w14:paraId="55A64FCC" w14:textId="77777777" w:rsidR="001C01B6" w:rsidRPr="0047462D" w:rsidRDefault="001C01B6" w:rsidP="001C01B6">
      <w:pPr>
        <w:keepNext/>
        <w:ind w:left="567" w:hanging="567"/>
        <w:rPr>
          <w:i/>
          <w:iCs/>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ΗΜΕΡΟΜΗΝΙΑ ΠΡΩΤΗΣ ΕΓΚΡΙΣΗΣ/ΑΝΑΝΕΩΣΗΣ ΤΗΣ ΑΔΕΙΑΣ</w:t>
      </w:r>
    </w:p>
    <w:p w14:paraId="68501F8C" w14:textId="77777777" w:rsidR="001C01B6" w:rsidRPr="0047462D" w:rsidRDefault="001C01B6" w:rsidP="00141E57">
      <w:pPr>
        <w:keepNext/>
        <w:rPr>
          <w:i/>
          <w:iCs/>
          <w:szCs w:val="22"/>
          <w:lang w:eastAsia="en-US"/>
        </w:rPr>
      </w:pPr>
    </w:p>
    <w:p w14:paraId="64D720EA" w14:textId="77777777" w:rsidR="000053D8" w:rsidRPr="0047462D" w:rsidRDefault="000053D8" w:rsidP="00D3539C">
      <w:pPr>
        <w:keepNext/>
        <w:rPr>
          <w:szCs w:val="22"/>
          <w:lang w:eastAsia="en-US"/>
        </w:rPr>
      </w:pPr>
      <w:r w:rsidRPr="0047462D">
        <w:rPr>
          <w:rFonts w:eastAsia="Times New Roman"/>
          <w:szCs w:val="22"/>
        </w:rPr>
        <w:t>Ημερομηνία πρώτης έγκρισης:</w:t>
      </w:r>
      <w:r w:rsidRPr="0047462D">
        <w:rPr>
          <w:rFonts w:eastAsia="Times New Roman"/>
          <w:szCs w:val="22"/>
          <w:lang w:eastAsia="en-US"/>
        </w:rPr>
        <w:t xml:space="preserve"> 23</w:t>
      </w:r>
      <w:r w:rsidRPr="0047462D">
        <w:rPr>
          <w:rFonts w:eastAsia="Times New Roman"/>
          <w:b/>
          <w:szCs w:val="22"/>
          <w:lang w:eastAsia="en-US"/>
        </w:rPr>
        <w:t xml:space="preserve"> </w:t>
      </w:r>
      <w:r w:rsidRPr="0047462D">
        <w:rPr>
          <w:rStyle w:val="Strong"/>
          <w:b w:val="0"/>
          <w:szCs w:val="22"/>
        </w:rPr>
        <w:t>Ιουλίου 2012</w:t>
      </w:r>
    </w:p>
    <w:p w14:paraId="2C168FCB" w14:textId="77777777" w:rsidR="001C01B6" w:rsidRPr="0047462D" w:rsidRDefault="00F7185D" w:rsidP="001C01B6">
      <w:pPr>
        <w:rPr>
          <w:noProof/>
          <w:szCs w:val="22"/>
        </w:rPr>
      </w:pPr>
      <w:r w:rsidRPr="0047462D">
        <w:rPr>
          <w:noProof/>
          <w:szCs w:val="22"/>
        </w:rPr>
        <w:t>Ημερομηνία τελευταίας ανανέωσης:</w:t>
      </w:r>
      <w:r w:rsidR="000E3B88" w:rsidRPr="0047462D">
        <w:rPr>
          <w:noProof/>
          <w:szCs w:val="22"/>
        </w:rPr>
        <w:t xml:space="preserve"> 28 </w:t>
      </w:r>
      <w:r w:rsidR="000E3B88" w:rsidRPr="0047462D">
        <w:rPr>
          <w:spacing w:val="-1"/>
          <w:szCs w:val="22"/>
          <w:lang w:eastAsia="en-US"/>
        </w:rPr>
        <w:t>Απ</w:t>
      </w:r>
      <w:r w:rsidR="000E3B88" w:rsidRPr="0047462D">
        <w:rPr>
          <w:szCs w:val="22"/>
          <w:lang w:eastAsia="en-US"/>
        </w:rPr>
        <w:t>ρ</w:t>
      </w:r>
      <w:r w:rsidR="000E3B88" w:rsidRPr="0047462D">
        <w:rPr>
          <w:spacing w:val="1"/>
          <w:szCs w:val="22"/>
          <w:lang w:eastAsia="en-US"/>
        </w:rPr>
        <w:t>ι</w:t>
      </w:r>
      <w:r w:rsidR="000E3B88" w:rsidRPr="0047462D">
        <w:rPr>
          <w:spacing w:val="-2"/>
          <w:szCs w:val="22"/>
          <w:lang w:eastAsia="en-US"/>
        </w:rPr>
        <w:t>λ</w:t>
      </w:r>
      <w:r w:rsidR="000E3B88" w:rsidRPr="0047462D">
        <w:rPr>
          <w:spacing w:val="1"/>
          <w:szCs w:val="22"/>
          <w:lang w:eastAsia="en-US"/>
        </w:rPr>
        <w:t>ί</w:t>
      </w:r>
      <w:r w:rsidR="000E3B88" w:rsidRPr="0047462D">
        <w:rPr>
          <w:spacing w:val="-2"/>
          <w:szCs w:val="22"/>
          <w:lang w:eastAsia="en-US"/>
        </w:rPr>
        <w:t>ο</w:t>
      </w:r>
      <w:r w:rsidR="000E3B88" w:rsidRPr="0047462D">
        <w:rPr>
          <w:szCs w:val="22"/>
          <w:lang w:eastAsia="en-US"/>
        </w:rPr>
        <w:t>υ 2017</w:t>
      </w:r>
    </w:p>
    <w:p w14:paraId="78972FF7" w14:textId="77777777" w:rsidR="00F7185D" w:rsidRPr="0047462D" w:rsidRDefault="00F7185D" w:rsidP="001C01B6">
      <w:pPr>
        <w:rPr>
          <w:szCs w:val="22"/>
          <w:lang w:eastAsia="en-US"/>
        </w:rPr>
      </w:pPr>
    </w:p>
    <w:p w14:paraId="5B181309" w14:textId="77777777" w:rsidR="001C01B6" w:rsidRPr="0047462D" w:rsidRDefault="001C01B6" w:rsidP="001C01B6">
      <w:pPr>
        <w:rPr>
          <w:szCs w:val="22"/>
          <w:lang w:eastAsia="en-US"/>
        </w:rPr>
      </w:pPr>
    </w:p>
    <w:p w14:paraId="459F274C" w14:textId="77777777" w:rsidR="001C01B6" w:rsidRPr="0047462D" w:rsidRDefault="001C01B6" w:rsidP="001C01B6">
      <w:pPr>
        <w:tabs>
          <w:tab w:val="left" w:pos="567"/>
        </w:tabs>
        <w:suppressAutoHyphens w:val="0"/>
        <w:spacing w:line="260" w:lineRule="exact"/>
      </w:pPr>
      <w:r w:rsidRPr="0047462D">
        <w:rPr>
          <w:b/>
          <w:bCs/>
          <w:noProof/>
          <w:szCs w:val="22"/>
          <w:lang w:eastAsia="en-US"/>
        </w:rPr>
        <w:t>10.</w:t>
      </w:r>
      <w:r w:rsidRPr="0047462D">
        <w:rPr>
          <w:b/>
          <w:bCs/>
          <w:noProof/>
          <w:szCs w:val="22"/>
          <w:lang w:eastAsia="en-US"/>
        </w:rPr>
        <w:tab/>
        <w:t>ΗΜΕΡΟΜΗΝΙΑ ΑΝΑΘΕΩΡΗΣΗΣ ΤΟΥ ΚΕΙΜΕΝΟΥ</w:t>
      </w:r>
    </w:p>
    <w:p w14:paraId="05B35F16" w14:textId="77777777" w:rsidR="001C01B6" w:rsidRPr="0047462D" w:rsidRDefault="001C01B6" w:rsidP="001C01B6">
      <w:pPr>
        <w:tabs>
          <w:tab w:val="left" w:pos="567"/>
        </w:tabs>
        <w:suppressAutoHyphens w:val="0"/>
        <w:spacing w:line="260" w:lineRule="exact"/>
        <w:rPr>
          <w:b/>
          <w:bCs/>
          <w:noProof/>
          <w:szCs w:val="22"/>
          <w:lang w:eastAsia="en-US"/>
        </w:rPr>
      </w:pPr>
    </w:p>
    <w:p w14:paraId="4D53859D" w14:textId="77777777" w:rsidR="00C655D4" w:rsidRPr="0047462D" w:rsidRDefault="007403AF" w:rsidP="006F402D">
      <w:pPr>
        <w:ind w:right="-2"/>
        <w:rPr>
          <w:rFonts w:eastAsia="Times New Roman"/>
          <w:szCs w:val="22"/>
        </w:rPr>
      </w:pPr>
      <w:r w:rsidRPr="0047462D">
        <w:rPr>
          <w:noProof/>
          <w:szCs w:val="22"/>
        </w:rPr>
        <w:t xml:space="preserve">Λεπτομερείς πληροφορίες </w:t>
      </w:r>
      <w:r w:rsidR="001C01B6" w:rsidRPr="0047462D">
        <w:rPr>
          <w:rFonts w:eastAsia="Times New Roman"/>
          <w:szCs w:val="22"/>
        </w:rPr>
        <w:t>για το παρόν φαρμακευτικό προϊόν είναι διαθέσιμ</w:t>
      </w:r>
      <w:r w:rsidRPr="0047462D">
        <w:rPr>
          <w:rFonts w:eastAsia="Times New Roman"/>
          <w:szCs w:val="22"/>
        </w:rPr>
        <w:t>ες</w:t>
      </w:r>
      <w:r w:rsidR="001C01B6" w:rsidRPr="0047462D">
        <w:rPr>
          <w:rFonts w:eastAsia="Times New Roman"/>
          <w:szCs w:val="22"/>
        </w:rPr>
        <w:t xml:space="preserve"> στον δικτυακό τόπο του Ευρωπαϊκού Οργανισμού Φαρμάκων</w:t>
      </w:r>
      <w:r w:rsidRPr="0047462D">
        <w:rPr>
          <w:rFonts w:eastAsia="Times New Roman"/>
          <w:szCs w:val="22"/>
        </w:rPr>
        <w:t>:</w:t>
      </w:r>
      <w:r w:rsidR="001C01B6" w:rsidRPr="0047462D">
        <w:rPr>
          <w:rFonts w:eastAsia="Times New Roman"/>
          <w:szCs w:val="22"/>
        </w:rPr>
        <w:t xml:space="preserve"> </w:t>
      </w:r>
      <w:hyperlink r:id="rId14" w:history="1">
        <w:r w:rsidR="001C01B6" w:rsidRPr="0047462D">
          <w:rPr>
            <w:rStyle w:val="Hyperlink"/>
          </w:rPr>
          <w:t>http://www.ema.europa.eu</w:t>
        </w:r>
      </w:hyperlink>
      <w:r w:rsidR="001C01B6" w:rsidRPr="0047462D">
        <w:rPr>
          <w:rFonts w:eastAsia="Times New Roman"/>
          <w:szCs w:val="22"/>
        </w:rPr>
        <w:t>.</w:t>
      </w:r>
    </w:p>
    <w:p w14:paraId="1839C1D6" w14:textId="77777777" w:rsidR="00A67D3A" w:rsidRPr="0047462D" w:rsidRDefault="00A67D3A" w:rsidP="006F402D">
      <w:pPr>
        <w:ind w:right="-2"/>
        <w:rPr>
          <w:b/>
          <w:bCs/>
          <w:szCs w:val="22"/>
          <w:lang w:eastAsia="en-US"/>
        </w:rPr>
      </w:pPr>
      <w:r w:rsidRPr="0047462D">
        <w:rPr>
          <w:rFonts w:eastAsia="Times New Roman"/>
          <w:szCs w:val="22"/>
        </w:rPr>
        <w:br w:type="page"/>
      </w:r>
    </w:p>
    <w:p w14:paraId="7ACDF47F" w14:textId="77777777" w:rsidR="00A67D3A" w:rsidRPr="0047462D" w:rsidRDefault="00A67D3A" w:rsidP="00141E57">
      <w:pPr>
        <w:jc w:val="center"/>
        <w:rPr>
          <w:szCs w:val="22"/>
        </w:rPr>
      </w:pPr>
    </w:p>
    <w:p w14:paraId="4A29B076" w14:textId="77777777" w:rsidR="00A67D3A" w:rsidRPr="0047462D" w:rsidRDefault="00A67D3A" w:rsidP="002331FF">
      <w:pPr>
        <w:pStyle w:val="NormalAgency"/>
        <w:jc w:val="center"/>
        <w:rPr>
          <w:rFonts w:ascii="Times New Roman" w:hAnsi="Times New Roman"/>
          <w:sz w:val="22"/>
          <w:lang w:val="el-GR"/>
        </w:rPr>
      </w:pPr>
    </w:p>
    <w:p w14:paraId="3C637051" w14:textId="77777777" w:rsidR="00A67D3A" w:rsidRPr="0047462D" w:rsidRDefault="00A67D3A" w:rsidP="002331FF">
      <w:pPr>
        <w:pStyle w:val="NormalAgency"/>
        <w:jc w:val="center"/>
        <w:rPr>
          <w:rFonts w:ascii="Times New Roman" w:hAnsi="Times New Roman"/>
          <w:sz w:val="22"/>
          <w:lang w:val="el-GR"/>
        </w:rPr>
      </w:pPr>
    </w:p>
    <w:p w14:paraId="4DD897E9" w14:textId="77777777" w:rsidR="00A67D3A" w:rsidRPr="0047462D" w:rsidRDefault="00A67D3A">
      <w:pPr>
        <w:pStyle w:val="NormalAgency"/>
        <w:jc w:val="center"/>
        <w:rPr>
          <w:rFonts w:ascii="Times New Roman" w:hAnsi="Times New Roman"/>
          <w:sz w:val="22"/>
          <w:lang w:val="el-GR"/>
        </w:rPr>
      </w:pPr>
    </w:p>
    <w:p w14:paraId="0948A03D" w14:textId="77777777" w:rsidR="00A67D3A" w:rsidRPr="0047462D" w:rsidRDefault="00A67D3A">
      <w:pPr>
        <w:pStyle w:val="NormalAgency"/>
        <w:jc w:val="center"/>
        <w:rPr>
          <w:rFonts w:ascii="Times New Roman" w:hAnsi="Times New Roman"/>
          <w:sz w:val="22"/>
          <w:lang w:val="el-GR"/>
        </w:rPr>
      </w:pPr>
    </w:p>
    <w:p w14:paraId="4237E86D" w14:textId="77777777" w:rsidR="00A67D3A" w:rsidRPr="0047462D" w:rsidRDefault="00A67D3A">
      <w:pPr>
        <w:pStyle w:val="NormalAgency"/>
        <w:jc w:val="center"/>
        <w:rPr>
          <w:rFonts w:ascii="Times New Roman" w:hAnsi="Times New Roman"/>
          <w:sz w:val="22"/>
          <w:lang w:val="el-GR"/>
        </w:rPr>
      </w:pPr>
    </w:p>
    <w:p w14:paraId="75DC7423" w14:textId="77777777" w:rsidR="00A67D3A" w:rsidRPr="0047462D" w:rsidRDefault="00A67D3A">
      <w:pPr>
        <w:pStyle w:val="NormalAgency"/>
        <w:jc w:val="center"/>
        <w:rPr>
          <w:rFonts w:ascii="Times New Roman" w:hAnsi="Times New Roman"/>
          <w:sz w:val="22"/>
          <w:lang w:val="el-GR"/>
        </w:rPr>
      </w:pPr>
    </w:p>
    <w:p w14:paraId="25605B0D" w14:textId="77777777" w:rsidR="00A67D3A" w:rsidRPr="0047462D" w:rsidRDefault="00A67D3A">
      <w:pPr>
        <w:pStyle w:val="NormalAgency"/>
        <w:jc w:val="center"/>
        <w:rPr>
          <w:rFonts w:ascii="Times New Roman" w:hAnsi="Times New Roman"/>
          <w:sz w:val="22"/>
          <w:lang w:val="el-GR"/>
        </w:rPr>
      </w:pPr>
    </w:p>
    <w:p w14:paraId="7C91D0C5" w14:textId="77777777" w:rsidR="00A67D3A" w:rsidRPr="0047462D" w:rsidRDefault="00A67D3A">
      <w:pPr>
        <w:pStyle w:val="NormalAgency"/>
        <w:jc w:val="center"/>
        <w:rPr>
          <w:rFonts w:ascii="Times New Roman" w:hAnsi="Times New Roman"/>
          <w:sz w:val="22"/>
          <w:lang w:val="el-GR"/>
        </w:rPr>
      </w:pPr>
    </w:p>
    <w:p w14:paraId="0103079D" w14:textId="77777777" w:rsidR="00A67D3A" w:rsidRPr="0047462D" w:rsidRDefault="00A67D3A">
      <w:pPr>
        <w:pStyle w:val="NormalAgency"/>
        <w:jc w:val="center"/>
        <w:rPr>
          <w:rFonts w:ascii="Times New Roman" w:hAnsi="Times New Roman"/>
          <w:sz w:val="22"/>
          <w:lang w:val="el-GR"/>
        </w:rPr>
      </w:pPr>
    </w:p>
    <w:p w14:paraId="6C47B0D4" w14:textId="77777777" w:rsidR="00A67D3A" w:rsidRPr="0047462D" w:rsidRDefault="00A67D3A">
      <w:pPr>
        <w:pStyle w:val="NormalAgency"/>
        <w:jc w:val="center"/>
        <w:rPr>
          <w:rFonts w:ascii="Times New Roman" w:hAnsi="Times New Roman"/>
          <w:sz w:val="22"/>
          <w:lang w:val="el-GR"/>
        </w:rPr>
      </w:pPr>
    </w:p>
    <w:p w14:paraId="1557A7F6" w14:textId="77777777" w:rsidR="00A67D3A" w:rsidRPr="0047462D" w:rsidRDefault="00A67D3A">
      <w:pPr>
        <w:pStyle w:val="NormalAgency"/>
        <w:jc w:val="center"/>
        <w:rPr>
          <w:rFonts w:ascii="Times New Roman" w:hAnsi="Times New Roman"/>
          <w:sz w:val="22"/>
          <w:lang w:val="el-GR"/>
        </w:rPr>
      </w:pPr>
    </w:p>
    <w:p w14:paraId="5ED33972" w14:textId="77777777" w:rsidR="00A67D3A" w:rsidRPr="0047462D" w:rsidRDefault="00A67D3A">
      <w:pPr>
        <w:pStyle w:val="NormalAgency"/>
        <w:jc w:val="center"/>
        <w:rPr>
          <w:rFonts w:ascii="Times New Roman" w:hAnsi="Times New Roman"/>
          <w:sz w:val="22"/>
          <w:lang w:val="el-GR"/>
        </w:rPr>
      </w:pPr>
    </w:p>
    <w:p w14:paraId="684FA347" w14:textId="77777777" w:rsidR="00A67D3A" w:rsidRPr="0047462D" w:rsidRDefault="00A67D3A">
      <w:pPr>
        <w:pStyle w:val="NormalAgency"/>
        <w:jc w:val="center"/>
        <w:rPr>
          <w:rFonts w:ascii="Times New Roman" w:hAnsi="Times New Roman"/>
          <w:sz w:val="22"/>
          <w:lang w:val="el-GR"/>
        </w:rPr>
      </w:pPr>
    </w:p>
    <w:p w14:paraId="5237C4F7" w14:textId="77777777" w:rsidR="00A67D3A" w:rsidRPr="0047462D" w:rsidRDefault="00A67D3A">
      <w:pPr>
        <w:pStyle w:val="NormalAgency"/>
        <w:jc w:val="center"/>
        <w:rPr>
          <w:rFonts w:ascii="Times New Roman" w:hAnsi="Times New Roman"/>
          <w:sz w:val="22"/>
          <w:lang w:val="el-GR"/>
        </w:rPr>
      </w:pPr>
    </w:p>
    <w:p w14:paraId="408C2055" w14:textId="77777777" w:rsidR="00A67D3A" w:rsidRPr="0047462D" w:rsidRDefault="00A67D3A">
      <w:pPr>
        <w:pStyle w:val="NormalAgency"/>
        <w:jc w:val="center"/>
        <w:rPr>
          <w:rFonts w:ascii="Times New Roman" w:hAnsi="Times New Roman"/>
          <w:sz w:val="22"/>
          <w:lang w:val="el-GR"/>
        </w:rPr>
      </w:pPr>
    </w:p>
    <w:p w14:paraId="5AC1263B" w14:textId="77777777" w:rsidR="00A67D3A" w:rsidRPr="0047462D" w:rsidRDefault="00A67D3A">
      <w:pPr>
        <w:pStyle w:val="NormalAgency"/>
        <w:jc w:val="center"/>
        <w:rPr>
          <w:rFonts w:ascii="Times New Roman" w:hAnsi="Times New Roman"/>
          <w:sz w:val="22"/>
          <w:lang w:val="el-GR"/>
        </w:rPr>
      </w:pPr>
    </w:p>
    <w:p w14:paraId="3EE49EF8" w14:textId="77777777" w:rsidR="00A67D3A" w:rsidRPr="0047462D" w:rsidRDefault="00A67D3A">
      <w:pPr>
        <w:pStyle w:val="NormalAgency"/>
        <w:jc w:val="center"/>
        <w:rPr>
          <w:rFonts w:ascii="Times New Roman" w:hAnsi="Times New Roman"/>
          <w:sz w:val="22"/>
          <w:lang w:val="el-GR"/>
        </w:rPr>
      </w:pPr>
    </w:p>
    <w:p w14:paraId="63B35B65" w14:textId="77777777" w:rsidR="00A67D3A" w:rsidRPr="0047462D" w:rsidRDefault="00A67D3A">
      <w:pPr>
        <w:pStyle w:val="NormalAgency"/>
        <w:jc w:val="center"/>
        <w:rPr>
          <w:rFonts w:ascii="Times New Roman" w:hAnsi="Times New Roman"/>
          <w:sz w:val="22"/>
          <w:lang w:val="el-GR"/>
        </w:rPr>
      </w:pPr>
    </w:p>
    <w:p w14:paraId="72C62095" w14:textId="77777777" w:rsidR="00A67D3A" w:rsidRPr="0047462D" w:rsidRDefault="00A67D3A">
      <w:pPr>
        <w:pStyle w:val="NormalAgency"/>
        <w:jc w:val="center"/>
        <w:rPr>
          <w:rFonts w:ascii="Times New Roman" w:hAnsi="Times New Roman"/>
          <w:sz w:val="22"/>
          <w:lang w:val="el-GR"/>
        </w:rPr>
      </w:pPr>
    </w:p>
    <w:p w14:paraId="35DCEDBD" w14:textId="77777777" w:rsidR="00A67D3A" w:rsidRPr="0047462D" w:rsidRDefault="00A67D3A">
      <w:pPr>
        <w:pStyle w:val="NormalAgency"/>
        <w:jc w:val="center"/>
        <w:rPr>
          <w:rFonts w:ascii="Times New Roman" w:hAnsi="Times New Roman"/>
          <w:sz w:val="22"/>
          <w:lang w:val="el-GR"/>
        </w:rPr>
      </w:pPr>
    </w:p>
    <w:p w14:paraId="77993E01" w14:textId="77777777" w:rsidR="00A67D3A" w:rsidRPr="0047462D" w:rsidRDefault="00A67D3A">
      <w:pPr>
        <w:pStyle w:val="NormalAgency"/>
        <w:jc w:val="center"/>
        <w:rPr>
          <w:rFonts w:ascii="Times New Roman" w:hAnsi="Times New Roman"/>
          <w:sz w:val="22"/>
          <w:lang w:val="el-GR"/>
        </w:rPr>
      </w:pPr>
    </w:p>
    <w:p w14:paraId="4CEC9E1B" w14:textId="77777777" w:rsidR="00474005" w:rsidRPr="0047462D" w:rsidRDefault="00474005">
      <w:pPr>
        <w:pStyle w:val="NormalAgency"/>
        <w:jc w:val="center"/>
        <w:rPr>
          <w:rFonts w:ascii="Times New Roman" w:hAnsi="Times New Roman"/>
          <w:sz w:val="22"/>
          <w:lang w:val="el-GR"/>
        </w:rPr>
      </w:pPr>
    </w:p>
    <w:p w14:paraId="2C7A4175" w14:textId="77777777" w:rsidR="00A67D3A" w:rsidRPr="0047462D" w:rsidRDefault="00A67D3A">
      <w:pPr>
        <w:pStyle w:val="No-numheading3Agency"/>
        <w:spacing w:before="0" w:after="0"/>
        <w:jc w:val="center"/>
        <w:rPr>
          <w:rFonts w:ascii="Times New Roman" w:hAnsi="Times New Roman" w:cs="Times New Roman"/>
          <w:caps/>
          <w:noProof/>
        </w:rPr>
      </w:pPr>
      <w:r w:rsidRPr="0047462D">
        <w:rPr>
          <w:rFonts w:ascii="Times New Roman" w:hAnsi="Times New Roman" w:cs="Times New Roman"/>
          <w:noProof/>
        </w:rPr>
        <w:t>ΠΑΡΑΡΤΗΜΑ ΙΙ</w:t>
      </w:r>
    </w:p>
    <w:p w14:paraId="692E0290" w14:textId="77777777" w:rsidR="00A67D3A" w:rsidRPr="0047462D" w:rsidRDefault="00A67D3A">
      <w:pPr>
        <w:pStyle w:val="BodytextAgency"/>
        <w:rPr>
          <w:rFonts w:ascii="Times New Roman" w:hAnsi="Times New Roman"/>
          <w:b/>
        </w:rPr>
      </w:pPr>
    </w:p>
    <w:p w14:paraId="25253F15" w14:textId="77777777" w:rsidR="00A67D3A" w:rsidRPr="0047462D" w:rsidRDefault="00A67D3A">
      <w:pPr>
        <w:pStyle w:val="No-numheading3Agency"/>
        <w:spacing w:before="0" w:after="0"/>
        <w:ind w:left="720" w:hanging="720"/>
        <w:rPr>
          <w:rFonts w:ascii="Times New Roman" w:hAnsi="Times New Roman" w:cs="Times New Roman"/>
          <w:caps/>
          <w:noProof/>
        </w:rPr>
      </w:pPr>
      <w:r w:rsidRPr="0047462D">
        <w:rPr>
          <w:rFonts w:ascii="Times New Roman" w:hAnsi="Times New Roman" w:cs="Times New Roman"/>
          <w:noProof/>
        </w:rPr>
        <w:t>Α.</w:t>
      </w:r>
      <w:r w:rsidRPr="0047462D">
        <w:rPr>
          <w:rFonts w:ascii="Times New Roman" w:hAnsi="Times New Roman" w:cs="Times New Roman"/>
          <w:noProof/>
        </w:rPr>
        <w:tab/>
      </w:r>
      <w:r w:rsidR="007403AF" w:rsidRPr="0047462D">
        <w:rPr>
          <w:rFonts w:ascii="Times New Roman" w:hAnsi="Times New Roman" w:cs="Times New Roman"/>
          <w:caps/>
          <w:noProof/>
        </w:rPr>
        <w:t>ΠΑΡΑΣΚΕΥΑΣΤΗΣ</w:t>
      </w:r>
      <w:r w:rsidRPr="0047462D">
        <w:rPr>
          <w:rFonts w:ascii="Times New Roman" w:hAnsi="Times New Roman" w:cs="Times New Roman"/>
          <w:caps/>
          <w:noProof/>
        </w:rPr>
        <w:t>(</w:t>
      </w:r>
      <w:r w:rsidR="00C7475A" w:rsidRPr="0047462D">
        <w:rPr>
          <w:rFonts w:ascii="Times New Roman" w:hAnsi="Times New Roman" w:cs="Times New Roman"/>
          <w:caps/>
          <w:noProof/>
        </w:rPr>
        <w:t>ΕΣ</w:t>
      </w:r>
      <w:r w:rsidRPr="0047462D">
        <w:rPr>
          <w:rFonts w:ascii="Times New Roman" w:hAnsi="Times New Roman" w:cs="Times New Roman"/>
          <w:caps/>
          <w:noProof/>
        </w:rPr>
        <w:t xml:space="preserve">) ΥΠΕΥΘΥΝΟΣ(ΟΙ) ΓΙΑ ΤΗΝ ΑΠΟΔΕΣΜΕΥΣΗ ΤΩΝ ΠΑΡΤΙΔΩΝ </w:t>
      </w:r>
    </w:p>
    <w:p w14:paraId="20F1CA45" w14:textId="77777777" w:rsidR="00A67D3A" w:rsidRPr="0047462D" w:rsidRDefault="00A67D3A" w:rsidP="00141E57">
      <w:pPr>
        <w:pStyle w:val="BodytextAgency"/>
        <w:spacing w:after="0"/>
        <w:ind w:left="720" w:hanging="720"/>
        <w:rPr>
          <w:rFonts w:ascii="Times New Roman" w:eastAsia="Verdana" w:hAnsi="Times New Roman"/>
          <w:b/>
          <w:bCs/>
          <w:caps/>
          <w:noProof/>
          <w:kern w:val="32"/>
          <w:sz w:val="22"/>
          <w:szCs w:val="22"/>
        </w:rPr>
      </w:pPr>
    </w:p>
    <w:p w14:paraId="76E97109" w14:textId="3DDD8A9C" w:rsidR="00A67D3A" w:rsidRPr="0047462D" w:rsidRDefault="00A67D3A" w:rsidP="00141E57">
      <w:pPr>
        <w:pStyle w:val="No-numheading3Agency"/>
        <w:spacing w:before="0" w:after="0"/>
        <w:ind w:left="720" w:hanging="720"/>
        <w:rPr>
          <w:rFonts w:ascii="Times New Roman" w:hAnsi="Times New Roman" w:cs="Times New Roman"/>
          <w:caps/>
          <w:noProof/>
        </w:rPr>
      </w:pPr>
      <w:r w:rsidRPr="0047462D">
        <w:rPr>
          <w:rFonts w:ascii="Times New Roman" w:hAnsi="Times New Roman" w:cs="Times New Roman"/>
          <w:caps/>
          <w:noProof/>
        </w:rPr>
        <w:t>Β.</w:t>
      </w:r>
      <w:r w:rsidRPr="0047462D">
        <w:rPr>
          <w:rFonts w:ascii="Times New Roman" w:hAnsi="Times New Roman" w:cs="Times New Roman"/>
          <w:caps/>
          <w:noProof/>
        </w:rPr>
        <w:tab/>
        <w:t xml:space="preserve">ΟΡΟΙ </w:t>
      </w:r>
      <w:r w:rsidR="00CD7370" w:rsidRPr="0047462D">
        <w:rPr>
          <w:rFonts w:ascii="Times New Roman" w:hAnsi="Times New Roman" w:cs="Times New Roman"/>
          <w:caps/>
          <w:noProof/>
        </w:rPr>
        <w:t>Ή</w:t>
      </w:r>
      <w:r w:rsidRPr="0047462D">
        <w:rPr>
          <w:rFonts w:ascii="Times New Roman" w:hAnsi="Times New Roman" w:cs="Times New Roman"/>
          <w:caps/>
          <w:noProof/>
        </w:rPr>
        <w:t xml:space="preserve"> ΠΕΡΙΟΡΙΣΜΟΙ ΣΧΕΤΙΚΑ ΜΕ ΤΗ ΔΙΑΘΕΣΗ ΚΑΙ ΤΗ ΧΡΗΣΗ</w:t>
      </w:r>
    </w:p>
    <w:p w14:paraId="74A25A68" w14:textId="77777777" w:rsidR="00A67D3A" w:rsidRPr="0047462D" w:rsidRDefault="00A67D3A" w:rsidP="00141E57">
      <w:pPr>
        <w:pStyle w:val="BodytextAgency"/>
        <w:spacing w:after="0"/>
        <w:ind w:left="720" w:hanging="720"/>
        <w:rPr>
          <w:rFonts w:ascii="Times New Roman" w:eastAsia="Verdana" w:hAnsi="Times New Roman"/>
          <w:b/>
          <w:bCs/>
          <w:caps/>
          <w:noProof/>
          <w:kern w:val="32"/>
          <w:sz w:val="22"/>
          <w:szCs w:val="22"/>
        </w:rPr>
      </w:pPr>
    </w:p>
    <w:p w14:paraId="1373369A" w14:textId="77777777" w:rsidR="00A67D3A" w:rsidRPr="0047462D" w:rsidRDefault="00A67D3A" w:rsidP="00141E57">
      <w:pPr>
        <w:pStyle w:val="No-numheading3Agency"/>
        <w:spacing w:before="0" w:after="0"/>
        <w:ind w:left="720" w:hanging="720"/>
        <w:rPr>
          <w:rFonts w:ascii="Times New Roman" w:hAnsi="Times New Roman" w:cs="Times New Roman"/>
          <w:caps/>
          <w:noProof/>
        </w:rPr>
      </w:pPr>
      <w:r w:rsidRPr="0047462D">
        <w:rPr>
          <w:rFonts w:ascii="Times New Roman" w:hAnsi="Times New Roman" w:cs="Times New Roman"/>
          <w:caps/>
          <w:noProof/>
        </w:rPr>
        <w:t>Γ.</w:t>
      </w:r>
      <w:r w:rsidRPr="0047462D">
        <w:rPr>
          <w:rFonts w:ascii="Times New Roman" w:hAnsi="Times New Roman" w:cs="Times New Roman"/>
          <w:caps/>
          <w:noProof/>
        </w:rPr>
        <w:tab/>
        <w:t>ΑΛΛΟΙ ΟΡΟΙ ΚΑΙ ΑΠΑΙΤΗΣΕΙΣ ΤΗΣ ΑΔΕΙΑΣ ΚΥΚΛΟΦΟΡΙΑΣ</w:t>
      </w:r>
    </w:p>
    <w:p w14:paraId="46027E4C" w14:textId="77777777" w:rsidR="00A67D3A" w:rsidRPr="0047462D" w:rsidRDefault="00A67D3A" w:rsidP="00141E57">
      <w:pPr>
        <w:pStyle w:val="NormalAgency"/>
        <w:ind w:left="720" w:hanging="720"/>
        <w:rPr>
          <w:rFonts w:ascii="Times New Roman" w:eastAsia="Verdana" w:hAnsi="Times New Roman"/>
          <w:b/>
          <w:bCs/>
          <w:caps/>
          <w:noProof/>
          <w:kern w:val="32"/>
          <w:sz w:val="22"/>
          <w:szCs w:val="22"/>
          <w:lang w:val="el-GR"/>
        </w:rPr>
      </w:pPr>
    </w:p>
    <w:p w14:paraId="68B406F8" w14:textId="77777777" w:rsidR="00A67D3A" w:rsidRPr="0047462D" w:rsidRDefault="00A67D3A" w:rsidP="00141E57">
      <w:pPr>
        <w:pStyle w:val="NormalAgency"/>
        <w:suppressAutoHyphens w:val="0"/>
        <w:ind w:left="720" w:hanging="720"/>
        <w:rPr>
          <w:rFonts w:ascii="Times New Roman" w:hAnsi="Times New Roman"/>
          <w:b/>
          <w:i/>
          <w:noProof/>
          <w:sz w:val="22"/>
          <w:szCs w:val="22"/>
          <w:lang w:val="el-GR"/>
        </w:rPr>
      </w:pPr>
      <w:r w:rsidRPr="0047462D">
        <w:rPr>
          <w:rFonts w:ascii="Times New Roman" w:hAnsi="Times New Roman"/>
          <w:b/>
          <w:caps/>
          <w:noProof/>
          <w:sz w:val="22"/>
          <w:szCs w:val="22"/>
          <w:lang w:val="el-GR"/>
        </w:rPr>
        <w:t xml:space="preserve">δ. </w:t>
      </w:r>
      <w:r w:rsidRPr="0047462D">
        <w:rPr>
          <w:rFonts w:ascii="Times New Roman" w:hAnsi="Times New Roman"/>
          <w:b/>
          <w:caps/>
          <w:noProof/>
          <w:sz w:val="22"/>
          <w:szCs w:val="22"/>
          <w:lang w:val="el-GR"/>
        </w:rPr>
        <w:tab/>
      </w:r>
      <w:r w:rsidRPr="0047462D">
        <w:rPr>
          <w:rStyle w:val="hps"/>
          <w:rFonts w:ascii="Times New Roman" w:hAnsi="Times New Roman"/>
          <w:b/>
          <w:color w:val="000000"/>
          <w:sz w:val="22"/>
          <w:szCs w:val="22"/>
          <w:lang w:val="el-GR"/>
        </w:rPr>
        <w:t xml:space="preserve">ΟΡΟΙ Ή ΠΕΡΙΟΡΙΣΜΟΙ </w:t>
      </w:r>
      <w:r w:rsidR="00EF21F2" w:rsidRPr="0047462D">
        <w:rPr>
          <w:rStyle w:val="hps"/>
          <w:rFonts w:ascii="Times New Roman" w:hAnsi="Times New Roman"/>
          <w:b/>
          <w:color w:val="000000"/>
          <w:sz w:val="22"/>
          <w:szCs w:val="22"/>
          <w:lang w:val="el-GR"/>
        </w:rPr>
        <w:t xml:space="preserve">ΣΧΕΤΙΚΑ </w:t>
      </w:r>
      <w:r w:rsidRPr="0047462D">
        <w:rPr>
          <w:rStyle w:val="hps"/>
          <w:rFonts w:ascii="Times New Roman" w:hAnsi="Times New Roman"/>
          <w:b/>
          <w:color w:val="000000"/>
          <w:sz w:val="22"/>
          <w:szCs w:val="22"/>
          <w:lang w:val="el-GR"/>
        </w:rPr>
        <w:t>ΜΕ ΤΗΝ ΑΣΦΑΛΗ ΚΑΙ ΑΠΟΤΕΛΕΣΜΑΤΙΚΗ ΧΡΗΣΗ ΤΟΥ ΦΑΡΜΑΚΕΥΤΙΚΟΥ ΠΡΟΪΟΝΤΟΣ</w:t>
      </w:r>
    </w:p>
    <w:p w14:paraId="5D7C3E5F" w14:textId="77777777" w:rsidR="00A67D3A" w:rsidRPr="0047462D" w:rsidRDefault="00A67D3A">
      <w:pPr>
        <w:pStyle w:val="NormalAgency"/>
        <w:rPr>
          <w:rFonts w:ascii="Times New Roman" w:hAnsi="Times New Roman"/>
          <w:noProof/>
          <w:lang w:val="el-GR"/>
        </w:rPr>
      </w:pPr>
    </w:p>
    <w:p w14:paraId="02719A08" w14:textId="77777777" w:rsidR="00A67D3A" w:rsidRPr="0047462D" w:rsidRDefault="00A67D3A" w:rsidP="007E5203">
      <w:pPr>
        <w:pStyle w:val="TitleB"/>
        <w:rPr>
          <w:noProof/>
          <w:lang w:val="el-GR"/>
        </w:rPr>
      </w:pPr>
      <w:r w:rsidRPr="0047462D">
        <w:rPr>
          <w:lang w:val="el-GR"/>
        </w:rPr>
        <w:br w:type="page"/>
      </w:r>
      <w:r w:rsidRPr="0047462D">
        <w:rPr>
          <w:noProof/>
        </w:rPr>
        <w:t>A</w:t>
      </w:r>
      <w:r w:rsidRPr="0047462D">
        <w:rPr>
          <w:noProof/>
          <w:lang w:val="el-GR"/>
        </w:rPr>
        <w:t>.</w:t>
      </w:r>
      <w:r w:rsidRPr="0047462D">
        <w:rPr>
          <w:noProof/>
          <w:lang w:val="el-GR"/>
        </w:rPr>
        <w:tab/>
      </w:r>
      <w:r w:rsidR="00EF21F2" w:rsidRPr="0047462D">
        <w:rPr>
          <w:noProof/>
          <w:lang w:val="el-GR"/>
        </w:rPr>
        <w:t>ΠΑΡΑΣΚΕΥΑΣΤΗΣ</w:t>
      </w:r>
      <w:r w:rsidRPr="0047462D">
        <w:rPr>
          <w:noProof/>
          <w:lang w:val="el-GR"/>
        </w:rPr>
        <w:t>(</w:t>
      </w:r>
      <w:r w:rsidR="00C7475A" w:rsidRPr="0047462D">
        <w:rPr>
          <w:rFonts w:ascii="Times New Roman" w:hAnsi="Times New Roman"/>
          <w:noProof/>
          <w:lang w:val="el-GR"/>
        </w:rPr>
        <w:t>ΕΣ</w:t>
      </w:r>
      <w:r w:rsidRPr="0047462D">
        <w:rPr>
          <w:noProof/>
          <w:lang w:val="el-GR"/>
        </w:rPr>
        <w:t>) ΥΠΕΥΘΥΝΟΣ(ΟΙ) ΓΙΑ ΤΗΝ ΑΠΟΔΕΣΜΕΥΣΗ ΤΩΝ ΠΑΡΤΙΔΩΝ</w:t>
      </w:r>
    </w:p>
    <w:p w14:paraId="5B2EDE60" w14:textId="77777777" w:rsidR="00A67D3A" w:rsidRPr="0047462D" w:rsidRDefault="00A67D3A">
      <w:pPr>
        <w:pStyle w:val="BodytextAgency"/>
        <w:spacing w:after="0" w:line="240" w:lineRule="auto"/>
        <w:rPr>
          <w:rFonts w:ascii="Times New Roman" w:hAnsi="Times New Roman"/>
          <w:noProof/>
          <w:sz w:val="22"/>
          <w:szCs w:val="22"/>
        </w:rPr>
      </w:pPr>
    </w:p>
    <w:p w14:paraId="3015EEEE" w14:textId="77777777" w:rsidR="00A67D3A" w:rsidRPr="0047462D" w:rsidRDefault="00A67D3A">
      <w:pPr>
        <w:rPr>
          <w:noProof/>
          <w:u w:val="single"/>
        </w:rPr>
      </w:pPr>
      <w:r w:rsidRPr="0047462D">
        <w:rPr>
          <w:noProof/>
          <w:u w:val="single"/>
        </w:rPr>
        <w:t xml:space="preserve">Όνομα και διεύθυνση του(των) </w:t>
      </w:r>
      <w:r w:rsidR="00EF21F2" w:rsidRPr="0047462D">
        <w:rPr>
          <w:noProof/>
          <w:u w:val="single"/>
        </w:rPr>
        <w:t>παρασκευαστή</w:t>
      </w:r>
      <w:r w:rsidRPr="0047462D">
        <w:rPr>
          <w:noProof/>
          <w:u w:val="single"/>
        </w:rPr>
        <w:t>(ών) που είναι υπεύθυνος(οι) για την αποδέσμευση των παρτίδων</w:t>
      </w:r>
    </w:p>
    <w:p w14:paraId="547BFA13" w14:textId="77777777" w:rsidR="003E0B49" w:rsidRPr="0047462D" w:rsidRDefault="003E0B49">
      <w:pPr>
        <w:rPr>
          <w:noProof/>
          <w:u w:val="single"/>
        </w:rPr>
      </w:pPr>
    </w:p>
    <w:p w14:paraId="33358E09" w14:textId="77777777" w:rsidR="000709CF" w:rsidRPr="0047462D" w:rsidRDefault="000709CF" w:rsidP="000709CF">
      <w:pPr>
        <w:rPr>
          <w:szCs w:val="22"/>
          <w:lang w:val="en-GB"/>
        </w:rPr>
      </w:pPr>
      <w:r w:rsidRPr="0047462D">
        <w:rPr>
          <w:szCs w:val="22"/>
          <w:lang w:val="en-GB"/>
        </w:rPr>
        <w:t>Almac Pharma Services (Ireland) Limited</w:t>
      </w:r>
    </w:p>
    <w:p w14:paraId="2896AEA9" w14:textId="77777777" w:rsidR="000709CF" w:rsidRPr="0047462D" w:rsidRDefault="000709CF" w:rsidP="000709CF">
      <w:pPr>
        <w:rPr>
          <w:szCs w:val="22"/>
          <w:lang w:val="en-GB"/>
        </w:rPr>
      </w:pPr>
      <w:r w:rsidRPr="0047462D">
        <w:rPr>
          <w:szCs w:val="22"/>
          <w:lang w:val="en-GB"/>
        </w:rPr>
        <w:t>Finnabair Industrial Estate</w:t>
      </w:r>
    </w:p>
    <w:p w14:paraId="37B7567F" w14:textId="77777777" w:rsidR="000709CF" w:rsidRPr="0047462D" w:rsidRDefault="000709CF" w:rsidP="000709CF">
      <w:pPr>
        <w:rPr>
          <w:szCs w:val="22"/>
          <w:lang w:val="en-GB"/>
        </w:rPr>
      </w:pPr>
      <w:r w:rsidRPr="0047462D">
        <w:rPr>
          <w:szCs w:val="22"/>
          <w:lang w:val="en-GB"/>
        </w:rPr>
        <w:t>Dundalk</w:t>
      </w:r>
    </w:p>
    <w:p w14:paraId="0F7E1C75" w14:textId="77777777" w:rsidR="000709CF" w:rsidRPr="0047462D" w:rsidRDefault="000709CF" w:rsidP="000709CF">
      <w:pPr>
        <w:rPr>
          <w:szCs w:val="22"/>
          <w:lang w:val="en-GB"/>
        </w:rPr>
      </w:pPr>
      <w:r w:rsidRPr="0047462D">
        <w:rPr>
          <w:szCs w:val="22"/>
          <w:lang w:val="en-GB"/>
        </w:rPr>
        <w:t>Co. Louth</w:t>
      </w:r>
    </w:p>
    <w:p w14:paraId="74167191" w14:textId="77777777" w:rsidR="000709CF" w:rsidRPr="0047462D" w:rsidRDefault="000709CF" w:rsidP="000709CF">
      <w:pPr>
        <w:rPr>
          <w:szCs w:val="22"/>
          <w:lang w:val="en-GB"/>
        </w:rPr>
      </w:pPr>
      <w:r w:rsidRPr="0047462D">
        <w:rPr>
          <w:szCs w:val="22"/>
          <w:lang w:val="en-GB"/>
        </w:rPr>
        <w:t>A91 P9KD</w:t>
      </w:r>
    </w:p>
    <w:p w14:paraId="1C0FC94E" w14:textId="77777777" w:rsidR="000709CF" w:rsidRPr="0047462D" w:rsidRDefault="000709CF">
      <w:pPr>
        <w:rPr>
          <w:szCs w:val="22"/>
          <w:lang w:val="en-GB"/>
        </w:rPr>
      </w:pPr>
      <w:r w:rsidRPr="0047462D">
        <w:rPr>
          <w:szCs w:val="22"/>
        </w:rPr>
        <w:t>Ιρλανδία</w:t>
      </w:r>
    </w:p>
    <w:p w14:paraId="24AA721B" w14:textId="77777777" w:rsidR="000709CF" w:rsidRPr="0047462D" w:rsidRDefault="000709CF">
      <w:pPr>
        <w:rPr>
          <w:lang w:val="en-GB"/>
        </w:rPr>
      </w:pPr>
    </w:p>
    <w:p w14:paraId="39E83533" w14:textId="77777777" w:rsidR="00A67D3A" w:rsidRPr="0047462D" w:rsidRDefault="00A67D3A">
      <w:pPr>
        <w:rPr>
          <w:lang w:val="en-US"/>
        </w:rPr>
      </w:pPr>
      <w:r w:rsidRPr="0047462D">
        <w:rPr>
          <w:lang w:val="en-US"/>
        </w:rPr>
        <w:t>Almac</w:t>
      </w:r>
      <w:r w:rsidR="00ED7342" w:rsidRPr="0047462D">
        <w:rPr>
          <w:lang w:val="en-US"/>
        </w:rPr>
        <w:t xml:space="preserve"> </w:t>
      </w:r>
      <w:r w:rsidRPr="0047462D">
        <w:rPr>
          <w:lang w:val="en-US"/>
        </w:rPr>
        <w:t>Pharma</w:t>
      </w:r>
      <w:r w:rsidR="00ED7342" w:rsidRPr="0047462D">
        <w:rPr>
          <w:lang w:val="en-US"/>
        </w:rPr>
        <w:t xml:space="preserve"> </w:t>
      </w:r>
      <w:r w:rsidRPr="0047462D">
        <w:rPr>
          <w:lang w:val="en-US"/>
        </w:rPr>
        <w:t>Services</w:t>
      </w:r>
      <w:r w:rsidR="00ED7342" w:rsidRPr="0047462D">
        <w:rPr>
          <w:lang w:val="en-US"/>
        </w:rPr>
        <w:t xml:space="preserve"> </w:t>
      </w:r>
      <w:r w:rsidRPr="0047462D">
        <w:rPr>
          <w:lang w:val="en-US"/>
        </w:rPr>
        <w:t>Ltd</w:t>
      </w:r>
      <w:r w:rsidR="00ED7342" w:rsidRPr="0047462D">
        <w:rPr>
          <w:lang w:val="en-US"/>
        </w:rPr>
        <w:t>.</w:t>
      </w:r>
    </w:p>
    <w:p w14:paraId="1C4DB2A2" w14:textId="77777777" w:rsidR="00A67D3A" w:rsidRPr="0047462D" w:rsidRDefault="00A67D3A">
      <w:pPr>
        <w:rPr>
          <w:lang w:val="en-US"/>
        </w:rPr>
      </w:pPr>
      <w:r w:rsidRPr="0047462D">
        <w:rPr>
          <w:lang w:val="en-US"/>
        </w:rPr>
        <w:t>Seagoe</w:t>
      </w:r>
      <w:r w:rsidR="00ED7342" w:rsidRPr="0047462D">
        <w:rPr>
          <w:lang w:val="en-US"/>
        </w:rPr>
        <w:t xml:space="preserve"> </w:t>
      </w:r>
      <w:r w:rsidRPr="0047462D">
        <w:rPr>
          <w:lang w:val="en-US"/>
        </w:rPr>
        <w:t>Industrial</w:t>
      </w:r>
      <w:r w:rsidR="00ED7342" w:rsidRPr="0047462D">
        <w:rPr>
          <w:lang w:val="en-US"/>
        </w:rPr>
        <w:t xml:space="preserve"> </w:t>
      </w:r>
      <w:r w:rsidRPr="0047462D">
        <w:rPr>
          <w:lang w:val="en-US"/>
        </w:rPr>
        <w:t>Estate</w:t>
      </w:r>
    </w:p>
    <w:p w14:paraId="6BCAA0CE" w14:textId="77777777" w:rsidR="00A67D3A" w:rsidRPr="0047462D" w:rsidRDefault="00A67D3A">
      <w:pPr>
        <w:rPr>
          <w:lang w:val="en-US"/>
        </w:rPr>
      </w:pPr>
      <w:r w:rsidRPr="0047462D">
        <w:rPr>
          <w:lang w:val="en-US"/>
        </w:rPr>
        <w:t>Craigavon</w:t>
      </w:r>
    </w:p>
    <w:p w14:paraId="5787E244" w14:textId="77777777" w:rsidR="00A67D3A" w:rsidRPr="0047462D" w:rsidRDefault="00A67D3A">
      <w:pPr>
        <w:rPr>
          <w:lang w:val="en-US"/>
        </w:rPr>
      </w:pPr>
      <w:r w:rsidRPr="0047462D">
        <w:rPr>
          <w:lang w:val="en-US"/>
        </w:rPr>
        <w:t>Co</w:t>
      </w:r>
      <w:r w:rsidR="00ED7342" w:rsidRPr="0047462D">
        <w:rPr>
          <w:lang w:val="en-US"/>
        </w:rPr>
        <w:t xml:space="preserve">. </w:t>
      </w:r>
      <w:r w:rsidRPr="0047462D">
        <w:rPr>
          <w:lang w:val="en-US"/>
        </w:rPr>
        <w:t>Armagh</w:t>
      </w:r>
      <w:r w:rsidR="00ED7342" w:rsidRPr="0047462D">
        <w:rPr>
          <w:lang w:val="en-US"/>
        </w:rPr>
        <w:t xml:space="preserve"> </w:t>
      </w:r>
      <w:r w:rsidRPr="0047462D">
        <w:rPr>
          <w:lang w:val="en-US"/>
        </w:rPr>
        <w:t>BT</w:t>
      </w:r>
      <w:r w:rsidR="00ED7342" w:rsidRPr="0047462D">
        <w:rPr>
          <w:lang w:val="en-US"/>
        </w:rPr>
        <w:t>63 5</w:t>
      </w:r>
      <w:r w:rsidRPr="0047462D">
        <w:rPr>
          <w:lang w:val="en-US"/>
        </w:rPr>
        <w:t>UA</w:t>
      </w:r>
    </w:p>
    <w:p w14:paraId="1300260B" w14:textId="77777777" w:rsidR="00A67D3A" w:rsidRPr="0047462D" w:rsidRDefault="00A67D3A">
      <w:pPr>
        <w:rPr>
          <w:lang w:val="en-US"/>
        </w:rPr>
      </w:pPr>
      <w:r w:rsidRPr="0047462D">
        <w:t>Ηνωμένο</w:t>
      </w:r>
      <w:r w:rsidR="00ED7342" w:rsidRPr="0047462D">
        <w:rPr>
          <w:lang w:val="en-US"/>
        </w:rPr>
        <w:t xml:space="preserve"> </w:t>
      </w:r>
      <w:r w:rsidRPr="0047462D">
        <w:t>Βασίλειο</w:t>
      </w:r>
    </w:p>
    <w:p w14:paraId="07C03796" w14:textId="77777777" w:rsidR="00A67D3A" w:rsidRPr="0047462D" w:rsidRDefault="00A67D3A">
      <w:pPr>
        <w:pStyle w:val="BodytextAgency"/>
        <w:spacing w:after="0" w:line="240" w:lineRule="auto"/>
        <w:rPr>
          <w:rFonts w:ascii="Times New Roman" w:hAnsi="Times New Roman"/>
          <w:sz w:val="22"/>
          <w:lang w:val="en-US"/>
        </w:rPr>
      </w:pPr>
    </w:p>
    <w:p w14:paraId="742122D2" w14:textId="77777777" w:rsidR="00045B3D" w:rsidRPr="0047462D" w:rsidRDefault="00045B3D">
      <w:pPr>
        <w:pStyle w:val="BodytextAgency"/>
        <w:spacing w:after="0" w:line="240" w:lineRule="auto"/>
        <w:rPr>
          <w:rFonts w:ascii="Times New Roman" w:hAnsi="Times New Roman"/>
          <w:sz w:val="22"/>
        </w:rPr>
      </w:pPr>
      <w:r w:rsidRPr="0047462D">
        <w:rPr>
          <w:rFonts w:ascii="Times New Roman" w:hAnsi="Times New Roman"/>
          <w:sz w:val="22"/>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14:paraId="3641CE5F" w14:textId="77777777" w:rsidR="00045B3D" w:rsidRPr="0047462D" w:rsidRDefault="00045B3D">
      <w:pPr>
        <w:pStyle w:val="BodytextAgency"/>
        <w:spacing w:after="0" w:line="240" w:lineRule="auto"/>
        <w:rPr>
          <w:rFonts w:ascii="Times New Roman" w:hAnsi="Times New Roman"/>
          <w:sz w:val="22"/>
        </w:rPr>
      </w:pPr>
    </w:p>
    <w:p w14:paraId="1596E490" w14:textId="77777777" w:rsidR="00A67D3A" w:rsidRPr="0047462D" w:rsidRDefault="00A67D3A">
      <w:pPr>
        <w:pStyle w:val="NormalAgency"/>
        <w:rPr>
          <w:rFonts w:ascii="Times New Roman" w:hAnsi="Times New Roman"/>
          <w:sz w:val="22"/>
          <w:lang w:val="el-GR"/>
        </w:rPr>
      </w:pPr>
    </w:p>
    <w:p w14:paraId="58CB17D1" w14:textId="77777777" w:rsidR="00A67D3A" w:rsidRPr="0047462D" w:rsidRDefault="00A67D3A" w:rsidP="007E5203">
      <w:pPr>
        <w:pStyle w:val="TitleB"/>
        <w:rPr>
          <w:noProof/>
          <w:lang w:val="el-GR"/>
        </w:rPr>
      </w:pPr>
      <w:r w:rsidRPr="0047462D">
        <w:rPr>
          <w:noProof/>
          <w:lang w:val="el-GR"/>
        </w:rPr>
        <w:t>Β.</w:t>
      </w:r>
      <w:r w:rsidRPr="0047462D">
        <w:rPr>
          <w:noProof/>
          <w:lang w:val="el-GR"/>
        </w:rPr>
        <w:tab/>
        <w:t>ΟΡΟΙ Ή ΠΕΡΙΟΡΙΣΜΟΙ ΣΧΕΤΙΚΑ ΜΕ ΤΗ ΔΙΑΘΕΣΗ ΚΑΙ ΤΗ ΧΡΗΣΗ</w:t>
      </w:r>
    </w:p>
    <w:p w14:paraId="025D8CEA" w14:textId="77777777" w:rsidR="00A67D3A" w:rsidRPr="0047462D" w:rsidRDefault="00A67D3A">
      <w:pPr>
        <w:pStyle w:val="NormalAgency"/>
        <w:rPr>
          <w:rFonts w:ascii="Times New Roman" w:hAnsi="Times New Roman"/>
          <w:noProof/>
          <w:sz w:val="22"/>
          <w:szCs w:val="22"/>
          <w:lang w:val="el-GR"/>
        </w:rPr>
      </w:pPr>
    </w:p>
    <w:p w14:paraId="59F39445" w14:textId="77777777" w:rsidR="00A67D3A" w:rsidRPr="0047462D" w:rsidRDefault="00A67D3A">
      <w:pPr>
        <w:pStyle w:val="BodytextAgency"/>
        <w:spacing w:after="0" w:line="240" w:lineRule="auto"/>
        <w:rPr>
          <w:rFonts w:ascii="Times New Roman" w:hAnsi="Times New Roman"/>
          <w:noProof/>
          <w:sz w:val="22"/>
          <w:szCs w:val="22"/>
        </w:rPr>
      </w:pPr>
      <w:r w:rsidRPr="0047462D">
        <w:rPr>
          <w:rFonts w:ascii="Times New Roman" w:hAnsi="Times New Roman"/>
          <w:noProof/>
          <w:sz w:val="22"/>
          <w:szCs w:val="22"/>
        </w:rPr>
        <w:t xml:space="preserve">Φαρμακευτικό προϊόν για το οποίο απαιτείται περιορισμένη ιατρική συνταγή (βλ. παράρτημα Ι: Περίληψη των Χαρακτηριστικών του Προϊόντος, παράγραφος 4.2). </w:t>
      </w:r>
    </w:p>
    <w:p w14:paraId="708BFBCC" w14:textId="77777777" w:rsidR="00A67D3A" w:rsidRPr="0047462D" w:rsidRDefault="00A67D3A">
      <w:pPr>
        <w:pStyle w:val="NormalAgency"/>
        <w:rPr>
          <w:rFonts w:ascii="Times New Roman" w:hAnsi="Times New Roman"/>
          <w:noProof/>
          <w:sz w:val="22"/>
          <w:szCs w:val="22"/>
          <w:lang w:val="el-GR"/>
        </w:rPr>
      </w:pPr>
    </w:p>
    <w:p w14:paraId="4547C50F" w14:textId="77777777" w:rsidR="00A67D3A" w:rsidRPr="0047462D" w:rsidRDefault="00A67D3A">
      <w:pPr>
        <w:pStyle w:val="NormalAgency"/>
        <w:rPr>
          <w:rFonts w:ascii="Times New Roman" w:hAnsi="Times New Roman"/>
          <w:sz w:val="22"/>
          <w:szCs w:val="22"/>
          <w:lang w:val="el-GR"/>
        </w:rPr>
      </w:pPr>
    </w:p>
    <w:p w14:paraId="6D5FA557" w14:textId="77777777" w:rsidR="00A67D3A" w:rsidRPr="0047462D" w:rsidRDefault="00A67D3A" w:rsidP="007E5203">
      <w:pPr>
        <w:pStyle w:val="TitleB"/>
        <w:rPr>
          <w:lang w:val="el-GR"/>
        </w:rPr>
      </w:pPr>
      <w:r w:rsidRPr="0047462D">
        <w:rPr>
          <w:lang w:val="el-GR"/>
        </w:rPr>
        <w:t>Γ.</w:t>
      </w:r>
      <w:r w:rsidRPr="0047462D">
        <w:rPr>
          <w:lang w:val="el-GR"/>
        </w:rPr>
        <w:tab/>
        <w:t xml:space="preserve">ΑΛΛΟΙ ΟΡΟΙ ΚΑΙ ΑΠΑΙΤΗΣΕΙΣ ΤΗΣ ΑΔΕΙΑΣ ΚΥΚΛΟΦΟΡΙΑΣ </w:t>
      </w:r>
    </w:p>
    <w:p w14:paraId="0956F318" w14:textId="77777777" w:rsidR="00A67D3A" w:rsidRPr="0047462D" w:rsidRDefault="00A67D3A" w:rsidP="002331FF">
      <w:pPr>
        <w:pStyle w:val="NormalAgency"/>
        <w:rPr>
          <w:rFonts w:ascii="Times New Roman" w:hAnsi="Times New Roman"/>
          <w:noProof/>
          <w:sz w:val="22"/>
          <w:szCs w:val="22"/>
          <w:lang w:val="el-GR"/>
        </w:rPr>
      </w:pPr>
    </w:p>
    <w:p w14:paraId="67B89631" w14:textId="61666EF9" w:rsidR="00A67D3A" w:rsidRPr="0047462D" w:rsidRDefault="00A67D3A" w:rsidP="00141E57">
      <w:pPr>
        <w:numPr>
          <w:ilvl w:val="0"/>
          <w:numId w:val="13"/>
        </w:numPr>
        <w:tabs>
          <w:tab w:val="clear" w:pos="720"/>
        </w:tabs>
        <w:suppressAutoHyphens w:val="0"/>
        <w:spacing w:line="260" w:lineRule="exact"/>
        <w:ind w:left="360" w:right="-1"/>
        <w:rPr>
          <w:b/>
          <w:szCs w:val="22"/>
        </w:rPr>
      </w:pPr>
      <w:r w:rsidRPr="0047462D">
        <w:rPr>
          <w:b/>
          <w:noProof/>
          <w:szCs w:val="22"/>
        </w:rPr>
        <w:t xml:space="preserve">Εκθέσεις </w:t>
      </w:r>
      <w:r w:rsidR="003E0B49" w:rsidRPr="0047462D">
        <w:rPr>
          <w:b/>
          <w:noProof/>
          <w:szCs w:val="22"/>
        </w:rPr>
        <w:t xml:space="preserve">περιοδικής παρακολούθησης </w:t>
      </w:r>
      <w:r w:rsidRPr="0047462D">
        <w:rPr>
          <w:b/>
          <w:noProof/>
          <w:szCs w:val="22"/>
        </w:rPr>
        <w:t xml:space="preserve">της </w:t>
      </w:r>
      <w:r w:rsidR="003E0B49" w:rsidRPr="0047462D">
        <w:rPr>
          <w:b/>
          <w:noProof/>
          <w:szCs w:val="22"/>
        </w:rPr>
        <w:t>ασφάλειας (</w:t>
      </w:r>
      <w:r w:rsidR="003E0B49" w:rsidRPr="0047462D">
        <w:rPr>
          <w:b/>
        </w:rPr>
        <w:t>PSURs)</w:t>
      </w:r>
    </w:p>
    <w:p w14:paraId="2F66B1AA" w14:textId="77777777" w:rsidR="00A67D3A" w:rsidRPr="0047462D" w:rsidRDefault="00A67D3A" w:rsidP="00141E57">
      <w:pPr>
        <w:tabs>
          <w:tab w:val="left" w:pos="0"/>
        </w:tabs>
        <w:ind w:right="567"/>
        <w:rPr>
          <w:szCs w:val="22"/>
        </w:rPr>
      </w:pPr>
    </w:p>
    <w:p w14:paraId="11BA94C3" w14:textId="31BC3B0C" w:rsidR="00EA4E13" w:rsidRPr="0047462D" w:rsidRDefault="00EA4E13" w:rsidP="002331FF">
      <w:pPr>
        <w:pStyle w:val="NormalAgency"/>
        <w:rPr>
          <w:rFonts w:ascii="Times New Roman" w:hAnsi="Times New Roman"/>
          <w:i/>
          <w:sz w:val="22"/>
          <w:szCs w:val="22"/>
          <w:lang w:val="el-GR"/>
        </w:rPr>
      </w:pPr>
      <w:r w:rsidRPr="0047462D">
        <w:rPr>
          <w:rFonts w:ascii="Times New Roman" w:hAnsi="Times New Roman"/>
          <w:sz w:val="22"/>
          <w:szCs w:val="22"/>
          <w:lang w:val="el-GR"/>
        </w:rPr>
        <w:t xml:space="preserve">Οι απαιτήσεις για την υποβολή </w:t>
      </w:r>
      <w:r w:rsidR="003E0B49" w:rsidRPr="0047462D">
        <w:rPr>
          <w:rFonts w:ascii="Times New Roman" w:hAnsi="Times New Roman"/>
          <w:sz w:val="22"/>
          <w:szCs w:val="22"/>
          <w:lang w:val="el-GR"/>
        </w:rPr>
        <w:t xml:space="preserve">των PSURs </w:t>
      </w:r>
      <w:r w:rsidRPr="0047462D">
        <w:rPr>
          <w:rFonts w:ascii="Times New Roman" w:hAnsi="Times New Roman"/>
          <w:sz w:val="22"/>
          <w:szCs w:val="22"/>
          <w:lang w:val="el-GR"/>
        </w:rPr>
        <w:t>για το εν λόγω φαρμακευτικό προϊόν</w:t>
      </w:r>
      <w:r w:rsidRPr="0047462D">
        <w:rPr>
          <w:rFonts w:ascii="Times New Roman" w:hAnsi="Times New Roman"/>
          <w:i/>
          <w:sz w:val="22"/>
          <w:szCs w:val="22"/>
          <w:lang w:val="el-GR"/>
        </w:rPr>
        <w:t xml:space="preserve"> </w:t>
      </w:r>
      <w:r w:rsidRPr="0047462D">
        <w:rPr>
          <w:rFonts w:ascii="Times New Roman" w:hAnsi="Times New Roman"/>
          <w:sz w:val="22"/>
          <w:szCs w:val="22"/>
          <w:lang w:val="el-GR"/>
        </w:rPr>
        <w:t xml:space="preserve">ορίζονται στον κατάλογο με τις ημερομηνίες αναφοράς της Ένωσης (κατάλογος </w:t>
      </w:r>
      <w:r w:rsidRPr="0047462D">
        <w:rPr>
          <w:rFonts w:ascii="Times New Roman" w:hAnsi="Times New Roman"/>
          <w:noProof/>
          <w:sz w:val="22"/>
          <w:szCs w:val="22"/>
        </w:rPr>
        <w:t>EURD</w:t>
      </w:r>
      <w:r w:rsidRPr="0047462D">
        <w:rPr>
          <w:rFonts w:ascii="Times New Roman" w:hAnsi="Times New Roman"/>
          <w:sz w:val="22"/>
          <w:szCs w:val="22"/>
          <w:lang w:val="el-GR"/>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sidRPr="0047462D">
        <w:rPr>
          <w:rFonts w:ascii="Times New Roman" w:hAnsi="Times New Roman"/>
          <w:i/>
          <w:sz w:val="22"/>
          <w:szCs w:val="22"/>
          <w:lang w:val="el-GR"/>
        </w:rPr>
        <w:t>.</w:t>
      </w:r>
    </w:p>
    <w:p w14:paraId="3DE9B3B0" w14:textId="77777777" w:rsidR="00A67D3A" w:rsidRPr="0047462D" w:rsidRDefault="00A67D3A" w:rsidP="002331FF">
      <w:pPr>
        <w:pStyle w:val="NormalAgency"/>
        <w:rPr>
          <w:rFonts w:ascii="Times New Roman" w:hAnsi="Times New Roman"/>
          <w:noProof/>
          <w:sz w:val="22"/>
          <w:szCs w:val="22"/>
          <w:lang w:val="el-GR"/>
        </w:rPr>
      </w:pPr>
    </w:p>
    <w:p w14:paraId="499F3F47" w14:textId="77777777" w:rsidR="00A67D3A" w:rsidRPr="0047462D" w:rsidRDefault="00A67D3A">
      <w:pPr>
        <w:pStyle w:val="NormalAgency"/>
        <w:rPr>
          <w:rFonts w:ascii="Times New Roman" w:hAnsi="Times New Roman"/>
          <w:sz w:val="22"/>
          <w:szCs w:val="22"/>
          <w:lang w:val="el-GR"/>
        </w:rPr>
      </w:pPr>
    </w:p>
    <w:p w14:paraId="7D4B668C" w14:textId="1D32071D" w:rsidR="00A67D3A" w:rsidRPr="0047462D" w:rsidRDefault="00A67D3A" w:rsidP="007E5203">
      <w:pPr>
        <w:pStyle w:val="TitleB"/>
        <w:rPr>
          <w:i/>
          <w:noProof/>
          <w:lang w:val="el-GR"/>
        </w:rPr>
      </w:pPr>
      <w:r w:rsidRPr="0047462D">
        <w:rPr>
          <w:caps/>
          <w:noProof/>
          <w:lang w:val="el-GR"/>
        </w:rPr>
        <w:t>δ.</w:t>
      </w:r>
      <w:r w:rsidRPr="0047462D">
        <w:rPr>
          <w:caps/>
          <w:noProof/>
          <w:lang w:val="el-GR"/>
        </w:rPr>
        <w:tab/>
      </w:r>
      <w:r w:rsidRPr="0047462D">
        <w:rPr>
          <w:rStyle w:val="hps"/>
          <w:rFonts w:ascii="Times New Roman" w:hAnsi="Times New Roman"/>
          <w:color w:val="000000"/>
          <w:lang w:val="el-GR"/>
        </w:rPr>
        <w:t xml:space="preserve">ΟΡΟΙ Ή ΠΕΡΙΟΡΙΣΜΟΙ </w:t>
      </w:r>
      <w:r w:rsidR="008955AB" w:rsidRPr="0047462D">
        <w:rPr>
          <w:rStyle w:val="hps"/>
          <w:rFonts w:ascii="Times New Roman" w:hAnsi="Times New Roman"/>
          <w:color w:val="000000"/>
          <w:lang w:val="el-GR"/>
        </w:rPr>
        <w:t>ΣΧΕΤΙΚΑ</w:t>
      </w:r>
      <w:r w:rsidRPr="0047462D">
        <w:rPr>
          <w:rStyle w:val="hps"/>
          <w:rFonts w:ascii="Times New Roman" w:hAnsi="Times New Roman"/>
          <w:color w:val="000000"/>
          <w:lang w:val="el-GR"/>
        </w:rPr>
        <w:t xml:space="preserve"> ΜΕ ΤΗΝ ΑΣΦΑΛΗ ΚΑΙ ΑΠΟΤΕΛΕΣΜΑΤΙΚΗ ΧΡΗΣΗ ΤΟΥ ΦΑΡΜΑΚΕΥΤΙΚΟΥ ΠΡΟΪΟΝΤΟΣ</w:t>
      </w:r>
    </w:p>
    <w:p w14:paraId="50AA0E4E" w14:textId="77777777" w:rsidR="00A67D3A" w:rsidRPr="0047462D" w:rsidRDefault="00A67D3A">
      <w:pPr>
        <w:pStyle w:val="BodytextAgency"/>
        <w:spacing w:after="0"/>
        <w:rPr>
          <w:rFonts w:ascii="Times New Roman" w:hAnsi="Times New Roman"/>
          <w:noProof/>
          <w:sz w:val="22"/>
          <w:szCs w:val="22"/>
        </w:rPr>
      </w:pPr>
    </w:p>
    <w:p w14:paraId="26F3B382" w14:textId="1025157A" w:rsidR="00A67D3A" w:rsidRPr="0047462D" w:rsidRDefault="00A67D3A" w:rsidP="00141E57">
      <w:pPr>
        <w:numPr>
          <w:ilvl w:val="0"/>
          <w:numId w:val="13"/>
        </w:numPr>
        <w:tabs>
          <w:tab w:val="clear" w:pos="720"/>
        </w:tabs>
        <w:suppressAutoHyphens w:val="0"/>
        <w:spacing w:line="260" w:lineRule="exact"/>
        <w:ind w:left="360" w:right="-1"/>
        <w:rPr>
          <w:b/>
        </w:rPr>
      </w:pPr>
      <w:r w:rsidRPr="0047462D">
        <w:rPr>
          <w:b/>
        </w:rPr>
        <w:t xml:space="preserve">Σχέδιο </w:t>
      </w:r>
      <w:r w:rsidR="003E0B49" w:rsidRPr="0047462D">
        <w:rPr>
          <w:b/>
        </w:rPr>
        <w:t>δ</w:t>
      </w:r>
      <w:r w:rsidRPr="0047462D">
        <w:rPr>
          <w:b/>
        </w:rPr>
        <w:t xml:space="preserve">ιαχείρισης </w:t>
      </w:r>
      <w:r w:rsidR="003E0B49" w:rsidRPr="0047462D">
        <w:rPr>
          <w:b/>
        </w:rPr>
        <w:t>κ</w:t>
      </w:r>
      <w:r w:rsidRPr="0047462D">
        <w:rPr>
          <w:b/>
        </w:rPr>
        <w:t>ινδύνου (ΣΔΚ)</w:t>
      </w:r>
    </w:p>
    <w:p w14:paraId="6E3A4EA7" w14:textId="77777777" w:rsidR="00A67D3A" w:rsidRPr="0047462D" w:rsidRDefault="00A67D3A" w:rsidP="00141E57">
      <w:pPr>
        <w:ind w:left="720" w:right="-1"/>
        <w:rPr>
          <w:b/>
          <w:szCs w:val="22"/>
        </w:rPr>
      </w:pPr>
    </w:p>
    <w:p w14:paraId="4DE840FF" w14:textId="77777777" w:rsidR="00A67D3A" w:rsidRPr="0047462D" w:rsidRDefault="00A67D3A" w:rsidP="00141E57">
      <w:pPr>
        <w:tabs>
          <w:tab w:val="left" w:pos="0"/>
        </w:tabs>
        <w:ind w:right="567"/>
        <w:rPr>
          <w:noProof/>
          <w:szCs w:val="22"/>
        </w:rPr>
      </w:pPr>
      <w:r w:rsidRPr="0047462D">
        <w:rPr>
          <w:noProof/>
          <w:szCs w:val="22"/>
        </w:rPr>
        <w:t xml:space="preserve">Ο Κάτοχος </w:t>
      </w:r>
      <w:r w:rsidRPr="0047462D">
        <w:rPr>
          <w:color w:val="000000"/>
          <w:szCs w:val="22"/>
        </w:rPr>
        <w:t>Άδειας</w:t>
      </w:r>
      <w:r w:rsidRPr="0047462D">
        <w:rPr>
          <w:noProof/>
          <w:szCs w:val="22"/>
        </w:rPr>
        <w:t xml:space="preserve"> Κυκλοφορίας </w:t>
      </w:r>
      <w:r w:rsidR="003E0B49" w:rsidRPr="0047462D">
        <w:rPr>
          <w:noProof/>
          <w:szCs w:val="22"/>
        </w:rPr>
        <w:t xml:space="preserve">(ΚΑΚ) </w:t>
      </w:r>
      <w:r w:rsidRPr="0047462D">
        <w:rPr>
          <w:noProof/>
          <w:szCs w:val="22"/>
        </w:rPr>
        <w:t>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621258DE" w14:textId="77777777" w:rsidR="00A67D3A" w:rsidRPr="0047462D" w:rsidRDefault="00A67D3A" w:rsidP="00141E57">
      <w:pPr>
        <w:ind w:right="-1"/>
        <w:rPr>
          <w:i/>
          <w:noProof/>
          <w:szCs w:val="22"/>
        </w:rPr>
      </w:pPr>
    </w:p>
    <w:p w14:paraId="74E81B81" w14:textId="77777777" w:rsidR="00A67D3A" w:rsidRPr="0047462D" w:rsidRDefault="00A67D3A" w:rsidP="00141E57">
      <w:pPr>
        <w:ind w:right="-1"/>
        <w:rPr>
          <w:i/>
          <w:noProof/>
          <w:szCs w:val="22"/>
        </w:rPr>
      </w:pPr>
      <w:r w:rsidRPr="0047462D">
        <w:rPr>
          <w:noProof/>
          <w:szCs w:val="22"/>
        </w:rPr>
        <w:t xml:space="preserve">Ένα </w:t>
      </w:r>
      <w:r w:rsidRPr="0047462D">
        <w:rPr>
          <w:color w:val="000000"/>
          <w:szCs w:val="22"/>
        </w:rPr>
        <w:t>επικαιροποιημένο</w:t>
      </w:r>
      <w:r w:rsidRPr="0047462D">
        <w:rPr>
          <w:noProof/>
          <w:szCs w:val="22"/>
        </w:rPr>
        <w:t xml:space="preserve"> ΣΔΚ θα πρέπει να κατατεθεί</w:t>
      </w:r>
      <w:r w:rsidRPr="0047462D">
        <w:rPr>
          <w:i/>
          <w:noProof/>
          <w:szCs w:val="22"/>
        </w:rPr>
        <w:t>:</w:t>
      </w:r>
    </w:p>
    <w:p w14:paraId="0774226C" w14:textId="79B59779" w:rsidR="00A67D3A" w:rsidRPr="0047462D" w:rsidRDefault="0032576C" w:rsidP="009A2EEC">
      <w:pPr>
        <w:numPr>
          <w:ilvl w:val="0"/>
          <w:numId w:val="14"/>
        </w:numPr>
        <w:tabs>
          <w:tab w:val="clear" w:pos="720"/>
        </w:tabs>
        <w:suppressAutoHyphens w:val="0"/>
        <w:spacing w:line="260" w:lineRule="exact"/>
        <w:ind w:left="540" w:right="-1" w:hanging="270"/>
        <w:rPr>
          <w:noProof/>
          <w:szCs w:val="22"/>
        </w:rPr>
      </w:pPr>
      <w:r w:rsidRPr="0047462D">
        <w:rPr>
          <w:noProof/>
          <w:szCs w:val="22"/>
        </w:rPr>
        <w:t xml:space="preserve">Μετά </w:t>
      </w:r>
      <w:r w:rsidR="00A67D3A" w:rsidRPr="0047462D">
        <w:rPr>
          <w:noProof/>
          <w:szCs w:val="22"/>
        </w:rPr>
        <w:t xml:space="preserve">από αίτημα του Ευρωπαϊκού </w:t>
      </w:r>
      <w:r w:rsidR="00F14731" w:rsidRPr="0047462D">
        <w:rPr>
          <w:noProof/>
          <w:szCs w:val="22"/>
        </w:rPr>
        <w:t xml:space="preserve">Οργανισμού </w:t>
      </w:r>
      <w:r w:rsidR="00A67D3A" w:rsidRPr="0047462D">
        <w:rPr>
          <w:noProof/>
          <w:szCs w:val="22"/>
        </w:rPr>
        <w:t>Φαρμάκων,</w:t>
      </w:r>
    </w:p>
    <w:p w14:paraId="0D5934C5" w14:textId="4680F8F7" w:rsidR="00A67D3A" w:rsidRPr="0047462D" w:rsidRDefault="0032576C" w:rsidP="001A2F3F">
      <w:pPr>
        <w:numPr>
          <w:ilvl w:val="0"/>
          <w:numId w:val="14"/>
        </w:numPr>
        <w:tabs>
          <w:tab w:val="clear" w:pos="720"/>
        </w:tabs>
        <w:suppressAutoHyphens w:val="0"/>
        <w:spacing w:line="260" w:lineRule="exact"/>
        <w:ind w:left="567" w:right="-1" w:hanging="283"/>
        <w:rPr>
          <w:noProof/>
          <w:szCs w:val="22"/>
        </w:rPr>
      </w:pPr>
      <w:r w:rsidRPr="0047462D">
        <w:rPr>
          <w:noProof/>
          <w:szCs w:val="22"/>
        </w:rPr>
        <w:t>Ο</w:t>
      </w:r>
      <w:r w:rsidR="00A67D3A" w:rsidRPr="0047462D">
        <w:rPr>
          <w:noProof/>
          <w:szCs w:val="22"/>
        </w:rPr>
        <w:t>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324A3180" w14:textId="77777777" w:rsidR="00A67D3A" w:rsidRPr="0047462D" w:rsidRDefault="00A67D3A" w:rsidP="002331FF">
      <w:pPr>
        <w:pStyle w:val="NormalAgency"/>
        <w:rPr>
          <w:rFonts w:ascii="Times New Roman" w:hAnsi="Times New Roman" w:cs="Times New Roman"/>
          <w:noProof/>
          <w:sz w:val="22"/>
          <w:szCs w:val="22"/>
          <w:lang w:val="el-GR"/>
        </w:rPr>
      </w:pPr>
    </w:p>
    <w:p w14:paraId="6359BD5C" w14:textId="77777777" w:rsidR="00A67D3A" w:rsidRPr="0047462D" w:rsidRDefault="00A67D3A" w:rsidP="00D3539C">
      <w:pPr>
        <w:pStyle w:val="NormalAgency"/>
        <w:keepNext/>
        <w:numPr>
          <w:ilvl w:val="0"/>
          <w:numId w:val="10"/>
        </w:numPr>
        <w:tabs>
          <w:tab w:val="clear" w:pos="397"/>
        </w:tabs>
        <w:suppressAutoHyphens w:val="0"/>
        <w:ind w:left="360" w:hanging="360"/>
        <w:rPr>
          <w:rStyle w:val="hps"/>
          <w:rFonts w:ascii="Times New Roman" w:hAnsi="Times New Roman" w:cs="Times New Roman"/>
          <w:b/>
          <w:color w:val="000000"/>
          <w:sz w:val="22"/>
          <w:szCs w:val="22"/>
          <w:lang w:val="el-GR"/>
        </w:rPr>
      </w:pPr>
      <w:r w:rsidRPr="0047462D">
        <w:rPr>
          <w:rFonts w:ascii="Times New Roman" w:hAnsi="Times New Roman" w:cs="Times New Roman"/>
          <w:b/>
          <w:sz w:val="22"/>
          <w:szCs w:val="22"/>
          <w:lang w:val="el-GR"/>
        </w:rPr>
        <w:t>Υποχρέωση λήψης μετεγκριτικών μέτρων</w:t>
      </w:r>
    </w:p>
    <w:p w14:paraId="04C265AA" w14:textId="77777777" w:rsidR="00A67D3A" w:rsidRPr="0047462D" w:rsidRDefault="00A67D3A" w:rsidP="00D3539C">
      <w:pPr>
        <w:pStyle w:val="NormalAgency"/>
        <w:keepNext/>
        <w:rPr>
          <w:rFonts w:ascii="Times New Roman" w:hAnsi="Times New Roman" w:cs="Times New Roman"/>
          <w:snapToGrid w:val="0"/>
          <w:sz w:val="22"/>
          <w:szCs w:val="22"/>
          <w:lang w:val="el-GR"/>
        </w:rPr>
      </w:pPr>
    </w:p>
    <w:p w14:paraId="30C2EC2C" w14:textId="77777777" w:rsidR="00A67D3A" w:rsidRPr="0047462D" w:rsidRDefault="00A67D3A" w:rsidP="00D3539C">
      <w:pPr>
        <w:pStyle w:val="BodytextAgency"/>
        <w:keepNext/>
        <w:spacing w:after="0" w:line="240" w:lineRule="auto"/>
        <w:rPr>
          <w:rFonts w:ascii="Times New Roman" w:hAnsi="Times New Roman"/>
          <w:snapToGrid w:val="0"/>
          <w:sz w:val="22"/>
          <w:szCs w:val="22"/>
        </w:rPr>
      </w:pPr>
      <w:r w:rsidRPr="0047462D">
        <w:rPr>
          <w:rFonts w:ascii="Times New Roman" w:hAnsi="Times New Roman"/>
          <w:iCs/>
          <w:noProof/>
          <w:sz w:val="22"/>
          <w:szCs w:val="22"/>
        </w:rPr>
        <w:t>Ο ΚΑΚ θα ολοκληρώσει εντός του δηλωμένου χρονικού πλαισίου, τα παρακάτω μέτρα:</w:t>
      </w:r>
    </w:p>
    <w:p w14:paraId="40EB1D6A" w14:textId="77777777" w:rsidR="00A67D3A" w:rsidRPr="0047462D" w:rsidRDefault="00A67D3A" w:rsidP="00D3539C">
      <w:pPr>
        <w:pStyle w:val="BodytextAgency"/>
        <w:keepNext/>
        <w:spacing w:after="0" w:line="240" w:lineRule="auto"/>
        <w:rPr>
          <w:rFonts w:ascii="Times New Roman" w:hAnsi="Times New Roman"/>
          <w:snapToGrid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8"/>
        <w:gridCol w:w="2402"/>
      </w:tblGrid>
      <w:tr w:rsidR="00A67D3A" w:rsidRPr="0047462D" w14:paraId="2D325C51" w14:textId="77777777" w:rsidTr="00EB5A36">
        <w:trPr>
          <w:cantSplit/>
        </w:trPr>
        <w:tc>
          <w:tcPr>
            <w:tcW w:w="6658" w:type="dxa"/>
            <w:shd w:val="clear" w:color="auto" w:fill="auto"/>
          </w:tcPr>
          <w:p w14:paraId="16D445A6" w14:textId="77777777" w:rsidR="00A67D3A" w:rsidRPr="0047462D" w:rsidRDefault="00A67D3A" w:rsidP="00D3539C">
            <w:pPr>
              <w:pStyle w:val="BodytextAgency"/>
              <w:keepNext/>
              <w:spacing w:after="0" w:line="240" w:lineRule="auto"/>
              <w:rPr>
                <w:rFonts w:ascii="Times New Roman" w:hAnsi="Times New Roman"/>
                <w:b/>
                <w:sz w:val="22"/>
                <w:szCs w:val="22"/>
                <w:lang w:val="en-GB"/>
              </w:rPr>
            </w:pPr>
            <w:r w:rsidRPr="0047462D">
              <w:rPr>
                <w:rFonts w:ascii="Times New Roman" w:hAnsi="Times New Roman"/>
                <w:b/>
                <w:snapToGrid w:val="0"/>
                <w:sz w:val="22"/>
                <w:szCs w:val="22"/>
              </w:rPr>
              <w:t>Περιγραφή</w:t>
            </w:r>
          </w:p>
        </w:tc>
        <w:tc>
          <w:tcPr>
            <w:tcW w:w="2402" w:type="dxa"/>
            <w:shd w:val="clear" w:color="auto" w:fill="auto"/>
          </w:tcPr>
          <w:p w14:paraId="6880B87C" w14:textId="77777777" w:rsidR="00A67D3A" w:rsidRPr="0047462D" w:rsidRDefault="00A67D3A" w:rsidP="00D3539C">
            <w:pPr>
              <w:pStyle w:val="BodytextAgency"/>
              <w:keepNext/>
              <w:spacing w:after="0" w:line="240" w:lineRule="auto"/>
              <w:rPr>
                <w:rFonts w:ascii="Times New Roman" w:hAnsi="Times New Roman"/>
                <w:b/>
                <w:sz w:val="22"/>
                <w:szCs w:val="22"/>
              </w:rPr>
            </w:pPr>
            <w:r w:rsidRPr="0047462D">
              <w:rPr>
                <w:rFonts w:ascii="Times New Roman" w:hAnsi="Times New Roman"/>
                <w:b/>
                <w:snapToGrid w:val="0"/>
                <w:sz w:val="22"/>
                <w:szCs w:val="22"/>
              </w:rPr>
              <w:t>Αναμενόμενη ημερομηνία</w:t>
            </w:r>
          </w:p>
        </w:tc>
      </w:tr>
      <w:tr w:rsidR="001C01B6" w:rsidRPr="0047462D" w14:paraId="73D70002" w14:textId="77777777" w:rsidTr="00EB5A36">
        <w:trPr>
          <w:cantSplit/>
        </w:trPr>
        <w:tc>
          <w:tcPr>
            <w:tcW w:w="6658" w:type="dxa"/>
            <w:shd w:val="clear" w:color="auto" w:fill="auto"/>
          </w:tcPr>
          <w:p w14:paraId="000C5F27" w14:textId="46DA13F0" w:rsidR="001C01B6" w:rsidRPr="0047462D" w:rsidRDefault="00EA4E13" w:rsidP="00701C8A">
            <w:r w:rsidRPr="0047462D">
              <w:rPr>
                <w:bCs/>
                <w:lang w:val="en-US"/>
              </w:rPr>
              <w:t>M</w:t>
            </w:r>
            <w:r w:rsidRPr="0047462D">
              <w:rPr>
                <w:bCs/>
              </w:rPr>
              <w:t xml:space="preserve">ελέτη μακροχρόνιας αποτελεσματικότητας για τη σύγκριση της εξέλιξης της νόσου μεταξύ παιδιών με ΚΙ που έχουν μια </w:t>
            </w:r>
            <w:r w:rsidRPr="0047462D">
              <w:rPr>
                <w:rFonts w:eastAsia="Times New Roman"/>
              </w:rPr>
              <w:t xml:space="preserve">συγκεκριμένη </w:t>
            </w:r>
            <w:r w:rsidR="002E5DA8" w:rsidRPr="0047462D">
              <w:rPr>
                <w:szCs w:val="22"/>
              </w:rPr>
              <w:t>«</w:t>
            </w:r>
            <w:r w:rsidRPr="0047462D">
              <w:t>gating</w:t>
            </w:r>
            <w:r w:rsidR="002E5DA8" w:rsidRPr="0047462D">
              <w:rPr>
                <w:szCs w:val="22"/>
              </w:rPr>
              <w:t>»</w:t>
            </w:r>
            <w:r w:rsidRPr="0047462D">
              <w:rPr>
                <w:rFonts w:eastAsia="Times New Roman"/>
              </w:rPr>
              <w:t xml:space="preserve"> μετάλλαξη στο </w:t>
            </w:r>
            <w:r w:rsidRPr="0047462D">
              <w:rPr>
                <w:rFonts w:eastAsia="Times New Roman"/>
                <w:iCs/>
              </w:rPr>
              <w:t>CFTR</w:t>
            </w:r>
            <w:r w:rsidRPr="0047462D">
              <w:rPr>
                <w:bCs/>
              </w:rPr>
              <w:t xml:space="preserve"> και είναι ηλικίας 2 έως και 5 ετών κατά την έναρξη της θεραπείας με </w:t>
            </w:r>
            <w:r w:rsidRPr="0047462D">
              <w:t>Kalydeco</w:t>
            </w:r>
            <w:r w:rsidRPr="0047462D" w:rsidDel="00E06265">
              <w:rPr>
                <w:bCs/>
              </w:rPr>
              <w:t xml:space="preserve"> </w:t>
            </w:r>
            <w:r w:rsidRPr="0047462D">
              <w:rPr>
                <w:bCs/>
              </w:rPr>
              <w:t xml:space="preserve">έναντι της εξέλιξης της νόσου μεταξύ ταυτόχρονης </w:t>
            </w:r>
            <w:r w:rsidR="00CC6C92" w:rsidRPr="0047462D">
              <w:rPr>
                <w:bCs/>
              </w:rPr>
              <w:t xml:space="preserve">αντίστοιχης </w:t>
            </w:r>
            <w:r w:rsidRPr="0047462D">
              <w:rPr>
                <w:bCs/>
              </w:rPr>
              <w:t>κοόρτης παιδιών με ΚΙ που δεν έχουν λάβει στο παρελθόν θεραπεία με Kalydeco.</w:t>
            </w:r>
          </w:p>
        </w:tc>
        <w:tc>
          <w:tcPr>
            <w:tcW w:w="2402" w:type="dxa"/>
            <w:shd w:val="clear" w:color="auto" w:fill="auto"/>
          </w:tcPr>
          <w:p w14:paraId="75AB18D5" w14:textId="77777777" w:rsidR="00EA4E13" w:rsidRPr="0047462D" w:rsidRDefault="00EA4E13" w:rsidP="00EA4E13">
            <w:pPr>
              <w:tabs>
                <w:tab w:val="left" w:pos="567"/>
              </w:tabs>
              <w:suppressAutoHyphens w:val="0"/>
              <w:spacing w:line="260" w:lineRule="exact"/>
              <w:rPr>
                <w:szCs w:val="22"/>
                <w:lang w:eastAsia="en-US"/>
              </w:rPr>
            </w:pPr>
            <w:r w:rsidRPr="0047462D">
              <w:rPr>
                <w:szCs w:val="22"/>
                <w:lang w:eastAsia="en-US"/>
              </w:rPr>
              <w:t>Ενδιάμεση ανάλυση 1</w:t>
            </w:r>
            <w:r w:rsidRPr="0047462D">
              <w:rPr>
                <w:szCs w:val="22"/>
              </w:rPr>
              <w:t xml:space="preserve">: </w:t>
            </w:r>
            <w:r w:rsidRPr="0047462D">
              <w:rPr>
                <w:szCs w:val="22"/>
                <w:lang w:eastAsia="en-US"/>
              </w:rPr>
              <w:t>Δεκέμβριος 2017</w:t>
            </w:r>
          </w:p>
          <w:p w14:paraId="3FE49007" w14:textId="77777777" w:rsidR="00EA4E13" w:rsidRPr="0047462D" w:rsidRDefault="00EA4E13" w:rsidP="00EA4E13">
            <w:pPr>
              <w:tabs>
                <w:tab w:val="left" w:pos="567"/>
              </w:tabs>
              <w:suppressAutoHyphens w:val="0"/>
              <w:spacing w:line="260" w:lineRule="exact"/>
              <w:rPr>
                <w:szCs w:val="22"/>
                <w:lang w:eastAsia="en-US"/>
              </w:rPr>
            </w:pPr>
          </w:p>
          <w:p w14:paraId="3E762C58" w14:textId="77777777" w:rsidR="00EA4E13" w:rsidRPr="0047462D" w:rsidRDefault="00EA4E13" w:rsidP="00EA4E13">
            <w:pPr>
              <w:tabs>
                <w:tab w:val="left" w:pos="567"/>
              </w:tabs>
              <w:suppressAutoHyphens w:val="0"/>
              <w:spacing w:line="260" w:lineRule="exact"/>
              <w:rPr>
                <w:szCs w:val="22"/>
                <w:lang w:eastAsia="en-US"/>
              </w:rPr>
            </w:pPr>
            <w:r w:rsidRPr="0047462D">
              <w:rPr>
                <w:szCs w:val="22"/>
                <w:lang w:eastAsia="en-US"/>
              </w:rPr>
              <w:t>Ενδιάμεση ανάλυση 2</w:t>
            </w:r>
            <w:r w:rsidRPr="0047462D">
              <w:rPr>
                <w:szCs w:val="22"/>
              </w:rPr>
              <w:t xml:space="preserve">: </w:t>
            </w:r>
            <w:r w:rsidRPr="0047462D">
              <w:rPr>
                <w:szCs w:val="22"/>
                <w:lang w:eastAsia="en-US"/>
              </w:rPr>
              <w:t>Δεκέμβριος 2019</w:t>
            </w:r>
          </w:p>
          <w:p w14:paraId="568FF09A" w14:textId="77777777" w:rsidR="00EA4E13" w:rsidRPr="0047462D" w:rsidRDefault="00EA4E13" w:rsidP="00EA4E13">
            <w:pPr>
              <w:tabs>
                <w:tab w:val="left" w:pos="567"/>
              </w:tabs>
              <w:suppressAutoHyphens w:val="0"/>
              <w:spacing w:line="260" w:lineRule="exact"/>
              <w:rPr>
                <w:szCs w:val="22"/>
                <w:lang w:eastAsia="en-US"/>
              </w:rPr>
            </w:pPr>
          </w:p>
          <w:p w14:paraId="6B0E2C78" w14:textId="77777777" w:rsidR="00EA4E13" w:rsidRPr="0047462D" w:rsidRDefault="00EA4E13" w:rsidP="00EA4E13">
            <w:pPr>
              <w:tabs>
                <w:tab w:val="left" w:pos="567"/>
              </w:tabs>
              <w:suppressAutoHyphens w:val="0"/>
              <w:spacing w:line="260" w:lineRule="exact"/>
              <w:rPr>
                <w:szCs w:val="22"/>
                <w:lang w:eastAsia="en-US"/>
              </w:rPr>
            </w:pPr>
            <w:r w:rsidRPr="0047462D">
              <w:rPr>
                <w:szCs w:val="22"/>
                <w:lang w:eastAsia="en-US"/>
              </w:rPr>
              <w:t>Ενδιάμεση ανάλυση 3</w:t>
            </w:r>
            <w:r w:rsidRPr="0047462D">
              <w:rPr>
                <w:szCs w:val="22"/>
              </w:rPr>
              <w:t xml:space="preserve">: </w:t>
            </w:r>
            <w:r w:rsidRPr="0047462D">
              <w:rPr>
                <w:szCs w:val="22"/>
                <w:lang w:eastAsia="en-US"/>
              </w:rPr>
              <w:t>Δεκέμβριος 2021</w:t>
            </w:r>
          </w:p>
          <w:p w14:paraId="19CCE059" w14:textId="77777777" w:rsidR="00EA4E13" w:rsidRPr="0047462D" w:rsidRDefault="00EA4E13" w:rsidP="00EA4E13">
            <w:pPr>
              <w:tabs>
                <w:tab w:val="left" w:pos="567"/>
              </w:tabs>
              <w:suppressAutoHyphens w:val="0"/>
              <w:spacing w:line="260" w:lineRule="exact"/>
              <w:rPr>
                <w:szCs w:val="22"/>
                <w:lang w:eastAsia="en-US"/>
              </w:rPr>
            </w:pPr>
          </w:p>
          <w:p w14:paraId="63C76769" w14:textId="77777777" w:rsidR="001C01B6" w:rsidRPr="0047462D" w:rsidRDefault="00EA4E13" w:rsidP="00EA4E13">
            <w:r w:rsidRPr="0047462D">
              <w:rPr>
                <w:szCs w:val="22"/>
                <w:lang w:eastAsia="en-US"/>
              </w:rPr>
              <w:t>Τελική αναφορά</w:t>
            </w:r>
            <w:r w:rsidRPr="0047462D">
              <w:rPr>
                <w:szCs w:val="22"/>
              </w:rPr>
              <w:t xml:space="preserve">: </w:t>
            </w:r>
            <w:r w:rsidRPr="0047462D">
              <w:rPr>
                <w:szCs w:val="22"/>
                <w:lang w:eastAsia="en-US"/>
              </w:rPr>
              <w:t>Δεκέμβριος 2023</w:t>
            </w:r>
          </w:p>
        </w:tc>
      </w:tr>
    </w:tbl>
    <w:p w14:paraId="1A2836E7" w14:textId="77777777" w:rsidR="00A67D3A" w:rsidRPr="0047462D" w:rsidRDefault="00A67D3A" w:rsidP="002331FF">
      <w:pPr>
        <w:pStyle w:val="NormalAgency"/>
        <w:rPr>
          <w:rFonts w:ascii="Times New Roman" w:hAnsi="Times New Roman"/>
          <w:lang w:val="el-GR"/>
        </w:rPr>
      </w:pPr>
    </w:p>
    <w:p w14:paraId="13CEFE3C" w14:textId="77777777" w:rsidR="00A67D3A" w:rsidRPr="0047462D" w:rsidRDefault="00A67D3A" w:rsidP="00141E57">
      <w:pPr>
        <w:pageBreakBefore/>
        <w:ind w:right="566"/>
        <w:rPr>
          <w:b/>
          <w:bCs/>
          <w:szCs w:val="22"/>
          <w:lang w:eastAsia="en-US"/>
        </w:rPr>
      </w:pPr>
    </w:p>
    <w:p w14:paraId="06FBEDC3" w14:textId="77777777" w:rsidR="00A67D3A" w:rsidRPr="0047462D" w:rsidRDefault="00A67D3A" w:rsidP="00141E57">
      <w:pPr>
        <w:jc w:val="center"/>
        <w:rPr>
          <w:b/>
          <w:bCs/>
          <w:szCs w:val="22"/>
          <w:lang w:eastAsia="en-US"/>
        </w:rPr>
      </w:pPr>
    </w:p>
    <w:p w14:paraId="09DCFA88" w14:textId="77777777" w:rsidR="00A67D3A" w:rsidRPr="0047462D" w:rsidRDefault="00A67D3A" w:rsidP="00141E57">
      <w:pPr>
        <w:jc w:val="center"/>
        <w:rPr>
          <w:b/>
          <w:bCs/>
          <w:szCs w:val="22"/>
          <w:lang w:eastAsia="en-US"/>
        </w:rPr>
      </w:pPr>
    </w:p>
    <w:p w14:paraId="7D83D8B8" w14:textId="77777777" w:rsidR="00A67D3A" w:rsidRPr="0047462D" w:rsidRDefault="00A67D3A" w:rsidP="00141E57">
      <w:pPr>
        <w:jc w:val="center"/>
        <w:rPr>
          <w:b/>
          <w:bCs/>
          <w:szCs w:val="22"/>
          <w:lang w:eastAsia="en-US"/>
        </w:rPr>
      </w:pPr>
    </w:p>
    <w:p w14:paraId="461DF637" w14:textId="77777777" w:rsidR="00A67D3A" w:rsidRPr="0047462D" w:rsidRDefault="00A67D3A" w:rsidP="00141E57">
      <w:pPr>
        <w:jc w:val="center"/>
        <w:rPr>
          <w:b/>
          <w:bCs/>
          <w:szCs w:val="22"/>
          <w:lang w:eastAsia="en-US"/>
        </w:rPr>
      </w:pPr>
    </w:p>
    <w:p w14:paraId="067B8110" w14:textId="77777777" w:rsidR="00A67D3A" w:rsidRPr="0047462D" w:rsidRDefault="00A67D3A" w:rsidP="00141E57">
      <w:pPr>
        <w:jc w:val="center"/>
        <w:rPr>
          <w:b/>
          <w:bCs/>
          <w:szCs w:val="22"/>
          <w:lang w:eastAsia="en-US"/>
        </w:rPr>
      </w:pPr>
    </w:p>
    <w:p w14:paraId="4B12F790" w14:textId="77777777" w:rsidR="00A67D3A" w:rsidRPr="0047462D" w:rsidRDefault="00A67D3A" w:rsidP="00141E57">
      <w:pPr>
        <w:jc w:val="center"/>
        <w:rPr>
          <w:b/>
          <w:bCs/>
          <w:szCs w:val="22"/>
          <w:lang w:eastAsia="en-US"/>
        </w:rPr>
      </w:pPr>
    </w:p>
    <w:p w14:paraId="31B0245B" w14:textId="77777777" w:rsidR="00A67D3A" w:rsidRPr="0047462D" w:rsidRDefault="00A67D3A" w:rsidP="00141E57">
      <w:pPr>
        <w:jc w:val="center"/>
        <w:rPr>
          <w:b/>
          <w:bCs/>
          <w:szCs w:val="22"/>
          <w:lang w:eastAsia="en-US"/>
        </w:rPr>
      </w:pPr>
    </w:p>
    <w:p w14:paraId="4D6F971E" w14:textId="77777777" w:rsidR="00A67D3A" w:rsidRPr="0047462D" w:rsidRDefault="00A67D3A" w:rsidP="00141E57">
      <w:pPr>
        <w:jc w:val="center"/>
        <w:rPr>
          <w:b/>
          <w:bCs/>
          <w:szCs w:val="22"/>
          <w:lang w:eastAsia="en-US"/>
        </w:rPr>
      </w:pPr>
    </w:p>
    <w:p w14:paraId="4D052E7E" w14:textId="77777777" w:rsidR="00A67D3A" w:rsidRPr="0047462D" w:rsidRDefault="00A67D3A" w:rsidP="00141E57">
      <w:pPr>
        <w:jc w:val="center"/>
        <w:rPr>
          <w:b/>
          <w:bCs/>
          <w:szCs w:val="22"/>
          <w:lang w:eastAsia="en-US"/>
        </w:rPr>
      </w:pPr>
    </w:p>
    <w:p w14:paraId="5AD57462" w14:textId="77777777" w:rsidR="00A67D3A" w:rsidRPr="0047462D" w:rsidRDefault="00A67D3A" w:rsidP="00141E57">
      <w:pPr>
        <w:jc w:val="center"/>
        <w:rPr>
          <w:b/>
          <w:bCs/>
          <w:szCs w:val="22"/>
          <w:lang w:eastAsia="en-US"/>
        </w:rPr>
      </w:pPr>
    </w:p>
    <w:p w14:paraId="49DEC0EC" w14:textId="77777777" w:rsidR="00A67D3A" w:rsidRPr="0047462D" w:rsidRDefault="00A67D3A" w:rsidP="00141E57">
      <w:pPr>
        <w:jc w:val="center"/>
        <w:rPr>
          <w:b/>
          <w:bCs/>
          <w:szCs w:val="22"/>
          <w:lang w:eastAsia="en-US"/>
        </w:rPr>
      </w:pPr>
    </w:p>
    <w:p w14:paraId="019BF81A" w14:textId="77777777" w:rsidR="00A67D3A" w:rsidRPr="0047462D" w:rsidRDefault="00A67D3A" w:rsidP="00141E57">
      <w:pPr>
        <w:jc w:val="center"/>
        <w:rPr>
          <w:b/>
          <w:bCs/>
          <w:szCs w:val="22"/>
          <w:lang w:eastAsia="en-US"/>
        </w:rPr>
      </w:pPr>
    </w:p>
    <w:p w14:paraId="5789B32B" w14:textId="77777777" w:rsidR="00A67D3A" w:rsidRPr="0047462D" w:rsidRDefault="00A67D3A" w:rsidP="00141E57">
      <w:pPr>
        <w:jc w:val="center"/>
        <w:rPr>
          <w:b/>
          <w:bCs/>
          <w:szCs w:val="22"/>
          <w:lang w:eastAsia="en-US"/>
        </w:rPr>
      </w:pPr>
    </w:p>
    <w:p w14:paraId="58AB5B87" w14:textId="77777777" w:rsidR="00A67D3A" w:rsidRPr="0047462D" w:rsidRDefault="00A67D3A" w:rsidP="00141E57">
      <w:pPr>
        <w:jc w:val="center"/>
        <w:rPr>
          <w:b/>
          <w:bCs/>
          <w:szCs w:val="22"/>
          <w:lang w:eastAsia="en-US"/>
        </w:rPr>
      </w:pPr>
    </w:p>
    <w:p w14:paraId="40E3265B" w14:textId="77777777" w:rsidR="00A67D3A" w:rsidRPr="0047462D" w:rsidRDefault="00A67D3A" w:rsidP="00141E57">
      <w:pPr>
        <w:jc w:val="center"/>
        <w:rPr>
          <w:b/>
          <w:bCs/>
          <w:szCs w:val="22"/>
          <w:lang w:eastAsia="en-US"/>
        </w:rPr>
      </w:pPr>
    </w:p>
    <w:p w14:paraId="65434281" w14:textId="77777777" w:rsidR="00A67D3A" w:rsidRPr="0047462D" w:rsidRDefault="00A67D3A" w:rsidP="00141E57">
      <w:pPr>
        <w:jc w:val="center"/>
        <w:rPr>
          <w:b/>
          <w:bCs/>
          <w:szCs w:val="22"/>
          <w:lang w:eastAsia="en-US"/>
        </w:rPr>
      </w:pPr>
    </w:p>
    <w:p w14:paraId="605B39B6" w14:textId="77777777" w:rsidR="00A67D3A" w:rsidRPr="0047462D" w:rsidRDefault="00A67D3A" w:rsidP="00141E57">
      <w:pPr>
        <w:jc w:val="center"/>
        <w:rPr>
          <w:b/>
          <w:bCs/>
          <w:szCs w:val="22"/>
          <w:lang w:eastAsia="en-US"/>
        </w:rPr>
      </w:pPr>
    </w:p>
    <w:p w14:paraId="26C1D5B5" w14:textId="77777777" w:rsidR="00A67D3A" w:rsidRPr="0047462D" w:rsidRDefault="00A67D3A" w:rsidP="00141E57">
      <w:pPr>
        <w:jc w:val="center"/>
        <w:rPr>
          <w:b/>
          <w:bCs/>
          <w:szCs w:val="22"/>
          <w:lang w:eastAsia="en-US"/>
        </w:rPr>
      </w:pPr>
    </w:p>
    <w:p w14:paraId="75304B61" w14:textId="77777777" w:rsidR="00A67D3A" w:rsidRPr="0047462D" w:rsidRDefault="00A67D3A" w:rsidP="00141E57">
      <w:pPr>
        <w:jc w:val="center"/>
        <w:rPr>
          <w:b/>
          <w:bCs/>
          <w:szCs w:val="22"/>
          <w:lang w:eastAsia="en-US"/>
        </w:rPr>
      </w:pPr>
    </w:p>
    <w:p w14:paraId="58C8C524" w14:textId="77777777" w:rsidR="00A67D3A" w:rsidRPr="0047462D" w:rsidRDefault="00A67D3A" w:rsidP="00141E57">
      <w:pPr>
        <w:jc w:val="center"/>
        <w:rPr>
          <w:b/>
          <w:bCs/>
          <w:szCs w:val="22"/>
          <w:lang w:eastAsia="en-US"/>
        </w:rPr>
      </w:pPr>
    </w:p>
    <w:p w14:paraId="293FEE7D" w14:textId="77777777" w:rsidR="00A67D3A" w:rsidRPr="0047462D" w:rsidRDefault="00A67D3A" w:rsidP="00141E57">
      <w:pPr>
        <w:jc w:val="center"/>
        <w:rPr>
          <w:b/>
          <w:bCs/>
          <w:szCs w:val="22"/>
          <w:lang w:eastAsia="en-US"/>
        </w:rPr>
      </w:pPr>
    </w:p>
    <w:p w14:paraId="14AD0748" w14:textId="77777777" w:rsidR="00A67D3A" w:rsidRPr="0047462D" w:rsidRDefault="00A67D3A" w:rsidP="00141E57">
      <w:pPr>
        <w:jc w:val="center"/>
        <w:rPr>
          <w:b/>
          <w:bCs/>
          <w:szCs w:val="22"/>
          <w:lang w:eastAsia="en-US"/>
        </w:rPr>
      </w:pPr>
    </w:p>
    <w:p w14:paraId="4CFD0EC7" w14:textId="77777777" w:rsidR="00A67D3A" w:rsidRPr="0047462D" w:rsidRDefault="00A67D3A" w:rsidP="00141E57">
      <w:pPr>
        <w:jc w:val="center"/>
        <w:rPr>
          <w:b/>
          <w:bCs/>
          <w:szCs w:val="22"/>
          <w:lang w:eastAsia="en-US"/>
        </w:rPr>
      </w:pPr>
      <w:r w:rsidRPr="0047462D">
        <w:rPr>
          <w:rFonts w:eastAsia="Times New Roman"/>
          <w:b/>
          <w:bCs/>
          <w:szCs w:val="22"/>
        </w:rPr>
        <w:t>ΠΑΡΑΡΤΗΜΑ ΙΙΙ</w:t>
      </w:r>
    </w:p>
    <w:p w14:paraId="232CB5EC" w14:textId="77777777" w:rsidR="00A67D3A" w:rsidRPr="0047462D" w:rsidRDefault="00A67D3A" w:rsidP="00141E57">
      <w:pPr>
        <w:jc w:val="center"/>
        <w:rPr>
          <w:b/>
          <w:bCs/>
          <w:szCs w:val="22"/>
          <w:lang w:eastAsia="en-US"/>
        </w:rPr>
      </w:pPr>
    </w:p>
    <w:p w14:paraId="054BD91C" w14:textId="77777777" w:rsidR="00A67D3A" w:rsidRPr="0047462D" w:rsidRDefault="00A67D3A" w:rsidP="00141E57">
      <w:pPr>
        <w:jc w:val="center"/>
        <w:rPr>
          <w:szCs w:val="22"/>
          <w:lang w:eastAsia="en-US"/>
        </w:rPr>
      </w:pPr>
      <w:r w:rsidRPr="0047462D">
        <w:rPr>
          <w:rFonts w:eastAsia="Times New Roman"/>
          <w:b/>
          <w:bCs/>
          <w:szCs w:val="22"/>
        </w:rPr>
        <w:t>ΕΠΙΣΗΜΑΝΣΗ ΚΑΙ ΦΥΛΛΟ ΟΔΗΓΙΩΝ ΧΡΗΣHΣ</w:t>
      </w:r>
    </w:p>
    <w:p w14:paraId="49D4A764" w14:textId="77777777" w:rsidR="00A67D3A" w:rsidRPr="0047462D" w:rsidRDefault="00A67D3A" w:rsidP="00141E57">
      <w:pPr>
        <w:pageBreakBefore/>
        <w:rPr>
          <w:szCs w:val="22"/>
          <w:lang w:eastAsia="en-US"/>
        </w:rPr>
      </w:pPr>
    </w:p>
    <w:p w14:paraId="7E268536" w14:textId="77777777" w:rsidR="00A67D3A" w:rsidRPr="0047462D" w:rsidRDefault="00A67D3A" w:rsidP="00141E57">
      <w:pPr>
        <w:jc w:val="center"/>
        <w:rPr>
          <w:szCs w:val="22"/>
          <w:lang w:eastAsia="en-US"/>
        </w:rPr>
      </w:pPr>
    </w:p>
    <w:p w14:paraId="26D15950" w14:textId="77777777" w:rsidR="00A67D3A" w:rsidRPr="0047462D" w:rsidRDefault="00A67D3A" w:rsidP="00141E57">
      <w:pPr>
        <w:jc w:val="center"/>
        <w:rPr>
          <w:szCs w:val="22"/>
          <w:lang w:eastAsia="en-US"/>
        </w:rPr>
      </w:pPr>
    </w:p>
    <w:p w14:paraId="485C0CBB" w14:textId="77777777" w:rsidR="00A67D3A" w:rsidRPr="0047462D" w:rsidRDefault="00A67D3A" w:rsidP="00141E57">
      <w:pPr>
        <w:jc w:val="center"/>
        <w:rPr>
          <w:szCs w:val="22"/>
          <w:lang w:eastAsia="en-US"/>
        </w:rPr>
      </w:pPr>
    </w:p>
    <w:p w14:paraId="0E614465" w14:textId="77777777" w:rsidR="00A67D3A" w:rsidRPr="0047462D" w:rsidRDefault="00A67D3A" w:rsidP="00141E57">
      <w:pPr>
        <w:jc w:val="center"/>
        <w:rPr>
          <w:szCs w:val="22"/>
          <w:lang w:eastAsia="en-US"/>
        </w:rPr>
      </w:pPr>
    </w:p>
    <w:p w14:paraId="44897DBB" w14:textId="77777777" w:rsidR="00A67D3A" w:rsidRPr="0047462D" w:rsidRDefault="00A67D3A" w:rsidP="00141E57">
      <w:pPr>
        <w:jc w:val="center"/>
        <w:rPr>
          <w:szCs w:val="22"/>
          <w:lang w:eastAsia="en-US"/>
        </w:rPr>
      </w:pPr>
    </w:p>
    <w:p w14:paraId="69A93AC2" w14:textId="77777777" w:rsidR="00A67D3A" w:rsidRPr="0047462D" w:rsidRDefault="00A67D3A" w:rsidP="00141E57">
      <w:pPr>
        <w:jc w:val="center"/>
        <w:rPr>
          <w:szCs w:val="22"/>
          <w:lang w:eastAsia="en-US"/>
        </w:rPr>
      </w:pPr>
    </w:p>
    <w:p w14:paraId="1C401DCA" w14:textId="77777777" w:rsidR="00A67D3A" w:rsidRPr="0047462D" w:rsidRDefault="00A67D3A" w:rsidP="00141E57">
      <w:pPr>
        <w:jc w:val="center"/>
        <w:rPr>
          <w:szCs w:val="22"/>
          <w:lang w:eastAsia="en-US"/>
        </w:rPr>
      </w:pPr>
    </w:p>
    <w:p w14:paraId="62C384C7" w14:textId="77777777" w:rsidR="00A67D3A" w:rsidRPr="0047462D" w:rsidRDefault="00A67D3A" w:rsidP="00141E57">
      <w:pPr>
        <w:jc w:val="center"/>
        <w:rPr>
          <w:szCs w:val="22"/>
          <w:lang w:eastAsia="en-US"/>
        </w:rPr>
      </w:pPr>
    </w:p>
    <w:p w14:paraId="01C9C18E" w14:textId="77777777" w:rsidR="00A67D3A" w:rsidRPr="0047462D" w:rsidRDefault="00A67D3A" w:rsidP="00141E57">
      <w:pPr>
        <w:jc w:val="center"/>
        <w:rPr>
          <w:szCs w:val="22"/>
          <w:lang w:eastAsia="en-US"/>
        </w:rPr>
      </w:pPr>
    </w:p>
    <w:p w14:paraId="34131058" w14:textId="77777777" w:rsidR="00A67D3A" w:rsidRPr="0047462D" w:rsidRDefault="00A67D3A" w:rsidP="00141E57">
      <w:pPr>
        <w:jc w:val="center"/>
        <w:rPr>
          <w:szCs w:val="22"/>
          <w:lang w:eastAsia="en-US"/>
        </w:rPr>
      </w:pPr>
    </w:p>
    <w:p w14:paraId="5A66DCCE" w14:textId="77777777" w:rsidR="00A67D3A" w:rsidRPr="0047462D" w:rsidRDefault="00A67D3A" w:rsidP="00141E57">
      <w:pPr>
        <w:jc w:val="center"/>
        <w:rPr>
          <w:szCs w:val="22"/>
          <w:lang w:eastAsia="en-US"/>
        </w:rPr>
      </w:pPr>
    </w:p>
    <w:p w14:paraId="3731BDB4" w14:textId="77777777" w:rsidR="00A67D3A" w:rsidRPr="0047462D" w:rsidRDefault="00A67D3A" w:rsidP="00141E57">
      <w:pPr>
        <w:jc w:val="center"/>
        <w:rPr>
          <w:szCs w:val="22"/>
          <w:lang w:eastAsia="en-US"/>
        </w:rPr>
      </w:pPr>
    </w:p>
    <w:p w14:paraId="0A476754" w14:textId="77777777" w:rsidR="00A67D3A" w:rsidRPr="0047462D" w:rsidRDefault="00A67D3A" w:rsidP="00141E57">
      <w:pPr>
        <w:jc w:val="center"/>
        <w:rPr>
          <w:szCs w:val="22"/>
          <w:lang w:eastAsia="en-US"/>
        </w:rPr>
      </w:pPr>
    </w:p>
    <w:p w14:paraId="7053B92F" w14:textId="77777777" w:rsidR="00A67D3A" w:rsidRPr="0047462D" w:rsidRDefault="00A67D3A" w:rsidP="00141E57">
      <w:pPr>
        <w:jc w:val="center"/>
        <w:rPr>
          <w:szCs w:val="22"/>
          <w:lang w:eastAsia="en-US"/>
        </w:rPr>
      </w:pPr>
    </w:p>
    <w:p w14:paraId="56F43EB4" w14:textId="77777777" w:rsidR="00A67D3A" w:rsidRPr="0047462D" w:rsidRDefault="00A67D3A" w:rsidP="00141E57">
      <w:pPr>
        <w:jc w:val="center"/>
        <w:rPr>
          <w:b/>
          <w:bCs/>
          <w:szCs w:val="22"/>
          <w:lang w:eastAsia="en-US"/>
        </w:rPr>
      </w:pPr>
    </w:p>
    <w:p w14:paraId="73165854" w14:textId="77777777" w:rsidR="00A67D3A" w:rsidRPr="0047462D" w:rsidRDefault="00A67D3A" w:rsidP="00141E57">
      <w:pPr>
        <w:jc w:val="center"/>
        <w:rPr>
          <w:b/>
          <w:bCs/>
          <w:szCs w:val="22"/>
          <w:lang w:eastAsia="en-US"/>
        </w:rPr>
      </w:pPr>
    </w:p>
    <w:p w14:paraId="3B477FA8" w14:textId="77777777" w:rsidR="00A67D3A" w:rsidRPr="0047462D" w:rsidRDefault="00A67D3A" w:rsidP="00141E57">
      <w:pPr>
        <w:jc w:val="center"/>
        <w:rPr>
          <w:b/>
          <w:bCs/>
          <w:szCs w:val="22"/>
          <w:lang w:eastAsia="en-US"/>
        </w:rPr>
      </w:pPr>
    </w:p>
    <w:p w14:paraId="40F934A9" w14:textId="77777777" w:rsidR="00A67D3A" w:rsidRPr="0047462D" w:rsidRDefault="00A67D3A" w:rsidP="00141E57">
      <w:pPr>
        <w:jc w:val="center"/>
        <w:rPr>
          <w:b/>
          <w:bCs/>
          <w:szCs w:val="22"/>
          <w:lang w:eastAsia="en-US"/>
        </w:rPr>
      </w:pPr>
    </w:p>
    <w:p w14:paraId="33660F10" w14:textId="77777777" w:rsidR="00A67D3A" w:rsidRPr="0047462D" w:rsidRDefault="00A67D3A" w:rsidP="00141E57">
      <w:pPr>
        <w:jc w:val="center"/>
        <w:rPr>
          <w:b/>
          <w:bCs/>
          <w:szCs w:val="22"/>
          <w:lang w:eastAsia="en-US"/>
        </w:rPr>
      </w:pPr>
    </w:p>
    <w:p w14:paraId="6D5CA037" w14:textId="77777777" w:rsidR="00A67D3A" w:rsidRPr="0047462D" w:rsidRDefault="00A67D3A" w:rsidP="00141E57">
      <w:pPr>
        <w:jc w:val="center"/>
        <w:rPr>
          <w:b/>
          <w:bCs/>
          <w:szCs w:val="22"/>
          <w:lang w:eastAsia="en-US"/>
        </w:rPr>
      </w:pPr>
    </w:p>
    <w:p w14:paraId="157B6228" w14:textId="77777777" w:rsidR="00A67D3A" w:rsidRPr="0047462D" w:rsidRDefault="00A67D3A" w:rsidP="002331FF">
      <w:pPr>
        <w:pStyle w:val="Heading1"/>
        <w:jc w:val="center"/>
        <w:rPr>
          <w:rFonts w:ascii="Times New Roman" w:hAnsi="Times New Roman" w:cs="Times New Roman"/>
          <w:sz w:val="22"/>
          <w:szCs w:val="22"/>
          <w:lang w:eastAsia="en-US"/>
        </w:rPr>
      </w:pPr>
    </w:p>
    <w:p w14:paraId="39715BE4" w14:textId="77777777" w:rsidR="00A67D3A" w:rsidRPr="0047462D" w:rsidRDefault="00A67D3A" w:rsidP="002331FF">
      <w:pPr>
        <w:pStyle w:val="Heading1"/>
        <w:jc w:val="center"/>
        <w:rPr>
          <w:rFonts w:ascii="Times New Roman" w:hAnsi="Times New Roman" w:cs="Times New Roman"/>
          <w:sz w:val="22"/>
          <w:szCs w:val="22"/>
          <w:lang w:eastAsia="en-US"/>
        </w:rPr>
      </w:pPr>
    </w:p>
    <w:p w14:paraId="4CDF1EFB" w14:textId="77777777" w:rsidR="00A67D3A" w:rsidRPr="0047462D" w:rsidRDefault="00A67D3A" w:rsidP="007E5203">
      <w:pPr>
        <w:pStyle w:val="TitleA"/>
        <w:rPr>
          <w:lang w:val="el-GR"/>
        </w:rPr>
      </w:pPr>
      <w:r w:rsidRPr="0047462D">
        <w:t>A</w:t>
      </w:r>
      <w:r w:rsidRPr="0047462D">
        <w:rPr>
          <w:lang w:val="el-GR"/>
        </w:rPr>
        <w:t>. ΕΠΙΣΗΜΑΝΣΗ</w:t>
      </w:r>
    </w:p>
    <w:p w14:paraId="26B46544" w14:textId="77777777" w:rsidR="00A67D3A" w:rsidRPr="0047462D" w:rsidRDefault="00A67D3A" w:rsidP="007E5203">
      <w:pPr>
        <w:rPr>
          <w:lang w:eastAsia="en-US"/>
        </w:rPr>
      </w:pPr>
    </w:p>
    <w:p w14:paraId="719DB29F" w14:textId="77777777" w:rsidR="00490B31" w:rsidRPr="0047462D" w:rsidRDefault="00490B31" w:rsidP="00141E57">
      <w:pPr>
        <w:pageBreakBefore/>
        <w:shd w:val="clear" w:color="auto" w:fill="FFFFFF"/>
        <w:rPr>
          <w:b/>
          <w:bCs/>
          <w:szCs w:val="22"/>
          <w:lang w:eastAsia="en-US"/>
        </w:rPr>
      </w:pPr>
    </w:p>
    <w:p w14:paraId="49DA848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rFonts w:eastAsia="Times New Roman"/>
          <w:b/>
          <w:bCs/>
          <w:caps/>
          <w:szCs w:val="22"/>
        </w:rPr>
      </w:pPr>
      <w:r w:rsidRPr="0047462D">
        <w:rPr>
          <w:rFonts w:eastAsia="Times New Roman"/>
          <w:b/>
          <w:bCs/>
          <w:szCs w:val="22"/>
        </w:rPr>
        <w:t>ΕΝΔΕΙΞΕΙΣ ΠΟΥ ΠΡΕΠΕΙ ΝΑ ΑΝΑΓΡΑΦΟΝΤΑΙ ΣΤΗΝ ΕΞΩΤΕΡΙΚΗ ΣΥΣΚΕΥΑΣΙΑ</w:t>
      </w:r>
    </w:p>
    <w:p w14:paraId="5F1C3318" w14:textId="77777777" w:rsidR="00490B31" w:rsidRPr="0047462D" w:rsidRDefault="00490B31" w:rsidP="00490B31">
      <w:pPr>
        <w:keepNext/>
        <w:pBdr>
          <w:top w:val="single" w:sz="4" w:space="1" w:color="000000"/>
          <w:left w:val="single" w:sz="4" w:space="4" w:color="000000"/>
          <w:bottom w:val="single" w:sz="4" w:space="1" w:color="000000"/>
          <w:right w:val="single" w:sz="4" w:space="4" w:color="000000"/>
        </w:pBdr>
        <w:rPr>
          <w:rFonts w:eastAsia="Times New Roman"/>
          <w:b/>
          <w:bCs/>
          <w:caps/>
          <w:szCs w:val="22"/>
        </w:rPr>
      </w:pPr>
    </w:p>
    <w:p w14:paraId="57E1150E" w14:textId="77777777" w:rsidR="00490B31" w:rsidRPr="0047462D" w:rsidRDefault="00490B31" w:rsidP="00490B31">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ΤΗΝ ΚΥΨΕΛΗ</w:t>
      </w:r>
      <w:r w:rsidR="008F6767" w:rsidRPr="0047462D">
        <w:rPr>
          <w:rFonts w:eastAsia="Times New Roman"/>
          <w:b/>
          <w:bCs/>
          <w:szCs w:val="22"/>
        </w:rPr>
        <w:t xml:space="preserve"> (</w:t>
      </w:r>
      <w:r w:rsidR="008F6767" w:rsidRPr="0047462D">
        <w:rPr>
          <w:rFonts w:eastAsia="Times New Roman"/>
          <w:b/>
          <w:bCs/>
          <w:szCs w:val="22"/>
          <w:lang w:val="en-US"/>
        </w:rPr>
        <w:t>BLISTER</w:t>
      </w:r>
      <w:r w:rsidR="008F6767" w:rsidRPr="0047462D">
        <w:rPr>
          <w:rFonts w:eastAsia="Times New Roman"/>
          <w:b/>
          <w:bCs/>
          <w:szCs w:val="22"/>
        </w:rPr>
        <w:t>)</w:t>
      </w:r>
      <w:r w:rsidR="008F6767" w:rsidRPr="0047462D">
        <w:rPr>
          <w:b/>
          <w:bCs/>
        </w:rPr>
        <w:t xml:space="preserve"> – ΣΥΣΚΕΥΑΣΙΑ 56 ΔΙΣΚΙΩΝ</w:t>
      </w:r>
    </w:p>
    <w:p w14:paraId="70F1A528" w14:textId="77777777" w:rsidR="00490B31" w:rsidRPr="0047462D" w:rsidRDefault="00490B31" w:rsidP="00141E57">
      <w:pPr>
        <w:rPr>
          <w:szCs w:val="22"/>
          <w:lang w:eastAsia="en-US"/>
        </w:rPr>
      </w:pPr>
    </w:p>
    <w:p w14:paraId="0159DF07" w14:textId="77777777" w:rsidR="00D800AC" w:rsidRPr="0047462D" w:rsidRDefault="00D800AC" w:rsidP="00141E57">
      <w:pPr>
        <w:rPr>
          <w:szCs w:val="22"/>
          <w:lang w:eastAsia="en-US"/>
        </w:rPr>
      </w:pPr>
    </w:p>
    <w:p w14:paraId="6FCDCDCE"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55D55DE" w14:textId="77777777" w:rsidR="00490B31" w:rsidRPr="0047462D" w:rsidRDefault="00490B31" w:rsidP="00141E57">
      <w:pPr>
        <w:rPr>
          <w:szCs w:val="22"/>
          <w:lang w:eastAsia="en-US"/>
        </w:rPr>
      </w:pPr>
    </w:p>
    <w:p w14:paraId="28B3F899" w14:textId="77777777" w:rsidR="00490B31" w:rsidRPr="0047462D" w:rsidRDefault="00490B31" w:rsidP="00490B31">
      <w:pPr>
        <w:rPr>
          <w:rFonts w:eastAsia="Times New Roman"/>
          <w:szCs w:val="22"/>
        </w:rPr>
      </w:pPr>
      <w:r w:rsidRPr="0047462D">
        <w:rPr>
          <w:rFonts w:eastAsia="Times New Roman"/>
          <w:szCs w:val="22"/>
        </w:rPr>
        <w:t>Kalydeco 150</w:t>
      </w:r>
      <w:r w:rsidRPr="0047462D">
        <w:rPr>
          <w:lang w:val="en-US" w:eastAsia="en-US"/>
        </w:rPr>
        <w:t> </w:t>
      </w:r>
      <w:r w:rsidRPr="0047462D">
        <w:rPr>
          <w:rFonts w:eastAsia="Times New Roman"/>
          <w:szCs w:val="22"/>
        </w:rPr>
        <w:t xml:space="preserve">mg </w:t>
      </w:r>
      <w:r w:rsidRPr="0047462D">
        <w:rPr>
          <w:rFonts w:eastAsia="Times New Roman"/>
          <w:spacing w:val="4"/>
          <w:szCs w:val="22"/>
        </w:rPr>
        <w:t>επικαλυμμένα με λεπτό υμένιο δισκία</w:t>
      </w:r>
    </w:p>
    <w:p w14:paraId="1B54BBFC" w14:textId="77777777" w:rsidR="00490B31" w:rsidRPr="0047462D" w:rsidRDefault="00004A6E" w:rsidP="00490B31">
      <w:pPr>
        <w:rPr>
          <w:szCs w:val="22"/>
          <w:lang w:eastAsia="en-US"/>
        </w:rPr>
      </w:pPr>
      <w:r w:rsidRPr="0047462D">
        <w:rPr>
          <w:lang w:val="en-US"/>
        </w:rPr>
        <w:t>i</w:t>
      </w:r>
      <w:r w:rsidR="00F7185D" w:rsidRPr="0047462D">
        <w:t>vacaftor</w:t>
      </w:r>
    </w:p>
    <w:p w14:paraId="1CBC6114" w14:textId="77777777" w:rsidR="00490B31" w:rsidRPr="0047462D" w:rsidRDefault="00490B31" w:rsidP="00141E57">
      <w:pPr>
        <w:rPr>
          <w:szCs w:val="22"/>
          <w:lang w:eastAsia="en-US"/>
        </w:rPr>
      </w:pPr>
    </w:p>
    <w:p w14:paraId="01E50E64" w14:textId="77777777" w:rsidR="00490B31" w:rsidRPr="0047462D" w:rsidRDefault="00490B31" w:rsidP="00141E57">
      <w:pPr>
        <w:rPr>
          <w:szCs w:val="22"/>
          <w:lang w:eastAsia="en-US"/>
        </w:rPr>
      </w:pPr>
    </w:p>
    <w:p w14:paraId="4B65C8CD"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w:t>
      </w:r>
      <w:r w:rsidR="00F7185D" w:rsidRPr="0047462D">
        <w:rPr>
          <w:b/>
        </w:rPr>
        <w:t>(ΕΣ)</w:t>
      </w:r>
      <w:r w:rsidRPr="0047462D">
        <w:rPr>
          <w:rFonts w:eastAsia="Times New Roman"/>
          <w:b/>
          <w:bCs/>
          <w:szCs w:val="22"/>
        </w:rPr>
        <w:t xml:space="preserve"> ΟΥΣΙΑ</w:t>
      </w:r>
      <w:r w:rsidR="00F7185D" w:rsidRPr="0047462D">
        <w:rPr>
          <w:b/>
        </w:rPr>
        <w:t>(ΕΣ)</w:t>
      </w:r>
    </w:p>
    <w:p w14:paraId="1AD53C57" w14:textId="77777777" w:rsidR="00490B31" w:rsidRPr="0047462D" w:rsidRDefault="00490B31" w:rsidP="00141E57">
      <w:pPr>
        <w:rPr>
          <w:i/>
          <w:iCs/>
          <w:szCs w:val="22"/>
          <w:lang w:eastAsia="en-US"/>
        </w:rPr>
      </w:pPr>
    </w:p>
    <w:p w14:paraId="01789440" w14:textId="77777777" w:rsidR="00490B31" w:rsidRPr="0047462D" w:rsidRDefault="00490B31" w:rsidP="00490B31">
      <w:pPr>
        <w:rPr>
          <w:szCs w:val="22"/>
          <w:lang w:eastAsia="en-US"/>
        </w:rPr>
      </w:pPr>
      <w:r w:rsidRPr="0047462D">
        <w:rPr>
          <w:rFonts w:eastAsia="Times New Roman"/>
          <w:szCs w:val="22"/>
        </w:rPr>
        <w:t>Kάθε δισκίο περιέχει 150 mg ivacaftor.</w:t>
      </w:r>
    </w:p>
    <w:p w14:paraId="09DC0909" w14:textId="77777777" w:rsidR="003620B7" w:rsidRPr="0047462D" w:rsidRDefault="003620B7" w:rsidP="003620B7">
      <w:pPr>
        <w:rPr>
          <w:szCs w:val="22"/>
          <w:lang w:eastAsia="en-US"/>
        </w:rPr>
      </w:pPr>
    </w:p>
    <w:p w14:paraId="59535112" w14:textId="77777777" w:rsidR="005D5499" w:rsidRPr="0047462D" w:rsidRDefault="005D5499" w:rsidP="009E50D2">
      <w:pPr>
        <w:pStyle w:val="TitleA"/>
        <w:tabs>
          <w:tab w:val="left" w:pos="567"/>
        </w:tabs>
        <w:suppressAutoHyphens w:val="0"/>
        <w:jc w:val="left"/>
        <w:outlineLvl w:val="0"/>
        <w:rPr>
          <w:lang w:val="el-GR"/>
        </w:rPr>
      </w:pPr>
    </w:p>
    <w:p w14:paraId="6C5A0AB9"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555A4202" w14:textId="77777777" w:rsidR="00490B31" w:rsidRPr="0047462D" w:rsidRDefault="00490B31" w:rsidP="00141E57">
      <w:pPr>
        <w:rPr>
          <w:szCs w:val="22"/>
          <w:lang w:eastAsia="en-US"/>
        </w:rPr>
      </w:pPr>
    </w:p>
    <w:p w14:paraId="02A328A9" w14:textId="77777777" w:rsidR="00490B31" w:rsidRPr="0047462D" w:rsidRDefault="00490B31" w:rsidP="00490B31">
      <w:pPr>
        <w:rPr>
          <w:szCs w:val="22"/>
          <w:lang w:eastAsia="en-US"/>
        </w:rPr>
      </w:pPr>
      <w:r w:rsidRPr="0047462D">
        <w:rPr>
          <w:rFonts w:eastAsia="Times New Roman"/>
          <w:szCs w:val="22"/>
        </w:rPr>
        <w:t>Περιέχει λακτόζη.</w:t>
      </w:r>
    </w:p>
    <w:p w14:paraId="485B9E61" w14:textId="77777777" w:rsidR="00490B31" w:rsidRPr="0047462D" w:rsidRDefault="00490B31" w:rsidP="00490B31">
      <w:pPr>
        <w:rPr>
          <w:szCs w:val="22"/>
          <w:lang w:eastAsia="en-US"/>
        </w:rPr>
      </w:pPr>
    </w:p>
    <w:p w14:paraId="7DD7D7E9" w14:textId="77777777" w:rsidR="00490B31" w:rsidRPr="0047462D" w:rsidRDefault="00ED7342" w:rsidP="00490B31">
      <w:pPr>
        <w:rPr>
          <w:szCs w:val="22"/>
          <w:lang w:eastAsia="en-US"/>
        </w:rPr>
      </w:pPr>
      <w:r w:rsidRPr="0047462D">
        <w:rPr>
          <w:rFonts w:eastAsia="Times New Roman"/>
          <w:szCs w:val="22"/>
        </w:rPr>
        <w:t>Βλ. φύλλο οδηγιών χρήσης για περισσότερες πληροφορίες.</w:t>
      </w:r>
    </w:p>
    <w:p w14:paraId="5C831355" w14:textId="77777777" w:rsidR="00490B31" w:rsidRPr="0047462D" w:rsidRDefault="00490B31" w:rsidP="00141E57">
      <w:pPr>
        <w:rPr>
          <w:szCs w:val="22"/>
          <w:lang w:eastAsia="en-US"/>
        </w:rPr>
      </w:pPr>
    </w:p>
    <w:p w14:paraId="2B89904D" w14:textId="77777777" w:rsidR="00490B31" w:rsidRPr="0047462D" w:rsidRDefault="00490B31" w:rsidP="00141E57">
      <w:pPr>
        <w:rPr>
          <w:szCs w:val="22"/>
          <w:lang w:eastAsia="en-US"/>
        </w:rPr>
      </w:pPr>
    </w:p>
    <w:p w14:paraId="5771AD71"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3F17AF3A" w14:textId="77777777" w:rsidR="00490B31" w:rsidRPr="0047462D" w:rsidRDefault="00490B31" w:rsidP="00141E57">
      <w:pPr>
        <w:rPr>
          <w:szCs w:val="22"/>
          <w:lang w:eastAsia="en-US"/>
        </w:rPr>
      </w:pPr>
    </w:p>
    <w:p w14:paraId="0AAA227C" w14:textId="373BAFC9" w:rsidR="00490B31" w:rsidRPr="0047462D" w:rsidRDefault="00490B31" w:rsidP="00490B31">
      <w:pPr>
        <w:rPr>
          <w:szCs w:val="22"/>
          <w:lang w:eastAsia="en-US"/>
        </w:rPr>
      </w:pPr>
      <w:r w:rsidRPr="0047462D">
        <w:rPr>
          <w:rFonts w:eastAsia="Times New Roman"/>
          <w:szCs w:val="22"/>
        </w:rPr>
        <w:t>56 δισκία</w:t>
      </w:r>
    </w:p>
    <w:p w14:paraId="3BF99D6E" w14:textId="77777777" w:rsidR="00490B31" w:rsidRPr="0047462D" w:rsidRDefault="00490B31" w:rsidP="00141E57">
      <w:pPr>
        <w:rPr>
          <w:szCs w:val="22"/>
          <w:lang w:eastAsia="en-US"/>
        </w:rPr>
      </w:pPr>
    </w:p>
    <w:p w14:paraId="72194925" w14:textId="77777777" w:rsidR="00490B31" w:rsidRPr="0047462D" w:rsidRDefault="00490B31" w:rsidP="00141E57">
      <w:pPr>
        <w:rPr>
          <w:szCs w:val="22"/>
          <w:lang w:eastAsia="en-US"/>
        </w:rPr>
      </w:pPr>
    </w:p>
    <w:p w14:paraId="4F17F585"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ΟΔΟΣ(ΟΙ) ΧΟΡΗΓΗΣΗΣ</w:t>
      </w:r>
    </w:p>
    <w:p w14:paraId="6532CA81" w14:textId="77777777" w:rsidR="00490B31" w:rsidRPr="0047462D" w:rsidRDefault="00490B31" w:rsidP="00141E57">
      <w:pPr>
        <w:rPr>
          <w:szCs w:val="22"/>
          <w:lang w:eastAsia="en-US"/>
        </w:rPr>
      </w:pPr>
    </w:p>
    <w:p w14:paraId="688F92E0" w14:textId="77777777" w:rsidR="00490B31" w:rsidRPr="0047462D" w:rsidRDefault="00490B31" w:rsidP="00141E57">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6702774F" w14:textId="77777777" w:rsidR="000F0A70" w:rsidRPr="0047462D" w:rsidRDefault="000F0A70" w:rsidP="00141E57">
      <w:pPr>
        <w:rPr>
          <w:rFonts w:eastAsia="Times New Roman"/>
          <w:szCs w:val="22"/>
        </w:rPr>
      </w:pPr>
    </w:p>
    <w:p w14:paraId="64A80D07" w14:textId="77777777" w:rsidR="00490B31" w:rsidRPr="0047462D" w:rsidRDefault="00490B31" w:rsidP="00490B31">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1E08C500" w14:textId="77777777" w:rsidR="00490B31" w:rsidRPr="0047462D" w:rsidRDefault="00490B31" w:rsidP="00141E57">
      <w:pPr>
        <w:autoSpaceDE w:val="0"/>
        <w:rPr>
          <w:szCs w:val="22"/>
        </w:rPr>
      </w:pPr>
    </w:p>
    <w:p w14:paraId="517A435A" w14:textId="07D38472" w:rsidR="005D5499" w:rsidRPr="0047462D" w:rsidRDefault="00490B31" w:rsidP="009E50D2">
      <w:pPr>
        <w:rPr>
          <w:noProof/>
        </w:rPr>
      </w:pPr>
      <w:r w:rsidRPr="0047462D">
        <w:rPr>
          <w:b/>
          <w:bCs/>
        </w:rPr>
        <w:t>Ο</w:t>
      </w:r>
      <w:r w:rsidR="00F4326D" w:rsidRPr="0047462D">
        <w:rPr>
          <w:b/>
          <w:bCs/>
        </w:rPr>
        <w:t>δηγίες χρήσης</w:t>
      </w:r>
    </w:p>
    <w:p w14:paraId="6A252EF0" w14:textId="77777777" w:rsidR="000F0A70" w:rsidRPr="0047462D" w:rsidRDefault="000F0A70" w:rsidP="00BF0D5E"/>
    <w:p w14:paraId="2F86ADC4" w14:textId="77777777" w:rsidR="000F0A70" w:rsidRPr="0047462D" w:rsidRDefault="00607FE1" w:rsidP="00BF0D5E">
      <w:r w:rsidRPr="0047462D">
        <w:t>Πάρτε το</w:t>
      </w:r>
      <w:r w:rsidR="00490B31" w:rsidRPr="0047462D">
        <w:t xml:space="preserve"> με τροφή που περιέχει λίπος.</w:t>
      </w:r>
      <w:r w:rsidR="00BF0D5E" w:rsidRPr="0047462D">
        <w:t xml:space="preserve"> </w:t>
      </w:r>
    </w:p>
    <w:p w14:paraId="5CC5065A" w14:textId="77777777" w:rsidR="000F0A70" w:rsidRPr="0047462D" w:rsidRDefault="000F0A70" w:rsidP="00BF0D5E"/>
    <w:p w14:paraId="0D9195D9" w14:textId="77777777" w:rsidR="00490B31" w:rsidRPr="0047462D" w:rsidRDefault="00D800AC" w:rsidP="00BF0D5E">
      <w:r w:rsidRPr="0047462D">
        <w:t>Μη</w:t>
      </w:r>
      <w:r w:rsidR="002E18E3" w:rsidRPr="0047462D">
        <w:t>ν</w:t>
      </w:r>
      <w:r w:rsidRPr="0047462D">
        <w:t xml:space="preserve"> σπάτε, μασάτε ή διαλύετε τα δισκία.</w:t>
      </w:r>
    </w:p>
    <w:p w14:paraId="252E4F92" w14:textId="77777777" w:rsidR="00490B31" w:rsidRPr="0047462D" w:rsidRDefault="00490B31" w:rsidP="00141E57">
      <w:pPr>
        <w:rPr>
          <w:szCs w:val="22"/>
          <w:lang w:eastAsia="en-US"/>
        </w:rPr>
      </w:pPr>
    </w:p>
    <w:p w14:paraId="7CAF4E2E" w14:textId="77777777" w:rsidR="00490B31" w:rsidRPr="0047462D" w:rsidRDefault="00490B31" w:rsidP="00141E57">
      <w:pPr>
        <w:autoSpaceDE w:val="0"/>
        <w:rPr>
          <w:szCs w:val="22"/>
        </w:rPr>
      </w:pPr>
    </w:p>
    <w:p w14:paraId="6C57391D" w14:textId="77777777" w:rsidR="00490B31" w:rsidRPr="0047462D" w:rsidRDefault="00490B31" w:rsidP="00A240EC">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6936F7DB" w14:textId="77777777" w:rsidR="00490B31" w:rsidRPr="0047462D" w:rsidRDefault="00490B31" w:rsidP="00A240EC">
      <w:pPr>
        <w:keepNext/>
        <w:rPr>
          <w:szCs w:val="22"/>
          <w:lang w:eastAsia="en-US"/>
        </w:rPr>
      </w:pPr>
    </w:p>
    <w:p w14:paraId="7CCF832B" w14:textId="77777777" w:rsidR="00490B31" w:rsidRPr="0047462D" w:rsidRDefault="00490B31" w:rsidP="00141E57">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FE7F711" w14:textId="77777777" w:rsidR="00490B31" w:rsidRPr="0047462D" w:rsidRDefault="00490B31" w:rsidP="00141E57">
      <w:pPr>
        <w:rPr>
          <w:szCs w:val="22"/>
          <w:lang w:eastAsia="en-US"/>
        </w:rPr>
      </w:pPr>
    </w:p>
    <w:p w14:paraId="40FE1720" w14:textId="77777777" w:rsidR="00490B31" w:rsidRPr="0047462D" w:rsidRDefault="00490B31" w:rsidP="00141E57">
      <w:pPr>
        <w:rPr>
          <w:szCs w:val="22"/>
          <w:lang w:eastAsia="en-US"/>
        </w:rPr>
      </w:pPr>
    </w:p>
    <w:p w14:paraId="6EC9F932"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9C4FCB" w:rsidRPr="0047462D">
        <w:rPr>
          <w:b/>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ΕΙΔΙΚ</w:t>
      </w:r>
      <w:r w:rsidR="009C4FCB" w:rsidRPr="0047462D">
        <w:rPr>
          <w:b/>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ΠΡΟΕΙΔΟΠΟΙΗΣ</w:t>
      </w:r>
      <w:r w:rsidR="009C4FCB" w:rsidRPr="0047462D">
        <w:rPr>
          <w:b/>
        </w:rPr>
        <w:t>Η(</w:t>
      </w:r>
      <w:r w:rsidRPr="0047462D">
        <w:rPr>
          <w:rFonts w:eastAsia="Times New Roman"/>
          <w:b/>
          <w:bCs/>
          <w:szCs w:val="22"/>
        </w:rPr>
        <w:t>ΕΙΣ</w:t>
      </w:r>
      <w:r w:rsidR="009C4FCB" w:rsidRPr="0047462D">
        <w:rPr>
          <w:rFonts w:eastAsia="Times New Roman"/>
          <w:b/>
          <w:bCs/>
          <w:szCs w:val="22"/>
        </w:rPr>
        <w:t>)</w:t>
      </w:r>
      <w:r w:rsidRPr="0047462D">
        <w:rPr>
          <w:b/>
          <w:lang w:eastAsia="en-US"/>
        </w:rPr>
        <w:t>, ΕΑΝ ΕΙΝΑΙ ΑΠΑΡΑΙΤΗΤ</w:t>
      </w:r>
      <w:r w:rsidR="009C4FCB" w:rsidRPr="0047462D">
        <w:rPr>
          <w:b/>
        </w:rPr>
        <w:t>Η(</w:t>
      </w:r>
      <w:r w:rsidRPr="0047462D">
        <w:rPr>
          <w:b/>
          <w:lang w:eastAsia="en-US"/>
        </w:rPr>
        <w:t>ΕΣ</w:t>
      </w:r>
      <w:r w:rsidR="009C4FCB" w:rsidRPr="0047462D">
        <w:rPr>
          <w:b/>
          <w:lang w:eastAsia="en-US"/>
        </w:rPr>
        <w:t>)</w:t>
      </w:r>
    </w:p>
    <w:p w14:paraId="5569D372" w14:textId="77777777" w:rsidR="00490B31" w:rsidRPr="0047462D" w:rsidRDefault="00490B31" w:rsidP="00141E57">
      <w:pPr>
        <w:rPr>
          <w:szCs w:val="22"/>
          <w:lang w:eastAsia="en-US"/>
        </w:rPr>
      </w:pPr>
    </w:p>
    <w:p w14:paraId="57E1A5FD" w14:textId="77777777" w:rsidR="00490B31" w:rsidRPr="0047462D" w:rsidRDefault="00490B31" w:rsidP="00141E57">
      <w:pPr>
        <w:tabs>
          <w:tab w:val="left" w:pos="749"/>
        </w:tabs>
        <w:rPr>
          <w:szCs w:val="22"/>
          <w:lang w:eastAsia="en-US"/>
        </w:rPr>
      </w:pPr>
    </w:p>
    <w:p w14:paraId="06A9B221" w14:textId="77777777" w:rsidR="00490B31" w:rsidRPr="0047462D" w:rsidRDefault="00490B31" w:rsidP="00141E57">
      <w:pPr>
        <w:keepNext/>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2" w:hanging="562"/>
        <w:outlineLvl w:val="0"/>
        <w:rPr>
          <w:b/>
        </w:rPr>
      </w:pPr>
      <w:r w:rsidRPr="0047462D">
        <w:rPr>
          <w:b/>
          <w:bCs/>
          <w:szCs w:val="22"/>
          <w:lang w:eastAsia="en-US"/>
        </w:rPr>
        <w:t>8.</w:t>
      </w:r>
      <w:r w:rsidRPr="0047462D">
        <w:rPr>
          <w:b/>
          <w:bCs/>
          <w:szCs w:val="22"/>
          <w:lang w:eastAsia="en-US"/>
        </w:rPr>
        <w:tab/>
        <w:t>ΗΜΕΡΟΜΗΝΙΑ ΛΗΞΗΣ</w:t>
      </w:r>
    </w:p>
    <w:p w14:paraId="37235FF3" w14:textId="77777777" w:rsidR="00490B31" w:rsidRPr="0047462D" w:rsidRDefault="00490B31" w:rsidP="00141E57">
      <w:pPr>
        <w:keepNext/>
        <w:tabs>
          <w:tab w:val="left" w:pos="567"/>
        </w:tabs>
        <w:suppressAutoHyphens w:val="0"/>
        <w:spacing w:line="260" w:lineRule="exact"/>
        <w:rPr>
          <w:szCs w:val="22"/>
          <w:lang w:eastAsia="en-US"/>
        </w:rPr>
      </w:pPr>
    </w:p>
    <w:p w14:paraId="6324BD73" w14:textId="77777777" w:rsidR="00490B31" w:rsidRPr="0047462D" w:rsidRDefault="00490B31" w:rsidP="00141E57">
      <w:pPr>
        <w:rPr>
          <w:szCs w:val="22"/>
          <w:lang w:eastAsia="en-US"/>
        </w:rPr>
      </w:pPr>
      <w:r w:rsidRPr="0047462D">
        <w:rPr>
          <w:rFonts w:eastAsia="Times New Roman"/>
          <w:szCs w:val="22"/>
        </w:rPr>
        <w:t>ΛΗΞΗ</w:t>
      </w:r>
    </w:p>
    <w:p w14:paraId="1384CC42" w14:textId="77777777" w:rsidR="00490B31" w:rsidRPr="0047462D" w:rsidRDefault="00490B31" w:rsidP="00141E57">
      <w:pPr>
        <w:rPr>
          <w:szCs w:val="22"/>
          <w:lang w:eastAsia="en-US"/>
        </w:rPr>
      </w:pPr>
    </w:p>
    <w:p w14:paraId="689CAD88" w14:textId="77777777" w:rsidR="00490B31" w:rsidRPr="0047462D" w:rsidRDefault="00490B31" w:rsidP="00141E57">
      <w:pPr>
        <w:rPr>
          <w:szCs w:val="22"/>
          <w:lang w:eastAsia="en-US"/>
        </w:rPr>
      </w:pPr>
    </w:p>
    <w:p w14:paraId="5DBA2507" w14:textId="77777777" w:rsidR="005D5499" w:rsidRPr="0047462D" w:rsidRDefault="00490B31" w:rsidP="009E50D2">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492B6997" w14:textId="77777777" w:rsidR="00490B31" w:rsidRPr="0047462D" w:rsidRDefault="00490B31" w:rsidP="00141E57">
      <w:pPr>
        <w:rPr>
          <w:szCs w:val="22"/>
          <w:lang w:eastAsia="en-US"/>
        </w:rPr>
      </w:pPr>
    </w:p>
    <w:p w14:paraId="217E9CD9" w14:textId="77777777" w:rsidR="00490B31" w:rsidRPr="0047462D" w:rsidRDefault="00490B31" w:rsidP="00141E57">
      <w:pPr>
        <w:rPr>
          <w:szCs w:val="22"/>
          <w:lang w:eastAsia="en-US"/>
        </w:rPr>
      </w:pPr>
    </w:p>
    <w:p w14:paraId="11540641" w14:textId="77777777" w:rsidR="00490B31" w:rsidRPr="0047462D" w:rsidRDefault="00490B31"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5F80A1C9" w14:textId="77777777" w:rsidR="00490B31" w:rsidRPr="0047462D" w:rsidRDefault="00490B31" w:rsidP="00141E57">
      <w:pPr>
        <w:rPr>
          <w:szCs w:val="22"/>
          <w:lang w:eastAsia="en-US"/>
        </w:rPr>
      </w:pPr>
    </w:p>
    <w:p w14:paraId="64CB825F" w14:textId="77777777" w:rsidR="00490B31" w:rsidRPr="0047462D" w:rsidRDefault="00490B31" w:rsidP="00141E57">
      <w:pPr>
        <w:rPr>
          <w:szCs w:val="22"/>
          <w:lang w:eastAsia="en-US"/>
        </w:rPr>
      </w:pPr>
    </w:p>
    <w:p w14:paraId="6E5554FE"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5AAA9659" w14:textId="77777777" w:rsidR="00490B31" w:rsidRPr="0047462D" w:rsidRDefault="00490B31" w:rsidP="00141E57">
      <w:pPr>
        <w:rPr>
          <w:szCs w:val="22"/>
          <w:lang w:eastAsia="en-US"/>
        </w:rPr>
      </w:pPr>
    </w:p>
    <w:p w14:paraId="5D56BAC2" w14:textId="77777777" w:rsidR="00AE0285" w:rsidRPr="0047462D" w:rsidRDefault="00AE0285" w:rsidP="00AE0285">
      <w:pPr>
        <w:rPr>
          <w:iCs/>
          <w:lang w:val="en-GB"/>
        </w:rPr>
      </w:pPr>
      <w:r w:rsidRPr="0047462D">
        <w:rPr>
          <w:iCs/>
          <w:lang w:val="en-GB"/>
        </w:rPr>
        <w:t>Vertex Pharmaceuticals (Ireland) Limited</w:t>
      </w:r>
    </w:p>
    <w:p w14:paraId="634789ED" w14:textId="77777777" w:rsidR="00AE0285" w:rsidRPr="0047462D" w:rsidRDefault="00AE0285" w:rsidP="00AE0285">
      <w:pPr>
        <w:rPr>
          <w:iCs/>
          <w:lang w:val="en-GB"/>
        </w:rPr>
      </w:pPr>
      <w:r w:rsidRPr="0047462D">
        <w:rPr>
          <w:iCs/>
          <w:lang w:val="en-GB"/>
        </w:rPr>
        <w:t>28-32 Pembroke Street Upper</w:t>
      </w:r>
    </w:p>
    <w:p w14:paraId="4A83470D"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2949A487" w14:textId="77777777" w:rsidR="00AE0285" w:rsidRPr="0047462D" w:rsidRDefault="00AE0285" w:rsidP="00AE0285">
      <w:pPr>
        <w:pStyle w:val="1"/>
        <w:spacing w:after="0"/>
        <w:ind w:left="0"/>
        <w:rPr>
          <w:rFonts w:eastAsia="Times New Roman"/>
          <w:szCs w:val="22"/>
        </w:rPr>
      </w:pPr>
      <w:r w:rsidRPr="0047462D">
        <w:rPr>
          <w:iCs/>
        </w:rPr>
        <w:t>Ιρλανδία</w:t>
      </w:r>
    </w:p>
    <w:p w14:paraId="09398A9D" w14:textId="77777777" w:rsidR="00490B31" w:rsidRPr="0047462D" w:rsidRDefault="00490B31" w:rsidP="00AB3D36"/>
    <w:p w14:paraId="7F876C04" w14:textId="77777777" w:rsidR="00490B31" w:rsidRPr="0047462D" w:rsidRDefault="00490B31" w:rsidP="00490B31">
      <w:pPr>
        <w:pStyle w:val="1"/>
        <w:spacing w:after="0"/>
        <w:ind w:left="0"/>
        <w:rPr>
          <w:szCs w:val="22"/>
        </w:rPr>
      </w:pPr>
    </w:p>
    <w:p w14:paraId="0947E47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lang w:eastAsia="en-US"/>
        </w:rPr>
        <w:t>12.</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2615862C" w14:textId="77777777" w:rsidR="00490B31" w:rsidRPr="0047462D" w:rsidRDefault="00490B31" w:rsidP="00141E57">
      <w:pPr>
        <w:rPr>
          <w:szCs w:val="22"/>
          <w:lang w:eastAsia="en-US"/>
        </w:rPr>
      </w:pPr>
    </w:p>
    <w:p w14:paraId="22C91C01" w14:textId="77777777" w:rsidR="00490B31" w:rsidRPr="0047462D" w:rsidRDefault="00490B31" w:rsidP="00141E57">
      <w:pPr>
        <w:rPr>
          <w:szCs w:val="22"/>
          <w:lang w:eastAsia="en-US"/>
        </w:rPr>
      </w:pPr>
      <w:r w:rsidRPr="0047462D">
        <w:rPr>
          <w:rFonts w:eastAsia="Times New Roman"/>
          <w:szCs w:val="22"/>
        </w:rPr>
        <w:t>EU</w:t>
      </w:r>
      <w:r w:rsidRPr="0047462D">
        <w:rPr>
          <w:szCs w:val="24"/>
        </w:rPr>
        <w:t>/1/12/782/002</w:t>
      </w:r>
    </w:p>
    <w:p w14:paraId="184419EC" w14:textId="77777777" w:rsidR="00490B31" w:rsidRPr="0047462D" w:rsidRDefault="00490B31" w:rsidP="00141E57">
      <w:pPr>
        <w:rPr>
          <w:szCs w:val="22"/>
          <w:lang w:eastAsia="en-US"/>
        </w:rPr>
      </w:pPr>
    </w:p>
    <w:p w14:paraId="07A3381F" w14:textId="77777777" w:rsidR="00490B31" w:rsidRPr="0047462D" w:rsidRDefault="00490B31" w:rsidP="00141E57">
      <w:pPr>
        <w:rPr>
          <w:szCs w:val="22"/>
          <w:lang w:eastAsia="en-US"/>
        </w:rPr>
      </w:pPr>
    </w:p>
    <w:p w14:paraId="1BACB862"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4C2A4724" w14:textId="77777777" w:rsidR="00490B31" w:rsidRPr="0047462D" w:rsidRDefault="00490B31" w:rsidP="00141E57">
      <w:pPr>
        <w:rPr>
          <w:i/>
          <w:iCs/>
          <w:szCs w:val="22"/>
          <w:lang w:eastAsia="en-US"/>
        </w:rPr>
      </w:pPr>
    </w:p>
    <w:p w14:paraId="0CF80B1F" w14:textId="77777777" w:rsidR="00490B31" w:rsidRPr="0047462D" w:rsidRDefault="00490B31" w:rsidP="00141E57">
      <w:pPr>
        <w:rPr>
          <w:szCs w:val="22"/>
          <w:lang w:eastAsia="en-US"/>
        </w:rPr>
      </w:pPr>
      <w:r w:rsidRPr="0047462D">
        <w:rPr>
          <w:szCs w:val="22"/>
          <w:lang w:eastAsia="en-US"/>
        </w:rPr>
        <w:t>Παρτίδα</w:t>
      </w:r>
    </w:p>
    <w:p w14:paraId="22CF4BFA" w14:textId="77777777" w:rsidR="00490B31" w:rsidRPr="0047462D" w:rsidRDefault="00490B31" w:rsidP="00141E57">
      <w:pPr>
        <w:rPr>
          <w:szCs w:val="22"/>
          <w:lang w:eastAsia="en-US"/>
        </w:rPr>
      </w:pPr>
    </w:p>
    <w:p w14:paraId="05A273A4" w14:textId="77777777" w:rsidR="00490B31" w:rsidRPr="0047462D" w:rsidRDefault="00490B31" w:rsidP="00141E57">
      <w:pPr>
        <w:rPr>
          <w:szCs w:val="22"/>
          <w:lang w:eastAsia="en-US"/>
        </w:rPr>
      </w:pPr>
    </w:p>
    <w:p w14:paraId="443B086F"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27BF6A76" w14:textId="77777777" w:rsidR="00490B31" w:rsidRPr="0047462D" w:rsidRDefault="00490B31" w:rsidP="00141E57">
      <w:pPr>
        <w:rPr>
          <w:szCs w:val="22"/>
          <w:lang w:eastAsia="en-US"/>
        </w:rPr>
      </w:pPr>
    </w:p>
    <w:p w14:paraId="7563E610" w14:textId="77777777" w:rsidR="00490B31" w:rsidRPr="0047462D" w:rsidRDefault="00490B31" w:rsidP="00141E57">
      <w:pPr>
        <w:rPr>
          <w:szCs w:val="22"/>
          <w:lang w:eastAsia="en-US"/>
        </w:rPr>
      </w:pPr>
    </w:p>
    <w:p w14:paraId="147DF2AB" w14:textId="77777777" w:rsidR="00490B31" w:rsidRPr="0047462D" w:rsidRDefault="00490B31" w:rsidP="00141E57">
      <w:pPr>
        <w:pBdr>
          <w:top w:val="single" w:sz="4" w:space="2"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3ED35187" w14:textId="77777777" w:rsidR="00490B31" w:rsidRPr="0047462D" w:rsidRDefault="00490B31" w:rsidP="00141E57">
      <w:pPr>
        <w:rPr>
          <w:szCs w:val="22"/>
          <w:lang w:eastAsia="en-US"/>
        </w:rPr>
      </w:pPr>
    </w:p>
    <w:p w14:paraId="4BEB85DA" w14:textId="77777777" w:rsidR="00490B31" w:rsidRPr="0047462D" w:rsidRDefault="00490B31" w:rsidP="00490B31">
      <w:pPr>
        <w:rPr>
          <w:szCs w:val="22"/>
          <w:lang w:eastAsia="en-US"/>
        </w:rPr>
      </w:pPr>
    </w:p>
    <w:p w14:paraId="257AE5EC" w14:textId="77777777" w:rsidR="00490B31" w:rsidRPr="0047462D" w:rsidRDefault="00490B31" w:rsidP="00A240EC">
      <w:pPr>
        <w:keepNext/>
        <w:pBdr>
          <w:top w:val="single" w:sz="4" w:space="1" w:color="auto"/>
          <w:left w:val="single" w:sz="4" w:space="4" w:color="auto"/>
          <w:bottom w:val="single" w:sz="4" w:space="0" w:color="auto"/>
          <w:right w:val="single" w:sz="4" w:space="4" w:color="auto"/>
        </w:pBdr>
        <w:tabs>
          <w:tab w:val="left" w:pos="567"/>
        </w:tabs>
        <w:suppressAutoHyphens w:val="0"/>
        <w:spacing w:line="260" w:lineRule="exact"/>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76D34D85" w14:textId="77777777" w:rsidR="00490B31" w:rsidRPr="0047462D" w:rsidRDefault="00490B31" w:rsidP="00141E57">
      <w:pPr>
        <w:rPr>
          <w:szCs w:val="22"/>
          <w:shd w:val="clear" w:color="auto" w:fill="CCCCCC"/>
          <w:lang w:eastAsia="en-US"/>
        </w:rPr>
      </w:pPr>
    </w:p>
    <w:p w14:paraId="2351EFC3" w14:textId="77777777" w:rsidR="00490B31" w:rsidRPr="0047462D" w:rsidRDefault="00490B31" w:rsidP="00490B31">
      <w:pPr>
        <w:rPr>
          <w:rFonts w:eastAsia="Times New Roman"/>
          <w:spacing w:val="4"/>
          <w:szCs w:val="22"/>
        </w:rPr>
      </w:pPr>
      <w:r w:rsidRPr="0047462D">
        <w:rPr>
          <w:rFonts w:eastAsia="Times New Roman"/>
          <w:szCs w:val="22"/>
        </w:rPr>
        <w:t xml:space="preserve">Kalydeco 150 mg </w:t>
      </w:r>
      <w:r w:rsidRPr="0047462D">
        <w:rPr>
          <w:rFonts w:eastAsia="Times New Roman"/>
          <w:spacing w:val="4"/>
          <w:szCs w:val="22"/>
        </w:rPr>
        <w:t>δισκία</w:t>
      </w:r>
    </w:p>
    <w:p w14:paraId="1967DCD7" w14:textId="77777777" w:rsidR="006F11D8" w:rsidRPr="0047462D" w:rsidRDefault="006F11D8" w:rsidP="00490B31">
      <w:pPr>
        <w:rPr>
          <w:rFonts w:eastAsia="Times New Roman"/>
          <w:spacing w:val="4"/>
          <w:szCs w:val="22"/>
        </w:rPr>
      </w:pPr>
    </w:p>
    <w:p w14:paraId="408FE525" w14:textId="77777777" w:rsidR="006F11D8" w:rsidRPr="0047462D" w:rsidRDefault="006F11D8" w:rsidP="006F11D8">
      <w:pPr>
        <w:rPr>
          <w:b/>
        </w:rPr>
      </w:pPr>
    </w:p>
    <w:p w14:paraId="6B568964"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71E1B012" w14:textId="77777777" w:rsidR="005D5499" w:rsidRPr="0047462D" w:rsidRDefault="005D5499" w:rsidP="009E50D2">
      <w:pPr>
        <w:keepNext/>
        <w:rPr>
          <w:noProof/>
        </w:rPr>
      </w:pPr>
    </w:p>
    <w:p w14:paraId="7A2C8E5C"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1A5E47F3" w14:textId="77777777" w:rsidR="006F11D8" w:rsidRPr="0047462D" w:rsidRDefault="006F11D8" w:rsidP="006F11D8">
      <w:pPr>
        <w:rPr>
          <w:noProof/>
        </w:rPr>
      </w:pPr>
    </w:p>
    <w:p w14:paraId="2DFAF7BD" w14:textId="77777777" w:rsidR="006F11D8" w:rsidRPr="0047462D" w:rsidRDefault="006F11D8" w:rsidP="006F11D8">
      <w:pPr>
        <w:rPr>
          <w:noProof/>
        </w:rPr>
      </w:pPr>
    </w:p>
    <w:p w14:paraId="0FFEEBEC"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41AD838B" w14:textId="77777777" w:rsidR="005D5499" w:rsidRPr="0047462D" w:rsidRDefault="005D5499" w:rsidP="009E50D2">
      <w:pPr>
        <w:keepNext/>
        <w:rPr>
          <w:noProof/>
        </w:rPr>
      </w:pPr>
    </w:p>
    <w:p w14:paraId="389C37EC" w14:textId="31642171" w:rsidR="005D5499" w:rsidRPr="0047462D" w:rsidRDefault="006F11D8" w:rsidP="009E50D2">
      <w:pPr>
        <w:keepNext/>
        <w:rPr>
          <w:szCs w:val="22"/>
        </w:rPr>
      </w:pPr>
      <w:r w:rsidRPr="0047462D">
        <w:rPr>
          <w:szCs w:val="22"/>
        </w:rPr>
        <w:t>PC</w:t>
      </w:r>
    </w:p>
    <w:p w14:paraId="5C1A3D10" w14:textId="6963AB10" w:rsidR="005D5499" w:rsidRPr="0047462D" w:rsidRDefault="006F11D8" w:rsidP="009E50D2">
      <w:pPr>
        <w:keepNext/>
        <w:rPr>
          <w:szCs w:val="22"/>
        </w:rPr>
      </w:pPr>
      <w:r w:rsidRPr="0047462D">
        <w:rPr>
          <w:szCs w:val="22"/>
        </w:rPr>
        <w:t>SN</w:t>
      </w:r>
    </w:p>
    <w:p w14:paraId="75A570F7" w14:textId="2FA67BCD" w:rsidR="006F11D8" w:rsidRPr="0047462D" w:rsidRDefault="006F11D8" w:rsidP="006F11D8">
      <w:pPr>
        <w:rPr>
          <w:szCs w:val="22"/>
        </w:rPr>
      </w:pPr>
      <w:r w:rsidRPr="0047462D">
        <w:rPr>
          <w:szCs w:val="22"/>
        </w:rPr>
        <w:t>NN</w:t>
      </w:r>
    </w:p>
    <w:p w14:paraId="66EBB1FC" w14:textId="77777777" w:rsidR="00490B31" w:rsidRPr="0047462D" w:rsidRDefault="00490B31" w:rsidP="00141E57">
      <w:pPr>
        <w:pageBreakBefore/>
        <w:rPr>
          <w:shd w:val="clear" w:color="auto" w:fill="CCCCCC"/>
        </w:rPr>
      </w:pPr>
    </w:p>
    <w:p w14:paraId="7B17ECEE"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rFonts w:eastAsia="Times New Roman"/>
          <w:b/>
          <w:bCs/>
          <w:szCs w:val="22"/>
        </w:rPr>
      </w:pPr>
      <w:r w:rsidRPr="0047462D">
        <w:rPr>
          <w:rFonts w:eastAsia="Times New Roman"/>
          <w:b/>
          <w:bCs/>
          <w:szCs w:val="22"/>
        </w:rPr>
        <w:t xml:space="preserve">ΕΛΑΧΙΣΤΕΣ ΕΝΔΕΙΞΕΙΣ ΠΟΥ ΠΡΕΠΕΙ ΝΑ ΑΝΑΓΡΑΦΟΝΤΑΙ ΣΤΙΣ ΣΥΣΚΕΥΑΣΙΕΣ </w:t>
      </w:r>
    </w:p>
    <w:p w14:paraId="5FE9653D" w14:textId="77777777" w:rsidR="00490B31" w:rsidRPr="0047462D" w:rsidRDefault="008F6767" w:rsidP="00141E57">
      <w:pPr>
        <w:pBdr>
          <w:top w:val="single" w:sz="4" w:space="1" w:color="000000"/>
          <w:left w:val="single" w:sz="4" w:space="4" w:color="000000"/>
          <w:bottom w:val="single" w:sz="4" w:space="1" w:color="000000"/>
          <w:right w:val="single" w:sz="4" w:space="4" w:color="000000"/>
        </w:pBdr>
        <w:ind w:left="567" w:hanging="567"/>
        <w:rPr>
          <w:b/>
          <w:bCs/>
          <w:szCs w:val="22"/>
          <w:lang w:eastAsia="en-US"/>
        </w:rPr>
      </w:pPr>
      <w:r w:rsidRPr="0047462D">
        <w:rPr>
          <w:rFonts w:eastAsia="Times New Roman"/>
          <w:b/>
          <w:bCs/>
          <w:szCs w:val="22"/>
        </w:rPr>
        <w:t>ΚΥΨΕΛΗΣ (</w:t>
      </w:r>
      <w:r w:rsidR="00490B31" w:rsidRPr="0047462D">
        <w:rPr>
          <w:rFonts w:eastAsia="Times New Roman"/>
          <w:b/>
          <w:bCs/>
          <w:szCs w:val="22"/>
        </w:rPr>
        <w:t>BLISTER</w:t>
      </w:r>
      <w:r w:rsidRPr="0047462D">
        <w:rPr>
          <w:rFonts w:eastAsia="Times New Roman"/>
          <w:b/>
          <w:bCs/>
          <w:szCs w:val="22"/>
        </w:rPr>
        <w:t>)</w:t>
      </w:r>
      <w:r w:rsidR="00490B31" w:rsidRPr="0047462D">
        <w:rPr>
          <w:rFonts w:eastAsia="Times New Roman"/>
          <w:b/>
          <w:bCs/>
          <w:szCs w:val="22"/>
        </w:rPr>
        <w:t xml:space="preserve"> Ή ΣΤΙΣ ΤΑΙΝΙΕΣ</w:t>
      </w:r>
      <w:r w:rsidRPr="0047462D">
        <w:rPr>
          <w:rFonts w:eastAsia="Times New Roman"/>
          <w:b/>
          <w:bCs/>
          <w:szCs w:val="22"/>
        </w:rPr>
        <w:t xml:space="preserve"> (</w:t>
      </w:r>
      <w:r w:rsidRPr="0047462D">
        <w:rPr>
          <w:rFonts w:eastAsia="Times New Roman"/>
          <w:b/>
          <w:bCs/>
          <w:szCs w:val="22"/>
          <w:lang w:val="en-US"/>
        </w:rPr>
        <w:t>STRIPS</w:t>
      </w:r>
      <w:r w:rsidRPr="0047462D">
        <w:rPr>
          <w:rFonts w:eastAsia="Times New Roman"/>
          <w:b/>
          <w:bCs/>
          <w:szCs w:val="22"/>
        </w:rPr>
        <w:t>)</w:t>
      </w:r>
    </w:p>
    <w:p w14:paraId="17DDBBE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b/>
          <w:bCs/>
          <w:szCs w:val="22"/>
          <w:lang w:eastAsia="en-US"/>
        </w:rPr>
      </w:pPr>
    </w:p>
    <w:p w14:paraId="307DCE6E"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rPr>
        <w:t xml:space="preserve">ΣΥΣΚΕΥΑΣΙΕΣ </w:t>
      </w:r>
      <w:r w:rsidR="008F6767" w:rsidRPr="0047462D">
        <w:rPr>
          <w:rFonts w:eastAsia="Times New Roman"/>
          <w:b/>
          <w:bCs/>
          <w:szCs w:val="22"/>
        </w:rPr>
        <w:t>ΚΥΨΕΛΗΣ (</w:t>
      </w:r>
      <w:r w:rsidRPr="0047462D">
        <w:rPr>
          <w:rFonts w:eastAsia="Times New Roman"/>
          <w:b/>
          <w:bCs/>
          <w:szCs w:val="22"/>
        </w:rPr>
        <w:t>BLISTER</w:t>
      </w:r>
      <w:r w:rsidR="008F6767" w:rsidRPr="0047462D">
        <w:rPr>
          <w:rFonts w:eastAsia="Times New Roman"/>
          <w:b/>
          <w:bCs/>
          <w:szCs w:val="22"/>
        </w:rPr>
        <w:t xml:space="preserve">) </w:t>
      </w:r>
      <w:r w:rsidR="008F6767" w:rsidRPr="0047462D">
        <w:rPr>
          <w:b/>
          <w:bCs/>
        </w:rPr>
        <w:t>– ΣΥΣΚΕΥΑΣΙΑ 56 ΔΙΣΚΙΩΝ</w:t>
      </w:r>
    </w:p>
    <w:p w14:paraId="65651911" w14:textId="77777777" w:rsidR="00490B31" w:rsidRPr="0047462D" w:rsidRDefault="00490B31" w:rsidP="00141E57">
      <w:pPr>
        <w:rPr>
          <w:szCs w:val="22"/>
          <w:lang w:eastAsia="en-US"/>
        </w:rPr>
      </w:pPr>
    </w:p>
    <w:p w14:paraId="727F8979" w14:textId="77777777" w:rsidR="00F4326D" w:rsidRPr="0047462D" w:rsidRDefault="00F4326D" w:rsidP="00141E57">
      <w:pPr>
        <w:rPr>
          <w:szCs w:val="22"/>
          <w:lang w:eastAsia="en-US"/>
        </w:rPr>
      </w:pPr>
    </w:p>
    <w:p w14:paraId="21C9E12B"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w:t>
      </w:r>
      <w:r w:rsidRPr="0047462D">
        <w:rPr>
          <w:b/>
          <w:bCs/>
          <w:noProof/>
          <w:szCs w:val="22"/>
          <w:lang w:eastAsia="en-US"/>
        </w:rPr>
        <w:tab/>
        <w:t>ΟΝΟΜΑΣΙΑ ΤΟΥ ΦΑΡΜΑΚΕΥΤΙΚΟΥ ΠΡΟΪΟΝΤΟΣ</w:t>
      </w:r>
    </w:p>
    <w:p w14:paraId="58CFEBFC" w14:textId="77777777" w:rsidR="00490B31" w:rsidRPr="0047462D" w:rsidRDefault="00490B31" w:rsidP="00141E57">
      <w:pPr>
        <w:rPr>
          <w:iCs/>
          <w:szCs w:val="22"/>
          <w:lang w:eastAsia="en-US"/>
        </w:rPr>
      </w:pPr>
    </w:p>
    <w:p w14:paraId="3B9D19AF" w14:textId="20E82C09" w:rsidR="00490B31" w:rsidRPr="0047462D" w:rsidRDefault="00490B31" w:rsidP="00490B31">
      <w:pPr>
        <w:rPr>
          <w:rFonts w:eastAsia="Times New Roman"/>
          <w:szCs w:val="22"/>
        </w:rPr>
      </w:pPr>
      <w:r w:rsidRPr="0047462D">
        <w:rPr>
          <w:rFonts w:eastAsia="Times New Roman"/>
          <w:szCs w:val="22"/>
        </w:rPr>
        <w:t>Kalydeco 150</w:t>
      </w:r>
      <w:r w:rsidR="00AD331E" w:rsidRPr="0047462D">
        <w:rPr>
          <w:rFonts w:eastAsia="Times New Roman"/>
          <w:szCs w:val="22"/>
          <w:lang w:val="en-GB"/>
        </w:rPr>
        <w:t> </w:t>
      </w:r>
      <w:r w:rsidRPr="0047462D">
        <w:rPr>
          <w:rFonts w:eastAsia="Times New Roman"/>
          <w:szCs w:val="22"/>
        </w:rPr>
        <w:t xml:space="preserve">mg </w:t>
      </w:r>
      <w:r w:rsidRPr="0047462D">
        <w:rPr>
          <w:rFonts w:eastAsia="Times New Roman"/>
          <w:spacing w:val="4"/>
          <w:szCs w:val="22"/>
        </w:rPr>
        <w:t>δισκία</w:t>
      </w:r>
    </w:p>
    <w:p w14:paraId="14EF2113" w14:textId="77777777" w:rsidR="00490B31" w:rsidRPr="0047462D" w:rsidRDefault="00004A6E" w:rsidP="00490B31">
      <w:pPr>
        <w:rPr>
          <w:szCs w:val="22"/>
          <w:lang w:eastAsia="en-US"/>
        </w:rPr>
      </w:pPr>
      <w:r w:rsidRPr="0047462D">
        <w:rPr>
          <w:lang w:val="en-US"/>
        </w:rPr>
        <w:t>i</w:t>
      </w:r>
      <w:r w:rsidR="009C4FCB" w:rsidRPr="0047462D">
        <w:t>vacaftor</w:t>
      </w:r>
    </w:p>
    <w:p w14:paraId="34D488DB" w14:textId="77777777" w:rsidR="00490B31" w:rsidRPr="0047462D" w:rsidRDefault="00490B31" w:rsidP="00141E57">
      <w:pPr>
        <w:rPr>
          <w:szCs w:val="22"/>
          <w:lang w:eastAsia="en-US"/>
        </w:rPr>
      </w:pPr>
    </w:p>
    <w:p w14:paraId="589300D0" w14:textId="77777777" w:rsidR="00490B31" w:rsidRPr="0047462D" w:rsidRDefault="00490B31" w:rsidP="00141E57">
      <w:pPr>
        <w:rPr>
          <w:szCs w:val="22"/>
          <w:lang w:eastAsia="en-US"/>
        </w:rPr>
      </w:pPr>
    </w:p>
    <w:p w14:paraId="1A9321CD"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szCs w:val="22"/>
          <w:lang w:eastAsia="en-US"/>
        </w:rPr>
      </w:pPr>
      <w:r w:rsidRPr="0047462D">
        <w:rPr>
          <w:b/>
          <w:bCs/>
          <w:noProof/>
          <w:szCs w:val="22"/>
          <w:lang w:eastAsia="en-US"/>
        </w:rPr>
        <w:t>2.</w:t>
      </w:r>
      <w:r w:rsidRPr="0047462D">
        <w:rPr>
          <w:b/>
          <w:bCs/>
          <w:noProof/>
          <w:szCs w:val="22"/>
          <w:lang w:eastAsia="en-US"/>
        </w:rPr>
        <w:tab/>
        <w:t>ΟΝΟΜΑ ΚΑΤΟΧΟΥ ΤΗΣ ΑΔΕΙΑΣ ΚΥΚΛΟΦΟΡΙΑΣ</w:t>
      </w:r>
    </w:p>
    <w:p w14:paraId="19848114" w14:textId="77777777" w:rsidR="00490B31" w:rsidRPr="0047462D" w:rsidRDefault="00490B31" w:rsidP="00141E57">
      <w:pPr>
        <w:rPr>
          <w:szCs w:val="22"/>
          <w:lang w:eastAsia="en-US"/>
        </w:rPr>
      </w:pPr>
    </w:p>
    <w:p w14:paraId="0B589A4F" w14:textId="77777777" w:rsidR="00AE0285" w:rsidRPr="0047462D" w:rsidRDefault="00AE0285" w:rsidP="00AE0285">
      <w:pPr>
        <w:rPr>
          <w:iCs/>
          <w:lang w:val="en-GB"/>
        </w:rPr>
      </w:pPr>
      <w:r w:rsidRPr="0047462D">
        <w:rPr>
          <w:iCs/>
          <w:lang w:val="en-GB"/>
        </w:rPr>
        <w:t>Vertex Pharmaceuticals (Ireland) Limited</w:t>
      </w:r>
    </w:p>
    <w:p w14:paraId="61248B75" w14:textId="77777777" w:rsidR="00490B31" w:rsidRPr="0047462D" w:rsidRDefault="00490B31" w:rsidP="00490B31">
      <w:pPr>
        <w:rPr>
          <w:lang w:val="fr-FR"/>
        </w:rPr>
      </w:pPr>
    </w:p>
    <w:p w14:paraId="520701A3" w14:textId="77777777" w:rsidR="00490B31" w:rsidRPr="0047462D" w:rsidRDefault="00490B31" w:rsidP="00141E57">
      <w:pPr>
        <w:rPr>
          <w:lang w:val="fr-FR"/>
        </w:rPr>
      </w:pPr>
    </w:p>
    <w:p w14:paraId="71D6A6E6" w14:textId="77777777" w:rsidR="00490B31" w:rsidRPr="0047462D" w:rsidRDefault="00ED7342"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lang w:val="fr-FR"/>
        </w:rPr>
      </w:pPr>
      <w:r w:rsidRPr="0047462D">
        <w:rPr>
          <w:b/>
          <w:lang w:val="fr-FR"/>
        </w:rPr>
        <w:t>3.</w:t>
      </w:r>
      <w:r w:rsidRPr="0047462D">
        <w:rPr>
          <w:b/>
          <w:lang w:val="fr-FR"/>
        </w:rPr>
        <w:tab/>
      </w:r>
      <w:r w:rsidR="00490B31" w:rsidRPr="0047462D">
        <w:rPr>
          <w:b/>
          <w:bCs/>
          <w:noProof/>
          <w:szCs w:val="22"/>
          <w:lang w:eastAsia="en-US"/>
        </w:rPr>
        <w:t>ΗΜΕΡΟΜΗΝΙΑ</w:t>
      </w:r>
      <w:r w:rsidRPr="0047462D">
        <w:rPr>
          <w:b/>
          <w:lang w:val="fr-FR"/>
        </w:rPr>
        <w:t xml:space="preserve"> </w:t>
      </w:r>
      <w:r w:rsidR="00490B31" w:rsidRPr="0047462D">
        <w:rPr>
          <w:b/>
          <w:bCs/>
          <w:noProof/>
          <w:szCs w:val="22"/>
          <w:lang w:eastAsia="en-US"/>
        </w:rPr>
        <w:t>ΛΗΞΗΣ</w:t>
      </w:r>
    </w:p>
    <w:p w14:paraId="52CDB9D8" w14:textId="77777777" w:rsidR="00490B31" w:rsidRPr="0047462D" w:rsidRDefault="00490B31" w:rsidP="00141E57">
      <w:pPr>
        <w:rPr>
          <w:lang w:val="fr-FR"/>
        </w:rPr>
      </w:pPr>
    </w:p>
    <w:p w14:paraId="395F69B6" w14:textId="77777777" w:rsidR="00490B31" w:rsidRPr="0047462D" w:rsidRDefault="00490B31" w:rsidP="00141E57">
      <w:pPr>
        <w:rPr>
          <w:szCs w:val="22"/>
          <w:lang w:eastAsia="en-US"/>
        </w:rPr>
      </w:pPr>
      <w:r w:rsidRPr="0047462D">
        <w:rPr>
          <w:rFonts w:eastAsia="Times New Roman"/>
          <w:szCs w:val="22"/>
        </w:rPr>
        <w:t>ΛΗΞΗ</w:t>
      </w:r>
    </w:p>
    <w:p w14:paraId="1C674795" w14:textId="77777777" w:rsidR="00490B31" w:rsidRPr="0047462D" w:rsidRDefault="00490B31" w:rsidP="00141E57">
      <w:pPr>
        <w:rPr>
          <w:szCs w:val="22"/>
          <w:lang w:eastAsia="en-US"/>
        </w:rPr>
      </w:pPr>
    </w:p>
    <w:p w14:paraId="4131D826" w14:textId="77777777" w:rsidR="00490B31" w:rsidRPr="0047462D" w:rsidRDefault="00490B31" w:rsidP="00141E57">
      <w:pPr>
        <w:rPr>
          <w:szCs w:val="22"/>
          <w:lang w:eastAsia="en-US"/>
        </w:rPr>
      </w:pPr>
    </w:p>
    <w:p w14:paraId="303E0C6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4.</w:t>
      </w:r>
      <w:r w:rsidRPr="0047462D">
        <w:rPr>
          <w:b/>
          <w:bCs/>
          <w:noProof/>
          <w:szCs w:val="22"/>
          <w:lang w:eastAsia="en-US"/>
        </w:rPr>
        <w:tab/>
        <w:t>ΑΡΙΘΜΟΣ ΠΑΡΤΙΔΑΣ</w:t>
      </w:r>
    </w:p>
    <w:p w14:paraId="576EF37B" w14:textId="77777777" w:rsidR="00490B31" w:rsidRPr="0047462D" w:rsidRDefault="00490B31" w:rsidP="00141E57">
      <w:pPr>
        <w:rPr>
          <w:szCs w:val="22"/>
          <w:lang w:eastAsia="en-US"/>
        </w:rPr>
      </w:pPr>
    </w:p>
    <w:p w14:paraId="567F9FA2" w14:textId="77777777" w:rsidR="00490B31" w:rsidRPr="0047462D" w:rsidRDefault="00490B31" w:rsidP="00490B31">
      <w:pPr>
        <w:rPr>
          <w:szCs w:val="22"/>
          <w:lang w:eastAsia="en-US"/>
        </w:rPr>
      </w:pPr>
      <w:r w:rsidRPr="0047462D">
        <w:rPr>
          <w:rFonts w:eastAsia="Times New Roman"/>
          <w:szCs w:val="22"/>
        </w:rPr>
        <w:t>Παρτίδα</w:t>
      </w:r>
    </w:p>
    <w:p w14:paraId="791BDD8B" w14:textId="77777777" w:rsidR="00490B31" w:rsidRPr="0047462D" w:rsidRDefault="00490B31" w:rsidP="00141E57">
      <w:pPr>
        <w:rPr>
          <w:szCs w:val="22"/>
          <w:lang w:eastAsia="en-US"/>
        </w:rPr>
      </w:pPr>
    </w:p>
    <w:p w14:paraId="3D0F1994" w14:textId="77777777" w:rsidR="00490B31" w:rsidRPr="0047462D" w:rsidRDefault="00490B31" w:rsidP="00141E57">
      <w:pPr>
        <w:rPr>
          <w:szCs w:val="22"/>
          <w:lang w:eastAsia="en-US"/>
        </w:rPr>
      </w:pPr>
    </w:p>
    <w:p w14:paraId="075514D1"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5.</w:t>
      </w:r>
      <w:r w:rsidRPr="0047462D">
        <w:rPr>
          <w:b/>
          <w:bCs/>
          <w:noProof/>
          <w:szCs w:val="22"/>
          <w:lang w:eastAsia="en-US"/>
        </w:rPr>
        <w:tab/>
        <w:t>ΑΛΛΑ ΣΤΟΙΧΕΙΑ</w:t>
      </w:r>
    </w:p>
    <w:p w14:paraId="660C456E" w14:textId="77777777" w:rsidR="00F7148C" w:rsidRPr="0047462D" w:rsidRDefault="00F7148C">
      <w:pPr>
        <w:suppressAutoHyphens w:val="0"/>
        <w:rPr>
          <w:szCs w:val="22"/>
          <w:lang w:eastAsia="en-US"/>
        </w:rPr>
      </w:pPr>
    </w:p>
    <w:p w14:paraId="7FD06CF1" w14:textId="77777777" w:rsidR="00F7148C" w:rsidRPr="0047462D" w:rsidRDefault="00F7148C">
      <w:pPr>
        <w:suppressAutoHyphens w:val="0"/>
        <w:rPr>
          <w:szCs w:val="22"/>
          <w:lang w:eastAsia="en-US"/>
        </w:rPr>
      </w:pPr>
    </w:p>
    <w:p w14:paraId="79F04D89" w14:textId="77777777" w:rsidR="00C62342" w:rsidRPr="0047462D" w:rsidRDefault="00C62342">
      <w:pPr>
        <w:suppressAutoHyphens w:val="0"/>
        <w:rPr>
          <w:szCs w:val="22"/>
          <w:lang w:eastAsia="en-US"/>
        </w:rPr>
      </w:pPr>
      <w:r w:rsidRPr="0047462D">
        <w:rPr>
          <w:szCs w:val="22"/>
          <w:lang w:eastAsia="en-US"/>
        </w:rPr>
        <w:br w:type="page"/>
      </w:r>
    </w:p>
    <w:p w14:paraId="12DB87DE" w14:textId="77777777" w:rsidR="00490B31" w:rsidRPr="0047462D" w:rsidRDefault="00490B31" w:rsidP="00141E57">
      <w:pPr>
        <w:rPr>
          <w:szCs w:val="22"/>
          <w:lang w:eastAsia="en-US"/>
        </w:rPr>
      </w:pPr>
    </w:p>
    <w:p w14:paraId="0AF8164F" w14:textId="77777777" w:rsidR="00C62342" w:rsidRPr="0047462D" w:rsidRDefault="00FE4493" w:rsidP="00C62342">
      <w:pPr>
        <w:suppressLineNumbers/>
        <w:pBdr>
          <w:top w:val="single" w:sz="4" w:space="1" w:color="auto"/>
          <w:left w:val="single" w:sz="4" w:space="4" w:color="auto"/>
          <w:bottom w:val="single" w:sz="4" w:space="1" w:color="auto"/>
          <w:right w:val="single" w:sz="4" w:space="4" w:color="auto"/>
        </w:pBdr>
        <w:ind w:left="567" w:hanging="567"/>
        <w:rPr>
          <w:b/>
        </w:rPr>
      </w:pPr>
      <w:r w:rsidRPr="0047462D">
        <w:rPr>
          <w:b/>
        </w:rPr>
        <w:t>ΕΝΔΕΙΞΕΙΣ ΠΟΥ ΠΡΕΠΕΙ ΝΑ ΑΝΑΓΡΑΦΟΝΤΑΙ ΣΤΗΝ ΕΞΩΤΕΡΙΚΗ ΣΥΣΚΕΥΑΣΙΑ</w:t>
      </w:r>
    </w:p>
    <w:p w14:paraId="6A7C9330"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rPr>
          <w:b/>
        </w:rPr>
      </w:pPr>
    </w:p>
    <w:p w14:paraId="48278502" w14:textId="77777777" w:rsidR="00C62342" w:rsidRPr="0047462D" w:rsidRDefault="00FE4493" w:rsidP="00C62342">
      <w:pPr>
        <w:pBdr>
          <w:top w:val="single" w:sz="4" w:space="1" w:color="auto"/>
          <w:left w:val="single" w:sz="4" w:space="4" w:color="auto"/>
          <w:bottom w:val="single" w:sz="4" w:space="1" w:color="auto"/>
          <w:right w:val="single" w:sz="4" w:space="4" w:color="auto"/>
        </w:pBdr>
      </w:pPr>
      <w:r w:rsidRPr="0047462D">
        <w:rPr>
          <w:b/>
          <w:bCs/>
          <w:caps/>
        </w:rPr>
        <w:t>εξωτερικο κουτι για την καρτα ΚΥΨΕΛΗΣ (</w:t>
      </w:r>
      <w:r w:rsidR="00C62342" w:rsidRPr="0047462D">
        <w:rPr>
          <w:b/>
          <w:bCs/>
        </w:rPr>
        <w:t>BLISTER</w:t>
      </w:r>
      <w:r w:rsidR="0095613C" w:rsidRPr="0047462D">
        <w:rPr>
          <w:b/>
          <w:bCs/>
        </w:rPr>
        <w:t xml:space="preserve"> </w:t>
      </w:r>
      <w:r w:rsidR="0095613C" w:rsidRPr="0047462D">
        <w:rPr>
          <w:b/>
          <w:bCs/>
          <w:lang w:val="en-GB"/>
        </w:rPr>
        <w:t>CARD</w:t>
      </w:r>
      <w:r w:rsidR="00EF306E" w:rsidRPr="0047462D">
        <w:rPr>
          <w:b/>
          <w:bCs/>
        </w:rPr>
        <w:t xml:space="preserve">) </w:t>
      </w:r>
      <w:r w:rsidR="00C62342" w:rsidRPr="0047462D">
        <w:rPr>
          <w:b/>
          <w:bCs/>
        </w:rPr>
        <w:t xml:space="preserve">– </w:t>
      </w:r>
      <w:r w:rsidR="00EF306E" w:rsidRPr="0047462D">
        <w:rPr>
          <w:b/>
          <w:bCs/>
        </w:rPr>
        <w:t xml:space="preserve">ΣΥΣΚΕΥΑΣΙΑ </w:t>
      </w:r>
      <w:r w:rsidR="00C62342" w:rsidRPr="0047462D">
        <w:rPr>
          <w:b/>
          <w:bCs/>
        </w:rPr>
        <w:t>28</w:t>
      </w:r>
      <w:r w:rsidR="00EF306E" w:rsidRPr="0047462D">
        <w:rPr>
          <w:b/>
          <w:bCs/>
        </w:rPr>
        <w:t xml:space="preserve"> ΔΙΣΚΙΩΝ</w:t>
      </w:r>
    </w:p>
    <w:p w14:paraId="2F267F22" w14:textId="77777777" w:rsidR="00C62342" w:rsidRPr="0047462D" w:rsidRDefault="00C62342" w:rsidP="00C62342">
      <w:pPr>
        <w:suppressLineNumbers/>
      </w:pPr>
    </w:p>
    <w:p w14:paraId="72E81A48" w14:textId="77777777" w:rsidR="00C62342" w:rsidRPr="0047462D" w:rsidRDefault="00C62342" w:rsidP="00C62342">
      <w:pPr>
        <w:suppressLineNumbers/>
      </w:pPr>
    </w:p>
    <w:p w14:paraId="4D4541AE"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00EF306E" w:rsidRPr="0047462D">
        <w:rPr>
          <w:b/>
          <w:noProof/>
          <w:szCs w:val="22"/>
        </w:rPr>
        <w:t>ΟΝΟΜΑΣΙΑ ΤΟΥ ΦΑΡΜΑΚΕΥΤΙΚΟΥ ΠΡΟΪΟΝΤΟΣ</w:t>
      </w:r>
    </w:p>
    <w:p w14:paraId="74F57E0F" w14:textId="77777777" w:rsidR="00C62342" w:rsidRPr="0047462D" w:rsidRDefault="00C62342" w:rsidP="00C62342">
      <w:pPr>
        <w:suppressLineNumbers/>
      </w:pPr>
    </w:p>
    <w:p w14:paraId="08F1FB17" w14:textId="77777777" w:rsidR="00C62342" w:rsidRPr="0047462D" w:rsidRDefault="00C62342" w:rsidP="00C62342">
      <w:r w:rsidRPr="0047462D">
        <w:t xml:space="preserve">Kalydeco 150 mg </w:t>
      </w:r>
      <w:r w:rsidR="00EF306E" w:rsidRPr="0047462D">
        <w:rPr>
          <w:rFonts w:eastAsia="Times New Roman"/>
          <w:spacing w:val="4"/>
          <w:szCs w:val="22"/>
        </w:rPr>
        <w:t>επικαλυμμένα με λεπτό υμένιο δισκία</w:t>
      </w:r>
    </w:p>
    <w:p w14:paraId="463A5BB9" w14:textId="77777777" w:rsidR="00C62342" w:rsidRPr="0047462D" w:rsidRDefault="004B0EB8" w:rsidP="00C62342">
      <w:pPr>
        <w:rPr>
          <w:i/>
          <w:iCs/>
        </w:rPr>
      </w:pPr>
      <w:r w:rsidRPr="0047462D">
        <w:t>i</w:t>
      </w:r>
      <w:r w:rsidR="00C62342" w:rsidRPr="0047462D">
        <w:t>vacaftor</w:t>
      </w:r>
    </w:p>
    <w:p w14:paraId="47DDB527" w14:textId="77777777" w:rsidR="00C62342" w:rsidRPr="0047462D" w:rsidRDefault="00C62342" w:rsidP="00C62342">
      <w:pPr>
        <w:suppressLineNumbers/>
      </w:pPr>
    </w:p>
    <w:p w14:paraId="1F7B770E" w14:textId="77777777" w:rsidR="00C62342" w:rsidRPr="0047462D" w:rsidRDefault="00C62342" w:rsidP="00C62342">
      <w:pPr>
        <w:suppressLineNumbers/>
      </w:pPr>
    </w:p>
    <w:p w14:paraId="5E931E6A"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00EF306E" w:rsidRPr="0047462D">
        <w:rPr>
          <w:b/>
        </w:rPr>
        <w:t>ΣΥΝΘΕΣΗ ΣΕ ΔΡΑΣΤΙΚΗ(ΕΣ) ΟΥΣΙΑ(ΕΣ)</w:t>
      </w:r>
    </w:p>
    <w:p w14:paraId="4D02A98A" w14:textId="77777777" w:rsidR="00C62342" w:rsidRPr="0047462D" w:rsidRDefault="00C62342" w:rsidP="00C62342">
      <w:pPr>
        <w:suppressLineNumbers/>
        <w:rPr>
          <w:iCs/>
        </w:rPr>
      </w:pPr>
    </w:p>
    <w:p w14:paraId="7A2EF596" w14:textId="77777777" w:rsidR="00C62342" w:rsidRPr="0047462D" w:rsidRDefault="00D532DD" w:rsidP="00C62342">
      <w:r w:rsidRPr="0047462D">
        <w:rPr>
          <w:rFonts w:eastAsia="Times New Roman"/>
          <w:szCs w:val="22"/>
        </w:rPr>
        <w:t>Kάθε δισκίο περιέχει</w:t>
      </w:r>
      <w:r w:rsidRPr="0047462D">
        <w:t xml:space="preserve"> </w:t>
      </w:r>
      <w:r w:rsidR="00C62342" w:rsidRPr="0047462D">
        <w:t>150 mg ivacaftor.</w:t>
      </w:r>
    </w:p>
    <w:p w14:paraId="76906F41" w14:textId="77777777" w:rsidR="00C62342" w:rsidRPr="0047462D" w:rsidRDefault="00C62342" w:rsidP="00C62342"/>
    <w:p w14:paraId="1E0902E2" w14:textId="77777777" w:rsidR="00C62342" w:rsidRPr="0047462D" w:rsidRDefault="00C62342" w:rsidP="00C62342"/>
    <w:p w14:paraId="5AC04BBA"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00D532DD" w:rsidRPr="0047462D">
        <w:rPr>
          <w:rFonts w:eastAsia="Times New Roman"/>
          <w:b/>
          <w:bCs/>
          <w:szCs w:val="22"/>
        </w:rPr>
        <w:t>ΚΑΤΑΛΟΓΟΣ ΕΚΔΟΧΩΝ</w:t>
      </w:r>
    </w:p>
    <w:p w14:paraId="1E25FE2E" w14:textId="77777777" w:rsidR="00C62342" w:rsidRPr="0047462D" w:rsidRDefault="00C62342" w:rsidP="00C62342">
      <w:pPr>
        <w:suppressLineNumbers/>
      </w:pPr>
    </w:p>
    <w:p w14:paraId="3294FBDC" w14:textId="77777777" w:rsidR="00C62342" w:rsidRPr="0047462D" w:rsidRDefault="00D532DD" w:rsidP="00C62342">
      <w:r w:rsidRPr="0047462D">
        <w:t>Περιέχει λακτόζη</w:t>
      </w:r>
      <w:r w:rsidR="00C62342" w:rsidRPr="0047462D">
        <w:t>.</w:t>
      </w:r>
    </w:p>
    <w:p w14:paraId="188EF5E6" w14:textId="77777777" w:rsidR="00C62342" w:rsidRPr="0047462D" w:rsidRDefault="00C62342" w:rsidP="00C62342"/>
    <w:p w14:paraId="3F7C3D44" w14:textId="77777777" w:rsidR="00C62342" w:rsidRPr="0047462D" w:rsidRDefault="00D532DD" w:rsidP="00C62342">
      <w:r w:rsidRPr="0047462D">
        <w:rPr>
          <w:rFonts w:eastAsia="Times New Roman"/>
          <w:szCs w:val="22"/>
        </w:rPr>
        <w:t>Βλ. φύλλο οδηγιών χρήσης για περισσότερες πληροφορίες</w:t>
      </w:r>
      <w:r w:rsidR="00C62342" w:rsidRPr="0047462D">
        <w:t>.</w:t>
      </w:r>
    </w:p>
    <w:p w14:paraId="1C4722D6" w14:textId="77777777" w:rsidR="00C62342" w:rsidRPr="0047462D" w:rsidRDefault="00C62342" w:rsidP="00C62342"/>
    <w:p w14:paraId="70102A01" w14:textId="77777777" w:rsidR="00C62342" w:rsidRPr="0047462D" w:rsidRDefault="00C62342" w:rsidP="00C62342"/>
    <w:p w14:paraId="37286665"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00962566" w:rsidRPr="0047462D">
        <w:rPr>
          <w:rFonts w:eastAsia="Times New Roman"/>
          <w:b/>
          <w:bCs/>
          <w:szCs w:val="22"/>
        </w:rPr>
        <w:t>ΦΑΡΜΑΚΟΤΕΧΝΙΚΗ ΜΟΡΦΗ ΚΑΙ ΠΕΡΙΕΧΟΜΕΝΟ</w:t>
      </w:r>
    </w:p>
    <w:p w14:paraId="23ECF840" w14:textId="77777777" w:rsidR="00C62342" w:rsidRPr="0047462D" w:rsidRDefault="00C62342" w:rsidP="00C62342">
      <w:pPr>
        <w:suppressLineNumbers/>
      </w:pPr>
    </w:p>
    <w:p w14:paraId="54FC74A2" w14:textId="05EE1077" w:rsidR="00C62342" w:rsidRPr="0047462D" w:rsidRDefault="00C62342" w:rsidP="00C62342">
      <w:r w:rsidRPr="0047462D">
        <w:t>28</w:t>
      </w:r>
      <w:r w:rsidR="00F4326D" w:rsidRPr="0047462D">
        <w:t> </w:t>
      </w:r>
      <w:r w:rsidR="00962566" w:rsidRPr="0047462D">
        <w:t>δισκία</w:t>
      </w:r>
    </w:p>
    <w:p w14:paraId="74134C55" w14:textId="77777777" w:rsidR="00C62342" w:rsidRPr="0047462D" w:rsidRDefault="00C62342" w:rsidP="00C62342"/>
    <w:p w14:paraId="23643EC9" w14:textId="77777777" w:rsidR="00C62342" w:rsidRPr="0047462D" w:rsidRDefault="00C62342" w:rsidP="00C62342"/>
    <w:p w14:paraId="57C959B1"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00D55865" w:rsidRPr="0047462D">
        <w:rPr>
          <w:rFonts w:eastAsia="Times New Roman"/>
          <w:b/>
          <w:bCs/>
          <w:szCs w:val="22"/>
        </w:rPr>
        <w:t>ΤΡΟΠΟΣ ΚΑΙ ΟΔΟΣ(ΟΙ) ΧΟΡΗΓΗΣΗΣ</w:t>
      </w:r>
    </w:p>
    <w:p w14:paraId="6282CFBD" w14:textId="77777777" w:rsidR="00C62342" w:rsidRPr="0047462D" w:rsidRDefault="00C62342" w:rsidP="00C62342">
      <w:pPr>
        <w:suppressLineNumbers/>
      </w:pPr>
    </w:p>
    <w:p w14:paraId="4F6869D7" w14:textId="77777777" w:rsidR="00C62342" w:rsidRPr="0047462D" w:rsidRDefault="00D55865" w:rsidP="00C62342">
      <w:pPr>
        <w:suppressLineNumbers/>
      </w:pPr>
      <w:r w:rsidRPr="0047462D">
        <w:t>Διαβάστε το φύλλο οδηγιών χρήσης πριν από τη χρήση</w:t>
      </w:r>
      <w:r w:rsidR="00C62342" w:rsidRPr="0047462D">
        <w:t>.</w:t>
      </w:r>
    </w:p>
    <w:p w14:paraId="73B13152" w14:textId="77777777" w:rsidR="000F0A70" w:rsidRPr="0047462D" w:rsidRDefault="000F0A70" w:rsidP="00C62342">
      <w:pPr>
        <w:suppressLineNumbers/>
      </w:pPr>
    </w:p>
    <w:p w14:paraId="6FBE1D48" w14:textId="77777777" w:rsidR="00C62342" w:rsidRPr="0047462D" w:rsidRDefault="00D55865" w:rsidP="00C62342">
      <w:r w:rsidRPr="0047462D">
        <w:rPr>
          <w:rFonts w:eastAsia="Times New Roman"/>
          <w:szCs w:val="22"/>
        </w:rPr>
        <w:t>Από στόματος</w:t>
      </w:r>
      <w:r w:rsidRPr="0047462D">
        <w:rPr>
          <w:rFonts w:eastAsia="Times New Roman"/>
          <w:szCs w:val="22"/>
          <w:lang w:eastAsia="en-US"/>
        </w:rPr>
        <w:t xml:space="preserve"> χρήση</w:t>
      </w:r>
    </w:p>
    <w:p w14:paraId="6B765528" w14:textId="77777777" w:rsidR="00C62342" w:rsidRPr="0047462D" w:rsidRDefault="00C62342" w:rsidP="00C62342">
      <w:pPr>
        <w:suppressLineNumbers/>
        <w:autoSpaceDE w:val="0"/>
        <w:autoSpaceDN w:val="0"/>
        <w:adjustRightInd w:val="0"/>
      </w:pPr>
    </w:p>
    <w:p w14:paraId="35ADBF11" w14:textId="18FA6BBE" w:rsidR="00C62342" w:rsidRPr="0047462D" w:rsidRDefault="00F129FC" w:rsidP="00C62342">
      <w:pPr>
        <w:suppressLineNumbers/>
        <w:autoSpaceDE w:val="0"/>
        <w:autoSpaceDN w:val="0"/>
        <w:adjustRightInd w:val="0"/>
        <w:rPr>
          <w:b/>
          <w:bCs/>
        </w:rPr>
      </w:pPr>
      <w:r w:rsidRPr="0047462D">
        <w:rPr>
          <w:b/>
          <w:bCs/>
        </w:rPr>
        <w:t>Ο</w:t>
      </w:r>
      <w:r w:rsidR="00F4326D" w:rsidRPr="0047462D">
        <w:rPr>
          <w:b/>
          <w:bCs/>
        </w:rPr>
        <w:t>δηγίες χρήσης</w:t>
      </w:r>
    </w:p>
    <w:p w14:paraId="6587B96E" w14:textId="77777777" w:rsidR="00C62342" w:rsidRPr="0047462D" w:rsidRDefault="00C62342" w:rsidP="00C62342">
      <w:pPr>
        <w:suppressLineNumbers/>
        <w:autoSpaceDE w:val="0"/>
        <w:autoSpaceDN w:val="0"/>
        <w:adjustRightInd w:val="0"/>
      </w:pPr>
    </w:p>
    <w:p w14:paraId="22E18B07" w14:textId="77777777" w:rsidR="000F0A70" w:rsidRPr="0047462D" w:rsidRDefault="00523EC9" w:rsidP="00C62342">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00C62342" w:rsidRPr="0047462D">
        <w:t>.</w:t>
      </w:r>
      <w:r w:rsidR="00F53FFB" w:rsidRPr="0047462D">
        <w:t xml:space="preserve"> </w:t>
      </w:r>
    </w:p>
    <w:p w14:paraId="419F4BC2" w14:textId="77777777" w:rsidR="000F0A70" w:rsidRPr="0047462D" w:rsidRDefault="000F0A70" w:rsidP="00C62342">
      <w:pPr>
        <w:suppressLineNumbers/>
        <w:autoSpaceDE w:val="0"/>
        <w:autoSpaceDN w:val="0"/>
        <w:adjustRightInd w:val="0"/>
      </w:pPr>
    </w:p>
    <w:p w14:paraId="172A1E81" w14:textId="77777777" w:rsidR="000F0A70" w:rsidRPr="0047462D" w:rsidRDefault="00523EC9" w:rsidP="00C62342">
      <w:pPr>
        <w:suppressLineNumbers/>
        <w:autoSpaceDE w:val="0"/>
        <w:autoSpaceDN w:val="0"/>
        <w:adjustRightInd w:val="0"/>
      </w:pPr>
      <w:r w:rsidRPr="0047462D">
        <w:t>Πάρτε το με τροφή που περιέχει λίπος</w:t>
      </w:r>
      <w:r w:rsidR="00C62342" w:rsidRPr="0047462D">
        <w:t>.</w:t>
      </w:r>
      <w:r w:rsidR="00F53FFB" w:rsidRPr="0047462D">
        <w:t xml:space="preserve"> </w:t>
      </w:r>
    </w:p>
    <w:p w14:paraId="45E10A36" w14:textId="77777777" w:rsidR="000F0A70" w:rsidRPr="0047462D" w:rsidRDefault="000F0A70" w:rsidP="00C62342">
      <w:pPr>
        <w:suppressLineNumbers/>
        <w:autoSpaceDE w:val="0"/>
        <w:autoSpaceDN w:val="0"/>
        <w:adjustRightInd w:val="0"/>
      </w:pPr>
    </w:p>
    <w:p w14:paraId="6551A12B" w14:textId="77777777" w:rsidR="00C62342" w:rsidRPr="0047462D" w:rsidRDefault="00523EC9" w:rsidP="00C62342">
      <w:pPr>
        <w:suppressLineNumbers/>
        <w:autoSpaceDE w:val="0"/>
        <w:autoSpaceDN w:val="0"/>
        <w:adjustRightInd w:val="0"/>
      </w:pPr>
      <w:r w:rsidRPr="0047462D">
        <w:t>Μην σπάτε, μασάτε ή διαλύετε τα δισκία</w:t>
      </w:r>
      <w:r w:rsidR="00C62342" w:rsidRPr="0047462D">
        <w:t>.</w:t>
      </w:r>
    </w:p>
    <w:p w14:paraId="07A0C983" w14:textId="77777777" w:rsidR="00C62342" w:rsidRPr="0047462D" w:rsidRDefault="00C62342" w:rsidP="00C62342">
      <w:pPr>
        <w:rPr>
          <w:noProof/>
        </w:rPr>
      </w:pPr>
    </w:p>
    <w:p w14:paraId="3E5F66BB" w14:textId="77777777" w:rsidR="00C62342" w:rsidRPr="0047462D" w:rsidRDefault="00C929D6" w:rsidP="00C62342">
      <w:pPr>
        <w:rPr>
          <w:noProof/>
        </w:rPr>
      </w:pPr>
      <w:r w:rsidRPr="0047462D">
        <w:rPr>
          <w:noProof/>
        </w:rPr>
        <w:t>Τοποθετήστε το καπάκι από κάτω για κλείσιμο</w:t>
      </w:r>
    </w:p>
    <w:p w14:paraId="6CF4D9FD" w14:textId="77777777" w:rsidR="000F0A70" w:rsidRPr="0047462D" w:rsidRDefault="000F0A70" w:rsidP="00C62342">
      <w:pPr>
        <w:rPr>
          <w:noProof/>
        </w:rPr>
      </w:pPr>
    </w:p>
    <w:p w14:paraId="085BB8BF" w14:textId="77777777" w:rsidR="00C62342" w:rsidRPr="0047462D" w:rsidRDefault="00C929D6" w:rsidP="00C62342">
      <w:pPr>
        <w:rPr>
          <w:noProof/>
        </w:rPr>
      </w:pPr>
      <w:r w:rsidRPr="0047462D">
        <w:rPr>
          <w:noProof/>
        </w:rPr>
        <w:t>Ανοίξτε</w:t>
      </w:r>
    </w:p>
    <w:p w14:paraId="41CB385A" w14:textId="77777777" w:rsidR="00C62342" w:rsidRPr="0047462D" w:rsidRDefault="00C62342" w:rsidP="00C62342">
      <w:pPr>
        <w:rPr>
          <w:noProof/>
        </w:rPr>
      </w:pPr>
    </w:p>
    <w:p w14:paraId="2C3D9AAE" w14:textId="77777777" w:rsidR="00C62342" w:rsidRPr="0047462D" w:rsidRDefault="00C62342" w:rsidP="00C62342"/>
    <w:p w14:paraId="5263D1B6"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00613ADC"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A711E6A" w14:textId="77777777" w:rsidR="00C62342" w:rsidRPr="0047462D" w:rsidRDefault="00C62342" w:rsidP="00C62342">
      <w:pPr>
        <w:suppressLineNumbers/>
      </w:pPr>
    </w:p>
    <w:p w14:paraId="40A8A68B" w14:textId="77777777" w:rsidR="00C62342" w:rsidRPr="0047462D" w:rsidRDefault="00613ADC" w:rsidP="00C62342">
      <w:pPr>
        <w:suppressLineNumbers/>
        <w:outlineLvl w:val="0"/>
      </w:pPr>
      <w:r w:rsidRPr="0047462D">
        <w:t>Να φυλάσσεται σε θέση, την οποία δεν βλέπουν και δεν προσεγγίζουν τα παιδιά</w:t>
      </w:r>
      <w:r w:rsidR="00C62342" w:rsidRPr="0047462D">
        <w:t>.</w:t>
      </w:r>
    </w:p>
    <w:p w14:paraId="2109FAC4" w14:textId="77777777" w:rsidR="00C62342" w:rsidRPr="0047462D" w:rsidRDefault="00C62342" w:rsidP="00C62342"/>
    <w:p w14:paraId="16E5E3A2" w14:textId="77777777" w:rsidR="00C62342" w:rsidRPr="0047462D" w:rsidRDefault="00C62342" w:rsidP="00C62342"/>
    <w:p w14:paraId="0C5A7AB2"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00613ADC" w:rsidRPr="0047462D">
        <w:rPr>
          <w:b/>
        </w:rPr>
        <w:t>ΑΛΛΗ(ΕΣ) ΕΙΔΙΚΗ(ΕΣ) ΠΡΟΕΙΔΟΠΟΙΗΣΗ(ΕΙΣ), ΕΑΝ ΕΙΝΑΙ ΑΠΑΡΑΙΤΗΤΗ(ΕΣ)</w:t>
      </w:r>
    </w:p>
    <w:p w14:paraId="0621C507" w14:textId="77777777" w:rsidR="00C62342" w:rsidRPr="0047462D" w:rsidRDefault="00C62342" w:rsidP="00C62342"/>
    <w:p w14:paraId="58904029" w14:textId="77777777" w:rsidR="00C62342" w:rsidRPr="0047462D" w:rsidRDefault="00C62342" w:rsidP="00C62342"/>
    <w:p w14:paraId="30FA3B96" w14:textId="77777777" w:rsidR="00C62342" w:rsidRPr="0047462D" w:rsidRDefault="00C62342" w:rsidP="00C62342">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00613ADC" w:rsidRPr="0047462D">
        <w:rPr>
          <w:b/>
          <w:noProof/>
          <w:szCs w:val="22"/>
        </w:rPr>
        <w:t>ΗΜΕΡΟΜΗΝΙΑ ΛΗΞΗΣ</w:t>
      </w:r>
    </w:p>
    <w:p w14:paraId="0ACCC967" w14:textId="77777777" w:rsidR="00C62342" w:rsidRPr="0047462D" w:rsidRDefault="00C62342" w:rsidP="00C62342">
      <w:pPr>
        <w:keepNext/>
        <w:suppressLineNumbers/>
      </w:pPr>
    </w:p>
    <w:p w14:paraId="6D573B13" w14:textId="77777777" w:rsidR="00C62342" w:rsidRPr="0047462D" w:rsidRDefault="00613ADC" w:rsidP="00C62342">
      <w:pPr>
        <w:suppressLineNumbers/>
      </w:pPr>
      <w:r w:rsidRPr="0047462D">
        <w:t>ΛΗΞΗ</w:t>
      </w:r>
    </w:p>
    <w:p w14:paraId="46822CC1" w14:textId="77777777" w:rsidR="00C62342" w:rsidRPr="0047462D" w:rsidRDefault="00C62342" w:rsidP="00C62342"/>
    <w:p w14:paraId="0AFBD4D6" w14:textId="77777777" w:rsidR="00C62342" w:rsidRPr="0047462D" w:rsidRDefault="00C62342" w:rsidP="00C62342"/>
    <w:p w14:paraId="7A20DEB8" w14:textId="77777777" w:rsidR="00C62342" w:rsidRPr="0047462D" w:rsidRDefault="00C62342" w:rsidP="00C62342">
      <w:pPr>
        <w:keepNext/>
        <w:keepLines/>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00613ADC" w:rsidRPr="0047462D">
        <w:rPr>
          <w:rFonts w:eastAsia="Times New Roman"/>
          <w:b/>
          <w:bCs/>
          <w:szCs w:val="22"/>
        </w:rPr>
        <w:t>ΕΙΔΙΚΕΣ ΣΥΝΘΗΚΕΣ ΦΥΛΑΞΗΣ</w:t>
      </w:r>
    </w:p>
    <w:p w14:paraId="5A0D35E6" w14:textId="77777777" w:rsidR="00C62342" w:rsidRPr="0047462D" w:rsidRDefault="00C62342" w:rsidP="00C62342">
      <w:pPr>
        <w:keepLines/>
        <w:suppressLineNumbers/>
      </w:pPr>
    </w:p>
    <w:p w14:paraId="47D9988A" w14:textId="77777777" w:rsidR="00C62342" w:rsidRPr="0047462D" w:rsidRDefault="00C62342" w:rsidP="009A2EEC">
      <w:pPr>
        <w:keepLines/>
      </w:pPr>
    </w:p>
    <w:p w14:paraId="01BDB3C3" w14:textId="77777777" w:rsidR="00C62342" w:rsidRPr="0047462D" w:rsidRDefault="00C62342" w:rsidP="00613ADC">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00613ADC" w:rsidRPr="0047462D">
        <w:rPr>
          <w:b/>
        </w:rPr>
        <w:t>ΙΔΙΑΙΤΕΡΕΣ ΠΡΟΦΥΛΑΞΕΙΣ ΓΙΑ ΤΗΝ ΑΠΟΡΡΙΨΗ ΤΩΝ ΜΗ</w:t>
      </w:r>
      <w:r w:rsidRPr="0047462D">
        <w:rPr>
          <w:b/>
          <w:bCs/>
        </w:rPr>
        <w:t xml:space="preserve"> </w:t>
      </w:r>
      <w:r w:rsidR="00613ADC" w:rsidRPr="0047462D">
        <w:rPr>
          <w:b/>
        </w:rPr>
        <w:t>ΧΡΗΣΙΜΟΠΟΙΗΘΕΝΤΩΝ ΦΑΡΜΑΚΕΥΤΙΚΩΝ ΠΡΟΪΟΝΤΩΝ Ή ΤΩΝ</w:t>
      </w:r>
      <w:r w:rsidRPr="0047462D">
        <w:rPr>
          <w:b/>
          <w:bCs/>
        </w:rPr>
        <w:t xml:space="preserve"> </w:t>
      </w:r>
      <w:r w:rsidR="00613ADC" w:rsidRPr="0047462D">
        <w:rPr>
          <w:b/>
        </w:rPr>
        <w:t>ΥΠΟΛΕΙΜΜΑΤΩΝ ΠΟΥ ΠΡΟΕΡΧΟΝΤΑΙ ΑΠΟ ΑΥΤΑ, ΕΦΟΣΟΝ ΑΠΑΙΤΕΙΤΑΙ</w:t>
      </w:r>
    </w:p>
    <w:p w14:paraId="65A5FA35" w14:textId="77777777" w:rsidR="00C62342" w:rsidRPr="0047462D" w:rsidRDefault="00C62342" w:rsidP="00C62342">
      <w:pPr>
        <w:suppressLineNumbers/>
      </w:pPr>
    </w:p>
    <w:p w14:paraId="2B7CB034" w14:textId="77777777" w:rsidR="00C62342" w:rsidRPr="0047462D" w:rsidRDefault="00C62342" w:rsidP="00C62342">
      <w:pPr>
        <w:suppressLineNumbers/>
      </w:pPr>
    </w:p>
    <w:p w14:paraId="6980896A"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00F60A28" w:rsidRPr="0047462D">
        <w:rPr>
          <w:b/>
        </w:rPr>
        <w:t>ΟΝΟΜΑ ΚΑΙ ΔΙΕΥΘΥΝΣΗ ΚΑΤΟΧΟΥ ΤΗΣ ΑΔΕΙΑΣ ΚΥΚΛΟΦΟΡΙΑΣ</w:t>
      </w:r>
    </w:p>
    <w:p w14:paraId="03248F23" w14:textId="77777777" w:rsidR="00C62342" w:rsidRPr="0047462D" w:rsidRDefault="00C62342" w:rsidP="00C62342">
      <w:pPr>
        <w:suppressLineNumbers/>
      </w:pPr>
    </w:p>
    <w:p w14:paraId="2C93ED36" w14:textId="77777777" w:rsidR="00AE0285" w:rsidRPr="0047462D" w:rsidRDefault="00AE0285" w:rsidP="00AE0285">
      <w:pPr>
        <w:rPr>
          <w:iCs/>
          <w:lang w:val="en-GB"/>
        </w:rPr>
      </w:pPr>
      <w:r w:rsidRPr="0047462D">
        <w:rPr>
          <w:iCs/>
          <w:lang w:val="en-GB"/>
        </w:rPr>
        <w:t>Vertex Pharmaceuticals (Ireland) Limited</w:t>
      </w:r>
    </w:p>
    <w:p w14:paraId="41FFECA3" w14:textId="77777777" w:rsidR="00AE0285" w:rsidRPr="0047462D" w:rsidRDefault="00AE0285" w:rsidP="00AE0285">
      <w:pPr>
        <w:rPr>
          <w:iCs/>
          <w:lang w:val="en-GB"/>
        </w:rPr>
      </w:pPr>
      <w:r w:rsidRPr="0047462D">
        <w:rPr>
          <w:iCs/>
          <w:lang w:val="en-GB"/>
        </w:rPr>
        <w:t>28-32 Pembroke Street Upper</w:t>
      </w:r>
    </w:p>
    <w:p w14:paraId="122606A7"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57D9FB8D" w14:textId="77777777" w:rsidR="00AE0285" w:rsidRPr="0047462D" w:rsidRDefault="00AE0285" w:rsidP="00AE0285">
      <w:pPr>
        <w:pStyle w:val="NormalIndent"/>
        <w:spacing w:after="0"/>
        <w:ind w:left="0"/>
      </w:pPr>
      <w:r w:rsidRPr="0047462D">
        <w:rPr>
          <w:iCs/>
        </w:rPr>
        <w:t>Ιρλανδία</w:t>
      </w:r>
    </w:p>
    <w:p w14:paraId="6094239E" w14:textId="77777777" w:rsidR="00C62342" w:rsidRPr="0047462D" w:rsidRDefault="00C62342" w:rsidP="00C62342"/>
    <w:p w14:paraId="2E27449C" w14:textId="77777777" w:rsidR="00C62342" w:rsidRPr="0047462D" w:rsidRDefault="00C62342" w:rsidP="00C62342">
      <w:pPr>
        <w:pStyle w:val="NormalIndent"/>
        <w:spacing w:after="0"/>
        <w:ind w:left="0"/>
      </w:pPr>
    </w:p>
    <w:p w14:paraId="337FD0D7"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00F60A28" w:rsidRPr="0047462D">
        <w:rPr>
          <w:rFonts w:eastAsia="Times New Roman"/>
          <w:b/>
          <w:bCs/>
          <w:szCs w:val="22"/>
        </w:rPr>
        <w:t>ΑΡΙΘΜΟΣ(ΟΙ) ΑΔΕΙΑΣ ΚΥΚΛΟΦΟΡΙΑΣ</w:t>
      </w:r>
    </w:p>
    <w:p w14:paraId="497B9C79" w14:textId="77777777" w:rsidR="00C62342" w:rsidRPr="0047462D" w:rsidRDefault="00C62342" w:rsidP="00C62342">
      <w:pPr>
        <w:suppressLineNumbers/>
      </w:pPr>
    </w:p>
    <w:p w14:paraId="262EBC07" w14:textId="77777777" w:rsidR="00C62342" w:rsidRPr="0047462D" w:rsidRDefault="00677D05" w:rsidP="00C62342">
      <w:pPr>
        <w:suppressLineNumbers/>
      </w:pPr>
      <w:r w:rsidRPr="0047462D">
        <w:t>EU/1/12/782/005</w:t>
      </w:r>
    </w:p>
    <w:p w14:paraId="69F02BDC" w14:textId="77777777" w:rsidR="00677D05" w:rsidRPr="0047462D" w:rsidRDefault="00677D05" w:rsidP="00C62342">
      <w:pPr>
        <w:suppressLineNumbers/>
      </w:pPr>
    </w:p>
    <w:p w14:paraId="3DCF9686" w14:textId="77777777" w:rsidR="00677D05" w:rsidRPr="0047462D" w:rsidRDefault="00677D05" w:rsidP="00C62342">
      <w:pPr>
        <w:suppressLineNumbers/>
      </w:pPr>
    </w:p>
    <w:p w14:paraId="5FCE7954"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00F60A28" w:rsidRPr="0047462D">
        <w:rPr>
          <w:b/>
        </w:rPr>
        <w:t>ΑΡΙΘΜΟΣ ΠΑΡΤΙΔΑΣ</w:t>
      </w:r>
    </w:p>
    <w:p w14:paraId="0F1185E0" w14:textId="77777777" w:rsidR="00C62342" w:rsidRPr="0047462D" w:rsidRDefault="00C62342" w:rsidP="00C62342">
      <w:pPr>
        <w:suppressLineNumbers/>
        <w:rPr>
          <w:i/>
          <w:iCs/>
        </w:rPr>
      </w:pPr>
    </w:p>
    <w:p w14:paraId="2E49AD9B" w14:textId="77777777" w:rsidR="00C62342" w:rsidRPr="0047462D" w:rsidRDefault="00F60A28" w:rsidP="00C62342">
      <w:pPr>
        <w:suppressLineNumbers/>
      </w:pPr>
      <w:r w:rsidRPr="0047462D">
        <w:rPr>
          <w:szCs w:val="22"/>
          <w:lang w:eastAsia="en-US"/>
        </w:rPr>
        <w:t>Παρτίδα</w:t>
      </w:r>
    </w:p>
    <w:p w14:paraId="5B95D4DF" w14:textId="77777777" w:rsidR="00C62342" w:rsidRPr="0047462D" w:rsidRDefault="00C62342" w:rsidP="00C62342">
      <w:pPr>
        <w:suppressLineNumbers/>
      </w:pPr>
    </w:p>
    <w:p w14:paraId="1E144661" w14:textId="77777777" w:rsidR="00C62342" w:rsidRPr="0047462D" w:rsidRDefault="00C62342" w:rsidP="00C62342">
      <w:pPr>
        <w:suppressLineNumbers/>
      </w:pPr>
    </w:p>
    <w:p w14:paraId="0ADCC923"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00296C44" w:rsidRPr="0047462D">
        <w:rPr>
          <w:b/>
        </w:rPr>
        <w:t>ΓΕΝΙΚΗ ΚΑΤΑΤΑΞΗ ΓΙΑ ΤΗ ΔΙΑΘΕΣΗ</w:t>
      </w:r>
    </w:p>
    <w:p w14:paraId="531D0BA5" w14:textId="77777777" w:rsidR="00C62342" w:rsidRPr="0047462D" w:rsidRDefault="00C62342" w:rsidP="00C62342">
      <w:pPr>
        <w:suppressLineNumbers/>
      </w:pPr>
    </w:p>
    <w:p w14:paraId="1C54A12B" w14:textId="77777777" w:rsidR="00C62342" w:rsidRPr="0047462D" w:rsidRDefault="00C62342" w:rsidP="00C62342">
      <w:pPr>
        <w:suppressLineNumbers/>
      </w:pPr>
    </w:p>
    <w:p w14:paraId="75B7BB7F" w14:textId="77777777" w:rsidR="00C62342" w:rsidRPr="0047462D" w:rsidRDefault="00C62342" w:rsidP="00C62342">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00296C44" w:rsidRPr="0047462D">
        <w:rPr>
          <w:b/>
          <w:noProof/>
          <w:szCs w:val="22"/>
        </w:rPr>
        <w:t>ΟΔΗΓΙΕΣ ΧΡΗΣΗΣ</w:t>
      </w:r>
    </w:p>
    <w:p w14:paraId="24A0DEEA" w14:textId="77777777" w:rsidR="00C62342" w:rsidRPr="0047462D" w:rsidRDefault="00C62342" w:rsidP="00C62342">
      <w:pPr>
        <w:suppressLineNumbers/>
      </w:pPr>
    </w:p>
    <w:p w14:paraId="4A948083" w14:textId="77777777" w:rsidR="00C62342" w:rsidRPr="0047462D" w:rsidRDefault="00C62342" w:rsidP="00C62342">
      <w:pPr>
        <w:suppressLineNumbers/>
      </w:pPr>
    </w:p>
    <w:p w14:paraId="3E1302B3" w14:textId="77777777" w:rsidR="00C62342" w:rsidRPr="0047462D" w:rsidRDefault="00C62342" w:rsidP="00C62342">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00296C44" w:rsidRPr="0047462D">
        <w:rPr>
          <w:b/>
          <w:noProof/>
          <w:szCs w:val="22"/>
        </w:rPr>
        <w:t xml:space="preserve">ΠΛΗΡΟΦΟΡΙΕΣ ΣΕ </w:t>
      </w:r>
      <w:r w:rsidRPr="0047462D">
        <w:rPr>
          <w:b/>
          <w:bCs/>
        </w:rPr>
        <w:t>BRAILLE</w:t>
      </w:r>
    </w:p>
    <w:p w14:paraId="7A5B5016" w14:textId="77777777" w:rsidR="00C62342" w:rsidRPr="0047462D" w:rsidRDefault="00C62342" w:rsidP="00C62342">
      <w:pPr>
        <w:suppressLineNumbers/>
        <w:rPr>
          <w:shd w:val="clear" w:color="auto" w:fill="CCCCCC"/>
        </w:rPr>
      </w:pPr>
    </w:p>
    <w:p w14:paraId="1C1C4BA3" w14:textId="77777777" w:rsidR="00C62342" w:rsidRPr="0047462D" w:rsidRDefault="00C62342" w:rsidP="00C62342">
      <w:pPr>
        <w:suppressLineNumbers/>
      </w:pPr>
      <w:r w:rsidRPr="0047462D">
        <w:t xml:space="preserve">Kalydeco 150 mg </w:t>
      </w:r>
      <w:r w:rsidR="00296C44" w:rsidRPr="0047462D">
        <w:t>δισκία</w:t>
      </w:r>
    </w:p>
    <w:p w14:paraId="048E7892" w14:textId="77777777" w:rsidR="00C62342" w:rsidRPr="0047462D" w:rsidRDefault="00C62342" w:rsidP="00C62342">
      <w:pPr>
        <w:suppressLineNumbers/>
      </w:pPr>
    </w:p>
    <w:p w14:paraId="68B43009" w14:textId="77777777" w:rsidR="00C62342" w:rsidRPr="0047462D" w:rsidRDefault="00C62342" w:rsidP="00C62342">
      <w:pPr>
        <w:suppressLineNumbers/>
      </w:pPr>
    </w:p>
    <w:p w14:paraId="63A3AF8B" w14:textId="77777777" w:rsidR="00296C44" w:rsidRPr="0047462D" w:rsidRDefault="00C62342" w:rsidP="00296C44">
      <w:pPr>
        <w:suppressLineNumbers/>
        <w:pBdr>
          <w:top w:val="single" w:sz="4" w:space="1" w:color="auto"/>
          <w:left w:val="single" w:sz="4" w:space="4" w:color="auto"/>
          <w:bottom w:val="single" w:sz="4" w:space="0" w:color="auto"/>
          <w:right w:val="single" w:sz="4" w:space="4" w:color="auto"/>
        </w:pBdr>
        <w:rPr>
          <w:b/>
          <w:noProof/>
        </w:rPr>
      </w:pPr>
      <w:r w:rsidRPr="0047462D">
        <w:rPr>
          <w:b/>
          <w:bCs/>
        </w:rPr>
        <w:t>17.</w:t>
      </w:r>
      <w:r w:rsidRPr="0047462D">
        <w:rPr>
          <w:b/>
          <w:bCs/>
        </w:rPr>
        <w:tab/>
      </w:r>
      <w:r w:rsidR="00296C44" w:rsidRPr="0047462D">
        <w:rPr>
          <w:b/>
          <w:noProof/>
        </w:rPr>
        <w:t>ΜΟΝΑΔΙΚΟΣ ΑΝΑΓΝΩΡΙΣΤΙΚΟΣ ΚΩΔΙΚΟΣ – ΔΙΣΔΙΑΣΤΑΤΟΣ ΓΡΑΜΜΩΤΟΣ</w:t>
      </w:r>
    </w:p>
    <w:p w14:paraId="19926561" w14:textId="77777777" w:rsidR="00C62342" w:rsidRPr="0047462D" w:rsidRDefault="00296C44" w:rsidP="00296C44">
      <w:pPr>
        <w:suppressLineNumbers/>
        <w:pBdr>
          <w:top w:val="single" w:sz="4" w:space="1" w:color="auto"/>
          <w:left w:val="single" w:sz="4" w:space="4" w:color="auto"/>
          <w:bottom w:val="single" w:sz="4" w:space="0" w:color="auto"/>
          <w:right w:val="single" w:sz="4" w:space="4" w:color="auto"/>
        </w:pBdr>
        <w:ind w:firstLine="540"/>
        <w:rPr>
          <w:b/>
          <w:noProof/>
        </w:rPr>
      </w:pPr>
      <w:r w:rsidRPr="0047462D">
        <w:rPr>
          <w:b/>
          <w:noProof/>
        </w:rPr>
        <w:t>ΚΩΔΙΚΑΣ (2D)</w:t>
      </w:r>
    </w:p>
    <w:p w14:paraId="2047F3B6" w14:textId="77777777" w:rsidR="00C62342" w:rsidRPr="0047462D" w:rsidRDefault="00C62342" w:rsidP="00C62342">
      <w:pPr>
        <w:suppressLineNumbers/>
        <w:rPr>
          <w:bCs/>
        </w:rPr>
      </w:pPr>
    </w:p>
    <w:p w14:paraId="035D4CCF" w14:textId="77777777" w:rsidR="00C62342" w:rsidRPr="0047462D" w:rsidRDefault="00296C44" w:rsidP="00C62342">
      <w:pPr>
        <w:suppressLineNumbers/>
      </w:pPr>
      <w:r w:rsidRPr="0047462D">
        <w:rPr>
          <w:noProof/>
        </w:rPr>
        <w:t>Δισδιάστατος γραμμωτός κώδικας (2D) που φέρει τον περιληφθέντα μοναδικό αναγνωριστικό κωδικό</w:t>
      </w:r>
      <w:r w:rsidR="00C62342" w:rsidRPr="0047462D">
        <w:t>.</w:t>
      </w:r>
    </w:p>
    <w:p w14:paraId="2D5863D0" w14:textId="77777777" w:rsidR="00C62342" w:rsidRPr="0047462D" w:rsidRDefault="00C62342" w:rsidP="00C62342">
      <w:pPr>
        <w:suppressLineNumbers/>
        <w:rPr>
          <w:bCs/>
        </w:rPr>
      </w:pPr>
    </w:p>
    <w:p w14:paraId="32F9E866" w14:textId="77777777" w:rsidR="00C62342" w:rsidRPr="0047462D" w:rsidRDefault="00C62342" w:rsidP="00C62342">
      <w:pPr>
        <w:suppressLineNumbers/>
        <w:rPr>
          <w:bCs/>
        </w:rPr>
      </w:pPr>
    </w:p>
    <w:p w14:paraId="38554F9F" w14:textId="77777777" w:rsidR="00C62342" w:rsidRPr="0047462D" w:rsidRDefault="00C62342" w:rsidP="00296C44">
      <w:pPr>
        <w:keepNext/>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00296C44" w:rsidRPr="0047462D">
        <w:rPr>
          <w:b/>
          <w:noProof/>
        </w:rPr>
        <w:t>ΜΟΝΑΔΙΚΟΣ ΑΝΑΓΝΩΡΙΣΤΙΚΟΣ ΚΩΔΙΚΟΣ – ΔΕΔΟΜΕΝΑ ΑΝΑΓΝΩΣΙΜΑ ΑΠΟ ΤΟΝ ΑΝΘΡΩΠΟ</w:t>
      </w:r>
    </w:p>
    <w:p w14:paraId="3BDC53F0" w14:textId="77777777" w:rsidR="00C62342" w:rsidRPr="0047462D" w:rsidRDefault="00C62342" w:rsidP="00296C44">
      <w:pPr>
        <w:keepNext/>
        <w:suppressLineNumbers/>
        <w:rPr>
          <w:bCs/>
        </w:rPr>
      </w:pPr>
    </w:p>
    <w:p w14:paraId="0E8CFB7A" w14:textId="5A040893" w:rsidR="00C62342" w:rsidRPr="0047462D" w:rsidRDefault="00C62342" w:rsidP="00296C44">
      <w:pPr>
        <w:keepNext/>
        <w:suppressLineNumbers/>
      </w:pPr>
      <w:r w:rsidRPr="0047462D">
        <w:t>PC</w:t>
      </w:r>
    </w:p>
    <w:p w14:paraId="51983044" w14:textId="67C9E437" w:rsidR="00C62342" w:rsidRPr="0047462D" w:rsidRDefault="00C62342" w:rsidP="00296C44">
      <w:pPr>
        <w:keepNext/>
        <w:suppressLineNumbers/>
      </w:pPr>
      <w:r w:rsidRPr="0047462D">
        <w:t>SN</w:t>
      </w:r>
    </w:p>
    <w:p w14:paraId="56807C57" w14:textId="4744F2A3" w:rsidR="00C62342" w:rsidRPr="0047462D" w:rsidRDefault="00C62342" w:rsidP="00C62342">
      <w:pPr>
        <w:suppressLineNumbers/>
      </w:pPr>
      <w:r w:rsidRPr="0047462D">
        <w:t>NN</w:t>
      </w:r>
    </w:p>
    <w:p w14:paraId="1A2EF511" w14:textId="77777777" w:rsidR="00C62342" w:rsidRPr="0047462D" w:rsidRDefault="00C62342" w:rsidP="00C62342">
      <w:pPr>
        <w:suppressLineNumbers/>
        <w:rPr>
          <w:bCs/>
        </w:rPr>
      </w:pPr>
    </w:p>
    <w:p w14:paraId="167C5064" w14:textId="77777777" w:rsidR="00C62342" w:rsidRPr="0047462D" w:rsidRDefault="00C62342" w:rsidP="00C62342">
      <w:pPr>
        <w:pBdr>
          <w:top w:val="single" w:sz="4" w:space="1" w:color="auto"/>
          <w:left w:val="single" w:sz="4" w:space="4" w:color="auto"/>
          <w:bottom w:val="single" w:sz="4" w:space="1" w:color="auto"/>
          <w:right w:val="single" w:sz="4" w:space="4" w:color="auto"/>
        </w:pBdr>
        <w:rPr>
          <w:b/>
        </w:rPr>
      </w:pPr>
      <w:r w:rsidRPr="0047462D">
        <w:rPr>
          <w:bCs/>
        </w:rPr>
        <w:br w:type="page"/>
      </w:r>
      <w:r w:rsidR="00296C44" w:rsidRPr="0047462D">
        <w:rPr>
          <w:b/>
          <w:bCs/>
          <w:caps/>
        </w:rPr>
        <w:t>ΕΝΔΕΙΞΕΙΣ ΠΟΥ ΠΡΕΠΕΙ ΝΑ ΑΝΑΓΡΑΦΟΝΤΑΙ ΣΤΗ ΣΤΟΙΧΕΙΩΔΗ ΣΥΣΚΕΥΑΣΙΑ</w:t>
      </w:r>
    </w:p>
    <w:p w14:paraId="3A24BD2F"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rPr>
          <w:b/>
        </w:rPr>
      </w:pPr>
    </w:p>
    <w:p w14:paraId="2E7A7809" w14:textId="77777777" w:rsidR="00C62342" w:rsidRPr="0047462D" w:rsidRDefault="00296C44" w:rsidP="00C62342">
      <w:pPr>
        <w:pBdr>
          <w:top w:val="single" w:sz="4" w:space="1" w:color="auto"/>
          <w:left w:val="single" w:sz="4" w:space="4" w:color="auto"/>
          <w:bottom w:val="single" w:sz="4" w:space="1" w:color="auto"/>
          <w:right w:val="single" w:sz="4" w:space="4" w:color="auto"/>
        </w:pBdr>
      </w:pPr>
      <w:r w:rsidRPr="0047462D">
        <w:rPr>
          <w:b/>
          <w:bCs/>
          <w:caps/>
        </w:rPr>
        <w:t>ΚΑΡΤΑ ΚΥΨΕΛΗς (</w:t>
      </w:r>
      <w:r w:rsidR="00C62342" w:rsidRPr="0047462D">
        <w:rPr>
          <w:b/>
          <w:bCs/>
          <w:caps/>
        </w:rPr>
        <w:t>BLISTER</w:t>
      </w:r>
      <w:r w:rsidR="0095613C" w:rsidRPr="0047462D">
        <w:rPr>
          <w:b/>
          <w:bCs/>
          <w:caps/>
        </w:rPr>
        <w:t xml:space="preserve"> </w:t>
      </w:r>
      <w:r w:rsidR="0095613C" w:rsidRPr="0047462D">
        <w:rPr>
          <w:b/>
          <w:bCs/>
          <w:caps/>
          <w:lang w:val="en-GB"/>
        </w:rPr>
        <w:t>CARD</w:t>
      </w:r>
      <w:r w:rsidRPr="0047462D">
        <w:rPr>
          <w:b/>
          <w:bCs/>
        </w:rPr>
        <w:t xml:space="preserve">) </w:t>
      </w:r>
      <w:r w:rsidR="00C62342" w:rsidRPr="0047462D">
        <w:rPr>
          <w:b/>
          <w:bCs/>
        </w:rPr>
        <w:t xml:space="preserve">– </w:t>
      </w:r>
      <w:r w:rsidRPr="0047462D">
        <w:rPr>
          <w:b/>
          <w:bCs/>
        </w:rPr>
        <w:t xml:space="preserve">ΣΥΣΚΕΥΑΣΙΑ </w:t>
      </w:r>
      <w:r w:rsidR="00C62342" w:rsidRPr="0047462D">
        <w:rPr>
          <w:b/>
          <w:bCs/>
        </w:rPr>
        <w:t>28</w:t>
      </w:r>
      <w:r w:rsidRPr="0047462D">
        <w:rPr>
          <w:b/>
          <w:bCs/>
        </w:rPr>
        <w:t xml:space="preserve"> ΔΙΣΚΙΩΝ</w:t>
      </w:r>
    </w:p>
    <w:p w14:paraId="2B5BC172" w14:textId="77777777" w:rsidR="00C62342" w:rsidRPr="0047462D" w:rsidRDefault="00C62342" w:rsidP="00C62342">
      <w:pPr>
        <w:suppressLineNumbers/>
      </w:pPr>
    </w:p>
    <w:p w14:paraId="7A18F386" w14:textId="77777777" w:rsidR="00C62342" w:rsidRPr="0047462D" w:rsidRDefault="00C62342" w:rsidP="00C62342">
      <w:pPr>
        <w:suppressLineNumbers/>
      </w:pPr>
    </w:p>
    <w:p w14:paraId="2A4355F7"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00E7199C" w:rsidRPr="0047462D">
        <w:rPr>
          <w:b/>
          <w:noProof/>
          <w:szCs w:val="22"/>
        </w:rPr>
        <w:t>ΟΝΟΜΑΣΙΑ ΤΟΥ ΦΑΡΜΑΚΕΥΤΙΚΟΥ ΠΡΟΪΟΝΤΟΣ</w:t>
      </w:r>
    </w:p>
    <w:p w14:paraId="7445A8FD" w14:textId="77777777" w:rsidR="00C62342" w:rsidRPr="0047462D" w:rsidRDefault="00C62342" w:rsidP="00C62342">
      <w:pPr>
        <w:suppressLineNumbers/>
      </w:pPr>
    </w:p>
    <w:p w14:paraId="2F70DDF5" w14:textId="77777777" w:rsidR="00C62342" w:rsidRPr="0047462D" w:rsidRDefault="00C62342" w:rsidP="00C62342">
      <w:r w:rsidRPr="0047462D">
        <w:t xml:space="preserve">Kalydeco 150 mg </w:t>
      </w:r>
      <w:r w:rsidR="00F409D5" w:rsidRPr="0047462D">
        <w:rPr>
          <w:rFonts w:eastAsia="Times New Roman"/>
          <w:spacing w:val="4"/>
          <w:szCs w:val="22"/>
        </w:rPr>
        <w:t>επικαλυμμένα με λεπτό υμένιο δισκία</w:t>
      </w:r>
    </w:p>
    <w:p w14:paraId="17FFD726" w14:textId="77777777" w:rsidR="00C62342" w:rsidRPr="0047462D" w:rsidRDefault="00431BAD" w:rsidP="00C62342">
      <w:pPr>
        <w:rPr>
          <w:i/>
          <w:iCs/>
        </w:rPr>
      </w:pPr>
      <w:r w:rsidRPr="0047462D">
        <w:t>i</w:t>
      </w:r>
      <w:r w:rsidR="00C62342" w:rsidRPr="0047462D">
        <w:t>vacaftor</w:t>
      </w:r>
    </w:p>
    <w:p w14:paraId="4CED89CC" w14:textId="77777777" w:rsidR="00C62342" w:rsidRPr="0047462D" w:rsidRDefault="00C62342" w:rsidP="00C62342">
      <w:pPr>
        <w:suppressLineNumbers/>
      </w:pPr>
    </w:p>
    <w:p w14:paraId="4FCC2B67" w14:textId="77777777" w:rsidR="00C62342" w:rsidRPr="0047462D" w:rsidRDefault="00C62342" w:rsidP="00C62342">
      <w:pPr>
        <w:suppressLineNumbers/>
      </w:pPr>
    </w:p>
    <w:p w14:paraId="66A9F584"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00F409D5" w:rsidRPr="0047462D">
        <w:rPr>
          <w:b/>
        </w:rPr>
        <w:t>ΣΥΝΘΕΣΗ ΣΕ ΔΡΑΣΤΙΚΗ(ΕΣ) ΟΥΣΙΑ(ΕΣ)</w:t>
      </w:r>
    </w:p>
    <w:p w14:paraId="213CC6C3" w14:textId="77777777" w:rsidR="00C62342" w:rsidRPr="0047462D" w:rsidRDefault="00C62342" w:rsidP="00C62342">
      <w:pPr>
        <w:suppressLineNumbers/>
        <w:rPr>
          <w:iCs/>
        </w:rPr>
      </w:pPr>
    </w:p>
    <w:p w14:paraId="33A1D958" w14:textId="22B96702" w:rsidR="00C62342" w:rsidRPr="0047462D" w:rsidRDefault="00F409D5" w:rsidP="00C62342">
      <w:r w:rsidRPr="0047462D">
        <w:t>Κάθε δισκίο</w:t>
      </w:r>
      <w:r w:rsidR="00C62342" w:rsidRPr="0047462D">
        <w:t xml:space="preserve"> </w:t>
      </w:r>
      <w:r w:rsidRPr="0047462D">
        <w:t>περιέχει</w:t>
      </w:r>
      <w:r w:rsidR="00C62342" w:rsidRPr="0047462D">
        <w:t xml:space="preserve"> 150 mg ivacaftor.</w:t>
      </w:r>
    </w:p>
    <w:p w14:paraId="631BC8C7" w14:textId="77777777" w:rsidR="00C62342" w:rsidRPr="0047462D" w:rsidRDefault="00C62342" w:rsidP="00C62342">
      <w:pPr>
        <w:suppressLineNumbers/>
      </w:pPr>
    </w:p>
    <w:p w14:paraId="3BF262E5" w14:textId="77777777" w:rsidR="00C62342" w:rsidRPr="0047462D" w:rsidRDefault="00C62342" w:rsidP="00C62342">
      <w:pPr>
        <w:pStyle w:val="TitleA"/>
        <w:jc w:val="left"/>
        <w:rPr>
          <w:lang w:val="el-GR"/>
        </w:rPr>
      </w:pPr>
    </w:p>
    <w:p w14:paraId="5CC8B48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009C7A55" w:rsidRPr="0047462D">
        <w:rPr>
          <w:b/>
          <w:noProof/>
          <w:szCs w:val="22"/>
        </w:rPr>
        <w:t>ΚΑΤΑΛΟΓΟΣ ΕΚΔΟΧΩΝ</w:t>
      </w:r>
    </w:p>
    <w:p w14:paraId="1AC33208" w14:textId="77777777" w:rsidR="00C62342" w:rsidRPr="0047462D" w:rsidRDefault="00C62342" w:rsidP="00C62342">
      <w:pPr>
        <w:suppressLineNumbers/>
      </w:pPr>
    </w:p>
    <w:p w14:paraId="4D632835" w14:textId="77777777" w:rsidR="009C7A55" w:rsidRPr="0047462D" w:rsidRDefault="009C7A55" w:rsidP="009C7A55">
      <w:pPr>
        <w:rPr>
          <w:szCs w:val="22"/>
          <w:lang w:eastAsia="en-US"/>
        </w:rPr>
      </w:pPr>
      <w:r w:rsidRPr="0047462D">
        <w:rPr>
          <w:rFonts w:eastAsia="Times New Roman"/>
          <w:szCs w:val="22"/>
        </w:rPr>
        <w:t>Περιέχει λακτόζη.</w:t>
      </w:r>
    </w:p>
    <w:p w14:paraId="700A6825" w14:textId="77777777" w:rsidR="009C7A55" w:rsidRPr="0047462D" w:rsidRDefault="009C7A55" w:rsidP="009C7A55">
      <w:pPr>
        <w:rPr>
          <w:szCs w:val="22"/>
          <w:lang w:eastAsia="en-US"/>
        </w:rPr>
      </w:pPr>
    </w:p>
    <w:p w14:paraId="5A4A4D0C" w14:textId="77777777" w:rsidR="00C62342" w:rsidRPr="0047462D" w:rsidRDefault="009C7A55" w:rsidP="009C7A55">
      <w:r w:rsidRPr="0047462D">
        <w:rPr>
          <w:rFonts w:eastAsia="Times New Roman"/>
          <w:szCs w:val="22"/>
        </w:rPr>
        <w:t>Βλ. φύλλο οδηγιών χρήσης για περισσότερες πληροφορίες</w:t>
      </w:r>
      <w:r w:rsidR="00C62342" w:rsidRPr="0047462D">
        <w:t>.</w:t>
      </w:r>
    </w:p>
    <w:p w14:paraId="6F7ABE11" w14:textId="77777777" w:rsidR="00C62342" w:rsidRPr="0047462D" w:rsidRDefault="00C62342" w:rsidP="00C62342">
      <w:pPr>
        <w:suppressLineNumbers/>
      </w:pPr>
    </w:p>
    <w:p w14:paraId="52DA83EB" w14:textId="77777777" w:rsidR="00C62342" w:rsidRPr="0047462D" w:rsidRDefault="00C62342" w:rsidP="00C62342">
      <w:pPr>
        <w:suppressLineNumbers/>
      </w:pPr>
    </w:p>
    <w:p w14:paraId="24039E06"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009C7A55" w:rsidRPr="0047462D">
        <w:rPr>
          <w:rFonts w:eastAsia="Times New Roman"/>
          <w:b/>
          <w:bCs/>
          <w:szCs w:val="22"/>
        </w:rPr>
        <w:t>ΦΑΡΜΑΚΟΤΕΧΝΙΚΗ ΜΟΡΦΗ ΚΑΙ ΠΕΡΙΕΧΟΜΕΝΟ</w:t>
      </w:r>
    </w:p>
    <w:p w14:paraId="39D202E1" w14:textId="77777777" w:rsidR="00C62342" w:rsidRPr="0047462D" w:rsidRDefault="00C62342" w:rsidP="00C62342">
      <w:pPr>
        <w:suppressLineNumbers/>
      </w:pPr>
    </w:p>
    <w:p w14:paraId="48C53C24" w14:textId="77777777" w:rsidR="00C62342" w:rsidRPr="0047462D" w:rsidRDefault="00C62342" w:rsidP="00C62342">
      <w:r w:rsidRPr="0047462D">
        <w:t>7 </w:t>
      </w:r>
      <w:r w:rsidR="009C7A55" w:rsidRPr="0047462D">
        <w:t>δισκία</w:t>
      </w:r>
    </w:p>
    <w:p w14:paraId="51A11914" w14:textId="77777777" w:rsidR="00C62342" w:rsidRPr="0047462D" w:rsidRDefault="00C62342" w:rsidP="00C62342">
      <w:pPr>
        <w:suppressLineNumbers/>
      </w:pPr>
    </w:p>
    <w:p w14:paraId="2C4BF29A" w14:textId="77777777" w:rsidR="00C62342" w:rsidRPr="0047462D" w:rsidRDefault="00C62342" w:rsidP="00C62342">
      <w:pPr>
        <w:suppressLineNumbers/>
      </w:pPr>
    </w:p>
    <w:p w14:paraId="78A6CBB8"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009C7A55" w:rsidRPr="0047462D">
        <w:rPr>
          <w:b/>
        </w:rPr>
        <w:t>ΤΡΟΠΟΣ ΚΑΙ ΟΔΟΣ(ΟΙ) ΧΟΡΗΓΗΣΗΣ</w:t>
      </w:r>
    </w:p>
    <w:p w14:paraId="31E24084" w14:textId="77777777" w:rsidR="00C62342" w:rsidRPr="0047462D" w:rsidRDefault="00C62342" w:rsidP="00C62342">
      <w:pPr>
        <w:suppressLineNumbers/>
      </w:pPr>
    </w:p>
    <w:p w14:paraId="4FD1C65E" w14:textId="77777777" w:rsidR="00C62342" w:rsidRPr="0047462D" w:rsidRDefault="009C7A55" w:rsidP="00C62342">
      <w:pPr>
        <w:suppressLineNumbers/>
      </w:pPr>
      <w:r w:rsidRPr="0047462D">
        <w:t>Διαβάστε το φύλλο οδηγιών χρήσης πριν από τη χρήση</w:t>
      </w:r>
      <w:r w:rsidR="00C62342" w:rsidRPr="0047462D">
        <w:t>.</w:t>
      </w:r>
    </w:p>
    <w:p w14:paraId="3DB3E9C0" w14:textId="77777777" w:rsidR="000F0A70" w:rsidRPr="0047462D" w:rsidRDefault="000F0A70" w:rsidP="00C62342">
      <w:pPr>
        <w:suppressLineNumbers/>
      </w:pPr>
    </w:p>
    <w:p w14:paraId="3A1B5047" w14:textId="77777777" w:rsidR="00C62342" w:rsidRPr="0047462D" w:rsidRDefault="009C7A55" w:rsidP="00C62342">
      <w:r w:rsidRPr="0047462D">
        <w:rPr>
          <w:rFonts w:eastAsia="Times New Roman"/>
          <w:szCs w:val="22"/>
        </w:rPr>
        <w:t>Από στόματος</w:t>
      </w:r>
      <w:r w:rsidRPr="0047462D">
        <w:rPr>
          <w:rFonts w:eastAsia="Times New Roman"/>
          <w:szCs w:val="22"/>
          <w:lang w:eastAsia="en-US"/>
        </w:rPr>
        <w:t xml:space="preserve"> χρήση</w:t>
      </w:r>
    </w:p>
    <w:p w14:paraId="44E3925A" w14:textId="77777777" w:rsidR="00C62342" w:rsidRPr="0047462D" w:rsidRDefault="00C62342" w:rsidP="00C62342">
      <w:pPr>
        <w:suppressLineNumbers/>
        <w:autoSpaceDE w:val="0"/>
        <w:autoSpaceDN w:val="0"/>
        <w:adjustRightInd w:val="0"/>
      </w:pPr>
    </w:p>
    <w:p w14:paraId="69726960" w14:textId="3B1D3D31" w:rsidR="00C62342" w:rsidRPr="0047462D" w:rsidRDefault="009C7A55" w:rsidP="00C62342">
      <w:pPr>
        <w:suppressLineNumbers/>
        <w:autoSpaceDE w:val="0"/>
        <w:autoSpaceDN w:val="0"/>
        <w:adjustRightInd w:val="0"/>
        <w:rPr>
          <w:b/>
          <w:bCs/>
        </w:rPr>
      </w:pPr>
      <w:r w:rsidRPr="0047462D">
        <w:rPr>
          <w:b/>
          <w:bCs/>
        </w:rPr>
        <w:t>Ο</w:t>
      </w:r>
      <w:r w:rsidR="00F4326D" w:rsidRPr="0047462D">
        <w:rPr>
          <w:b/>
          <w:bCs/>
        </w:rPr>
        <w:t>δηγίες χρήσης</w:t>
      </w:r>
    </w:p>
    <w:p w14:paraId="65416A2E" w14:textId="77777777" w:rsidR="00C62342" w:rsidRPr="0047462D" w:rsidRDefault="00C62342" w:rsidP="00C62342">
      <w:pPr>
        <w:suppressLineNumbers/>
        <w:autoSpaceDE w:val="0"/>
        <w:autoSpaceDN w:val="0"/>
        <w:adjustRightInd w:val="0"/>
      </w:pPr>
    </w:p>
    <w:p w14:paraId="19934C8B" w14:textId="77777777" w:rsidR="00003FCC" w:rsidRPr="0047462D" w:rsidRDefault="00003FCC" w:rsidP="00003FCC">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t>.</w:t>
      </w:r>
    </w:p>
    <w:p w14:paraId="42EC1E34" w14:textId="77777777" w:rsidR="000F0A70" w:rsidRPr="0047462D" w:rsidRDefault="000F0A70" w:rsidP="00003FCC">
      <w:pPr>
        <w:suppressLineNumbers/>
        <w:autoSpaceDE w:val="0"/>
        <w:autoSpaceDN w:val="0"/>
        <w:adjustRightInd w:val="0"/>
      </w:pPr>
    </w:p>
    <w:p w14:paraId="774F8315" w14:textId="77777777" w:rsidR="00003FCC" w:rsidRPr="0047462D" w:rsidRDefault="00003FCC" w:rsidP="00003FCC">
      <w:pPr>
        <w:suppressLineNumbers/>
        <w:autoSpaceDE w:val="0"/>
        <w:autoSpaceDN w:val="0"/>
        <w:adjustRightInd w:val="0"/>
      </w:pPr>
      <w:r w:rsidRPr="0047462D">
        <w:t>Πάρτε το με τροφή που περιέχει λίπος.</w:t>
      </w:r>
    </w:p>
    <w:p w14:paraId="4064C6CC" w14:textId="77777777" w:rsidR="000F0A70" w:rsidRPr="0047462D" w:rsidRDefault="000F0A70" w:rsidP="00003FCC">
      <w:pPr>
        <w:suppressLineNumbers/>
        <w:autoSpaceDE w:val="0"/>
        <w:autoSpaceDN w:val="0"/>
        <w:adjustRightInd w:val="0"/>
      </w:pPr>
    </w:p>
    <w:p w14:paraId="752B57D9" w14:textId="77777777" w:rsidR="00C62342" w:rsidRPr="0047462D" w:rsidRDefault="00003FCC" w:rsidP="00003FCC">
      <w:pPr>
        <w:suppressLineNumbers/>
        <w:autoSpaceDE w:val="0"/>
        <w:autoSpaceDN w:val="0"/>
        <w:adjustRightInd w:val="0"/>
      </w:pPr>
      <w:r w:rsidRPr="0047462D">
        <w:t>Μην σπάτε, μασάτε ή διαλύετε τα δισκία.</w:t>
      </w:r>
    </w:p>
    <w:p w14:paraId="1AD61493" w14:textId="77777777" w:rsidR="00C62342" w:rsidRPr="0047462D" w:rsidRDefault="00C62342" w:rsidP="00C62342">
      <w:pPr>
        <w:suppressLineNumbers/>
        <w:autoSpaceDE w:val="0"/>
        <w:autoSpaceDN w:val="0"/>
        <w:adjustRightInd w:val="0"/>
      </w:pPr>
    </w:p>
    <w:p w14:paraId="21DFFEE1" w14:textId="77777777" w:rsidR="00C62342" w:rsidRPr="0047462D" w:rsidRDefault="0053743F" w:rsidP="00C62342">
      <w:pPr>
        <w:suppressLineNumbers/>
        <w:autoSpaceDE w:val="0"/>
        <w:autoSpaceDN w:val="0"/>
        <w:adjustRightInd w:val="0"/>
        <w:rPr>
          <w:noProof/>
        </w:rPr>
      </w:pPr>
      <w:r w:rsidRPr="0047462D">
        <w:rPr>
          <w:bCs/>
        </w:rPr>
        <w:t>Δευ</w:t>
      </w:r>
      <w:r w:rsidR="00004A6E" w:rsidRPr="0047462D">
        <w:rPr>
          <w:bCs/>
        </w:rPr>
        <w:t>.</w:t>
      </w:r>
      <w:r w:rsidR="00C62342" w:rsidRPr="0047462D">
        <w:rPr>
          <w:bCs/>
        </w:rPr>
        <w:t xml:space="preserve"> </w:t>
      </w:r>
      <w:r w:rsidRPr="0047462D">
        <w:rPr>
          <w:bCs/>
        </w:rPr>
        <w:t>Τρ</w:t>
      </w:r>
      <w:r w:rsidR="00004A6E" w:rsidRPr="0047462D">
        <w:rPr>
          <w:bCs/>
        </w:rPr>
        <w:t>.</w:t>
      </w:r>
      <w:r w:rsidRPr="0047462D">
        <w:rPr>
          <w:bCs/>
        </w:rPr>
        <w:t xml:space="preserve"> Τετ</w:t>
      </w:r>
      <w:r w:rsidR="00004A6E" w:rsidRPr="0047462D">
        <w:rPr>
          <w:bCs/>
        </w:rPr>
        <w:t>.</w:t>
      </w:r>
      <w:r w:rsidRPr="0047462D">
        <w:rPr>
          <w:bCs/>
        </w:rPr>
        <w:t xml:space="preserve"> Πέμ</w:t>
      </w:r>
      <w:r w:rsidR="00004A6E" w:rsidRPr="0047462D">
        <w:rPr>
          <w:bCs/>
        </w:rPr>
        <w:t>.</w:t>
      </w:r>
      <w:r w:rsidRPr="0047462D">
        <w:rPr>
          <w:bCs/>
        </w:rPr>
        <w:t xml:space="preserve"> Παρ</w:t>
      </w:r>
      <w:r w:rsidR="00004A6E" w:rsidRPr="0047462D">
        <w:rPr>
          <w:bCs/>
        </w:rPr>
        <w:t>.</w:t>
      </w:r>
      <w:r w:rsidRPr="0047462D">
        <w:rPr>
          <w:bCs/>
        </w:rPr>
        <w:t xml:space="preserve"> Σάβ</w:t>
      </w:r>
      <w:r w:rsidR="00004A6E" w:rsidRPr="0047462D">
        <w:rPr>
          <w:bCs/>
        </w:rPr>
        <w:t>.</w:t>
      </w:r>
      <w:r w:rsidRPr="0047462D">
        <w:rPr>
          <w:bCs/>
        </w:rPr>
        <w:t xml:space="preserve"> Κυρ</w:t>
      </w:r>
      <w:r w:rsidR="00004A6E" w:rsidRPr="0047462D">
        <w:rPr>
          <w:bCs/>
        </w:rPr>
        <w:t>.</w:t>
      </w:r>
    </w:p>
    <w:p w14:paraId="2941CF69" w14:textId="77777777" w:rsidR="00C62342" w:rsidRPr="0047462D" w:rsidRDefault="00C62342" w:rsidP="00C62342">
      <w:pPr>
        <w:suppressLineNumbers/>
        <w:autoSpaceDE w:val="0"/>
        <w:autoSpaceDN w:val="0"/>
        <w:adjustRightInd w:val="0"/>
      </w:pPr>
    </w:p>
    <w:p w14:paraId="5CBEC888" w14:textId="77777777" w:rsidR="00C62342" w:rsidRPr="0047462D" w:rsidRDefault="00C62342" w:rsidP="00C62342">
      <w:pPr>
        <w:suppressLineNumbers/>
        <w:autoSpaceDE w:val="0"/>
        <w:autoSpaceDN w:val="0"/>
        <w:adjustRightInd w:val="0"/>
      </w:pPr>
    </w:p>
    <w:p w14:paraId="1E1FFDFF"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00FC243F"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4C5FEB64" w14:textId="77777777" w:rsidR="00C62342" w:rsidRPr="0047462D" w:rsidRDefault="00C62342" w:rsidP="00C62342">
      <w:pPr>
        <w:suppressLineNumbers/>
      </w:pPr>
    </w:p>
    <w:p w14:paraId="16D6274F" w14:textId="77777777" w:rsidR="00C62342" w:rsidRPr="0047462D" w:rsidRDefault="00FC243F" w:rsidP="00C62342">
      <w:pPr>
        <w:suppressLineNumbers/>
        <w:outlineLvl w:val="0"/>
      </w:pPr>
      <w:r w:rsidRPr="0047462D">
        <w:t>Να φυλάσσεται σε θέση, την οποία δεν βλέπουν και δεν προσεγγίζουν τα παιδιά</w:t>
      </w:r>
      <w:r w:rsidR="00C62342" w:rsidRPr="0047462D">
        <w:t>.</w:t>
      </w:r>
    </w:p>
    <w:p w14:paraId="30AEBC38" w14:textId="77777777" w:rsidR="00C62342" w:rsidRPr="0047462D" w:rsidRDefault="00C62342" w:rsidP="00C62342">
      <w:pPr>
        <w:suppressLineNumbers/>
      </w:pPr>
    </w:p>
    <w:p w14:paraId="3A7784DD" w14:textId="77777777" w:rsidR="00C62342" w:rsidRPr="0047462D" w:rsidRDefault="00C62342" w:rsidP="00C62342">
      <w:pPr>
        <w:suppressLineNumbers/>
      </w:pPr>
    </w:p>
    <w:p w14:paraId="1630E7EE"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00FC243F" w:rsidRPr="0047462D">
        <w:rPr>
          <w:b/>
        </w:rPr>
        <w:t>ΑΛΛΗ(ΕΣ) ΕΙΔΙΚΗ(ΕΣ) ΠΡΟΕΙΔΟΠΟΙΗΣΗ(ΕΙΣ), ΕΑΝ ΕΙΝΑΙ ΑΠΑΡΑΙΤΗΤΗ(ΕΣ)</w:t>
      </w:r>
    </w:p>
    <w:p w14:paraId="6D3E6089" w14:textId="77777777" w:rsidR="00C62342" w:rsidRPr="0047462D" w:rsidRDefault="00C62342" w:rsidP="00C62342">
      <w:pPr>
        <w:suppressLineNumbers/>
      </w:pPr>
    </w:p>
    <w:p w14:paraId="0D0A6820" w14:textId="77777777" w:rsidR="00C62342" w:rsidRPr="0047462D" w:rsidRDefault="00C62342" w:rsidP="00C62342">
      <w:pPr>
        <w:suppressLineNumbers/>
        <w:tabs>
          <w:tab w:val="left" w:pos="749"/>
        </w:tabs>
      </w:pPr>
    </w:p>
    <w:p w14:paraId="63494CF1" w14:textId="77777777" w:rsidR="00C62342" w:rsidRPr="0047462D" w:rsidRDefault="00C62342" w:rsidP="00C62342">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00FC243F" w:rsidRPr="0047462D">
        <w:rPr>
          <w:b/>
          <w:noProof/>
          <w:szCs w:val="22"/>
        </w:rPr>
        <w:t>ΗΜΕΡΟΜΗΝΙΑ ΛΗΞΗΣ</w:t>
      </w:r>
    </w:p>
    <w:p w14:paraId="0E19B808" w14:textId="77777777" w:rsidR="00C62342" w:rsidRPr="0047462D" w:rsidRDefault="00C62342" w:rsidP="00C62342">
      <w:pPr>
        <w:keepNext/>
        <w:suppressLineNumbers/>
      </w:pPr>
    </w:p>
    <w:p w14:paraId="0BB5D5C3" w14:textId="77777777" w:rsidR="00C62342" w:rsidRPr="0047462D" w:rsidRDefault="00FC243F" w:rsidP="00C62342">
      <w:pPr>
        <w:suppressLineNumbers/>
      </w:pPr>
      <w:r w:rsidRPr="0047462D">
        <w:t>ΛΗΞΗ</w:t>
      </w:r>
    </w:p>
    <w:p w14:paraId="59D65EEC" w14:textId="77777777" w:rsidR="00C62342" w:rsidRPr="0047462D" w:rsidRDefault="00C62342" w:rsidP="00C62342">
      <w:pPr>
        <w:suppressLineNumbers/>
      </w:pPr>
    </w:p>
    <w:p w14:paraId="10046FB6" w14:textId="77777777" w:rsidR="00C62342" w:rsidRPr="0047462D" w:rsidRDefault="00C62342" w:rsidP="00C62342">
      <w:pPr>
        <w:suppressLineNumbers/>
      </w:pPr>
    </w:p>
    <w:p w14:paraId="153E42C8" w14:textId="77777777" w:rsidR="00C62342" w:rsidRPr="0047462D" w:rsidRDefault="00C62342" w:rsidP="00C62342">
      <w:pPr>
        <w:keepNext/>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00FC243F" w:rsidRPr="0047462D">
        <w:rPr>
          <w:b/>
          <w:noProof/>
          <w:szCs w:val="22"/>
        </w:rPr>
        <w:t>ΕΙΔΙΚΕΣ ΣΥΝΘΗΚΕΣ ΦΥΛΑΞΗΣ</w:t>
      </w:r>
    </w:p>
    <w:p w14:paraId="1094A5D6" w14:textId="77777777" w:rsidR="00C62342" w:rsidRPr="0047462D" w:rsidRDefault="00C62342" w:rsidP="00C62342"/>
    <w:p w14:paraId="31AAB88B" w14:textId="77777777" w:rsidR="00C62342" w:rsidRPr="0047462D" w:rsidRDefault="00C62342" w:rsidP="00C62342"/>
    <w:p w14:paraId="7D767001"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00B9437C" w:rsidRPr="0047462D">
        <w:rPr>
          <w:b/>
        </w:rPr>
        <w:t>ΙΔΙΑΙΤΕΡΕΣ ΠΡΟΦΥΛΑΞΕΙΣ ΓΙΑ ΤΗΝ ΑΠΟΡΡΙΨΗ ΤΩΝ ΜΗ</w:t>
      </w:r>
      <w:r w:rsidR="00B9437C" w:rsidRPr="0047462D">
        <w:rPr>
          <w:b/>
          <w:bCs/>
        </w:rPr>
        <w:t xml:space="preserve"> </w:t>
      </w:r>
      <w:r w:rsidR="00B9437C" w:rsidRPr="0047462D">
        <w:rPr>
          <w:b/>
        </w:rPr>
        <w:t>ΧΡΗΣΙΜΟΠΟΙΗΘΕΝΤΩΝ ΦΑΡΜΑΚΕΥΤΙΚΩΝ ΠΡΟΪΟΝΤΩΝ Ή ΤΩΝ</w:t>
      </w:r>
      <w:r w:rsidR="00B9437C" w:rsidRPr="0047462D">
        <w:rPr>
          <w:b/>
          <w:bCs/>
        </w:rPr>
        <w:t xml:space="preserve"> </w:t>
      </w:r>
      <w:r w:rsidR="00B9437C" w:rsidRPr="0047462D">
        <w:rPr>
          <w:b/>
        </w:rPr>
        <w:t>ΥΠΟΛΕΙΜΜΑΤΩΝ ΠΟΥ ΠΡΟΕΡΧΟΝΤΑΙ ΑΠΟ ΑΥΤΑ, ΕΦΟΣΟΝ ΑΠΑΙΤΕΙΤΑΙ</w:t>
      </w:r>
    </w:p>
    <w:p w14:paraId="43B3C974" w14:textId="77777777" w:rsidR="00C62342" w:rsidRPr="0047462D" w:rsidRDefault="00C62342" w:rsidP="00C62342">
      <w:pPr>
        <w:suppressLineNumbers/>
      </w:pPr>
    </w:p>
    <w:p w14:paraId="634440FA" w14:textId="77777777" w:rsidR="00C62342" w:rsidRPr="0047462D" w:rsidRDefault="00C62342" w:rsidP="00C62342">
      <w:pPr>
        <w:suppressLineNumbers/>
      </w:pPr>
    </w:p>
    <w:p w14:paraId="4C7DAED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00B9437C" w:rsidRPr="0047462D">
        <w:rPr>
          <w:b/>
        </w:rPr>
        <w:t>ΟΝΟΜΑ ΚΑΙ ΔΙΕΥΘΥΝΣΗ ΚΑΤΟΧΟΥ ΤΗΣ ΑΔΕΙΑΣ ΚΥΚΛΟΦΟΡΙΑΣ</w:t>
      </w:r>
    </w:p>
    <w:p w14:paraId="0CA9E0F4" w14:textId="77777777" w:rsidR="00C62342" w:rsidRPr="0047462D" w:rsidRDefault="00C62342" w:rsidP="00C62342">
      <w:pPr>
        <w:suppressLineNumbers/>
      </w:pPr>
    </w:p>
    <w:p w14:paraId="6C279880" w14:textId="77777777" w:rsidR="00AE0285" w:rsidRPr="0047462D" w:rsidRDefault="00AE0285" w:rsidP="00AE0285">
      <w:pPr>
        <w:rPr>
          <w:iCs/>
          <w:lang w:val="en-GB"/>
        </w:rPr>
      </w:pPr>
      <w:r w:rsidRPr="0047462D">
        <w:rPr>
          <w:iCs/>
          <w:lang w:val="en-GB"/>
        </w:rPr>
        <w:t>Vertex Pharmaceuticals (Ireland) Limited</w:t>
      </w:r>
    </w:p>
    <w:p w14:paraId="4612589E" w14:textId="77777777" w:rsidR="00AE0285" w:rsidRPr="0047462D" w:rsidRDefault="00AE0285" w:rsidP="00AE0285">
      <w:pPr>
        <w:rPr>
          <w:iCs/>
          <w:lang w:val="en-GB"/>
        </w:rPr>
      </w:pPr>
      <w:r w:rsidRPr="0047462D">
        <w:rPr>
          <w:iCs/>
          <w:lang w:val="en-GB"/>
        </w:rPr>
        <w:t>28-32 Pembroke Street Upper</w:t>
      </w:r>
    </w:p>
    <w:p w14:paraId="48DE7173"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18B330A1" w14:textId="77777777" w:rsidR="00C62342" w:rsidRPr="0047462D" w:rsidRDefault="00AE0285" w:rsidP="00C62342">
      <w:r w:rsidRPr="0047462D">
        <w:rPr>
          <w:iCs/>
        </w:rPr>
        <w:t>Ιρλανδία</w:t>
      </w:r>
    </w:p>
    <w:p w14:paraId="2D5D60E3" w14:textId="77777777" w:rsidR="00BD49E3" w:rsidRPr="0047462D" w:rsidRDefault="00BD49E3" w:rsidP="00C62342">
      <w:pPr>
        <w:pStyle w:val="NormalIndent"/>
        <w:spacing w:after="0"/>
        <w:ind w:left="0"/>
      </w:pPr>
    </w:p>
    <w:p w14:paraId="725ABA7B" w14:textId="77777777" w:rsidR="00C62342" w:rsidRPr="0047462D" w:rsidRDefault="00C62342" w:rsidP="00C62342">
      <w:pPr>
        <w:pStyle w:val="NormalIndent"/>
        <w:spacing w:after="0"/>
        <w:ind w:left="0"/>
      </w:pPr>
    </w:p>
    <w:p w14:paraId="1DB0EE9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00B9437C" w:rsidRPr="0047462D">
        <w:rPr>
          <w:b/>
          <w:noProof/>
          <w:szCs w:val="22"/>
        </w:rPr>
        <w:t>ΑΡΙΘΜΟΣ(ΟΙ) ΑΔΕΙΑΣ ΚΥΚΛΟΦΟΡΙΑΣ</w:t>
      </w:r>
    </w:p>
    <w:p w14:paraId="27BE75C5" w14:textId="77777777" w:rsidR="00C62342" w:rsidRPr="0047462D" w:rsidRDefault="00C62342" w:rsidP="00C62342">
      <w:pPr>
        <w:suppressLineNumbers/>
      </w:pPr>
    </w:p>
    <w:p w14:paraId="50B8C8A7" w14:textId="77777777" w:rsidR="00C62342" w:rsidRPr="0047462D" w:rsidRDefault="00677D05" w:rsidP="00C62342">
      <w:pPr>
        <w:suppressLineNumbers/>
      </w:pPr>
      <w:r w:rsidRPr="0047462D">
        <w:t>EU/1/12/782/005</w:t>
      </w:r>
    </w:p>
    <w:p w14:paraId="5BF69073" w14:textId="77777777" w:rsidR="00677D05" w:rsidRPr="0047462D" w:rsidRDefault="00677D05" w:rsidP="00C62342">
      <w:pPr>
        <w:suppressLineNumbers/>
      </w:pPr>
    </w:p>
    <w:p w14:paraId="1D106731" w14:textId="77777777" w:rsidR="00677D05" w:rsidRPr="0047462D" w:rsidRDefault="00677D05" w:rsidP="00C62342">
      <w:pPr>
        <w:suppressLineNumbers/>
      </w:pPr>
    </w:p>
    <w:p w14:paraId="19538D5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00B9437C" w:rsidRPr="0047462D">
        <w:rPr>
          <w:b/>
        </w:rPr>
        <w:t>ΑΡΙΘΜΟΣ ΠΑΡΤΙΔΑΣ</w:t>
      </w:r>
    </w:p>
    <w:p w14:paraId="3562ABA2" w14:textId="77777777" w:rsidR="00C62342" w:rsidRPr="0047462D" w:rsidRDefault="00C62342" w:rsidP="00C62342">
      <w:pPr>
        <w:suppressLineNumbers/>
        <w:rPr>
          <w:i/>
          <w:iCs/>
        </w:rPr>
      </w:pPr>
    </w:p>
    <w:p w14:paraId="255F3BF2" w14:textId="77777777" w:rsidR="00C62342" w:rsidRPr="0047462D" w:rsidRDefault="00B9437C" w:rsidP="00C62342">
      <w:pPr>
        <w:suppressLineNumbers/>
      </w:pPr>
      <w:r w:rsidRPr="0047462D">
        <w:t>Παρτίδα</w:t>
      </w:r>
    </w:p>
    <w:p w14:paraId="518B8170" w14:textId="77777777" w:rsidR="00C62342" w:rsidRPr="0047462D" w:rsidRDefault="00C62342" w:rsidP="00C62342">
      <w:pPr>
        <w:suppressLineNumbers/>
      </w:pPr>
    </w:p>
    <w:p w14:paraId="6FF18D50" w14:textId="77777777" w:rsidR="00C62342" w:rsidRPr="0047462D" w:rsidRDefault="00C62342" w:rsidP="00C62342">
      <w:pPr>
        <w:suppressLineNumbers/>
      </w:pPr>
    </w:p>
    <w:p w14:paraId="20C717EC"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00B9437C" w:rsidRPr="0047462D">
        <w:rPr>
          <w:b/>
        </w:rPr>
        <w:t>ΓΕΝΙΚΗ ΚΑΤΑΤΑΞΗ ΓΙΑ ΤΗ ΔΙΑΘΕΣΗ</w:t>
      </w:r>
    </w:p>
    <w:p w14:paraId="10ED74E8" w14:textId="77777777" w:rsidR="00C62342" w:rsidRPr="0047462D" w:rsidRDefault="00C62342" w:rsidP="00C62342">
      <w:pPr>
        <w:suppressLineNumbers/>
      </w:pPr>
    </w:p>
    <w:p w14:paraId="00AA964B" w14:textId="77777777" w:rsidR="00C62342" w:rsidRPr="0047462D" w:rsidRDefault="00C62342" w:rsidP="00C62342">
      <w:pPr>
        <w:suppressLineNumbers/>
      </w:pPr>
    </w:p>
    <w:p w14:paraId="2B545C97" w14:textId="77777777" w:rsidR="00C62342" w:rsidRPr="0047462D" w:rsidRDefault="00C62342" w:rsidP="00C62342">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00B9437C" w:rsidRPr="0047462D">
        <w:rPr>
          <w:b/>
          <w:noProof/>
          <w:szCs w:val="22"/>
        </w:rPr>
        <w:t>ΟΔΗΓΙΕΣ ΧΡΗΣΗΣ</w:t>
      </w:r>
    </w:p>
    <w:p w14:paraId="5E70E02D" w14:textId="77777777" w:rsidR="00C62342" w:rsidRPr="0047462D" w:rsidRDefault="00C62342" w:rsidP="00C62342">
      <w:pPr>
        <w:suppressLineNumbers/>
      </w:pPr>
    </w:p>
    <w:p w14:paraId="2B550317" w14:textId="77777777" w:rsidR="00C62342" w:rsidRPr="0047462D" w:rsidRDefault="00C62342" w:rsidP="00C62342">
      <w:pPr>
        <w:suppressLineNumbers/>
      </w:pPr>
    </w:p>
    <w:p w14:paraId="77645854" w14:textId="77777777" w:rsidR="00C62342" w:rsidRPr="0047462D" w:rsidRDefault="00C62342" w:rsidP="00C62342">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00B9437C" w:rsidRPr="0047462D">
        <w:rPr>
          <w:b/>
          <w:noProof/>
          <w:szCs w:val="22"/>
        </w:rPr>
        <w:t xml:space="preserve">ΠΛΗΡΟΦΟΡΙΕΣ ΣΕ </w:t>
      </w:r>
      <w:r w:rsidRPr="0047462D">
        <w:rPr>
          <w:b/>
          <w:bCs/>
        </w:rPr>
        <w:t>BRAILLE</w:t>
      </w:r>
    </w:p>
    <w:p w14:paraId="5F9D7996" w14:textId="77777777" w:rsidR="00C62342" w:rsidRPr="0047462D" w:rsidRDefault="00C62342" w:rsidP="00C62342">
      <w:pPr>
        <w:suppressLineNumbers/>
        <w:rPr>
          <w:shd w:val="clear" w:color="auto" w:fill="CCCCCC"/>
        </w:rPr>
      </w:pPr>
    </w:p>
    <w:p w14:paraId="374E5F10" w14:textId="77777777" w:rsidR="00C62342" w:rsidRPr="0047462D" w:rsidRDefault="00C62342" w:rsidP="00C62342">
      <w:pPr>
        <w:suppressLineNumbers/>
      </w:pPr>
    </w:p>
    <w:p w14:paraId="54A1AE0C" w14:textId="77777777" w:rsidR="00C62342" w:rsidRPr="0047462D" w:rsidRDefault="00C62342" w:rsidP="0045069B">
      <w:pPr>
        <w:suppressLineNumbers/>
        <w:pBdr>
          <w:top w:val="single" w:sz="4" w:space="1" w:color="auto"/>
          <w:left w:val="single" w:sz="4" w:space="4" w:color="auto"/>
          <w:bottom w:val="single" w:sz="4" w:space="0" w:color="auto"/>
          <w:right w:val="single" w:sz="4" w:space="4" w:color="auto"/>
        </w:pBdr>
        <w:ind w:left="544" w:hanging="544"/>
      </w:pPr>
      <w:r w:rsidRPr="0047462D">
        <w:rPr>
          <w:b/>
          <w:bCs/>
        </w:rPr>
        <w:t>17.</w:t>
      </w:r>
      <w:r w:rsidRPr="0047462D">
        <w:rPr>
          <w:b/>
          <w:bCs/>
        </w:rPr>
        <w:tab/>
      </w:r>
      <w:r w:rsidR="00B9437C" w:rsidRPr="0047462D">
        <w:rPr>
          <w:b/>
          <w:noProof/>
        </w:rPr>
        <w:t>ΜΟΝΑΔΙΚΟΣ ΑΝΑΓΝΩΡΙΣΤΙΚΟΣ ΚΩΔΙΚΟΣ – ΔΙΣΔΙΑΣΤΑΤΟΣ ΓΡΑΜΜΩΤΟΣ ΚΩΔΙΚΑΣ (2D)</w:t>
      </w:r>
    </w:p>
    <w:p w14:paraId="599ED5E7" w14:textId="77777777" w:rsidR="00C62342" w:rsidRPr="0047462D" w:rsidRDefault="00C62342" w:rsidP="00C62342"/>
    <w:p w14:paraId="3D80ED10" w14:textId="77777777" w:rsidR="00C62342" w:rsidRPr="0047462D" w:rsidRDefault="00C62342" w:rsidP="00C62342"/>
    <w:p w14:paraId="1613591B" w14:textId="77777777" w:rsidR="00C62342" w:rsidRPr="0047462D" w:rsidRDefault="00C62342" w:rsidP="0045069B">
      <w:pPr>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00B9437C" w:rsidRPr="0047462D">
        <w:rPr>
          <w:b/>
          <w:noProof/>
        </w:rPr>
        <w:t>ΜΟΝΑΔΙΚΟΣ ΑΝΑΓΝΩΡΙΣΤΙΚΟΣ ΚΩΔΙΚΟΣ – ΔΕΔΟΜΕΝΑ ΑΝΑΓΝΩΣΙΜΑ ΑΠΟ ΤΟΝ ΑΝΘΡΩΠΟ</w:t>
      </w:r>
    </w:p>
    <w:p w14:paraId="7F4E0F8F" w14:textId="77777777" w:rsidR="00C62342" w:rsidRPr="0047462D" w:rsidRDefault="00C62342" w:rsidP="00C62342"/>
    <w:p w14:paraId="70B7EE56" w14:textId="77777777" w:rsidR="004C46F2" w:rsidRPr="0047462D" w:rsidRDefault="004C46F2">
      <w:pPr>
        <w:suppressAutoHyphens w:val="0"/>
      </w:pPr>
      <w:r w:rsidRPr="0047462D">
        <w:br w:type="page"/>
      </w:r>
    </w:p>
    <w:p w14:paraId="5B3F5027" w14:textId="77777777" w:rsidR="004C46F2" w:rsidRPr="0047462D" w:rsidRDefault="004C46F2" w:rsidP="004C46F2"/>
    <w:p w14:paraId="26F2CC33"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r w:rsidRPr="0047462D">
        <w:rPr>
          <w:b/>
          <w:bCs/>
        </w:rPr>
        <w:t>ΕΛΑΧΙΣΤΕΣ ΕΝΔΕΙΞΕΙΣ ΠΟΥ ΠΡΕΠΕΙ ΝΑ ΑΝΑΓΡΑΦΟΝΤΑΙ ΣΤΙΣ ΣΥΣΚΕΥΑΣΙΕΣ</w:t>
      </w:r>
    </w:p>
    <w:p w14:paraId="4B9086CF"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r w:rsidRPr="0047462D">
        <w:rPr>
          <w:b/>
          <w:bCs/>
        </w:rPr>
        <w:t>ΚΥΨΕΛΗΣ (BLISTER) Ή ΣΤΙΣ ΤΑΙΝΙΕΣ (STRIPS)</w:t>
      </w:r>
    </w:p>
    <w:p w14:paraId="02909B94"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p>
    <w:p w14:paraId="00AD3138"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r w:rsidRPr="0047462D">
        <w:rPr>
          <w:b/>
          <w:bCs/>
        </w:rPr>
        <w:t>ΣΥΣΚΕΥΑΣΙΕΣ ΚΥΨΕΛΗΣ (BLISTER) – ΣΥΣΚΕΥΑΣΙΑ 28 ΔΙΣΚΙΩΝ</w:t>
      </w:r>
    </w:p>
    <w:p w14:paraId="0F45EA85" w14:textId="77777777" w:rsidR="004C46F2" w:rsidRPr="0047462D" w:rsidRDefault="004C46F2" w:rsidP="009A2EEC"/>
    <w:p w14:paraId="0842AB22" w14:textId="77777777" w:rsidR="00F4326D" w:rsidRPr="0047462D" w:rsidRDefault="00F4326D" w:rsidP="009A2EEC"/>
    <w:p w14:paraId="00ABEE42"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w:t>
      </w:r>
      <w:r w:rsidRPr="0047462D">
        <w:rPr>
          <w:b/>
          <w:bCs/>
        </w:rPr>
        <w:tab/>
      </w:r>
      <w:r w:rsidRPr="0047462D">
        <w:rPr>
          <w:b/>
          <w:noProof/>
          <w:szCs w:val="22"/>
        </w:rPr>
        <w:t>ΟΝΟΜΑΣΙΑ ΤΟΥ ΦΑΡΜΑΚΕΥΤΙΚΟΥ ΠΡΟΪΟΝΤΟΣ</w:t>
      </w:r>
      <w:r w:rsidRPr="0047462D">
        <w:rPr>
          <w:b/>
          <w:bCs/>
        </w:rPr>
        <w:t xml:space="preserve"> </w:t>
      </w:r>
    </w:p>
    <w:p w14:paraId="5EE01AC5" w14:textId="77777777" w:rsidR="004C46F2" w:rsidRPr="0047462D" w:rsidRDefault="004C46F2" w:rsidP="009A2EEC">
      <w:pPr>
        <w:keepNext/>
        <w:rPr>
          <w:i/>
          <w:iCs/>
        </w:rPr>
      </w:pPr>
    </w:p>
    <w:p w14:paraId="566FDDD3" w14:textId="77777777" w:rsidR="004C46F2" w:rsidRPr="0047462D" w:rsidRDefault="004C46F2">
      <w:r w:rsidRPr="0047462D">
        <w:t>Kalydeco 150 mg δισκία</w:t>
      </w:r>
    </w:p>
    <w:p w14:paraId="1C9DD281" w14:textId="77777777" w:rsidR="004C46F2" w:rsidRPr="0047462D" w:rsidRDefault="00004A6E">
      <w:pPr>
        <w:rPr>
          <w:i/>
          <w:iCs/>
        </w:rPr>
      </w:pPr>
      <w:r w:rsidRPr="0047462D">
        <w:rPr>
          <w:lang w:val="en-US"/>
        </w:rPr>
        <w:t>i</w:t>
      </w:r>
      <w:r w:rsidR="004C46F2" w:rsidRPr="0047462D">
        <w:t>vacaftor</w:t>
      </w:r>
    </w:p>
    <w:p w14:paraId="6DA15316" w14:textId="77777777" w:rsidR="004C46F2" w:rsidRPr="0047462D" w:rsidRDefault="004C46F2" w:rsidP="009A2EEC"/>
    <w:p w14:paraId="60FD63FB" w14:textId="77777777" w:rsidR="004C46F2" w:rsidRPr="0047462D" w:rsidRDefault="004C46F2" w:rsidP="009A2EEC"/>
    <w:p w14:paraId="73F19116"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t xml:space="preserve">ΟΝΟΜΑ </w:t>
      </w:r>
      <w:r w:rsidRPr="0047462D">
        <w:rPr>
          <w:b/>
          <w:noProof/>
          <w:szCs w:val="22"/>
        </w:rPr>
        <w:t>ΚΑΤΟΧΟΥ</w:t>
      </w:r>
      <w:r w:rsidRPr="0047462D">
        <w:rPr>
          <w:b/>
          <w:bCs/>
        </w:rPr>
        <w:t xml:space="preserve"> ΤΗΣ ΑΔΕΙΑΣ ΚΥΚΛΟΦΟΡΙΑΣ</w:t>
      </w:r>
    </w:p>
    <w:p w14:paraId="1557F154" w14:textId="77777777" w:rsidR="004C46F2" w:rsidRPr="0047462D" w:rsidRDefault="004C46F2" w:rsidP="009A2EEC">
      <w:pPr>
        <w:keepNext/>
      </w:pPr>
    </w:p>
    <w:p w14:paraId="69D1F290" w14:textId="77777777" w:rsidR="004C46F2" w:rsidRPr="0047462D" w:rsidRDefault="004C46F2">
      <w:r w:rsidRPr="0047462D">
        <w:rPr>
          <w:lang w:val="en-GB"/>
        </w:rPr>
        <w:t>Vertex</w:t>
      </w:r>
    </w:p>
    <w:p w14:paraId="3653705B" w14:textId="77777777" w:rsidR="004C46F2" w:rsidRPr="0047462D" w:rsidRDefault="004C46F2" w:rsidP="009A2EEC"/>
    <w:p w14:paraId="3A0A1811" w14:textId="77777777" w:rsidR="004C46F2" w:rsidRPr="0047462D" w:rsidRDefault="004C46F2" w:rsidP="009A2EEC"/>
    <w:p w14:paraId="304A292E"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3.</w:t>
      </w:r>
      <w:r w:rsidRPr="0047462D">
        <w:rPr>
          <w:b/>
          <w:bCs/>
        </w:rPr>
        <w:tab/>
      </w:r>
      <w:r w:rsidRPr="0047462D">
        <w:rPr>
          <w:b/>
          <w:noProof/>
          <w:szCs w:val="22"/>
        </w:rPr>
        <w:t>ΗΜΕΡΟΜΗΝΙΑ ΛΗΞΗΣ</w:t>
      </w:r>
    </w:p>
    <w:p w14:paraId="281A9DDB" w14:textId="77777777" w:rsidR="004C46F2" w:rsidRPr="0047462D" w:rsidRDefault="004C46F2" w:rsidP="009A2EEC">
      <w:pPr>
        <w:keepNext/>
      </w:pPr>
    </w:p>
    <w:p w14:paraId="2026B3BA" w14:textId="77777777" w:rsidR="004C46F2" w:rsidRPr="0047462D" w:rsidRDefault="004C46F2" w:rsidP="009A2EEC">
      <w:r w:rsidRPr="0047462D">
        <w:t>ΛΗΞΗ</w:t>
      </w:r>
    </w:p>
    <w:p w14:paraId="07C99FE5" w14:textId="77777777" w:rsidR="004C46F2" w:rsidRPr="0047462D" w:rsidRDefault="004C46F2" w:rsidP="009A2EEC"/>
    <w:p w14:paraId="5D07C5F1" w14:textId="77777777" w:rsidR="004C46F2" w:rsidRPr="0047462D" w:rsidRDefault="004C46F2" w:rsidP="009A2EEC"/>
    <w:p w14:paraId="0E419FC5"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4.</w:t>
      </w:r>
      <w:r w:rsidRPr="0047462D">
        <w:rPr>
          <w:b/>
          <w:bCs/>
        </w:rPr>
        <w:tab/>
      </w:r>
      <w:r w:rsidRPr="0047462D">
        <w:rPr>
          <w:b/>
          <w:noProof/>
          <w:szCs w:val="22"/>
        </w:rPr>
        <w:t>ΑΡΙΘΜΟΣ</w:t>
      </w:r>
      <w:r w:rsidRPr="0047462D">
        <w:rPr>
          <w:b/>
        </w:rPr>
        <w:t xml:space="preserve"> ΠΑΡΤΙΔΑΣ</w:t>
      </w:r>
    </w:p>
    <w:p w14:paraId="069B0DA7" w14:textId="77777777" w:rsidR="004C46F2" w:rsidRPr="0047462D" w:rsidRDefault="004C46F2" w:rsidP="009A2EEC">
      <w:pPr>
        <w:keepNext/>
      </w:pPr>
    </w:p>
    <w:p w14:paraId="05678548" w14:textId="77777777" w:rsidR="004C46F2" w:rsidRPr="0047462D" w:rsidRDefault="004C46F2" w:rsidP="009A2EEC">
      <w:r w:rsidRPr="0047462D">
        <w:t>Παρτίδα</w:t>
      </w:r>
    </w:p>
    <w:p w14:paraId="6F70C4D0" w14:textId="77777777" w:rsidR="004C46F2" w:rsidRPr="0047462D" w:rsidRDefault="004C46F2" w:rsidP="009A2EEC"/>
    <w:p w14:paraId="543B5F77" w14:textId="77777777" w:rsidR="004C46F2" w:rsidRPr="0047462D" w:rsidRDefault="004C46F2" w:rsidP="009A2EEC"/>
    <w:p w14:paraId="04CA3479"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5.</w:t>
      </w:r>
      <w:r w:rsidRPr="0047462D">
        <w:rPr>
          <w:b/>
          <w:bCs/>
        </w:rPr>
        <w:tab/>
      </w:r>
      <w:r w:rsidRPr="0047462D">
        <w:rPr>
          <w:b/>
        </w:rPr>
        <w:t xml:space="preserve">ΑΛΛΑ </w:t>
      </w:r>
      <w:r w:rsidRPr="0047462D">
        <w:rPr>
          <w:b/>
          <w:noProof/>
          <w:szCs w:val="22"/>
        </w:rPr>
        <w:t>ΣΤΟΙΧΕΙΑ</w:t>
      </w:r>
    </w:p>
    <w:p w14:paraId="5C4BAA12" w14:textId="77777777" w:rsidR="004C46F2" w:rsidRPr="0047462D" w:rsidRDefault="004C46F2" w:rsidP="009A2EEC"/>
    <w:p w14:paraId="5DC86382" w14:textId="07A6CA3A" w:rsidR="00E53E6B" w:rsidRDefault="00E53E6B">
      <w:pPr>
        <w:suppressAutoHyphens w:val="0"/>
      </w:pPr>
      <w:r>
        <w:br w:type="page"/>
      </w:r>
    </w:p>
    <w:p w14:paraId="7AF80D77" w14:textId="77777777" w:rsidR="00E53E6B" w:rsidRPr="0047462D" w:rsidRDefault="00E53E6B" w:rsidP="00E53E6B">
      <w:pPr>
        <w:rPr>
          <w:szCs w:val="22"/>
          <w:lang w:eastAsia="en-US"/>
        </w:rPr>
      </w:pPr>
    </w:p>
    <w:p w14:paraId="192993C1"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rPr>
          <w:b/>
        </w:rPr>
      </w:pPr>
      <w:r w:rsidRPr="0047462D">
        <w:rPr>
          <w:b/>
        </w:rPr>
        <w:t>ΕΝΔΕΙΞΕΙΣ ΠΟΥ ΠΡΕΠΕΙ ΝΑ ΑΝΑΓΡΑΦΟΝΤΑΙ ΣΤΗΝ ΕΞΩΤΕΡΙΚΗ ΣΥΣΚΕΥΑΣΙΑ</w:t>
      </w:r>
    </w:p>
    <w:p w14:paraId="6B1620F6"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rPr>
          <w:b/>
        </w:rPr>
      </w:pPr>
    </w:p>
    <w:p w14:paraId="4AFB7301" w14:textId="56E14831" w:rsidR="00E53E6B" w:rsidRPr="0047462D" w:rsidRDefault="00E53E6B" w:rsidP="00E53E6B">
      <w:pPr>
        <w:pBdr>
          <w:top w:val="single" w:sz="4" w:space="1" w:color="auto"/>
          <w:left w:val="single" w:sz="4" w:space="4" w:color="auto"/>
          <w:bottom w:val="single" w:sz="4" w:space="1" w:color="auto"/>
          <w:right w:val="single" w:sz="4" w:space="4" w:color="auto"/>
        </w:pBdr>
      </w:pPr>
      <w:r w:rsidRPr="0047462D">
        <w:rPr>
          <w:b/>
          <w:bCs/>
          <w:caps/>
        </w:rPr>
        <w:t>εξωτερικο κουτι για την καρτα ΚΥΨΕΛΗΣ (</w:t>
      </w:r>
      <w:r w:rsidRPr="0047462D">
        <w:rPr>
          <w:b/>
          <w:bCs/>
        </w:rPr>
        <w:t xml:space="preserve">BLISTER </w:t>
      </w:r>
      <w:r w:rsidRPr="0047462D">
        <w:rPr>
          <w:b/>
          <w:bCs/>
          <w:lang w:val="en-GB"/>
        </w:rPr>
        <w:t>CARD</w:t>
      </w:r>
      <w:r w:rsidRPr="0047462D">
        <w:rPr>
          <w:b/>
          <w:bCs/>
        </w:rPr>
        <w:t>) – ΣΥΣΚΕΥΑΣΙΑ 28</w:t>
      </w:r>
      <w:r w:rsidR="00B96686">
        <w:rPr>
          <w:b/>
          <w:bCs/>
        </w:rPr>
        <w:t> </w:t>
      </w:r>
      <w:r w:rsidRPr="0047462D">
        <w:rPr>
          <w:b/>
          <w:bCs/>
        </w:rPr>
        <w:t>ΔΙΣΚΙΩΝ</w:t>
      </w:r>
    </w:p>
    <w:p w14:paraId="2B77CE19" w14:textId="77777777" w:rsidR="00E53E6B" w:rsidRPr="0047462D" w:rsidRDefault="00E53E6B" w:rsidP="00E53E6B">
      <w:pPr>
        <w:suppressLineNumbers/>
      </w:pPr>
    </w:p>
    <w:p w14:paraId="2E2A5BAA" w14:textId="77777777" w:rsidR="00E53E6B" w:rsidRPr="0047462D" w:rsidRDefault="00E53E6B" w:rsidP="00E53E6B">
      <w:pPr>
        <w:suppressLineNumbers/>
      </w:pPr>
    </w:p>
    <w:p w14:paraId="2A0B66A5"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Pr="0047462D">
        <w:rPr>
          <w:b/>
          <w:noProof/>
          <w:szCs w:val="22"/>
        </w:rPr>
        <w:t>ΟΝΟΜΑΣΙΑ ΤΟΥ ΦΑΡΜΑΚΕΥΤΙΚΟΥ ΠΡΟΪΟΝΤΟΣ</w:t>
      </w:r>
    </w:p>
    <w:p w14:paraId="126D9246" w14:textId="77777777" w:rsidR="00E53E6B" w:rsidRPr="0047462D" w:rsidRDefault="00E53E6B" w:rsidP="00E53E6B">
      <w:pPr>
        <w:suppressLineNumbers/>
      </w:pPr>
    </w:p>
    <w:p w14:paraId="1091421A" w14:textId="4DD4DF44" w:rsidR="00E53E6B" w:rsidRPr="0047462D" w:rsidRDefault="00E53E6B" w:rsidP="00E53E6B">
      <w:r w:rsidRPr="0047462D">
        <w:t xml:space="preserve">Kalydeco </w:t>
      </w:r>
      <w:r w:rsidR="0056647A">
        <w:t>75</w:t>
      </w:r>
      <w:r w:rsidRPr="0047462D">
        <w:t xml:space="preserve"> mg </w:t>
      </w:r>
      <w:r w:rsidRPr="0047462D">
        <w:rPr>
          <w:rFonts w:eastAsia="Times New Roman"/>
          <w:spacing w:val="4"/>
          <w:szCs w:val="22"/>
        </w:rPr>
        <w:t>επικαλυμμένα με λεπτό υμένιο δισκία</w:t>
      </w:r>
    </w:p>
    <w:p w14:paraId="2FA19B8A" w14:textId="77777777" w:rsidR="00E53E6B" w:rsidRPr="0047462D" w:rsidRDefault="00E53E6B" w:rsidP="00E53E6B">
      <w:pPr>
        <w:rPr>
          <w:i/>
          <w:iCs/>
        </w:rPr>
      </w:pPr>
      <w:r w:rsidRPr="0047462D">
        <w:t>ivacaftor</w:t>
      </w:r>
    </w:p>
    <w:p w14:paraId="65D8CA88" w14:textId="77777777" w:rsidR="00E53E6B" w:rsidRPr="0047462D" w:rsidRDefault="00E53E6B" w:rsidP="00E53E6B">
      <w:pPr>
        <w:suppressLineNumbers/>
      </w:pPr>
    </w:p>
    <w:p w14:paraId="48DEB599" w14:textId="77777777" w:rsidR="00E53E6B" w:rsidRPr="0047462D" w:rsidRDefault="00E53E6B" w:rsidP="00E53E6B">
      <w:pPr>
        <w:suppressLineNumbers/>
      </w:pPr>
    </w:p>
    <w:p w14:paraId="22E98188"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Pr="0047462D">
        <w:rPr>
          <w:b/>
        </w:rPr>
        <w:t>ΣΥΝΘΕΣΗ ΣΕ ΔΡΑΣΤΙΚΗ(ΕΣ) ΟΥΣΙΑ(ΕΣ)</w:t>
      </w:r>
    </w:p>
    <w:p w14:paraId="731AF4CD" w14:textId="77777777" w:rsidR="00E53E6B" w:rsidRPr="0047462D" w:rsidRDefault="00E53E6B" w:rsidP="00E53E6B">
      <w:pPr>
        <w:suppressLineNumbers/>
        <w:rPr>
          <w:iCs/>
        </w:rPr>
      </w:pPr>
    </w:p>
    <w:p w14:paraId="6C2E57BA" w14:textId="3290AD6E" w:rsidR="00E53E6B" w:rsidRPr="0047462D" w:rsidRDefault="00E53E6B" w:rsidP="00E53E6B">
      <w:r w:rsidRPr="0047462D">
        <w:rPr>
          <w:rFonts w:eastAsia="Times New Roman"/>
          <w:szCs w:val="22"/>
        </w:rPr>
        <w:t>Kάθε δισκίο περιέχει</w:t>
      </w:r>
      <w:r w:rsidRPr="0047462D">
        <w:t xml:space="preserve"> </w:t>
      </w:r>
      <w:r w:rsidR="0056647A">
        <w:t>75</w:t>
      </w:r>
      <w:r w:rsidRPr="0047462D">
        <w:t> mg ivacaftor.</w:t>
      </w:r>
    </w:p>
    <w:p w14:paraId="48E87321" w14:textId="77777777" w:rsidR="00E53E6B" w:rsidRPr="0047462D" w:rsidRDefault="00E53E6B" w:rsidP="00E53E6B"/>
    <w:p w14:paraId="18959CDF" w14:textId="77777777" w:rsidR="00E53E6B" w:rsidRPr="0047462D" w:rsidRDefault="00E53E6B" w:rsidP="00E53E6B"/>
    <w:p w14:paraId="3EAFCF5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Pr="0047462D">
        <w:rPr>
          <w:rFonts w:eastAsia="Times New Roman"/>
          <w:b/>
          <w:bCs/>
          <w:szCs w:val="22"/>
        </w:rPr>
        <w:t>ΚΑΤΑΛΟΓΟΣ ΕΚΔΟΧΩΝ</w:t>
      </w:r>
    </w:p>
    <w:p w14:paraId="79B2C6AC" w14:textId="77777777" w:rsidR="00E53E6B" w:rsidRPr="0047462D" w:rsidRDefault="00E53E6B" w:rsidP="00E53E6B">
      <w:pPr>
        <w:suppressLineNumbers/>
      </w:pPr>
    </w:p>
    <w:p w14:paraId="5A7CB4E9" w14:textId="23A127A7" w:rsidR="00E53E6B" w:rsidRPr="0047462D" w:rsidRDefault="00E53E6B" w:rsidP="00E53E6B">
      <w:r w:rsidRPr="0047462D">
        <w:t>Περιέχει λακτόζη.</w:t>
      </w:r>
      <w:r w:rsidR="00C579F4">
        <w:t xml:space="preserve">  </w:t>
      </w:r>
    </w:p>
    <w:p w14:paraId="7D35355E" w14:textId="77777777" w:rsidR="00E53E6B" w:rsidRPr="0047462D" w:rsidRDefault="00E53E6B" w:rsidP="00E53E6B"/>
    <w:p w14:paraId="7E277791" w14:textId="1D33E718" w:rsidR="0056647A" w:rsidRPr="00475296" w:rsidRDefault="00E53E6B" w:rsidP="0056647A">
      <w:pPr>
        <w:tabs>
          <w:tab w:val="left" w:pos="720"/>
        </w:tabs>
        <w:ind w:left="720" w:hanging="720"/>
      </w:pPr>
      <w:r w:rsidRPr="00F93ECE">
        <w:rPr>
          <w:highlight w:val="lightGray"/>
        </w:rPr>
        <w:t>Βλ. φύλλο οδηγιών χρήσης για περισσότερες πληροφορίες.</w:t>
      </w:r>
    </w:p>
    <w:p w14:paraId="1B480794" w14:textId="77777777" w:rsidR="00E53E6B" w:rsidRPr="0047462D" w:rsidRDefault="00E53E6B" w:rsidP="00E53E6B"/>
    <w:p w14:paraId="355788B7" w14:textId="77777777" w:rsidR="00E53E6B" w:rsidRPr="0047462D" w:rsidRDefault="00E53E6B" w:rsidP="00E53E6B"/>
    <w:p w14:paraId="7A24A70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Pr="0047462D">
        <w:rPr>
          <w:rFonts w:eastAsia="Times New Roman"/>
          <w:b/>
          <w:bCs/>
          <w:szCs w:val="22"/>
        </w:rPr>
        <w:t>ΦΑΡΜΑΚΟΤΕΧΝΙΚΗ ΜΟΡΦΗ ΚΑΙ ΠΕΡΙΕΧΟΜΕΝΟ</w:t>
      </w:r>
    </w:p>
    <w:p w14:paraId="6B297E01" w14:textId="77777777" w:rsidR="00E53E6B" w:rsidRPr="0047462D" w:rsidRDefault="00E53E6B" w:rsidP="00E53E6B">
      <w:pPr>
        <w:suppressLineNumbers/>
      </w:pPr>
    </w:p>
    <w:p w14:paraId="31D3D5F0" w14:textId="77777777" w:rsidR="00E53E6B" w:rsidRPr="0047462D" w:rsidRDefault="00E53E6B" w:rsidP="00E53E6B">
      <w:r w:rsidRPr="0047462D">
        <w:t>28 δισκία</w:t>
      </w:r>
    </w:p>
    <w:p w14:paraId="26C32F7B" w14:textId="77777777" w:rsidR="00E53E6B" w:rsidRPr="0047462D" w:rsidRDefault="00E53E6B" w:rsidP="00E53E6B"/>
    <w:p w14:paraId="29014C9D" w14:textId="77777777" w:rsidR="00E53E6B" w:rsidRPr="0047462D" w:rsidRDefault="00E53E6B" w:rsidP="00E53E6B"/>
    <w:p w14:paraId="31E4EF17"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Pr="0047462D">
        <w:rPr>
          <w:rFonts w:eastAsia="Times New Roman"/>
          <w:b/>
          <w:bCs/>
          <w:szCs w:val="22"/>
        </w:rPr>
        <w:t>ΤΡΟΠΟΣ ΚΑΙ ΟΔΟΣ(ΟΙ) ΧΟΡΗΓΗΣΗΣ</w:t>
      </w:r>
    </w:p>
    <w:p w14:paraId="36B506D8" w14:textId="77777777" w:rsidR="00E53E6B" w:rsidRPr="0047462D" w:rsidRDefault="00E53E6B" w:rsidP="00E53E6B">
      <w:pPr>
        <w:suppressLineNumbers/>
      </w:pPr>
    </w:p>
    <w:p w14:paraId="59D45CDE" w14:textId="77777777" w:rsidR="00E53E6B" w:rsidRPr="0047462D" w:rsidRDefault="00E53E6B" w:rsidP="00E53E6B">
      <w:pPr>
        <w:suppressLineNumbers/>
      </w:pPr>
      <w:r w:rsidRPr="0047462D">
        <w:t>Διαβάστε το φύλλο οδηγιών χρήσης πριν από τη χρήση.</w:t>
      </w:r>
    </w:p>
    <w:p w14:paraId="42FB86AB" w14:textId="77777777" w:rsidR="00E53E6B" w:rsidRPr="0047462D" w:rsidRDefault="00E53E6B" w:rsidP="00E53E6B">
      <w:pPr>
        <w:suppressLineNumbers/>
      </w:pPr>
    </w:p>
    <w:p w14:paraId="466A15AD" w14:textId="77777777" w:rsidR="00E53E6B" w:rsidRPr="0047462D" w:rsidRDefault="00E53E6B" w:rsidP="00E53E6B">
      <w:r w:rsidRPr="0047462D">
        <w:rPr>
          <w:rFonts w:eastAsia="Times New Roman"/>
          <w:szCs w:val="22"/>
        </w:rPr>
        <w:t>Από στόματος</w:t>
      </w:r>
      <w:r w:rsidRPr="0047462D">
        <w:rPr>
          <w:rFonts w:eastAsia="Times New Roman"/>
          <w:szCs w:val="22"/>
          <w:lang w:eastAsia="en-US"/>
        </w:rPr>
        <w:t xml:space="preserve"> χρήση</w:t>
      </w:r>
    </w:p>
    <w:p w14:paraId="6ECE7998" w14:textId="77777777" w:rsidR="00E53E6B" w:rsidRPr="0047462D" w:rsidRDefault="00E53E6B" w:rsidP="00E53E6B">
      <w:pPr>
        <w:suppressLineNumbers/>
        <w:autoSpaceDE w:val="0"/>
        <w:autoSpaceDN w:val="0"/>
        <w:adjustRightInd w:val="0"/>
      </w:pPr>
    </w:p>
    <w:p w14:paraId="021B9DB4" w14:textId="77777777" w:rsidR="00E53E6B" w:rsidRPr="0047462D" w:rsidRDefault="00E53E6B" w:rsidP="00E53E6B">
      <w:pPr>
        <w:suppressLineNumbers/>
        <w:autoSpaceDE w:val="0"/>
        <w:autoSpaceDN w:val="0"/>
        <w:adjustRightInd w:val="0"/>
        <w:rPr>
          <w:b/>
          <w:bCs/>
        </w:rPr>
      </w:pPr>
      <w:r w:rsidRPr="0047462D">
        <w:rPr>
          <w:b/>
          <w:bCs/>
        </w:rPr>
        <w:t>Οδηγίες χρήσης</w:t>
      </w:r>
    </w:p>
    <w:p w14:paraId="787DC200" w14:textId="77777777" w:rsidR="00E53E6B" w:rsidRPr="0047462D" w:rsidRDefault="00E53E6B" w:rsidP="00E53E6B">
      <w:pPr>
        <w:suppressLineNumbers/>
        <w:autoSpaceDE w:val="0"/>
        <w:autoSpaceDN w:val="0"/>
        <w:adjustRightInd w:val="0"/>
      </w:pPr>
    </w:p>
    <w:p w14:paraId="0B888260" w14:textId="77777777" w:rsidR="00E53E6B" w:rsidRPr="0047462D" w:rsidRDefault="00E53E6B" w:rsidP="00E53E6B">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t xml:space="preserve">. </w:t>
      </w:r>
    </w:p>
    <w:p w14:paraId="0EFE578C" w14:textId="77777777" w:rsidR="00E53E6B" w:rsidRPr="0047462D" w:rsidRDefault="00E53E6B" w:rsidP="00E53E6B">
      <w:pPr>
        <w:suppressLineNumbers/>
        <w:autoSpaceDE w:val="0"/>
        <w:autoSpaceDN w:val="0"/>
        <w:adjustRightInd w:val="0"/>
      </w:pPr>
    </w:p>
    <w:p w14:paraId="4E7151F4" w14:textId="77777777" w:rsidR="00E53E6B" w:rsidRPr="0047462D" w:rsidRDefault="00E53E6B" w:rsidP="00E53E6B">
      <w:pPr>
        <w:suppressLineNumbers/>
        <w:autoSpaceDE w:val="0"/>
        <w:autoSpaceDN w:val="0"/>
        <w:adjustRightInd w:val="0"/>
      </w:pPr>
      <w:r w:rsidRPr="0047462D">
        <w:t xml:space="preserve">Πάρτε το με τροφή που περιέχει λίπος. </w:t>
      </w:r>
    </w:p>
    <w:p w14:paraId="6C61CB0A" w14:textId="77777777" w:rsidR="00E53E6B" w:rsidRPr="0047462D" w:rsidRDefault="00E53E6B" w:rsidP="00E53E6B">
      <w:pPr>
        <w:suppressLineNumbers/>
        <w:autoSpaceDE w:val="0"/>
        <w:autoSpaceDN w:val="0"/>
        <w:adjustRightInd w:val="0"/>
      </w:pPr>
    </w:p>
    <w:p w14:paraId="7EB730D2" w14:textId="77777777" w:rsidR="00E53E6B" w:rsidRPr="0047462D" w:rsidRDefault="00E53E6B" w:rsidP="00E53E6B">
      <w:pPr>
        <w:suppressLineNumbers/>
        <w:autoSpaceDE w:val="0"/>
        <w:autoSpaceDN w:val="0"/>
        <w:adjustRightInd w:val="0"/>
      </w:pPr>
      <w:r w:rsidRPr="0047462D">
        <w:t>Μην σπάτε, μασάτε ή διαλύετε τα δισκία.</w:t>
      </w:r>
    </w:p>
    <w:p w14:paraId="54D8E199" w14:textId="77777777" w:rsidR="00E53E6B" w:rsidRPr="0047462D" w:rsidRDefault="00E53E6B" w:rsidP="00E53E6B">
      <w:pPr>
        <w:rPr>
          <w:noProof/>
        </w:rPr>
      </w:pPr>
    </w:p>
    <w:p w14:paraId="1F53876C" w14:textId="77777777" w:rsidR="00E53E6B" w:rsidRPr="0047462D" w:rsidRDefault="00E53E6B" w:rsidP="00E53E6B">
      <w:pPr>
        <w:rPr>
          <w:noProof/>
        </w:rPr>
      </w:pPr>
      <w:r w:rsidRPr="0047462D">
        <w:rPr>
          <w:noProof/>
        </w:rPr>
        <w:t>Τοποθετήστε το καπάκι από κάτω για κλείσιμο</w:t>
      </w:r>
    </w:p>
    <w:p w14:paraId="627EEFBB" w14:textId="77777777" w:rsidR="00E53E6B" w:rsidRPr="0047462D" w:rsidRDefault="00E53E6B" w:rsidP="00E53E6B">
      <w:pPr>
        <w:rPr>
          <w:noProof/>
        </w:rPr>
      </w:pPr>
    </w:p>
    <w:p w14:paraId="3ABFCD4C" w14:textId="77777777" w:rsidR="00E53E6B" w:rsidRPr="0047462D" w:rsidRDefault="00E53E6B" w:rsidP="00E53E6B">
      <w:pPr>
        <w:rPr>
          <w:noProof/>
        </w:rPr>
      </w:pPr>
      <w:r w:rsidRPr="0047462D">
        <w:rPr>
          <w:noProof/>
        </w:rPr>
        <w:t>Ανοίξτε</w:t>
      </w:r>
    </w:p>
    <w:p w14:paraId="6B33B9D1" w14:textId="77777777" w:rsidR="00E53E6B" w:rsidRPr="0047462D" w:rsidRDefault="00E53E6B" w:rsidP="00E53E6B">
      <w:pPr>
        <w:rPr>
          <w:noProof/>
        </w:rPr>
      </w:pPr>
    </w:p>
    <w:p w14:paraId="3A6C85A1" w14:textId="77777777" w:rsidR="00E53E6B" w:rsidRPr="0047462D" w:rsidRDefault="00E53E6B" w:rsidP="00E53E6B"/>
    <w:p w14:paraId="704F5152"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DEF9CD8" w14:textId="77777777" w:rsidR="00E53E6B" w:rsidRPr="0047462D" w:rsidRDefault="00E53E6B" w:rsidP="00E53E6B">
      <w:pPr>
        <w:suppressLineNumbers/>
      </w:pPr>
    </w:p>
    <w:p w14:paraId="5C60CD3A" w14:textId="77777777" w:rsidR="00E53E6B" w:rsidRPr="0047462D" w:rsidRDefault="00E53E6B" w:rsidP="00E53E6B">
      <w:pPr>
        <w:suppressLineNumbers/>
        <w:outlineLvl w:val="0"/>
      </w:pPr>
      <w:r w:rsidRPr="0047462D">
        <w:t>Να φυλάσσεται σε θέση, την οποία δεν βλέπουν και δεν προσεγγίζουν τα παιδιά.</w:t>
      </w:r>
    </w:p>
    <w:p w14:paraId="08AE2435" w14:textId="77777777" w:rsidR="00E53E6B" w:rsidRPr="0047462D" w:rsidRDefault="00E53E6B" w:rsidP="00E53E6B"/>
    <w:p w14:paraId="1BAFBB94" w14:textId="77777777" w:rsidR="00E53E6B" w:rsidRPr="0047462D" w:rsidRDefault="00E53E6B" w:rsidP="00E53E6B"/>
    <w:p w14:paraId="3FBBEAB1"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Pr="0047462D">
        <w:rPr>
          <w:b/>
        </w:rPr>
        <w:t>ΑΛΛΗ(ΕΣ) ΕΙΔΙΚΗ(ΕΣ) ΠΡΟΕΙΔΟΠΟΙΗΣΗ(ΕΙΣ), ΕΑΝ ΕΙΝΑΙ ΑΠΑΡΑΙΤΗΤΗ(ΕΣ)</w:t>
      </w:r>
    </w:p>
    <w:p w14:paraId="27275E8C" w14:textId="77777777" w:rsidR="00E53E6B" w:rsidRPr="0047462D" w:rsidRDefault="00E53E6B" w:rsidP="00E53E6B"/>
    <w:p w14:paraId="2C62D6F6" w14:textId="77777777" w:rsidR="00E53E6B" w:rsidRPr="0047462D" w:rsidRDefault="00E53E6B" w:rsidP="00E53E6B"/>
    <w:p w14:paraId="66DD5463" w14:textId="77777777" w:rsidR="00E53E6B" w:rsidRPr="0047462D" w:rsidRDefault="00E53E6B" w:rsidP="00E53E6B">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Pr="0047462D">
        <w:rPr>
          <w:b/>
          <w:noProof/>
          <w:szCs w:val="22"/>
        </w:rPr>
        <w:t>ΗΜΕΡΟΜΗΝΙΑ ΛΗΞΗΣ</w:t>
      </w:r>
    </w:p>
    <w:p w14:paraId="53FB3C92" w14:textId="77777777" w:rsidR="00E53E6B" w:rsidRPr="0047462D" w:rsidRDefault="00E53E6B" w:rsidP="00E53E6B">
      <w:pPr>
        <w:keepNext/>
        <w:suppressLineNumbers/>
      </w:pPr>
    </w:p>
    <w:p w14:paraId="684F8860" w14:textId="77777777" w:rsidR="00E53E6B" w:rsidRPr="0047462D" w:rsidRDefault="00E53E6B" w:rsidP="00E53E6B">
      <w:pPr>
        <w:suppressLineNumbers/>
      </w:pPr>
      <w:r w:rsidRPr="0047462D">
        <w:t>ΛΗΞΗ</w:t>
      </w:r>
    </w:p>
    <w:p w14:paraId="4E2FB4D3" w14:textId="77777777" w:rsidR="00E53E6B" w:rsidRPr="0047462D" w:rsidRDefault="00E53E6B" w:rsidP="00E53E6B"/>
    <w:p w14:paraId="1738D65A" w14:textId="77777777" w:rsidR="00E53E6B" w:rsidRPr="0047462D" w:rsidRDefault="00E53E6B" w:rsidP="00E53E6B"/>
    <w:p w14:paraId="7A83EA0C" w14:textId="77777777" w:rsidR="00E53E6B" w:rsidRPr="0047462D" w:rsidRDefault="00E53E6B" w:rsidP="00E53E6B">
      <w:pPr>
        <w:keepNext/>
        <w:keepLines/>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Pr="0047462D">
        <w:rPr>
          <w:rFonts w:eastAsia="Times New Roman"/>
          <w:b/>
          <w:bCs/>
          <w:szCs w:val="22"/>
        </w:rPr>
        <w:t>ΕΙΔΙΚΕΣ ΣΥΝΘΗΚΕΣ ΦΥΛΑΞΗΣ</w:t>
      </w:r>
    </w:p>
    <w:p w14:paraId="31B6C6C5" w14:textId="77777777" w:rsidR="00E53E6B" w:rsidRPr="0047462D" w:rsidRDefault="00E53E6B" w:rsidP="00E53E6B">
      <w:pPr>
        <w:keepLines/>
        <w:suppressLineNumbers/>
      </w:pPr>
    </w:p>
    <w:p w14:paraId="4BF44982" w14:textId="77777777" w:rsidR="00E53E6B" w:rsidRPr="0047462D" w:rsidRDefault="00E53E6B" w:rsidP="00E53E6B">
      <w:pPr>
        <w:keepLines/>
      </w:pPr>
    </w:p>
    <w:p w14:paraId="75B4E72D"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Pr="0047462D">
        <w:rPr>
          <w:b/>
        </w:rPr>
        <w:t>ΙΔΙΑΙΤΕΡΕΣ ΠΡΟΦΥΛΑΞΕΙΣ ΓΙΑ ΤΗΝ ΑΠΟΡΡΙΨΗ ΤΩΝ ΜΗ</w:t>
      </w:r>
      <w:r w:rsidRPr="0047462D">
        <w:rPr>
          <w:b/>
          <w:bCs/>
        </w:rPr>
        <w:t xml:space="preserve"> </w:t>
      </w:r>
      <w:r w:rsidRPr="0047462D">
        <w:rPr>
          <w:b/>
        </w:rPr>
        <w:t>ΧΡΗΣΙΜΟΠΟΙΗΘΕΝΤΩΝ ΦΑΡΜΑΚΕΥΤΙΚΩΝ ΠΡΟΪΟΝΤΩΝ Ή ΤΩΝ</w:t>
      </w:r>
      <w:r w:rsidRPr="0047462D">
        <w:rPr>
          <w:b/>
          <w:bCs/>
        </w:rPr>
        <w:t xml:space="preserve"> </w:t>
      </w:r>
      <w:r w:rsidRPr="0047462D">
        <w:rPr>
          <w:b/>
        </w:rPr>
        <w:t>ΥΠΟΛΕΙΜΜΑΤΩΝ ΠΟΥ ΠΡΟΕΡΧΟΝΤΑΙ ΑΠΟ ΑΥΤΑ, ΕΦΟΣΟΝ ΑΠΑΙΤΕΙΤΑΙ</w:t>
      </w:r>
    </w:p>
    <w:p w14:paraId="38159937" w14:textId="77777777" w:rsidR="00E53E6B" w:rsidRPr="0047462D" w:rsidRDefault="00E53E6B" w:rsidP="00E53E6B">
      <w:pPr>
        <w:suppressLineNumbers/>
      </w:pPr>
    </w:p>
    <w:p w14:paraId="2FA3B42A" w14:textId="77777777" w:rsidR="00E53E6B" w:rsidRPr="0047462D" w:rsidRDefault="00E53E6B" w:rsidP="00E53E6B">
      <w:pPr>
        <w:suppressLineNumbers/>
      </w:pPr>
    </w:p>
    <w:p w14:paraId="3643794A"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Pr="0047462D">
        <w:rPr>
          <w:b/>
        </w:rPr>
        <w:t>ΟΝΟΜΑ ΚΑΙ ΔΙΕΥΘΥΝΣΗ ΚΑΤΟΧΟΥ ΤΗΣ ΑΔΕΙΑΣ ΚΥΚΛΟΦΟΡΙΑΣ</w:t>
      </w:r>
    </w:p>
    <w:p w14:paraId="5590D10A" w14:textId="77777777" w:rsidR="00E53E6B" w:rsidRPr="0047462D" w:rsidRDefault="00E53E6B" w:rsidP="00E53E6B">
      <w:pPr>
        <w:suppressLineNumbers/>
      </w:pPr>
    </w:p>
    <w:p w14:paraId="2FB05F93" w14:textId="77777777" w:rsidR="00E53E6B" w:rsidRPr="0047462D" w:rsidRDefault="00E53E6B" w:rsidP="00E53E6B">
      <w:pPr>
        <w:rPr>
          <w:iCs/>
          <w:lang w:val="en-GB"/>
        </w:rPr>
      </w:pPr>
      <w:r w:rsidRPr="0047462D">
        <w:rPr>
          <w:iCs/>
          <w:lang w:val="en-GB"/>
        </w:rPr>
        <w:t>Vertex Pharmaceuticals (Ireland) Limited</w:t>
      </w:r>
    </w:p>
    <w:p w14:paraId="1C4F564F" w14:textId="77777777" w:rsidR="00E53E6B" w:rsidRPr="0047462D" w:rsidRDefault="00E53E6B" w:rsidP="00E53E6B">
      <w:pPr>
        <w:rPr>
          <w:iCs/>
          <w:lang w:val="en-GB"/>
        </w:rPr>
      </w:pPr>
      <w:r w:rsidRPr="0047462D">
        <w:rPr>
          <w:iCs/>
          <w:lang w:val="en-GB"/>
        </w:rPr>
        <w:t>28-32 Pembroke Street Upper</w:t>
      </w:r>
    </w:p>
    <w:p w14:paraId="2AAEC840" w14:textId="77777777" w:rsidR="00E53E6B" w:rsidRPr="0047462D" w:rsidRDefault="00E53E6B" w:rsidP="00E53E6B">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0E4517E5" w14:textId="77777777" w:rsidR="00E53E6B" w:rsidRPr="0047462D" w:rsidRDefault="00E53E6B" w:rsidP="00E53E6B">
      <w:pPr>
        <w:pStyle w:val="NormalIndent"/>
        <w:spacing w:after="0"/>
        <w:ind w:left="0"/>
      </w:pPr>
      <w:r w:rsidRPr="0047462D">
        <w:rPr>
          <w:iCs/>
        </w:rPr>
        <w:t>Ιρλανδία</w:t>
      </w:r>
    </w:p>
    <w:p w14:paraId="0BB25B1A" w14:textId="77777777" w:rsidR="00E53E6B" w:rsidRPr="0047462D" w:rsidRDefault="00E53E6B" w:rsidP="00E53E6B"/>
    <w:p w14:paraId="545D9CAE" w14:textId="77777777" w:rsidR="00E53E6B" w:rsidRPr="0047462D" w:rsidRDefault="00E53E6B" w:rsidP="00E53E6B">
      <w:pPr>
        <w:pStyle w:val="NormalIndent"/>
        <w:spacing w:after="0"/>
        <w:ind w:left="0"/>
      </w:pPr>
    </w:p>
    <w:p w14:paraId="2650ADCF"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Pr="0047462D">
        <w:rPr>
          <w:rFonts w:eastAsia="Times New Roman"/>
          <w:b/>
          <w:bCs/>
          <w:szCs w:val="22"/>
        </w:rPr>
        <w:t>ΑΡΙΘΜΟΣ(ΟΙ) ΑΔΕΙΑΣ ΚΥΚΛΟΦΟΡΙΑΣ</w:t>
      </w:r>
    </w:p>
    <w:p w14:paraId="00289593" w14:textId="77777777" w:rsidR="00E53E6B" w:rsidRPr="0047462D" w:rsidRDefault="00E53E6B" w:rsidP="00E53E6B">
      <w:pPr>
        <w:suppressLineNumbers/>
      </w:pPr>
    </w:p>
    <w:p w14:paraId="2FFEE4CC" w14:textId="51099D4A" w:rsidR="00E53E6B" w:rsidRPr="0047462D" w:rsidRDefault="00E53E6B" w:rsidP="00E53E6B">
      <w:pPr>
        <w:suppressLineNumbers/>
      </w:pPr>
      <w:r w:rsidRPr="0047462D">
        <w:t>EU/1/12/782/00</w:t>
      </w:r>
      <w:r w:rsidR="00AE0FEB">
        <w:t>7</w:t>
      </w:r>
    </w:p>
    <w:p w14:paraId="609C2905" w14:textId="77777777" w:rsidR="00E53E6B" w:rsidRPr="0047462D" w:rsidRDefault="00E53E6B" w:rsidP="00E53E6B">
      <w:pPr>
        <w:suppressLineNumbers/>
      </w:pPr>
    </w:p>
    <w:p w14:paraId="61DE94E8" w14:textId="77777777" w:rsidR="00E53E6B" w:rsidRPr="0047462D" w:rsidRDefault="00E53E6B" w:rsidP="00E53E6B">
      <w:pPr>
        <w:suppressLineNumbers/>
      </w:pPr>
    </w:p>
    <w:p w14:paraId="33037E4B"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Pr="0047462D">
        <w:rPr>
          <w:b/>
        </w:rPr>
        <w:t>ΑΡΙΘΜΟΣ ΠΑΡΤΙΔΑΣ</w:t>
      </w:r>
    </w:p>
    <w:p w14:paraId="2810E04F" w14:textId="77777777" w:rsidR="00E53E6B" w:rsidRPr="0047462D" w:rsidRDefault="00E53E6B" w:rsidP="00E53E6B">
      <w:pPr>
        <w:suppressLineNumbers/>
        <w:rPr>
          <w:i/>
          <w:iCs/>
        </w:rPr>
      </w:pPr>
    </w:p>
    <w:p w14:paraId="2A7A011B" w14:textId="77777777" w:rsidR="00E53E6B" w:rsidRPr="0047462D" w:rsidRDefault="00E53E6B" w:rsidP="00E53E6B">
      <w:pPr>
        <w:suppressLineNumbers/>
      </w:pPr>
      <w:r w:rsidRPr="0047462D">
        <w:rPr>
          <w:szCs w:val="22"/>
          <w:lang w:eastAsia="en-US"/>
        </w:rPr>
        <w:t>Παρτίδα</w:t>
      </w:r>
    </w:p>
    <w:p w14:paraId="25892A73" w14:textId="77777777" w:rsidR="00E53E6B" w:rsidRPr="0047462D" w:rsidRDefault="00E53E6B" w:rsidP="00E53E6B">
      <w:pPr>
        <w:suppressLineNumbers/>
      </w:pPr>
    </w:p>
    <w:p w14:paraId="1A2E35C0" w14:textId="77777777" w:rsidR="00E53E6B" w:rsidRPr="0047462D" w:rsidRDefault="00E53E6B" w:rsidP="00E53E6B">
      <w:pPr>
        <w:suppressLineNumbers/>
      </w:pPr>
    </w:p>
    <w:p w14:paraId="79D0D486"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Pr="0047462D">
        <w:rPr>
          <w:b/>
        </w:rPr>
        <w:t>ΓΕΝΙΚΗ ΚΑΤΑΤΑΞΗ ΓΙΑ ΤΗ ΔΙΑΘΕΣΗ</w:t>
      </w:r>
    </w:p>
    <w:p w14:paraId="5B760759" w14:textId="77777777" w:rsidR="00E53E6B" w:rsidRPr="0047462D" w:rsidRDefault="00E53E6B" w:rsidP="00E53E6B">
      <w:pPr>
        <w:suppressLineNumbers/>
      </w:pPr>
    </w:p>
    <w:p w14:paraId="5A04C61C" w14:textId="77777777" w:rsidR="00E53E6B" w:rsidRPr="0047462D" w:rsidRDefault="00E53E6B" w:rsidP="00E53E6B">
      <w:pPr>
        <w:suppressLineNumbers/>
      </w:pPr>
    </w:p>
    <w:p w14:paraId="043105C7" w14:textId="77777777" w:rsidR="00E53E6B" w:rsidRPr="0047462D" w:rsidRDefault="00E53E6B" w:rsidP="00E53E6B">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Pr="0047462D">
        <w:rPr>
          <w:b/>
          <w:noProof/>
          <w:szCs w:val="22"/>
        </w:rPr>
        <w:t>ΟΔΗΓΙΕΣ ΧΡΗΣΗΣ</w:t>
      </w:r>
    </w:p>
    <w:p w14:paraId="67B76275" w14:textId="77777777" w:rsidR="00E53E6B" w:rsidRPr="0047462D" w:rsidRDefault="00E53E6B" w:rsidP="00E53E6B">
      <w:pPr>
        <w:suppressLineNumbers/>
      </w:pPr>
    </w:p>
    <w:p w14:paraId="01490111" w14:textId="77777777" w:rsidR="00E53E6B" w:rsidRPr="0047462D" w:rsidRDefault="00E53E6B" w:rsidP="00E53E6B">
      <w:pPr>
        <w:suppressLineNumbers/>
      </w:pPr>
    </w:p>
    <w:p w14:paraId="68BAA57E"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Pr="0047462D">
        <w:rPr>
          <w:b/>
          <w:noProof/>
          <w:szCs w:val="22"/>
        </w:rPr>
        <w:t xml:space="preserve">ΠΛΗΡΟΦΟΡΙΕΣ ΣΕ </w:t>
      </w:r>
      <w:r w:rsidRPr="0047462D">
        <w:rPr>
          <w:b/>
          <w:bCs/>
        </w:rPr>
        <w:t>BRAILLE</w:t>
      </w:r>
    </w:p>
    <w:p w14:paraId="5B6BB514" w14:textId="77777777" w:rsidR="00E53E6B" w:rsidRPr="0047462D" w:rsidRDefault="00E53E6B" w:rsidP="00E53E6B">
      <w:pPr>
        <w:suppressLineNumbers/>
        <w:rPr>
          <w:shd w:val="clear" w:color="auto" w:fill="CCCCCC"/>
        </w:rPr>
      </w:pPr>
    </w:p>
    <w:p w14:paraId="4E0EB18F" w14:textId="54F32516" w:rsidR="00E53E6B" w:rsidRPr="0047462D" w:rsidRDefault="00E53E6B" w:rsidP="00E53E6B">
      <w:pPr>
        <w:suppressLineNumbers/>
      </w:pPr>
      <w:r w:rsidRPr="0047462D">
        <w:t xml:space="preserve">Kalydeco </w:t>
      </w:r>
      <w:r w:rsidR="00B96686">
        <w:t>75</w:t>
      </w:r>
      <w:r w:rsidRPr="0047462D">
        <w:t> mg δισκία</w:t>
      </w:r>
    </w:p>
    <w:p w14:paraId="24BE8701" w14:textId="77777777" w:rsidR="00E53E6B" w:rsidRPr="0047462D" w:rsidRDefault="00E53E6B" w:rsidP="00E53E6B">
      <w:pPr>
        <w:suppressLineNumbers/>
      </w:pPr>
    </w:p>
    <w:p w14:paraId="3C4DF2DA" w14:textId="77777777" w:rsidR="00E53E6B" w:rsidRPr="0047462D" w:rsidRDefault="00E53E6B" w:rsidP="00E53E6B">
      <w:pPr>
        <w:suppressLineNumbers/>
      </w:pPr>
    </w:p>
    <w:p w14:paraId="156A6599"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rPr>
          <w:b/>
          <w:noProof/>
        </w:rPr>
      </w:pPr>
      <w:r w:rsidRPr="0047462D">
        <w:rPr>
          <w:b/>
          <w:bCs/>
        </w:rPr>
        <w:t>17.</w:t>
      </w:r>
      <w:r w:rsidRPr="0047462D">
        <w:rPr>
          <w:b/>
          <w:bCs/>
        </w:rPr>
        <w:tab/>
      </w:r>
      <w:r w:rsidRPr="0047462D">
        <w:rPr>
          <w:b/>
          <w:noProof/>
        </w:rPr>
        <w:t>ΜΟΝΑΔΙΚΟΣ ΑΝΑΓΝΩΡΙΣΤΙΚΟΣ ΚΩΔΙΚΟΣ – ΔΙΣΔΙΑΣΤΑΤΟΣ ΓΡΑΜΜΩΤΟΣ</w:t>
      </w:r>
    </w:p>
    <w:p w14:paraId="2DC84E3D"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ind w:firstLine="540"/>
        <w:rPr>
          <w:b/>
          <w:noProof/>
        </w:rPr>
      </w:pPr>
      <w:r w:rsidRPr="0047462D">
        <w:rPr>
          <w:b/>
          <w:noProof/>
        </w:rPr>
        <w:t>ΚΩΔΙΚΑΣ (2D)</w:t>
      </w:r>
    </w:p>
    <w:p w14:paraId="786E41B7" w14:textId="77777777" w:rsidR="00E53E6B" w:rsidRPr="0047462D" w:rsidRDefault="00E53E6B" w:rsidP="00E53E6B">
      <w:pPr>
        <w:suppressLineNumbers/>
        <w:rPr>
          <w:bCs/>
        </w:rPr>
      </w:pPr>
    </w:p>
    <w:p w14:paraId="38DBF53A" w14:textId="77777777" w:rsidR="00E53E6B" w:rsidRPr="00F93ECE" w:rsidRDefault="00E53E6B" w:rsidP="00F93ECE">
      <w:pPr>
        <w:tabs>
          <w:tab w:val="left" w:pos="720"/>
        </w:tabs>
        <w:ind w:left="720" w:hanging="720"/>
        <w:rPr>
          <w:highlight w:val="lightGray"/>
        </w:rPr>
      </w:pPr>
      <w:r w:rsidRPr="00F93ECE">
        <w:rPr>
          <w:highlight w:val="lightGray"/>
        </w:rPr>
        <w:t>Δισδιάστατος γραμμωτός κώδικας (2D) που φέρει τον περιληφθέντα μοναδικό αναγνωριστικό κωδικό.</w:t>
      </w:r>
    </w:p>
    <w:p w14:paraId="695B93B3" w14:textId="77777777" w:rsidR="00E53E6B" w:rsidRPr="0047462D" w:rsidRDefault="00E53E6B" w:rsidP="00E53E6B">
      <w:pPr>
        <w:suppressLineNumbers/>
        <w:rPr>
          <w:bCs/>
        </w:rPr>
      </w:pPr>
    </w:p>
    <w:p w14:paraId="793E2DDD" w14:textId="77777777" w:rsidR="00E53E6B" w:rsidRPr="0047462D" w:rsidRDefault="00E53E6B" w:rsidP="00E53E6B">
      <w:pPr>
        <w:suppressLineNumbers/>
        <w:rPr>
          <w:bCs/>
        </w:rPr>
      </w:pPr>
    </w:p>
    <w:p w14:paraId="61727071" w14:textId="77777777" w:rsidR="00E53E6B" w:rsidRPr="0047462D" w:rsidRDefault="00E53E6B" w:rsidP="00E53E6B">
      <w:pPr>
        <w:keepNext/>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Pr="0047462D">
        <w:rPr>
          <w:b/>
          <w:noProof/>
        </w:rPr>
        <w:t>ΜΟΝΑΔΙΚΟΣ ΑΝΑΓΝΩΡΙΣΤΙΚΟΣ ΚΩΔΙΚΟΣ – ΔΕΔΟΜΕΝΑ ΑΝΑΓΝΩΣΙΜΑ ΑΠΟ ΤΟΝ ΑΝΘΡΩΠΟ</w:t>
      </w:r>
    </w:p>
    <w:p w14:paraId="7E50944F" w14:textId="77777777" w:rsidR="00E53E6B" w:rsidRPr="0047462D" w:rsidRDefault="00E53E6B" w:rsidP="00E53E6B">
      <w:pPr>
        <w:keepNext/>
        <w:suppressLineNumbers/>
        <w:rPr>
          <w:bCs/>
        </w:rPr>
      </w:pPr>
    </w:p>
    <w:p w14:paraId="7456A52A" w14:textId="77777777" w:rsidR="00E53E6B" w:rsidRPr="0047462D" w:rsidRDefault="00E53E6B" w:rsidP="00E53E6B">
      <w:pPr>
        <w:keepNext/>
        <w:suppressLineNumbers/>
      </w:pPr>
      <w:r w:rsidRPr="0047462D">
        <w:t>PC</w:t>
      </w:r>
    </w:p>
    <w:p w14:paraId="3B0B2FDF" w14:textId="77777777" w:rsidR="00E53E6B" w:rsidRPr="0047462D" w:rsidRDefault="00E53E6B" w:rsidP="00E53E6B">
      <w:pPr>
        <w:keepNext/>
        <w:suppressLineNumbers/>
      </w:pPr>
      <w:r w:rsidRPr="0047462D">
        <w:t>SN</w:t>
      </w:r>
    </w:p>
    <w:p w14:paraId="37386257" w14:textId="77777777" w:rsidR="00E53E6B" w:rsidRPr="0047462D" w:rsidRDefault="00E53E6B" w:rsidP="00E53E6B">
      <w:pPr>
        <w:suppressLineNumbers/>
      </w:pPr>
      <w:r w:rsidRPr="0047462D">
        <w:t>NN</w:t>
      </w:r>
    </w:p>
    <w:p w14:paraId="661561BB" w14:textId="77777777" w:rsidR="00E53E6B" w:rsidRPr="0047462D" w:rsidRDefault="00E53E6B" w:rsidP="00E53E6B">
      <w:pPr>
        <w:pBdr>
          <w:top w:val="single" w:sz="4" w:space="1" w:color="auto"/>
          <w:left w:val="single" w:sz="4" w:space="4" w:color="auto"/>
          <w:bottom w:val="single" w:sz="4" w:space="1" w:color="auto"/>
          <w:right w:val="single" w:sz="4" w:space="4" w:color="auto"/>
        </w:pBdr>
        <w:rPr>
          <w:b/>
        </w:rPr>
      </w:pPr>
      <w:r w:rsidRPr="0047462D">
        <w:rPr>
          <w:bCs/>
        </w:rPr>
        <w:br w:type="page"/>
      </w:r>
      <w:r w:rsidRPr="0047462D">
        <w:rPr>
          <w:b/>
          <w:bCs/>
          <w:caps/>
        </w:rPr>
        <w:t>ΕΝΔΕΙΞΕΙΣ ΠΟΥ ΠΡΕΠΕΙ ΝΑ ΑΝΑΓΡΑΦΟΝΤΑΙ ΣΤΗ ΣΤΟΙΧΕΙΩΔΗ ΣΥΣΚΕΥΑΣΙΑ</w:t>
      </w:r>
    </w:p>
    <w:p w14:paraId="5D531F3E"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rPr>
          <w:b/>
        </w:rPr>
      </w:pPr>
    </w:p>
    <w:p w14:paraId="58E28555" w14:textId="14C263D8" w:rsidR="00E53E6B" w:rsidRPr="0047462D" w:rsidRDefault="00E53E6B" w:rsidP="00E53E6B">
      <w:pPr>
        <w:pBdr>
          <w:top w:val="single" w:sz="4" w:space="1" w:color="auto"/>
          <w:left w:val="single" w:sz="4" w:space="4" w:color="auto"/>
          <w:bottom w:val="single" w:sz="4" w:space="1" w:color="auto"/>
          <w:right w:val="single" w:sz="4" w:space="4" w:color="auto"/>
        </w:pBdr>
      </w:pPr>
      <w:r w:rsidRPr="0047462D">
        <w:rPr>
          <w:b/>
          <w:bCs/>
          <w:caps/>
        </w:rPr>
        <w:t xml:space="preserve">ΚΑΡΤΑ ΚΥΨΕΛΗς (BLISTER </w:t>
      </w:r>
      <w:r w:rsidRPr="0047462D">
        <w:rPr>
          <w:b/>
          <w:bCs/>
          <w:caps/>
          <w:lang w:val="en-GB"/>
        </w:rPr>
        <w:t>CARD</w:t>
      </w:r>
      <w:r w:rsidRPr="0047462D">
        <w:rPr>
          <w:b/>
          <w:bCs/>
        </w:rPr>
        <w:t>) – ΣΥΣΚΕΥΑΣΙΑ 28</w:t>
      </w:r>
      <w:r w:rsidR="00B96686">
        <w:rPr>
          <w:b/>
          <w:bCs/>
        </w:rPr>
        <w:t> </w:t>
      </w:r>
      <w:r w:rsidRPr="0047462D">
        <w:rPr>
          <w:b/>
          <w:bCs/>
        </w:rPr>
        <w:t>ΔΙΣΚΙΩΝ</w:t>
      </w:r>
    </w:p>
    <w:p w14:paraId="0521F8BB" w14:textId="77777777" w:rsidR="00E53E6B" w:rsidRPr="0047462D" w:rsidRDefault="00E53E6B" w:rsidP="00E53E6B">
      <w:pPr>
        <w:suppressLineNumbers/>
      </w:pPr>
    </w:p>
    <w:p w14:paraId="034FD22A" w14:textId="77777777" w:rsidR="00E53E6B" w:rsidRPr="0047462D" w:rsidRDefault="00E53E6B" w:rsidP="00E53E6B">
      <w:pPr>
        <w:suppressLineNumbers/>
      </w:pPr>
    </w:p>
    <w:p w14:paraId="283E3986"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Pr="0047462D">
        <w:rPr>
          <w:b/>
          <w:noProof/>
          <w:szCs w:val="22"/>
        </w:rPr>
        <w:t>ΟΝΟΜΑΣΙΑ ΤΟΥ ΦΑΡΜΑΚΕΥΤΙΚΟΥ ΠΡΟΪΟΝΤΟΣ</w:t>
      </w:r>
    </w:p>
    <w:p w14:paraId="7631A039" w14:textId="77777777" w:rsidR="00E53E6B" w:rsidRPr="0047462D" w:rsidRDefault="00E53E6B" w:rsidP="00E53E6B">
      <w:pPr>
        <w:suppressLineNumbers/>
      </w:pPr>
    </w:p>
    <w:p w14:paraId="68DC93AE" w14:textId="58FDEA4F" w:rsidR="00E53E6B" w:rsidRPr="0047462D" w:rsidRDefault="00E53E6B" w:rsidP="00E53E6B">
      <w:r w:rsidRPr="0047462D">
        <w:t xml:space="preserve">Kalydeco </w:t>
      </w:r>
      <w:r w:rsidR="00B96686">
        <w:t>75</w:t>
      </w:r>
      <w:r w:rsidRPr="0047462D">
        <w:t xml:space="preserve"> mg </w:t>
      </w:r>
      <w:r w:rsidRPr="0047462D">
        <w:rPr>
          <w:rFonts w:eastAsia="Times New Roman"/>
          <w:spacing w:val="4"/>
          <w:szCs w:val="22"/>
        </w:rPr>
        <w:t>επικαλυμμένα με λεπτό υμένιο δισκία</w:t>
      </w:r>
    </w:p>
    <w:p w14:paraId="711A667B" w14:textId="77777777" w:rsidR="00E53E6B" w:rsidRPr="0047462D" w:rsidRDefault="00E53E6B" w:rsidP="00E53E6B">
      <w:pPr>
        <w:rPr>
          <w:i/>
          <w:iCs/>
        </w:rPr>
      </w:pPr>
      <w:r w:rsidRPr="0047462D">
        <w:t>ivacaftor</w:t>
      </w:r>
    </w:p>
    <w:p w14:paraId="1CDA6895" w14:textId="77777777" w:rsidR="00E53E6B" w:rsidRPr="0047462D" w:rsidRDefault="00E53E6B" w:rsidP="00E53E6B">
      <w:pPr>
        <w:suppressLineNumbers/>
      </w:pPr>
    </w:p>
    <w:p w14:paraId="01EAE530" w14:textId="77777777" w:rsidR="00E53E6B" w:rsidRPr="0047462D" w:rsidRDefault="00E53E6B" w:rsidP="00E53E6B">
      <w:pPr>
        <w:suppressLineNumbers/>
      </w:pPr>
    </w:p>
    <w:p w14:paraId="2B6719B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Pr="0047462D">
        <w:rPr>
          <w:b/>
        </w:rPr>
        <w:t>ΣΥΝΘΕΣΗ ΣΕ ΔΡΑΣΤΙΚΗ(ΕΣ) ΟΥΣΙΑ(ΕΣ)</w:t>
      </w:r>
    </w:p>
    <w:p w14:paraId="2D531D16" w14:textId="77777777" w:rsidR="00E53E6B" w:rsidRPr="0047462D" w:rsidRDefault="00E53E6B" w:rsidP="00E53E6B">
      <w:pPr>
        <w:suppressLineNumbers/>
        <w:rPr>
          <w:iCs/>
        </w:rPr>
      </w:pPr>
    </w:p>
    <w:p w14:paraId="688FB306" w14:textId="3DB185BA" w:rsidR="00E53E6B" w:rsidRPr="0047462D" w:rsidRDefault="00E53E6B" w:rsidP="0081732C">
      <w:r w:rsidRPr="0047462D">
        <w:t xml:space="preserve">Κάθε δισκίο περιέχει </w:t>
      </w:r>
      <w:r w:rsidR="00B96686">
        <w:t>75</w:t>
      </w:r>
      <w:r w:rsidRPr="0047462D">
        <w:t> mg ivacaftor.</w:t>
      </w:r>
    </w:p>
    <w:p w14:paraId="6BD3EBCE" w14:textId="77777777" w:rsidR="00E53E6B" w:rsidRPr="0047462D" w:rsidRDefault="00E53E6B" w:rsidP="00E53E6B">
      <w:pPr>
        <w:suppressLineNumbers/>
      </w:pPr>
    </w:p>
    <w:p w14:paraId="3C0A3CFD" w14:textId="77777777" w:rsidR="00E53E6B" w:rsidRPr="0047462D" w:rsidRDefault="00E53E6B" w:rsidP="00E53E6B">
      <w:pPr>
        <w:pStyle w:val="TitleA"/>
        <w:jc w:val="left"/>
        <w:rPr>
          <w:lang w:val="el-GR"/>
        </w:rPr>
      </w:pPr>
    </w:p>
    <w:p w14:paraId="6FD29930"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Pr="0047462D">
        <w:rPr>
          <w:b/>
          <w:noProof/>
          <w:szCs w:val="22"/>
        </w:rPr>
        <w:t>ΚΑΤΑΛΟΓΟΣ ΕΚΔΟΧΩΝ</w:t>
      </w:r>
    </w:p>
    <w:p w14:paraId="7D4BBA20" w14:textId="77777777" w:rsidR="00E53E6B" w:rsidRPr="0047462D" w:rsidRDefault="00E53E6B" w:rsidP="00E53E6B">
      <w:pPr>
        <w:suppressLineNumbers/>
      </w:pPr>
    </w:p>
    <w:p w14:paraId="5D3048D9" w14:textId="77777777" w:rsidR="00E53E6B" w:rsidRPr="0047462D" w:rsidRDefault="00E53E6B" w:rsidP="00E53E6B">
      <w:pPr>
        <w:rPr>
          <w:szCs w:val="22"/>
          <w:lang w:eastAsia="en-US"/>
        </w:rPr>
      </w:pPr>
      <w:r w:rsidRPr="0047462D">
        <w:rPr>
          <w:rFonts w:eastAsia="Times New Roman"/>
          <w:szCs w:val="22"/>
        </w:rPr>
        <w:t>Περιέχει λακτόζη.</w:t>
      </w:r>
    </w:p>
    <w:p w14:paraId="206783FA" w14:textId="77777777" w:rsidR="00E53E6B" w:rsidRPr="0047462D" w:rsidRDefault="00E53E6B" w:rsidP="00E53E6B">
      <w:pPr>
        <w:rPr>
          <w:szCs w:val="22"/>
          <w:lang w:eastAsia="en-US"/>
        </w:rPr>
      </w:pPr>
    </w:p>
    <w:p w14:paraId="3E3ECAD0" w14:textId="77777777" w:rsidR="00E53E6B" w:rsidRPr="00F93ECE" w:rsidRDefault="00E53E6B" w:rsidP="00F93ECE">
      <w:pPr>
        <w:tabs>
          <w:tab w:val="left" w:pos="720"/>
        </w:tabs>
        <w:ind w:left="720" w:hanging="720"/>
        <w:rPr>
          <w:highlight w:val="lightGray"/>
        </w:rPr>
      </w:pPr>
      <w:r w:rsidRPr="00F93ECE">
        <w:rPr>
          <w:highlight w:val="lightGray"/>
        </w:rPr>
        <w:t>Βλ. φύλλο οδηγιών χρήσης για περισσότερες πληροφορίες.</w:t>
      </w:r>
    </w:p>
    <w:p w14:paraId="09F761DC" w14:textId="77777777" w:rsidR="00E53E6B" w:rsidRPr="00F93ECE" w:rsidRDefault="00E53E6B" w:rsidP="00F93ECE">
      <w:pPr>
        <w:tabs>
          <w:tab w:val="left" w:pos="720"/>
        </w:tabs>
        <w:ind w:left="720" w:hanging="720"/>
        <w:rPr>
          <w:highlight w:val="lightGray"/>
        </w:rPr>
      </w:pPr>
    </w:p>
    <w:p w14:paraId="7271F5A8" w14:textId="77777777" w:rsidR="00E53E6B" w:rsidRPr="0047462D" w:rsidRDefault="00E53E6B" w:rsidP="00E53E6B">
      <w:pPr>
        <w:suppressLineNumbers/>
      </w:pPr>
    </w:p>
    <w:p w14:paraId="18EA2BD7"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Pr="0047462D">
        <w:rPr>
          <w:rFonts w:eastAsia="Times New Roman"/>
          <w:b/>
          <w:bCs/>
          <w:szCs w:val="22"/>
        </w:rPr>
        <w:t>ΦΑΡΜΑΚΟΤΕΧΝΙΚΗ ΜΟΡΦΗ ΚΑΙ ΠΕΡΙΕΧΟΜΕΝΟ</w:t>
      </w:r>
    </w:p>
    <w:p w14:paraId="6AA089AE" w14:textId="77777777" w:rsidR="00E53E6B" w:rsidRPr="0047462D" w:rsidRDefault="00E53E6B" w:rsidP="00E53E6B">
      <w:pPr>
        <w:suppressLineNumbers/>
      </w:pPr>
    </w:p>
    <w:p w14:paraId="2BCEC95B" w14:textId="77777777" w:rsidR="00E53E6B" w:rsidRPr="0047462D" w:rsidRDefault="00E53E6B" w:rsidP="00E53E6B">
      <w:r w:rsidRPr="0047462D">
        <w:t>7 δισκία</w:t>
      </w:r>
    </w:p>
    <w:p w14:paraId="370F662D" w14:textId="77777777" w:rsidR="00E53E6B" w:rsidRPr="0047462D" w:rsidRDefault="00E53E6B" w:rsidP="00E53E6B">
      <w:pPr>
        <w:suppressLineNumbers/>
      </w:pPr>
    </w:p>
    <w:p w14:paraId="64CF9613" w14:textId="77777777" w:rsidR="00E53E6B" w:rsidRPr="0047462D" w:rsidRDefault="00E53E6B" w:rsidP="00E53E6B">
      <w:pPr>
        <w:suppressLineNumbers/>
      </w:pPr>
    </w:p>
    <w:p w14:paraId="0ABD4CEB"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Pr="0047462D">
        <w:rPr>
          <w:b/>
        </w:rPr>
        <w:t>ΤΡΟΠΟΣ ΚΑΙ ΟΔΟΣ(ΟΙ) ΧΟΡΗΓΗΣΗΣ</w:t>
      </w:r>
    </w:p>
    <w:p w14:paraId="1B3C8A12" w14:textId="77777777" w:rsidR="00E53E6B" w:rsidRPr="0047462D" w:rsidRDefault="00E53E6B" w:rsidP="00E53E6B">
      <w:pPr>
        <w:suppressLineNumbers/>
      </w:pPr>
    </w:p>
    <w:p w14:paraId="7C899EF1" w14:textId="77777777" w:rsidR="00E53E6B" w:rsidRPr="0047462D" w:rsidRDefault="00E53E6B" w:rsidP="00E53E6B">
      <w:pPr>
        <w:suppressLineNumbers/>
      </w:pPr>
      <w:r w:rsidRPr="0047462D">
        <w:t>Διαβάστε το φύλλο οδηγιών χρήσης πριν από τη χρήση.</w:t>
      </w:r>
    </w:p>
    <w:p w14:paraId="46A36B8D" w14:textId="77777777" w:rsidR="00E53E6B" w:rsidRPr="0047462D" w:rsidRDefault="00E53E6B" w:rsidP="00E53E6B">
      <w:pPr>
        <w:suppressLineNumbers/>
      </w:pPr>
    </w:p>
    <w:p w14:paraId="0661DE90" w14:textId="77777777" w:rsidR="00E53E6B" w:rsidRPr="0047462D" w:rsidRDefault="00E53E6B" w:rsidP="00E53E6B">
      <w:r w:rsidRPr="0047462D">
        <w:rPr>
          <w:rFonts w:eastAsia="Times New Roman"/>
          <w:szCs w:val="22"/>
        </w:rPr>
        <w:t>Από στόματος</w:t>
      </w:r>
      <w:r w:rsidRPr="0047462D">
        <w:rPr>
          <w:rFonts w:eastAsia="Times New Roman"/>
          <w:szCs w:val="22"/>
          <w:lang w:eastAsia="en-US"/>
        </w:rPr>
        <w:t xml:space="preserve"> χρήση</w:t>
      </w:r>
    </w:p>
    <w:p w14:paraId="73A3E1B9" w14:textId="77777777" w:rsidR="00E53E6B" w:rsidRPr="0047462D" w:rsidRDefault="00E53E6B" w:rsidP="00E53E6B">
      <w:pPr>
        <w:suppressLineNumbers/>
        <w:autoSpaceDE w:val="0"/>
        <w:autoSpaceDN w:val="0"/>
        <w:adjustRightInd w:val="0"/>
      </w:pPr>
    </w:p>
    <w:p w14:paraId="711764E0" w14:textId="77777777" w:rsidR="00E53E6B" w:rsidRPr="0047462D" w:rsidRDefault="00E53E6B" w:rsidP="00E53E6B">
      <w:pPr>
        <w:suppressLineNumbers/>
        <w:autoSpaceDE w:val="0"/>
        <w:autoSpaceDN w:val="0"/>
        <w:adjustRightInd w:val="0"/>
        <w:rPr>
          <w:b/>
          <w:bCs/>
        </w:rPr>
      </w:pPr>
      <w:r w:rsidRPr="0047462D">
        <w:rPr>
          <w:b/>
          <w:bCs/>
        </w:rPr>
        <w:t>Οδηγίες χρήσης</w:t>
      </w:r>
    </w:p>
    <w:p w14:paraId="2985CA28" w14:textId="77777777" w:rsidR="00E53E6B" w:rsidRPr="0047462D" w:rsidRDefault="00E53E6B" w:rsidP="00E53E6B">
      <w:pPr>
        <w:suppressLineNumbers/>
        <w:autoSpaceDE w:val="0"/>
        <w:autoSpaceDN w:val="0"/>
        <w:adjustRightInd w:val="0"/>
      </w:pPr>
    </w:p>
    <w:p w14:paraId="0CA91FD9" w14:textId="77777777" w:rsidR="00E53E6B" w:rsidRPr="0047462D" w:rsidRDefault="00E53E6B" w:rsidP="00E53E6B">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t>.</w:t>
      </w:r>
    </w:p>
    <w:p w14:paraId="4F378DF7" w14:textId="77777777" w:rsidR="00E53E6B" w:rsidRPr="0047462D" w:rsidRDefault="00E53E6B" w:rsidP="00E53E6B">
      <w:pPr>
        <w:suppressLineNumbers/>
        <w:autoSpaceDE w:val="0"/>
        <w:autoSpaceDN w:val="0"/>
        <w:adjustRightInd w:val="0"/>
      </w:pPr>
    </w:p>
    <w:p w14:paraId="214E172C" w14:textId="77777777" w:rsidR="00E53E6B" w:rsidRPr="0047462D" w:rsidRDefault="00E53E6B" w:rsidP="00E53E6B">
      <w:pPr>
        <w:suppressLineNumbers/>
        <w:autoSpaceDE w:val="0"/>
        <w:autoSpaceDN w:val="0"/>
        <w:adjustRightInd w:val="0"/>
      </w:pPr>
      <w:r w:rsidRPr="0047462D">
        <w:t>Πάρτε το με τροφή που περιέχει λίπος.</w:t>
      </w:r>
    </w:p>
    <w:p w14:paraId="4BDBAFAD" w14:textId="77777777" w:rsidR="00E53E6B" w:rsidRPr="0047462D" w:rsidRDefault="00E53E6B" w:rsidP="00E53E6B">
      <w:pPr>
        <w:suppressLineNumbers/>
        <w:autoSpaceDE w:val="0"/>
        <w:autoSpaceDN w:val="0"/>
        <w:adjustRightInd w:val="0"/>
      </w:pPr>
    </w:p>
    <w:p w14:paraId="45EF5EA2" w14:textId="77777777" w:rsidR="00E53E6B" w:rsidRPr="0047462D" w:rsidRDefault="00E53E6B" w:rsidP="00E53E6B">
      <w:pPr>
        <w:suppressLineNumbers/>
        <w:autoSpaceDE w:val="0"/>
        <w:autoSpaceDN w:val="0"/>
        <w:adjustRightInd w:val="0"/>
      </w:pPr>
      <w:r w:rsidRPr="0047462D">
        <w:t>Μην σπάτε, μασάτε ή διαλύετε τα δισκία.</w:t>
      </w:r>
    </w:p>
    <w:p w14:paraId="0B0E3E14" w14:textId="77777777" w:rsidR="00E53E6B" w:rsidRPr="0047462D" w:rsidRDefault="00E53E6B" w:rsidP="00E53E6B">
      <w:pPr>
        <w:suppressLineNumbers/>
        <w:autoSpaceDE w:val="0"/>
        <w:autoSpaceDN w:val="0"/>
        <w:adjustRightInd w:val="0"/>
      </w:pPr>
    </w:p>
    <w:p w14:paraId="3C7034D8" w14:textId="77777777" w:rsidR="00E53E6B" w:rsidRPr="0047462D" w:rsidRDefault="00E53E6B" w:rsidP="00E53E6B">
      <w:pPr>
        <w:suppressLineNumbers/>
        <w:autoSpaceDE w:val="0"/>
        <w:autoSpaceDN w:val="0"/>
        <w:adjustRightInd w:val="0"/>
        <w:rPr>
          <w:noProof/>
        </w:rPr>
      </w:pPr>
      <w:r w:rsidRPr="0047462D">
        <w:rPr>
          <w:bCs/>
        </w:rPr>
        <w:t>Δευ. Τρ. Τετ. Πέμ. Παρ. Σάβ. Κυρ.</w:t>
      </w:r>
    </w:p>
    <w:p w14:paraId="37A8296C" w14:textId="77777777" w:rsidR="00E53E6B" w:rsidRPr="0047462D" w:rsidRDefault="00E53E6B" w:rsidP="00E53E6B">
      <w:pPr>
        <w:suppressLineNumbers/>
        <w:autoSpaceDE w:val="0"/>
        <w:autoSpaceDN w:val="0"/>
        <w:adjustRightInd w:val="0"/>
      </w:pPr>
    </w:p>
    <w:p w14:paraId="4949DDBD" w14:textId="77777777" w:rsidR="00E53E6B" w:rsidRPr="0047462D" w:rsidRDefault="00E53E6B" w:rsidP="00E53E6B">
      <w:pPr>
        <w:suppressLineNumbers/>
        <w:autoSpaceDE w:val="0"/>
        <w:autoSpaceDN w:val="0"/>
        <w:adjustRightInd w:val="0"/>
      </w:pPr>
    </w:p>
    <w:p w14:paraId="31CC7CC5"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0CDB54A1" w14:textId="77777777" w:rsidR="00E53E6B" w:rsidRPr="0047462D" w:rsidRDefault="00E53E6B" w:rsidP="00E53E6B">
      <w:pPr>
        <w:suppressLineNumbers/>
      </w:pPr>
    </w:p>
    <w:p w14:paraId="554A6DC4" w14:textId="77777777" w:rsidR="00E53E6B" w:rsidRPr="0047462D" w:rsidRDefault="00E53E6B" w:rsidP="00E53E6B">
      <w:pPr>
        <w:suppressLineNumbers/>
        <w:outlineLvl w:val="0"/>
      </w:pPr>
      <w:r w:rsidRPr="0047462D">
        <w:t>Να φυλάσσεται σε θέση, την οποία δεν βλέπουν και δεν προσεγγίζουν τα παιδιά.</w:t>
      </w:r>
    </w:p>
    <w:p w14:paraId="2361EAC5" w14:textId="77777777" w:rsidR="00E53E6B" w:rsidRPr="0047462D" w:rsidRDefault="00E53E6B" w:rsidP="00E53E6B">
      <w:pPr>
        <w:suppressLineNumbers/>
      </w:pPr>
    </w:p>
    <w:p w14:paraId="7E7856FD" w14:textId="77777777" w:rsidR="00E53E6B" w:rsidRPr="0047462D" w:rsidRDefault="00E53E6B" w:rsidP="00E53E6B">
      <w:pPr>
        <w:suppressLineNumbers/>
      </w:pPr>
    </w:p>
    <w:p w14:paraId="69AE166D"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Pr="0047462D">
        <w:rPr>
          <w:b/>
        </w:rPr>
        <w:t>ΑΛΛΗ(ΕΣ) ΕΙΔΙΚΗ(ΕΣ) ΠΡΟΕΙΔΟΠΟΙΗΣΗ(ΕΙΣ), ΕΑΝ ΕΙΝΑΙ ΑΠΑΡΑΙΤΗΤΗ(ΕΣ)</w:t>
      </w:r>
    </w:p>
    <w:p w14:paraId="569F50CD" w14:textId="77777777" w:rsidR="00E53E6B" w:rsidRPr="0047462D" w:rsidRDefault="00E53E6B" w:rsidP="00E53E6B">
      <w:pPr>
        <w:suppressLineNumbers/>
      </w:pPr>
    </w:p>
    <w:p w14:paraId="38EBB651" w14:textId="77777777" w:rsidR="00E53E6B" w:rsidRPr="0047462D" w:rsidRDefault="00E53E6B" w:rsidP="00E53E6B">
      <w:pPr>
        <w:suppressLineNumbers/>
        <w:tabs>
          <w:tab w:val="left" w:pos="749"/>
        </w:tabs>
      </w:pPr>
    </w:p>
    <w:p w14:paraId="45BE2634" w14:textId="77777777" w:rsidR="00E53E6B" w:rsidRPr="0047462D" w:rsidRDefault="00E53E6B" w:rsidP="00E53E6B">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Pr="0047462D">
        <w:rPr>
          <w:b/>
          <w:noProof/>
          <w:szCs w:val="22"/>
        </w:rPr>
        <w:t>ΗΜΕΡΟΜΗΝΙΑ ΛΗΞΗΣ</w:t>
      </w:r>
    </w:p>
    <w:p w14:paraId="2ACC7E7F" w14:textId="77777777" w:rsidR="00E53E6B" w:rsidRPr="0047462D" w:rsidRDefault="00E53E6B" w:rsidP="00E53E6B">
      <w:pPr>
        <w:keepNext/>
        <w:suppressLineNumbers/>
      </w:pPr>
    </w:p>
    <w:p w14:paraId="021D8D4E" w14:textId="77777777" w:rsidR="00E53E6B" w:rsidRPr="0047462D" w:rsidRDefault="00E53E6B" w:rsidP="00E53E6B">
      <w:pPr>
        <w:suppressLineNumbers/>
      </w:pPr>
      <w:r w:rsidRPr="0047462D">
        <w:t>ΛΗΞΗ</w:t>
      </w:r>
    </w:p>
    <w:p w14:paraId="42C2A188" w14:textId="77777777" w:rsidR="00E53E6B" w:rsidRPr="0047462D" w:rsidRDefault="00E53E6B" w:rsidP="00E53E6B">
      <w:pPr>
        <w:suppressLineNumbers/>
      </w:pPr>
    </w:p>
    <w:p w14:paraId="3FBBC117" w14:textId="77777777" w:rsidR="00E53E6B" w:rsidRPr="0047462D" w:rsidRDefault="00E53E6B" w:rsidP="00E53E6B">
      <w:pPr>
        <w:suppressLineNumbers/>
      </w:pPr>
    </w:p>
    <w:p w14:paraId="20EB624E" w14:textId="77777777" w:rsidR="00E53E6B" w:rsidRPr="0047462D" w:rsidRDefault="00E53E6B" w:rsidP="00E53E6B">
      <w:pPr>
        <w:keepNext/>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Pr="0047462D">
        <w:rPr>
          <w:b/>
          <w:noProof/>
          <w:szCs w:val="22"/>
        </w:rPr>
        <w:t>ΕΙΔΙΚΕΣ ΣΥΝΘΗΚΕΣ ΦΥΛΑΞΗΣ</w:t>
      </w:r>
    </w:p>
    <w:p w14:paraId="012700BD" w14:textId="77777777" w:rsidR="00E53E6B" w:rsidRPr="0047462D" w:rsidRDefault="00E53E6B" w:rsidP="00E53E6B"/>
    <w:p w14:paraId="50540131" w14:textId="77777777" w:rsidR="00E53E6B" w:rsidRPr="0047462D" w:rsidRDefault="00E53E6B" w:rsidP="00E53E6B"/>
    <w:p w14:paraId="41BE86E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Pr="0047462D">
        <w:rPr>
          <w:b/>
        </w:rPr>
        <w:t>ΙΔΙΑΙΤΕΡΕΣ ΠΡΟΦΥΛΑΞΕΙΣ ΓΙΑ ΤΗΝ ΑΠΟΡΡΙΨΗ ΤΩΝ ΜΗ</w:t>
      </w:r>
      <w:r w:rsidRPr="0047462D">
        <w:rPr>
          <w:b/>
          <w:bCs/>
        </w:rPr>
        <w:t xml:space="preserve"> </w:t>
      </w:r>
      <w:r w:rsidRPr="0047462D">
        <w:rPr>
          <w:b/>
        </w:rPr>
        <w:t>ΧΡΗΣΙΜΟΠΟΙΗΘΕΝΤΩΝ ΦΑΡΜΑΚΕΥΤΙΚΩΝ ΠΡΟΪΟΝΤΩΝ Ή ΤΩΝ</w:t>
      </w:r>
      <w:r w:rsidRPr="0047462D">
        <w:rPr>
          <w:b/>
          <w:bCs/>
        </w:rPr>
        <w:t xml:space="preserve"> </w:t>
      </w:r>
      <w:r w:rsidRPr="0047462D">
        <w:rPr>
          <w:b/>
        </w:rPr>
        <w:t>ΥΠΟΛΕΙΜΜΑΤΩΝ ΠΟΥ ΠΡΟΕΡΧΟΝΤΑΙ ΑΠΟ ΑΥΤΑ, ΕΦΟΣΟΝ ΑΠΑΙΤΕΙΤΑΙ</w:t>
      </w:r>
    </w:p>
    <w:p w14:paraId="454AF409" w14:textId="77777777" w:rsidR="00E53E6B" w:rsidRPr="0047462D" w:rsidRDefault="00E53E6B" w:rsidP="00E53E6B">
      <w:pPr>
        <w:suppressLineNumbers/>
      </w:pPr>
    </w:p>
    <w:p w14:paraId="6780D11D" w14:textId="77777777" w:rsidR="00E53E6B" w:rsidRPr="0047462D" w:rsidRDefault="00E53E6B" w:rsidP="00E53E6B">
      <w:pPr>
        <w:suppressLineNumbers/>
      </w:pPr>
    </w:p>
    <w:p w14:paraId="53E32930"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Pr="0047462D">
        <w:rPr>
          <w:b/>
        </w:rPr>
        <w:t>ΟΝΟΜΑ ΚΑΙ ΔΙΕΥΘΥΝΣΗ ΚΑΤΟΧΟΥ ΤΗΣ ΑΔΕΙΑΣ ΚΥΚΛΟΦΟΡΙΑΣ</w:t>
      </w:r>
    </w:p>
    <w:p w14:paraId="4CB0069B" w14:textId="77777777" w:rsidR="00E53E6B" w:rsidRPr="0047462D" w:rsidRDefault="00E53E6B" w:rsidP="00E53E6B">
      <w:pPr>
        <w:suppressLineNumbers/>
      </w:pPr>
    </w:p>
    <w:p w14:paraId="17FA3EEE" w14:textId="77777777" w:rsidR="00E53E6B" w:rsidRPr="0047462D" w:rsidRDefault="00E53E6B" w:rsidP="00E53E6B">
      <w:pPr>
        <w:rPr>
          <w:iCs/>
          <w:lang w:val="en-GB"/>
        </w:rPr>
      </w:pPr>
      <w:r w:rsidRPr="0047462D">
        <w:rPr>
          <w:iCs/>
          <w:lang w:val="en-GB"/>
        </w:rPr>
        <w:t>Vertex Pharmaceuticals (Ireland) Limited</w:t>
      </w:r>
    </w:p>
    <w:p w14:paraId="764CE309" w14:textId="77777777" w:rsidR="00E53E6B" w:rsidRPr="00F93ECE" w:rsidRDefault="00E53E6B" w:rsidP="00F93ECE">
      <w:pPr>
        <w:tabs>
          <w:tab w:val="left" w:pos="720"/>
        </w:tabs>
        <w:ind w:left="720" w:hanging="720"/>
        <w:rPr>
          <w:highlight w:val="lightGray"/>
          <w:lang w:val="en-US"/>
        </w:rPr>
      </w:pPr>
      <w:r w:rsidRPr="00F93ECE">
        <w:rPr>
          <w:highlight w:val="lightGray"/>
          <w:lang w:val="en-US"/>
        </w:rPr>
        <w:t>28-32 Pembroke Street Upper</w:t>
      </w:r>
    </w:p>
    <w:p w14:paraId="7EAEC168" w14:textId="77777777" w:rsidR="00E53E6B" w:rsidRPr="00F93ECE" w:rsidRDefault="00E53E6B" w:rsidP="00F93ECE">
      <w:pPr>
        <w:tabs>
          <w:tab w:val="left" w:pos="720"/>
        </w:tabs>
        <w:ind w:left="720" w:hanging="720"/>
        <w:rPr>
          <w:highlight w:val="lightGray"/>
        </w:rPr>
      </w:pPr>
      <w:r w:rsidRPr="00F93ECE">
        <w:rPr>
          <w:highlight w:val="lightGray"/>
        </w:rPr>
        <w:t>Dublin 2, D02 EK84</w:t>
      </w:r>
    </w:p>
    <w:p w14:paraId="113EBDC7" w14:textId="77777777" w:rsidR="00E53E6B" w:rsidRPr="00F93ECE" w:rsidRDefault="00E53E6B" w:rsidP="00F93ECE">
      <w:pPr>
        <w:tabs>
          <w:tab w:val="left" w:pos="720"/>
        </w:tabs>
        <w:ind w:left="720" w:hanging="720"/>
        <w:rPr>
          <w:highlight w:val="lightGray"/>
        </w:rPr>
      </w:pPr>
      <w:r w:rsidRPr="00F93ECE">
        <w:rPr>
          <w:highlight w:val="lightGray"/>
        </w:rPr>
        <w:t>Ιρλανδία</w:t>
      </w:r>
    </w:p>
    <w:p w14:paraId="2F032CAC" w14:textId="77777777" w:rsidR="00E53E6B" w:rsidRPr="0047462D" w:rsidRDefault="00E53E6B" w:rsidP="00E53E6B">
      <w:pPr>
        <w:pStyle w:val="NormalIndent"/>
        <w:spacing w:after="0"/>
        <w:ind w:left="0"/>
      </w:pPr>
    </w:p>
    <w:p w14:paraId="27D590DC" w14:textId="77777777" w:rsidR="00E53E6B" w:rsidRPr="0047462D" w:rsidRDefault="00E53E6B" w:rsidP="00E53E6B">
      <w:pPr>
        <w:pStyle w:val="NormalIndent"/>
        <w:spacing w:after="0"/>
        <w:ind w:left="0"/>
      </w:pPr>
    </w:p>
    <w:p w14:paraId="4723219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Pr="0047462D">
        <w:rPr>
          <w:b/>
          <w:noProof/>
          <w:szCs w:val="22"/>
        </w:rPr>
        <w:t>ΑΡΙΘΜΟΣ(ΟΙ) ΑΔΕΙΑΣ ΚΥΚΛΟΦΟΡΙΑΣ</w:t>
      </w:r>
    </w:p>
    <w:p w14:paraId="29CD47C6" w14:textId="77777777" w:rsidR="00E53E6B" w:rsidRPr="0047462D" w:rsidRDefault="00E53E6B" w:rsidP="00E53E6B">
      <w:pPr>
        <w:suppressLineNumbers/>
      </w:pPr>
    </w:p>
    <w:p w14:paraId="43473233" w14:textId="796E0497" w:rsidR="00E53E6B" w:rsidRPr="0047462D" w:rsidRDefault="00E53E6B" w:rsidP="00E53E6B">
      <w:pPr>
        <w:suppressLineNumbers/>
      </w:pPr>
      <w:r w:rsidRPr="0047462D">
        <w:t>EU/1/12/782/00</w:t>
      </w:r>
      <w:r w:rsidR="00D04346">
        <w:t>7</w:t>
      </w:r>
    </w:p>
    <w:p w14:paraId="1D5D9C01" w14:textId="77777777" w:rsidR="00E53E6B" w:rsidRPr="0047462D" w:rsidRDefault="00E53E6B" w:rsidP="00E53E6B">
      <w:pPr>
        <w:suppressLineNumbers/>
      </w:pPr>
    </w:p>
    <w:p w14:paraId="2B36A529" w14:textId="77777777" w:rsidR="00E53E6B" w:rsidRPr="0047462D" w:rsidRDefault="00E53E6B" w:rsidP="00E53E6B">
      <w:pPr>
        <w:suppressLineNumbers/>
      </w:pPr>
    </w:p>
    <w:p w14:paraId="6A6AE4B8"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Pr="0047462D">
        <w:rPr>
          <w:b/>
        </w:rPr>
        <w:t>ΑΡΙΘΜΟΣ ΠΑΡΤΙΔΑΣ</w:t>
      </w:r>
    </w:p>
    <w:p w14:paraId="21D543FB" w14:textId="77777777" w:rsidR="00E53E6B" w:rsidRPr="0047462D" w:rsidRDefault="00E53E6B" w:rsidP="00E53E6B">
      <w:pPr>
        <w:suppressLineNumbers/>
        <w:rPr>
          <w:i/>
          <w:iCs/>
        </w:rPr>
      </w:pPr>
    </w:p>
    <w:p w14:paraId="0D9DC58F" w14:textId="77777777" w:rsidR="00E53E6B" w:rsidRPr="0047462D" w:rsidRDefault="00E53E6B" w:rsidP="00E53E6B">
      <w:pPr>
        <w:suppressLineNumbers/>
      </w:pPr>
      <w:r w:rsidRPr="0047462D">
        <w:t>Παρτίδα</w:t>
      </w:r>
    </w:p>
    <w:p w14:paraId="78B0BC76" w14:textId="77777777" w:rsidR="00E53E6B" w:rsidRPr="0047462D" w:rsidRDefault="00E53E6B" w:rsidP="00E53E6B">
      <w:pPr>
        <w:suppressLineNumbers/>
      </w:pPr>
    </w:p>
    <w:p w14:paraId="2F3AFFF1" w14:textId="77777777" w:rsidR="00E53E6B" w:rsidRPr="0047462D" w:rsidRDefault="00E53E6B" w:rsidP="00E53E6B">
      <w:pPr>
        <w:suppressLineNumbers/>
      </w:pPr>
    </w:p>
    <w:p w14:paraId="05798ACF"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Pr="0047462D">
        <w:rPr>
          <w:b/>
        </w:rPr>
        <w:t>ΓΕΝΙΚΗ ΚΑΤΑΤΑΞΗ ΓΙΑ ΤΗ ΔΙΑΘΕΣΗ</w:t>
      </w:r>
    </w:p>
    <w:p w14:paraId="22CEDAE7" w14:textId="77777777" w:rsidR="00E53E6B" w:rsidRPr="0047462D" w:rsidRDefault="00E53E6B" w:rsidP="00E53E6B">
      <w:pPr>
        <w:suppressLineNumbers/>
      </w:pPr>
    </w:p>
    <w:p w14:paraId="74B09021" w14:textId="77777777" w:rsidR="00E53E6B" w:rsidRPr="0047462D" w:rsidRDefault="00E53E6B" w:rsidP="00E53E6B">
      <w:pPr>
        <w:suppressLineNumbers/>
      </w:pPr>
    </w:p>
    <w:p w14:paraId="34963561" w14:textId="77777777" w:rsidR="00E53E6B" w:rsidRPr="0047462D" w:rsidRDefault="00E53E6B" w:rsidP="00E53E6B">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Pr="0047462D">
        <w:rPr>
          <w:b/>
          <w:noProof/>
          <w:szCs w:val="22"/>
        </w:rPr>
        <w:t>ΟΔΗΓΙΕΣ ΧΡΗΣΗΣ</w:t>
      </w:r>
    </w:p>
    <w:p w14:paraId="018A9997" w14:textId="77777777" w:rsidR="00E53E6B" w:rsidRPr="0047462D" w:rsidRDefault="00E53E6B" w:rsidP="00E53E6B">
      <w:pPr>
        <w:suppressLineNumbers/>
      </w:pPr>
    </w:p>
    <w:p w14:paraId="3D32F70B" w14:textId="77777777" w:rsidR="00E53E6B" w:rsidRPr="0047462D" w:rsidRDefault="00E53E6B" w:rsidP="00E53E6B">
      <w:pPr>
        <w:suppressLineNumbers/>
      </w:pPr>
    </w:p>
    <w:p w14:paraId="673C3BE2"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Pr="0047462D">
        <w:rPr>
          <w:b/>
          <w:noProof/>
          <w:szCs w:val="22"/>
        </w:rPr>
        <w:t xml:space="preserve">ΠΛΗΡΟΦΟΡΙΕΣ ΣΕ </w:t>
      </w:r>
      <w:r w:rsidRPr="0047462D">
        <w:rPr>
          <w:b/>
          <w:bCs/>
        </w:rPr>
        <w:t>BRAILLE</w:t>
      </w:r>
    </w:p>
    <w:p w14:paraId="0CD23F12" w14:textId="77777777" w:rsidR="00E53E6B" w:rsidRPr="0047462D" w:rsidRDefault="00E53E6B" w:rsidP="00E53E6B">
      <w:pPr>
        <w:suppressLineNumbers/>
        <w:rPr>
          <w:shd w:val="clear" w:color="auto" w:fill="CCCCCC"/>
        </w:rPr>
      </w:pPr>
    </w:p>
    <w:p w14:paraId="78CA5394" w14:textId="77777777" w:rsidR="00E53E6B" w:rsidRPr="0047462D" w:rsidRDefault="00E53E6B" w:rsidP="00E53E6B">
      <w:pPr>
        <w:suppressLineNumbers/>
      </w:pPr>
    </w:p>
    <w:p w14:paraId="04F53DE5"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ind w:left="544" w:hanging="544"/>
      </w:pPr>
      <w:r w:rsidRPr="0047462D">
        <w:rPr>
          <w:b/>
          <w:bCs/>
        </w:rPr>
        <w:t>17.</w:t>
      </w:r>
      <w:r w:rsidRPr="0047462D">
        <w:rPr>
          <w:b/>
          <w:bCs/>
        </w:rPr>
        <w:tab/>
      </w:r>
      <w:r w:rsidRPr="0047462D">
        <w:rPr>
          <w:b/>
          <w:noProof/>
        </w:rPr>
        <w:t>ΜΟΝΑΔΙΚΟΣ ΑΝΑΓΝΩΡΙΣΤΙΚΟΣ ΚΩΔΙΚΟΣ – ΔΙΣΔΙΑΣΤΑΤΟΣ ΓΡΑΜΜΩΤΟΣ ΚΩΔΙΚΑΣ (2D)</w:t>
      </w:r>
    </w:p>
    <w:p w14:paraId="4F5427AC" w14:textId="77777777" w:rsidR="00E53E6B" w:rsidRPr="0047462D" w:rsidRDefault="00E53E6B" w:rsidP="00E53E6B"/>
    <w:p w14:paraId="6A82D523" w14:textId="77777777" w:rsidR="00E53E6B" w:rsidRPr="0047462D" w:rsidRDefault="00E53E6B" w:rsidP="00E53E6B"/>
    <w:p w14:paraId="38378FE2"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Pr="0047462D">
        <w:rPr>
          <w:b/>
          <w:noProof/>
        </w:rPr>
        <w:t>ΜΟΝΑΔΙΚΟΣ ΑΝΑΓΝΩΡΙΣΤΙΚΟΣ ΚΩΔΙΚΟΣ – ΔΕΔΟΜΕΝΑ ΑΝΑΓΝΩΣΙΜΑ ΑΠΟ ΤΟΝ ΑΝΘΡΩΠΟ</w:t>
      </w:r>
    </w:p>
    <w:p w14:paraId="4697A7B8" w14:textId="77777777" w:rsidR="00E53E6B" w:rsidRPr="0047462D" w:rsidRDefault="00E53E6B" w:rsidP="00E53E6B"/>
    <w:p w14:paraId="430A16C9" w14:textId="77777777" w:rsidR="00E53E6B" w:rsidRPr="0047462D" w:rsidRDefault="00E53E6B" w:rsidP="00E53E6B">
      <w:pPr>
        <w:suppressAutoHyphens w:val="0"/>
      </w:pPr>
      <w:r w:rsidRPr="0047462D">
        <w:br w:type="page"/>
      </w:r>
    </w:p>
    <w:p w14:paraId="7518E7CC" w14:textId="77777777" w:rsidR="00E53E6B" w:rsidRPr="0047462D" w:rsidRDefault="00E53E6B" w:rsidP="00E53E6B"/>
    <w:p w14:paraId="57816196" w14:textId="77777777"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r w:rsidRPr="0047462D">
        <w:rPr>
          <w:b/>
          <w:bCs/>
        </w:rPr>
        <w:t>ΕΛΑΧΙΣΤΕΣ ΕΝΔΕΙΞΕΙΣ ΠΟΥ ΠΡΕΠΕΙ ΝΑ ΑΝΑΓΡΑΦΟΝΤΑΙ ΣΤΙΣ ΣΥΣΚΕΥΑΣΙΕΣ</w:t>
      </w:r>
    </w:p>
    <w:p w14:paraId="1989A7AA" w14:textId="77777777"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r w:rsidRPr="0047462D">
        <w:rPr>
          <w:b/>
          <w:bCs/>
        </w:rPr>
        <w:t>ΚΥΨΕΛΗΣ (BLISTER) Ή ΣΤΙΣ ΤΑΙΝΙΕΣ (STRIPS)</w:t>
      </w:r>
    </w:p>
    <w:p w14:paraId="50F1D503" w14:textId="77777777"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p>
    <w:p w14:paraId="6885AD07" w14:textId="4BB1FAEB"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r w:rsidRPr="0047462D">
        <w:rPr>
          <w:b/>
          <w:bCs/>
        </w:rPr>
        <w:t>ΣΥΣΚΕΥΑΣΙΕΣ ΚΥΨΕΛΗΣ (BLISTER) – ΣΥΣΚΕΥΑΣΙΑ 28</w:t>
      </w:r>
      <w:r w:rsidR="00D04346">
        <w:rPr>
          <w:b/>
          <w:bCs/>
        </w:rPr>
        <w:t> </w:t>
      </w:r>
      <w:r w:rsidRPr="0047462D">
        <w:rPr>
          <w:b/>
          <w:bCs/>
        </w:rPr>
        <w:t>ΔΙΣΚΙΩΝ</w:t>
      </w:r>
    </w:p>
    <w:p w14:paraId="6B4BD6AF" w14:textId="77777777" w:rsidR="00E53E6B" w:rsidRPr="0047462D" w:rsidRDefault="00E53E6B" w:rsidP="00E53E6B"/>
    <w:p w14:paraId="5777DC0D" w14:textId="77777777" w:rsidR="00E53E6B" w:rsidRPr="0047462D" w:rsidRDefault="00E53E6B" w:rsidP="00E53E6B"/>
    <w:p w14:paraId="2C41CEE4"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w:t>
      </w:r>
      <w:r w:rsidRPr="0047462D">
        <w:rPr>
          <w:b/>
          <w:bCs/>
        </w:rPr>
        <w:tab/>
      </w:r>
      <w:r w:rsidRPr="0047462D">
        <w:rPr>
          <w:b/>
          <w:noProof/>
          <w:szCs w:val="22"/>
        </w:rPr>
        <w:t>ΟΝΟΜΑΣΙΑ ΤΟΥ ΦΑΡΜΑΚΕΥΤΙΚΟΥ ΠΡΟΪΟΝΤΟΣ</w:t>
      </w:r>
      <w:r w:rsidRPr="0047462D">
        <w:rPr>
          <w:b/>
          <w:bCs/>
        </w:rPr>
        <w:t xml:space="preserve"> </w:t>
      </w:r>
    </w:p>
    <w:p w14:paraId="73AAD771" w14:textId="77777777" w:rsidR="00E53E6B" w:rsidRPr="0047462D" w:rsidRDefault="00E53E6B" w:rsidP="00E53E6B">
      <w:pPr>
        <w:keepNext/>
        <w:rPr>
          <w:i/>
          <w:iCs/>
        </w:rPr>
      </w:pPr>
    </w:p>
    <w:p w14:paraId="7C18095A" w14:textId="0C2AB07A" w:rsidR="00E53E6B" w:rsidRPr="0047462D" w:rsidRDefault="00E53E6B" w:rsidP="00E53E6B">
      <w:r w:rsidRPr="0047462D">
        <w:t xml:space="preserve">Kalydeco </w:t>
      </w:r>
      <w:r w:rsidR="00D04346">
        <w:t>75</w:t>
      </w:r>
      <w:r w:rsidRPr="0047462D">
        <w:t> mg δισκία</w:t>
      </w:r>
    </w:p>
    <w:p w14:paraId="412BB2EA" w14:textId="77777777" w:rsidR="00E53E6B" w:rsidRPr="0047462D" w:rsidRDefault="00E53E6B" w:rsidP="00E53E6B">
      <w:pPr>
        <w:rPr>
          <w:i/>
          <w:iCs/>
        </w:rPr>
      </w:pPr>
      <w:r w:rsidRPr="0047462D">
        <w:rPr>
          <w:lang w:val="en-US"/>
        </w:rPr>
        <w:t>i</w:t>
      </w:r>
      <w:r w:rsidRPr="0047462D">
        <w:t>vacaftor</w:t>
      </w:r>
    </w:p>
    <w:p w14:paraId="447B802B" w14:textId="77777777" w:rsidR="00E53E6B" w:rsidRPr="0047462D" w:rsidRDefault="00E53E6B" w:rsidP="00E53E6B"/>
    <w:p w14:paraId="50F0BE32" w14:textId="77777777" w:rsidR="00E53E6B" w:rsidRPr="0047462D" w:rsidRDefault="00E53E6B" w:rsidP="00E53E6B"/>
    <w:p w14:paraId="3EBD766E"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t xml:space="preserve">ΟΝΟΜΑ </w:t>
      </w:r>
      <w:r w:rsidRPr="0047462D">
        <w:rPr>
          <w:b/>
          <w:noProof/>
          <w:szCs w:val="22"/>
        </w:rPr>
        <w:t>ΚΑΤΟΧΟΥ</w:t>
      </w:r>
      <w:r w:rsidRPr="0047462D">
        <w:rPr>
          <w:b/>
          <w:bCs/>
        </w:rPr>
        <w:t xml:space="preserve"> ΤΗΣ ΑΔΕΙΑΣ ΚΥΚΛΟΦΟΡΙΑΣ</w:t>
      </w:r>
    </w:p>
    <w:p w14:paraId="057533E1" w14:textId="77777777" w:rsidR="00E53E6B" w:rsidRPr="0047462D" w:rsidRDefault="00E53E6B" w:rsidP="00E53E6B">
      <w:pPr>
        <w:keepNext/>
      </w:pPr>
    </w:p>
    <w:p w14:paraId="7C53F103" w14:textId="77777777" w:rsidR="00E53E6B" w:rsidRPr="0047462D" w:rsidRDefault="00E53E6B" w:rsidP="00E53E6B">
      <w:r w:rsidRPr="0047462D">
        <w:rPr>
          <w:lang w:val="en-GB"/>
        </w:rPr>
        <w:t>Vertex</w:t>
      </w:r>
    </w:p>
    <w:p w14:paraId="3B51FBB9" w14:textId="77777777" w:rsidR="00E53E6B" w:rsidRPr="0047462D" w:rsidRDefault="00E53E6B" w:rsidP="00E53E6B"/>
    <w:p w14:paraId="5332B6F5" w14:textId="77777777" w:rsidR="00E53E6B" w:rsidRPr="0047462D" w:rsidRDefault="00E53E6B" w:rsidP="00E53E6B"/>
    <w:p w14:paraId="5BA1AB2C"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3.</w:t>
      </w:r>
      <w:r w:rsidRPr="0047462D">
        <w:rPr>
          <w:b/>
          <w:bCs/>
        </w:rPr>
        <w:tab/>
      </w:r>
      <w:r w:rsidRPr="0047462D">
        <w:rPr>
          <w:b/>
          <w:noProof/>
          <w:szCs w:val="22"/>
        </w:rPr>
        <w:t>ΗΜΕΡΟΜΗΝΙΑ ΛΗΞΗΣ</w:t>
      </w:r>
    </w:p>
    <w:p w14:paraId="64308C7A" w14:textId="77777777" w:rsidR="00E53E6B" w:rsidRPr="0047462D" w:rsidRDefault="00E53E6B" w:rsidP="00E53E6B">
      <w:pPr>
        <w:keepNext/>
      </w:pPr>
    </w:p>
    <w:p w14:paraId="358A07D3" w14:textId="77777777" w:rsidR="00E53E6B" w:rsidRPr="0047462D" w:rsidRDefault="00E53E6B" w:rsidP="00E53E6B">
      <w:r w:rsidRPr="0047462D">
        <w:t>ΛΗΞΗ</w:t>
      </w:r>
    </w:p>
    <w:p w14:paraId="0B5B0BE3" w14:textId="77777777" w:rsidR="00E53E6B" w:rsidRPr="0047462D" w:rsidRDefault="00E53E6B" w:rsidP="00E53E6B"/>
    <w:p w14:paraId="3EE3BBF6" w14:textId="77777777" w:rsidR="00E53E6B" w:rsidRPr="0047462D" w:rsidRDefault="00E53E6B" w:rsidP="00E53E6B"/>
    <w:p w14:paraId="41AEA48F"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4.</w:t>
      </w:r>
      <w:r w:rsidRPr="0047462D">
        <w:rPr>
          <w:b/>
          <w:bCs/>
        </w:rPr>
        <w:tab/>
      </w:r>
      <w:r w:rsidRPr="0047462D">
        <w:rPr>
          <w:b/>
          <w:noProof/>
          <w:szCs w:val="22"/>
        </w:rPr>
        <w:t>ΑΡΙΘΜΟΣ</w:t>
      </w:r>
      <w:r w:rsidRPr="0047462D">
        <w:rPr>
          <w:b/>
        </w:rPr>
        <w:t xml:space="preserve"> ΠΑΡΤΙΔΑΣ</w:t>
      </w:r>
    </w:p>
    <w:p w14:paraId="63EBD3C5" w14:textId="77777777" w:rsidR="00E53E6B" w:rsidRPr="0047462D" w:rsidRDefault="00E53E6B" w:rsidP="00E53E6B">
      <w:pPr>
        <w:keepNext/>
      </w:pPr>
    </w:p>
    <w:p w14:paraId="692813E4" w14:textId="77777777" w:rsidR="00E53E6B" w:rsidRPr="0047462D" w:rsidRDefault="00E53E6B" w:rsidP="00E53E6B">
      <w:r w:rsidRPr="0047462D">
        <w:t>Παρτίδα</w:t>
      </w:r>
    </w:p>
    <w:p w14:paraId="418FFE2D" w14:textId="77777777" w:rsidR="00E53E6B" w:rsidRPr="0047462D" w:rsidRDefault="00E53E6B" w:rsidP="00E53E6B"/>
    <w:p w14:paraId="4C16D0D9" w14:textId="77777777" w:rsidR="00E53E6B" w:rsidRPr="0047462D" w:rsidRDefault="00E53E6B" w:rsidP="00E53E6B"/>
    <w:p w14:paraId="22570022"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5.</w:t>
      </w:r>
      <w:r w:rsidRPr="0047462D">
        <w:rPr>
          <w:b/>
          <w:bCs/>
        </w:rPr>
        <w:tab/>
      </w:r>
      <w:r w:rsidRPr="0047462D">
        <w:rPr>
          <w:b/>
        </w:rPr>
        <w:t xml:space="preserve">ΑΛΛΑ </w:t>
      </w:r>
      <w:r w:rsidRPr="0047462D">
        <w:rPr>
          <w:b/>
          <w:noProof/>
          <w:szCs w:val="22"/>
        </w:rPr>
        <w:t>ΣΤΟΙΧΕΙΑ</w:t>
      </w:r>
    </w:p>
    <w:p w14:paraId="7EACD005" w14:textId="0A58B1DF" w:rsidR="00E53E6B" w:rsidRDefault="00E53E6B" w:rsidP="00E53E6B"/>
    <w:p w14:paraId="07AC6BDE" w14:textId="77777777" w:rsidR="00D04346" w:rsidRPr="0047462D" w:rsidRDefault="00D04346" w:rsidP="00E53E6B"/>
    <w:p w14:paraId="46B54E72" w14:textId="736A1D04" w:rsidR="00D04346" w:rsidRDefault="00D04346">
      <w:pPr>
        <w:suppressAutoHyphens w:val="0"/>
      </w:pPr>
      <w:r>
        <w:br w:type="page"/>
      </w:r>
    </w:p>
    <w:p w14:paraId="32E7593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ΕΝΔΕΙΞΕΙΣ ΠΟΥ ΠΡΕΠΕΙ ΝΑ ΑΝΑΓΡΑΦΟΝΤΑΙ ΣΤΗΝ ΕΞΩΤΕΡΙΚΗ ΣΥΣΚΕΥΑΣΙΑ</w:t>
      </w:r>
    </w:p>
    <w:p w14:paraId="7055E4B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p>
    <w:p w14:paraId="2A3570D1" w14:textId="77777777" w:rsidR="00490B31" w:rsidRPr="0047462D" w:rsidRDefault="00490B31" w:rsidP="00490B31">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ΤΗ ΦΙΑΛΗ</w:t>
      </w:r>
    </w:p>
    <w:p w14:paraId="5F35DE76" w14:textId="77777777" w:rsidR="00D800AC" w:rsidRPr="0047462D" w:rsidRDefault="00D800AC" w:rsidP="00141E57">
      <w:pPr>
        <w:rPr>
          <w:szCs w:val="22"/>
          <w:lang w:eastAsia="en-US"/>
        </w:rPr>
      </w:pPr>
    </w:p>
    <w:p w14:paraId="30A43B3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2780B1D5" w14:textId="77777777" w:rsidR="00490B31" w:rsidRPr="0047462D" w:rsidRDefault="00490B31" w:rsidP="00141E57">
      <w:pPr>
        <w:rPr>
          <w:szCs w:val="22"/>
          <w:lang w:eastAsia="en-US"/>
        </w:rPr>
      </w:pPr>
    </w:p>
    <w:p w14:paraId="0F32EDBB" w14:textId="6BC162CE" w:rsidR="00490B31" w:rsidRPr="0047462D" w:rsidRDefault="00490B31" w:rsidP="00490B31">
      <w:pPr>
        <w:rPr>
          <w:rFonts w:eastAsia="Times New Roman"/>
          <w:szCs w:val="22"/>
        </w:rPr>
      </w:pPr>
      <w:r w:rsidRPr="0047462D">
        <w:rPr>
          <w:rFonts w:eastAsia="Times New Roman"/>
          <w:szCs w:val="22"/>
        </w:rPr>
        <w:t>Kalydeco 150</w:t>
      </w:r>
      <w:r w:rsidR="00AD331E" w:rsidRPr="0047462D">
        <w:rPr>
          <w:rFonts w:eastAsia="Times New Roman"/>
          <w:szCs w:val="22"/>
          <w:lang w:val="en-GB"/>
        </w:rPr>
        <w:t> </w:t>
      </w:r>
      <w:r w:rsidRPr="0047462D">
        <w:rPr>
          <w:rFonts w:eastAsia="Times New Roman"/>
          <w:szCs w:val="22"/>
        </w:rPr>
        <w:t xml:space="preserve">mg </w:t>
      </w:r>
      <w:r w:rsidRPr="0047462D">
        <w:rPr>
          <w:rFonts w:eastAsia="Times New Roman"/>
          <w:spacing w:val="4"/>
          <w:szCs w:val="22"/>
        </w:rPr>
        <w:t>επικαλυμμένα με λεπτό υμένιο δισκία</w:t>
      </w:r>
    </w:p>
    <w:p w14:paraId="2FD6DF00" w14:textId="77777777" w:rsidR="00490B31" w:rsidRPr="0047462D" w:rsidRDefault="00004A6E" w:rsidP="00141E57">
      <w:pPr>
        <w:rPr>
          <w:szCs w:val="22"/>
          <w:lang w:eastAsia="en-US"/>
        </w:rPr>
      </w:pPr>
      <w:r w:rsidRPr="0047462D">
        <w:rPr>
          <w:lang w:val="en-US"/>
        </w:rPr>
        <w:t>i</w:t>
      </w:r>
      <w:r w:rsidR="009C4FCB" w:rsidRPr="0047462D">
        <w:t>vacaftor</w:t>
      </w:r>
    </w:p>
    <w:p w14:paraId="6135C217" w14:textId="77777777" w:rsidR="00490B31" w:rsidRPr="0047462D" w:rsidRDefault="00490B31" w:rsidP="00141E57">
      <w:pPr>
        <w:rPr>
          <w:szCs w:val="22"/>
          <w:lang w:eastAsia="en-US"/>
        </w:rPr>
      </w:pPr>
    </w:p>
    <w:p w14:paraId="6663C3F2" w14:textId="77777777" w:rsidR="003752F1" w:rsidRPr="0047462D" w:rsidRDefault="003752F1" w:rsidP="00141E57">
      <w:pPr>
        <w:rPr>
          <w:szCs w:val="22"/>
          <w:lang w:eastAsia="en-US"/>
        </w:rPr>
      </w:pPr>
    </w:p>
    <w:p w14:paraId="1C6101B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w:t>
      </w:r>
      <w:r w:rsidR="009C4FCB" w:rsidRPr="0047462D">
        <w:rPr>
          <w:b/>
        </w:rPr>
        <w:t>(ΕΣ)</w:t>
      </w:r>
      <w:r w:rsidRPr="0047462D">
        <w:rPr>
          <w:rFonts w:eastAsia="Times New Roman"/>
          <w:b/>
          <w:bCs/>
          <w:szCs w:val="22"/>
        </w:rPr>
        <w:t xml:space="preserve"> ΟΥΣΙΑ</w:t>
      </w:r>
      <w:r w:rsidR="009C4FCB" w:rsidRPr="0047462D">
        <w:rPr>
          <w:b/>
        </w:rPr>
        <w:t>(ΕΣ)</w:t>
      </w:r>
    </w:p>
    <w:p w14:paraId="508BAB69" w14:textId="77777777" w:rsidR="00490B31" w:rsidRPr="0047462D" w:rsidRDefault="00490B31" w:rsidP="00141E57">
      <w:pPr>
        <w:rPr>
          <w:i/>
          <w:iCs/>
          <w:szCs w:val="22"/>
          <w:lang w:eastAsia="en-US"/>
        </w:rPr>
      </w:pPr>
    </w:p>
    <w:p w14:paraId="193BC47F" w14:textId="77777777" w:rsidR="00490B31" w:rsidRPr="0047462D" w:rsidRDefault="00490B31" w:rsidP="00490B31">
      <w:pPr>
        <w:rPr>
          <w:szCs w:val="22"/>
          <w:lang w:eastAsia="en-US"/>
        </w:rPr>
      </w:pPr>
      <w:r w:rsidRPr="0047462D">
        <w:rPr>
          <w:rFonts w:eastAsia="Times New Roman"/>
          <w:szCs w:val="22"/>
        </w:rPr>
        <w:t>Kάθε δισκίο περιέχει 150 mg ivacaftor.</w:t>
      </w:r>
    </w:p>
    <w:p w14:paraId="24EDFE73" w14:textId="77777777" w:rsidR="00490B31" w:rsidRPr="0047462D" w:rsidRDefault="00490B31" w:rsidP="00141E57">
      <w:pPr>
        <w:rPr>
          <w:szCs w:val="22"/>
          <w:lang w:eastAsia="en-US"/>
        </w:rPr>
      </w:pPr>
    </w:p>
    <w:p w14:paraId="59475219" w14:textId="77777777" w:rsidR="00490B31" w:rsidRPr="0047462D" w:rsidRDefault="00490B31" w:rsidP="00141E57">
      <w:pPr>
        <w:rPr>
          <w:szCs w:val="22"/>
          <w:lang w:eastAsia="en-US"/>
        </w:rPr>
      </w:pPr>
    </w:p>
    <w:p w14:paraId="20257E7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597299D0" w14:textId="77777777" w:rsidR="00490B31" w:rsidRPr="0047462D" w:rsidRDefault="00490B31" w:rsidP="00141E57">
      <w:pPr>
        <w:rPr>
          <w:szCs w:val="22"/>
          <w:lang w:eastAsia="en-US"/>
        </w:rPr>
      </w:pPr>
    </w:p>
    <w:p w14:paraId="1C83ABF0" w14:textId="77777777" w:rsidR="00490B31" w:rsidRPr="0047462D" w:rsidRDefault="00490B31" w:rsidP="00490B31">
      <w:pPr>
        <w:rPr>
          <w:szCs w:val="22"/>
          <w:lang w:eastAsia="en-US"/>
        </w:rPr>
      </w:pPr>
      <w:r w:rsidRPr="0047462D">
        <w:rPr>
          <w:rFonts w:eastAsia="Times New Roman"/>
          <w:szCs w:val="22"/>
        </w:rPr>
        <w:t>Περιέχει λακτόζη.</w:t>
      </w:r>
    </w:p>
    <w:p w14:paraId="0267D4D5" w14:textId="77777777" w:rsidR="00490B31" w:rsidRPr="0047462D" w:rsidRDefault="00490B31" w:rsidP="00490B31">
      <w:pPr>
        <w:rPr>
          <w:szCs w:val="22"/>
          <w:lang w:eastAsia="en-US"/>
        </w:rPr>
      </w:pPr>
    </w:p>
    <w:p w14:paraId="645C9D29" w14:textId="77777777" w:rsidR="00490B31" w:rsidRPr="0047462D" w:rsidRDefault="00490B31" w:rsidP="00490B31">
      <w:pPr>
        <w:rPr>
          <w:szCs w:val="22"/>
          <w:lang w:eastAsia="en-US"/>
        </w:rPr>
      </w:pPr>
      <w:r w:rsidRPr="0047462D">
        <w:rPr>
          <w:rFonts w:eastAsia="Times New Roman"/>
          <w:szCs w:val="22"/>
        </w:rPr>
        <w:t>Βλ. φύλλο οδηγιών χρήσης για περισσότερες πληροφορίες.</w:t>
      </w:r>
    </w:p>
    <w:p w14:paraId="50060710" w14:textId="77777777" w:rsidR="00490B31" w:rsidRPr="0047462D" w:rsidRDefault="00490B31" w:rsidP="00141E57">
      <w:pPr>
        <w:rPr>
          <w:szCs w:val="22"/>
          <w:lang w:eastAsia="en-US"/>
        </w:rPr>
      </w:pPr>
    </w:p>
    <w:p w14:paraId="1249C124" w14:textId="77777777" w:rsidR="00490B31" w:rsidRPr="0047462D" w:rsidRDefault="00490B31" w:rsidP="00141E57">
      <w:pPr>
        <w:rPr>
          <w:szCs w:val="22"/>
          <w:lang w:eastAsia="en-US"/>
        </w:rPr>
      </w:pPr>
    </w:p>
    <w:p w14:paraId="32832AC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6D0C6CE1" w14:textId="77777777" w:rsidR="00490B31" w:rsidRPr="0047462D" w:rsidRDefault="00490B31" w:rsidP="00141E57">
      <w:pPr>
        <w:rPr>
          <w:szCs w:val="22"/>
          <w:lang w:eastAsia="en-US"/>
        </w:rPr>
      </w:pPr>
    </w:p>
    <w:p w14:paraId="10B9DF1D" w14:textId="74F86927" w:rsidR="00490B31" w:rsidRPr="0047462D" w:rsidRDefault="00490B31" w:rsidP="00490B31">
      <w:pPr>
        <w:rPr>
          <w:szCs w:val="22"/>
          <w:lang w:eastAsia="en-US"/>
        </w:rPr>
      </w:pPr>
      <w:r w:rsidRPr="0047462D">
        <w:rPr>
          <w:rFonts w:eastAsia="Times New Roman"/>
          <w:szCs w:val="22"/>
        </w:rPr>
        <w:t>56</w:t>
      </w:r>
      <w:r w:rsidRPr="0047462D">
        <w:rPr>
          <w:lang w:val="en-US"/>
        </w:rPr>
        <w:t> </w:t>
      </w:r>
      <w:r w:rsidRPr="0047462D">
        <w:rPr>
          <w:rFonts w:eastAsia="Times New Roman"/>
          <w:szCs w:val="22"/>
        </w:rPr>
        <w:t>δισκία</w:t>
      </w:r>
    </w:p>
    <w:p w14:paraId="45B11A40" w14:textId="77777777" w:rsidR="00490B31" w:rsidRPr="0047462D" w:rsidRDefault="00490B31" w:rsidP="00141E57">
      <w:pPr>
        <w:rPr>
          <w:szCs w:val="22"/>
          <w:lang w:eastAsia="en-US"/>
        </w:rPr>
      </w:pPr>
    </w:p>
    <w:p w14:paraId="3648E45D" w14:textId="77777777" w:rsidR="00490B31" w:rsidRPr="0047462D" w:rsidRDefault="00490B31" w:rsidP="00141E57">
      <w:pPr>
        <w:rPr>
          <w:szCs w:val="22"/>
          <w:lang w:eastAsia="en-US"/>
        </w:rPr>
      </w:pPr>
    </w:p>
    <w:p w14:paraId="256D98D5"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ΟΔΟΣ(ΟΙ) ΧΟΡΗΓΗΣΗΣ</w:t>
      </w:r>
    </w:p>
    <w:p w14:paraId="788CDD12" w14:textId="77777777" w:rsidR="00490B31" w:rsidRPr="0047462D" w:rsidRDefault="00490B31" w:rsidP="00141E57">
      <w:pPr>
        <w:rPr>
          <w:szCs w:val="22"/>
          <w:lang w:eastAsia="en-US"/>
        </w:rPr>
      </w:pPr>
    </w:p>
    <w:p w14:paraId="4F09F67F" w14:textId="77777777" w:rsidR="00490B31" w:rsidRPr="0047462D" w:rsidRDefault="00490B31" w:rsidP="00141E57">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4C4242D3" w14:textId="77777777" w:rsidR="000F0A70" w:rsidRPr="0047462D" w:rsidRDefault="000F0A70" w:rsidP="00141E57">
      <w:pPr>
        <w:rPr>
          <w:rFonts w:eastAsia="Times New Roman"/>
          <w:szCs w:val="22"/>
        </w:rPr>
      </w:pPr>
    </w:p>
    <w:p w14:paraId="250A6694" w14:textId="77777777" w:rsidR="00490B31" w:rsidRPr="0047462D" w:rsidRDefault="00490B31" w:rsidP="00490B31">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1B0E1203" w14:textId="77777777" w:rsidR="00490B31" w:rsidRPr="0047462D" w:rsidRDefault="00490B31" w:rsidP="00141E57">
      <w:pPr>
        <w:autoSpaceDE w:val="0"/>
        <w:rPr>
          <w:szCs w:val="22"/>
        </w:rPr>
      </w:pPr>
    </w:p>
    <w:p w14:paraId="05D5B331" w14:textId="78E6E1CB" w:rsidR="005D5499" w:rsidRPr="0047462D" w:rsidRDefault="009C4FCB" w:rsidP="009E50D2">
      <w:pPr>
        <w:keepNext/>
        <w:rPr>
          <w:noProof/>
        </w:rPr>
      </w:pPr>
      <w:r w:rsidRPr="0047462D">
        <w:rPr>
          <w:b/>
          <w:bCs/>
        </w:rPr>
        <w:t>Ο</w:t>
      </w:r>
      <w:r w:rsidR="00F4326D" w:rsidRPr="0047462D">
        <w:rPr>
          <w:b/>
          <w:bCs/>
        </w:rPr>
        <w:t>δηγίες χρήσης</w:t>
      </w:r>
    </w:p>
    <w:p w14:paraId="724817D2" w14:textId="77777777" w:rsidR="005D5499" w:rsidRPr="0047462D" w:rsidRDefault="005D5499" w:rsidP="009E50D2">
      <w:pPr>
        <w:keepNext/>
      </w:pPr>
    </w:p>
    <w:p w14:paraId="38713DFE" w14:textId="77777777" w:rsidR="000F0A70" w:rsidRPr="0047462D" w:rsidRDefault="00C2636A" w:rsidP="009C4FCB">
      <w:r w:rsidRPr="0047462D">
        <w:t>Πάρτε το με</w:t>
      </w:r>
      <w:r w:rsidR="009C4FCB" w:rsidRPr="0047462D">
        <w:t xml:space="preserve"> τροφή που περιέχει λίπος. </w:t>
      </w:r>
    </w:p>
    <w:p w14:paraId="6B640CF7" w14:textId="77777777" w:rsidR="000F0A70" w:rsidRPr="0047462D" w:rsidRDefault="000F0A70" w:rsidP="009C4FCB"/>
    <w:p w14:paraId="78525BCF" w14:textId="77777777" w:rsidR="009C4FCB" w:rsidRPr="0047462D" w:rsidRDefault="009C4FCB" w:rsidP="009C4FCB">
      <w:r w:rsidRPr="0047462D">
        <w:t>Μη</w:t>
      </w:r>
      <w:r w:rsidR="00C20DDA" w:rsidRPr="0047462D">
        <w:t>ν</w:t>
      </w:r>
      <w:r w:rsidRPr="0047462D">
        <w:t xml:space="preserve"> σπάτε, μασάτε ή διαλύετε τα δισκία.</w:t>
      </w:r>
    </w:p>
    <w:p w14:paraId="0A990C9D" w14:textId="77777777" w:rsidR="00490B31" w:rsidRPr="0047462D" w:rsidRDefault="00490B31" w:rsidP="00141E57">
      <w:pPr>
        <w:autoSpaceDE w:val="0"/>
        <w:rPr>
          <w:szCs w:val="22"/>
        </w:rPr>
      </w:pPr>
    </w:p>
    <w:p w14:paraId="2C85929E" w14:textId="77777777" w:rsidR="009C4FCB" w:rsidRPr="0047462D" w:rsidRDefault="009C4FCB" w:rsidP="00141E57">
      <w:pPr>
        <w:autoSpaceDE w:val="0"/>
        <w:rPr>
          <w:szCs w:val="22"/>
        </w:rPr>
      </w:pPr>
    </w:p>
    <w:p w14:paraId="1B5677FD"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F45EE6A" w14:textId="77777777" w:rsidR="00490B31" w:rsidRPr="0047462D" w:rsidRDefault="00490B31" w:rsidP="00141E57">
      <w:pPr>
        <w:rPr>
          <w:szCs w:val="22"/>
          <w:lang w:eastAsia="en-US"/>
        </w:rPr>
      </w:pPr>
    </w:p>
    <w:p w14:paraId="18D8399E" w14:textId="77777777" w:rsidR="00490B31" w:rsidRPr="0047462D" w:rsidRDefault="00490B31" w:rsidP="00141E57">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A272576" w14:textId="77777777" w:rsidR="00490B31" w:rsidRPr="0047462D" w:rsidRDefault="00490B31" w:rsidP="00141E57">
      <w:pPr>
        <w:rPr>
          <w:szCs w:val="22"/>
          <w:lang w:eastAsia="en-US"/>
        </w:rPr>
      </w:pPr>
    </w:p>
    <w:p w14:paraId="0AD4E927" w14:textId="77777777" w:rsidR="00490B31" w:rsidRPr="0047462D" w:rsidRDefault="00490B31" w:rsidP="00141E57">
      <w:pPr>
        <w:rPr>
          <w:szCs w:val="22"/>
          <w:lang w:eastAsia="en-US"/>
        </w:rPr>
      </w:pPr>
    </w:p>
    <w:p w14:paraId="25012302"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9C4FCB" w:rsidRPr="0047462D">
        <w:rPr>
          <w:rFonts w:eastAsia="Times New Roman"/>
          <w:b/>
          <w:bCs/>
          <w:szCs w:val="22"/>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ΕΙΔΙΚ</w:t>
      </w:r>
      <w:r w:rsidR="009C4FCB" w:rsidRPr="0047462D">
        <w:rPr>
          <w:rFonts w:eastAsia="Times New Roman"/>
          <w:b/>
          <w:bCs/>
          <w:szCs w:val="22"/>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ΠΡΟΕΙΔΟΠΟΙΗΣ</w:t>
      </w:r>
      <w:r w:rsidR="009C4FCB" w:rsidRPr="0047462D">
        <w:rPr>
          <w:rFonts w:eastAsia="Times New Roman"/>
          <w:b/>
          <w:bCs/>
          <w:szCs w:val="22"/>
        </w:rPr>
        <w:t>Η(</w:t>
      </w:r>
      <w:r w:rsidRPr="0047462D">
        <w:rPr>
          <w:rFonts w:eastAsia="Times New Roman"/>
          <w:b/>
          <w:bCs/>
          <w:szCs w:val="22"/>
        </w:rPr>
        <w:t>ΕΙΣ</w:t>
      </w:r>
      <w:r w:rsidR="009C4FCB" w:rsidRPr="0047462D">
        <w:rPr>
          <w:rFonts w:eastAsia="Times New Roman"/>
          <w:b/>
          <w:bCs/>
          <w:szCs w:val="22"/>
        </w:rPr>
        <w:t>)</w:t>
      </w:r>
      <w:r w:rsidRPr="0047462D">
        <w:rPr>
          <w:b/>
          <w:lang w:eastAsia="en-US"/>
        </w:rPr>
        <w:t>, ΕΑΝ ΕΙΝΑΙ ΑΠΑΡΑΙΤΗΤ</w:t>
      </w:r>
      <w:r w:rsidR="009C4FCB" w:rsidRPr="0047462D">
        <w:rPr>
          <w:b/>
          <w:lang w:eastAsia="en-US"/>
        </w:rPr>
        <w:t>Η(</w:t>
      </w:r>
      <w:r w:rsidRPr="0047462D">
        <w:rPr>
          <w:b/>
          <w:lang w:eastAsia="en-US"/>
        </w:rPr>
        <w:t>ΕΣ</w:t>
      </w:r>
      <w:r w:rsidR="009C4FCB" w:rsidRPr="0047462D">
        <w:rPr>
          <w:b/>
          <w:lang w:eastAsia="en-US"/>
        </w:rPr>
        <w:t>)</w:t>
      </w:r>
    </w:p>
    <w:p w14:paraId="37A8D327" w14:textId="77777777" w:rsidR="00490B31" w:rsidRPr="0047462D" w:rsidRDefault="00490B31" w:rsidP="00141E57">
      <w:pPr>
        <w:rPr>
          <w:szCs w:val="22"/>
          <w:lang w:eastAsia="en-US"/>
        </w:rPr>
      </w:pPr>
    </w:p>
    <w:p w14:paraId="62B94752" w14:textId="77777777" w:rsidR="00490B31" w:rsidRPr="0047462D" w:rsidRDefault="00490B31" w:rsidP="00141E57">
      <w:pPr>
        <w:tabs>
          <w:tab w:val="left" w:pos="749"/>
        </w:tabs>
        <w:rPr>
          <w:szCs w:val="22"/>
          <w:lang w:eastAsia="en-US"/>
        </w:rPr>
      </w:pPr>
    </w:p>
    <w:p w14:paraId="78F211EB"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9A64B3F" w14:textId="77777777" w:rsidR="00490B31" w:rsidRPr="0047462D" w:rsidRDefault="00490B31" w:rsidP="00141E57">
      <w:pPr>
        <w:rPr>
          <w:szCs w:val="22"/>
          <w:lang w:eastAsia="en-US"/>
        </w:rPr>
      </w:pPr>
    </w:p>
    <w:p w14:paraId="7BA198DC" w14:textId="77777777" w:rsidR="00490B31" w:rsidRPr="0047462D" w:rsidRDefault="00490B31" w:rsidP="00141E57">
      <w:pPr>
        <w:rPr>
          <w:szCs w:val="22"/>
          <w:lang w:eastAsia="en-US"/>
        </w:rPr>
      </w:pPr>
      <w:r w:rsidRPr="0047462D">
        <w:rPr>
          <w:rFonts w:eastAsia="Times New Roman"/>
          <w:szCs w:val="22"/>
        </w:rPr>
        <w:t>ΛΗΞΗ</w:t>
      </w:r>
    </w:p>
    <w:p w14:paraId="01721C33" w14:textId="77777777" w:rsidR="00490B31" w:rsidRPr="0047462D" w:rsidRDefault="00490B31" w:rsidP="00141E57">
      <w:pPr>
        <w:rPr>
          <w:szCs w:val="22"/>
          <w:lang w:eastAsia="en-US"/>
        </w:rPr>
      </w:pPr>
    </w:p>
    <w:p w14:paraId="11B06FC7" w14:textId="77777777" w:rsidR="00490B31" w:rsidRPr="0047462D" w:rsidRDefault="00490B31" w:rsidP="00141E57">
      <w:pPr>
        <w:rPr>
          <w:szCs w:val="22"/>
          <w:lang w:eastAsia="en-US"/>
        </w:rPr>
      </w:pPr>
    </w:p>
    <w:p w14:paraId="38BCCEF4" w14:textId="77777777" w:rsidR="00490B31" w:rsidRPr="0047462D" w:rsidRDefault="00490B31" w:rsidP="006F402D">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3E5C4BAF" w14:textId="77777777" w:rsidR="00490B31" w:rsidRPr="0047462D" w:rsidRDefault="00490B31" w:rsidP="006F402D">
      <w:pPr>
        <w:keepNext/>
        <w:rPr>
          <w:szCs w:val="22"/>
          <w:lang w:eastAsia="en-US"/>
        </w:rPr>
      </w:pPr>
    </w:p>
    <w:p w14:paraId="75D03D0E" w14:textId="77777777" w:rsidR="00490B31" w:rsidRPr="0047462D" w:rsidRDefault="00490B31" w:rsidP="00141E57">
      <w:pPr>
        <w:rPr>
          <w:szCs w:val="22"/>
          <w:lang w:eastAsia="en-US"/>
        </w:rPr>
      </w:pPr>
    </w:p>
    <w:p w14:paraId="50C34309" w14:textId="77777777" w:rsidR="00490B31" w:rsidRPr="0047462D" w:rsidRDefault="00490B31"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6DEFA155" w14:textId="77777777" w:rsidR="00490B31" w:rsidRPr="0047462D" w:rsidRDefault="00490B31" w:rsidP="00141E57">
      <w:pPr>
        <w:rPr>
          <w:szCs w:val="22"/>
          <w:lang w:eastAsia="en-US"/>
        </w:rPr>
      </w:pPr>
    </w:p>
    <w:p w14:paraId="1D0D3DC1" w14:textId="77777777" w:rsidR="00490B31" w:rsidRPr="0047462D" w:rsidRDefault="00490B31" w:rsidP="00141E57">
      <w:pPr>
        <w:rPr>
          <w:szCs w:val="22"/>
          <w:lang w:eastAsia="en-US"/>
        </w:rPr>
      </w:pPr>
    </w:p>
    <w:p w14:paraId="2006E2F7"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433DED01" w14:textId="77777777" w:rsidR="00490B31" w:rsidRPr="0047462D" w:rsidRDefault="00490B31" w:rsidP="00141E57">
      <w:pPr>
        <w:rPr>
          <w:szCs w:val="22"/>
          <w:lang w:eastAsia="en-US"/>
        </w:rPr>
      </w:pPr>
    </w:p>
    <w:p w14:paraId="39BA1FF2" w14:textId="77777777" w:rsidR="00AE0285" w:rsidRPr="0047462D" w:rsidRDefault="00AE0285" w:rsidP="00AE0285">
      <w:pPr>
        <w:rPr>
          <w:iCs/>
          <w:lang w:val="en-GB"/>
        </w:rPr>
      </w:pPr>
      <w:r w:rsidRPr="0047462D">
        <w:rPr>
          <w:iCs/>
          <w:lang w:val="en-GB"/>
        </w:rPr>
        <w:t>Vertex Pharmaceuticals (Ireland) Limited</w:t>
      </w:r>
    </w:p>
    <w:p w14:paraId="346865ED" w14:textId="77777777" w:rsidR="00AE0285" w:rsidRPr="0047462D" w:rsidRDefault="00AE0285" w:rsidP="00AE0285">
      <w:pPr>
        <w:rPr>
          <w:iCs/>
          <w:lang w:val="en-GB"/>
        </w:rPr>
      </w:pPr>
      <w:r w:rsidRPr="0047462D">
        <w:rPr>
          <w:iCs/>
          <w:lang w:val="en-GB"/>
        </w:rPr>
        <w:t>28-32 Pembroke Street Upper</w:t>
      </w:r>
    </w:p>
    <w:p w14:paraId="241AF4DD"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39308BDE" w14:textId="77777777" w:rsidR="00AE0285" w:rsidRPr="0047462D" w:rsidRDefault="00AE0285" w:rsidP="00AE0285">
      <w:pPr>
        <w:rPr>
          <w:rFonts w:eastAsia="Times New Roman"/>
          <w:szCs w:val="22"/>
        </w:rPr>
      </w:pPr>
      <w:r w:rsidRPr="0047462D">
        <w:rPr>
          <w:iCs/>
        </w:rPr>
        <w:t>Ιρλανδία</w:t>
      </w:r>
    </w:p>
    <w:p w14:paraId="1672855D" w14:textId="77777777" w:rsidR="00490B31" w:rsidRPr="0047462D" w:rsidRDefault="00490B31" w:rsidP="00490B31"/>
    <w:p w14:paraId="4272FFBA" w14:textId="77777777" w:rsidR="00490B31" w:rsidRPr="0047462D" w:rsidRDefault="00490B31" w:rsidP="00141E57">
      <w:pPr>
        <w:rPr>
          <w:szCs w:val="22"/>
          <w:lang w:eastAsia="en-US"/>
        </w:rPr>
      </w:pPr>
    </w:p>
    <w:p w14:paraId="50C94C3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12.</w:t>
      </w:r>
      <w:r w:rsidRPr="0047462D">
        <w:rPr>
          <w:b/>
          <w:bCs/>
          <w:noProof/>
          <w:szCs w:val="22"/>
          <w:lang w:eastAsia="en-US"/>
        </w:rPr>
        <w:tab/>
        <w:t xml:space="preserve">ΑΡΙΘΜΟΣ(ΟΙ) ΑΔΕΙΑΣ ΚΥΚΛΟΦΟΡΙΑΣ </w:t>
      </w:r>
    </w:p>
    <w:p w14:paraId="557E15C0" w14:textId="77777777" w:rsidR="00490B31" w:rsidRPr="0047462D" w:rsidRDefault="00490B31" w:rsidP="00141E57">
      <w:pPr>
        <w:rPr>
          <w:szCs w:val="22"/>
          <w:lang w:eastAsia="en-US"/>
        </w:rPr>
      </w:pPr>
    </w:p>
    <w:p w14:paraId="611547EE" w14:textId="77777777" w:rsidR="00490B31" w:rsidRPr="0047462D" w:rsidRDefault="00490B31" w:rsidP="00141E57">
      <w:pPr>
        <w:rPr>
          <w:szCs w:val="22"/>
          <w:lang w:eastAsia="en-US"/>
        </w:rPr>
      </w:pPr>
      <w:r w:rsidRPr="0047462D">
        <w:rPr>
          <w:rFonts w:eastAsia="Times New Roman"/>
          <w:szCs w:val="22"/>
        </w:rPr>
        <w:t>EU</w:t>
      </w:r>
      <w:r w:rsidRPr="0047462D">
        <w:rPr>
          <w:szCs w:val="24"/>
        </w:rPr>
        <w:t>/1/12/782/001</w:t>
      </w:r>
    </w:p>
    <w:p w14:paraId="087565DB" w14:textId="77777777" w:rsidR="00490B31" w:rsidRPr="0047462D" w:rsidRDefault="00490B31" w:rsidP="00141E57">
      <w:pPr>
        <w:rPr>
          <w:szCs w:val="22"/>
          <w:lang w:eastAsia="en-US"/>
        </w:rPr>
      </w:pPr>
    </w:p>
    <w:p w14:paraId="1AD147B8" w14:textId="77777777" w:rsidR="00490B31" w:rsidRPr="0047462D" w:rsidRDefault="00490B31" w:rsidP="00141E57">
      <w:pPr>
        <w:rPr>
          <w:szCs w:val="22"/>
          <w:lang w:eastAsia="en-US"/>
        </w:rPr>
      </w:pPr>
    </w:p>
    <w:p w14:paraId="69B92A6B"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7F9D3D22" w14:textId="77777777" w:rsidR="00490B31" w:rsidRPr="0047462D" w:rsidRDefault="00490B31" w:rsidP="00141E57">
      <w:pPr>
        <w:rPr>
          <w:iCs/>
          <w:szCs w:val="22"/>
          <w:lang w:eastAsia="en-US"/>
        </w:rPr>
      </w:pPr>
    </w:p>
    <w:p w14:paraId="4E3F41A1" w14:textId="77777777" w:rsidR="00490B31" w:rsidRPr="0047462D" w:rsidRDefault="00490B31" w:rsidP="00141E57">
      <w:pPr>
        <w:rPr>
          <w:szCs w:val="22"/>
          <w:lang w:eastAsia="en-US"/>
        </w:rPr>
      </w:pPr>
      <w:r w:rsidRPr="0047462D">
        <w:rPr>
          <w:rFonts w:eastAsia="Times New Roman"/>
          <w:szCs w:val="22"/>
        </w:rPr>
        <w:t>Παρτίδα</w:t>
      </w:r>
    </w:p>
    <w:p w14:paraId="6BC59620" w14:textId="77777777" w:rsidR="00490B31" w:rsidRPr="0047462D" w:rsidRDefault="00490B31" w:rsidP="00141E57">
      <w:pPr>
        <w:rPr>
          <w:szCs w:val="22"/>
          <w:lang w:eastAsia="en-US"/>
        </w:rPr>
      </w:pPr>
    </w:p>
    <w:p w14:paraId="161D4542" w14:textId="77777777" w:rsidR="00490B31" w:rsidRPr="0047462D" w:rsidRDefault="00490B31" w:rsidP="00141E57">
      <w:pPr>
        <w:rPr>
          <w:szCs w:val="22"/>
          <w:lang w:eastAsia="en-US"/>
        </w:rPr>
      </w:pPr>
    </w:p>
    <w:p w14:paraId="7BF6C3B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44BF8CBD" w14:textId="77777777" w:rsidR="00490B31" w:rsidRPr="0047462D" w:rsidRDefault="00490B31" w:rsidP="00141E57">
      <w:pPr>
        <w:rPr>
          <w:szCs w:val="22"/>
          <w:lang w:eastAsia="en-US"/>
        </w:rPr>
      </w:pPr>
    </w:p>
    <w:p w14:paraId="0387044F" w14:textId="77777777" w:rsidR="00490B31" w:rsidRPr="0047462D" w:rsidRDefault="00490B31" w:rsidP="00141E57">
      <w:pPr>
        <w:rPr>
          <w:szCs w:val="22"/>
          <w:lang w:eastAsia="en-US"/>
        </w:rPr>
      </w:pPr>
    </w:p>
    <w:p w14:paraId="6DBCEF6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04398F80" w14:textId="77777777" w:rsidR="00490B31" w:rsidRPr="0047462D" w:rsidRDefault="00490B31" w:rsidP="00141E57">
      <w:pPr>
        <w:rPr>
          <w:szCs w:val="22"/>
          <w:lang w:eastAsia="en-US"/>
        </w:rPr>
      </w:pPr>
    </w:p>
    <w:p w14:paraId="2F42DAD2" w14:textId="77777777" w:rsidR="00490B31" w:rsidRPr="0047462D" w:rsidRDefault="00490B31" w:rsidP="00141E57">
      <w:pPr>
        <w:rPr>
          <w:szCs w:val="22"/>
          <w:lang w:eastAsia="en-US"/>
        </w:rPr>
      </w:pPr>
    </w:p>
    <w:p w14:paraId="32D18268"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2A849AA3" w14:textId="77777777" w:rsidR="00490B31" w:rsidRPr="0047462D" w:rsidRDefault="00490B31" w:rsidP="00141E57">
      <w:pPr>
        <w:rPr>
          <w:szCs w:val="22"/>
          <w:shd w:val="clear" w:color="auto" w:fill="CCCCCC"/>
          <w:lang w:eastAsia="en-US"/>
        </w:rPr>
      </w:pPr>
    </w:p>
    <w:p w14:paraId="3C2D244D" w14:textId="77777777" w:rsidR="00490B31" w:rsidRPr="0047462D" w:rsidRDefault="00490B31" w:rsidP="00490B31">
      <w:pPr>
        <w:rPr>
          <w:szCs w:val="22"/>
          <w:lang w:eastAsia="en-US"/>
        </w:rPr>
      </w:pPr>
      <w:r w:rsidRPr="0047462D">
        <w:rPr>
          <w:rFonts w:eastAsia="Times New Roman"/>
          <w:szCs w:val="22"/>
        </w:rPr>
        <w:t xml:space="preserve">Kalydeco 150 mg </w:t>
      </w:r>
      <w:r w:rsidRPr="0047462D">
        <w:rPr>
          <w:rFonts w:eastAsia="Times New Roman"/>
          <w:spacing w:val="4"/>
          <w:szCs w:val="22"/>
        </w:rPr>
        <w:t>δισκία</w:t>
      </w:r>
    </w:p>
    <w:p w14:paraId="2AD66395" w14:textId="77777777" w:rsidR="006F11D8" w:rsidRPr="0047462D" w:rsidRDefault="006F11D8" w:rsidP="006F11D8">
      <w:pPr>
        <w:rPr>
          <w:rFonts w:eastAsia="Times New Roman"/>
          <w:spacing w:val="4"/>
          <w:szCs w:val="22"/>
        </w:rPr>
      </w:pPr>
    </w:p>
    <w:p w14:paraId="7DB71B26" w14:textId="77777777" w:rsidR="006F11D8" w:rsidRPr="0047462D" w:rsidRDefault="006F11D8" w:rsidP="006F11D8">
      <w:pPr>
        <w:rPr>
          <w:b/>
        </w:rPr>
      </w:pPr>
    </w:p>
    <w:p w14:paraId="749980B4"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FEB7BFE" w14:textId="77777777" w:rsidR="005D5499" w:rsidRPr="0047462D" w:rsidRDefault="005D5499" w:rsidP="009E50D2">
      <w:pPr>
        <w:keepNext/>
        <w:rPr>
          <w:noProof/>
        </w:rPr>
      </w:pPr>
    </w:p>
    <w:p w14:paraId="480089D4"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57B45997" w14:textId="77777777" w:rsidR="006F11D8" w:rsidRPr="0047462D" w:rsidRDefault="006F11D8" w:rsidP="006F11D8">
      <w:pPr>
        <w:rPr>
          <w:noProof/>
        </w:rPr>
      </w:pPr>
    </w:p>
    <w:p w14:paraId="3CDDCBF3" w14:textId="77777777" w:rsidR="00474005" w:rsidRPr="0047462D" w:rsidRDefault="00474005" w:rsidP="006F11D8">
      <w:pPr>
        <w:rPr>
          <w:noProof/>
        </w:rPr>
      </w:pPr>
    </w:p>
    <w:p w14:paraId="23E5F7CE"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48605B19" w14:textId="77777777" w:rsidR="005D5499" w:rsidRPr="0047462D" w:rsidRDefault="005D5499" w:rsidP="009E50D2">
      <w:pPr>
        <w:keepNext/>
        <w:rPr>
          <w:noProof/>
        </w:rPr>
      </w:pPr>
    </w:p>
    <w:p w14:paraId="3393AFF1" w14:textId="39C543F5" w:rsidR="005D5499" w:rsidRPr="0047462D" w:rsidRDefault="006F11D8" w:rsidP="009E50D2">
      <w:pPr>
        <w:keepNext/>
        <w:rPr>
          <w:szCs w:val="22"/>
        </w:rPr>
      </w:pPr>
      <w:r w:rsidRPr="0047462D">
        <w:rPr>
          <w:szCs w:val="22"/>
        </w:rPr>
        <w:t>PC</w:t>
      </w:r>
    </w:p>
    <w:p w14:paraId="43D16C92" w14:textId="5FCCD7F5" w:rsidR="005D5499" w:rsidRPr="0047462D" w:rsidRDefault="006F11D8" w:rsidP="009E50D2">
      <w:pPr>
        <w:keepNext/>
        <w:rPr>
          <w:szCs w:val="22"/>
        </w:rPr>
      </w:pPr>
      <w:r w:rsidRPr="0047462D">
        <w:rPr>
          <w:szCs w:val="22"/>
        </w:rPr>
        <w:t>SN</w:t>
      </w:r>
    </w:p>
    <w:p w14:paraId="543EE379" w14:textId="5085B68F" w:rsidR="006F11D8" w:rsidRPr="0047462D" w:rsidRDefault="006F11D8" w:rsidP="006F11D8">
      <w:pPr>
        <w:rPr>
          <w:szCs w:val="22"/>
        </w:rPr>
      </w:pPr>
      <w:r w:rsidRPr="0047462D">
        <w:rPr>
          <w:szCs w:val="22"/>
        </w:rPr>
        <w:t>NN</w:t>
      </w:r>
    </w:p>
    <w:p w14:paraId="0BA968E9" w14:textId="77777777" w:rsidR="00490B31" w:rsidRPr="0047462D" w:rsidRDefault="00490B31" w:rsidP="00490B31">
      <w:pPr>
        <w:rPr>
          <w:szCs w:val="22"/>
          <w:lang w:eastAsia="en-US"/>
        </w:rPr>
      </w:pPr>
    </w:p>
    <w:p w14:paraId="7D2A5ED9" w14:textId="77777777" w:rsidR="00490B31" w:rsidRPr="0047462D" w:rsidRDefault="00490B31" w:rsidP="00490B31">
      <w:pPr>
        <w:pageBreakBefore/>
        <w:rPr>
          <w:szCs w:val="22"/>
          <w:lang w:eastAsia="en-US"/>
        </w:rPr>
      </w:pPr>
    </w:p>
    <w:p w14:paraId="5D85B17A"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bCs/>
          <w:szCs w:val="22"/>
          <w:lang w:eastAsia="en-US"/>
        </w:rPr>
      </w:pPr>
      <w:r w:rsidRPr="0047462D">
        <w:rPr>
          <w:rFonts w:eastAsia="Times New Roman"/>
          <w:b/>
          <w:bCs/>
          <w:szCs w:val="22"/>
        </w:rPr>
        <w:t>ΕΝΔΕΙΞΕΙΣ ΠΟΥ ΠΡΕΠΕΙ ΝΑ ΑΝΑΓΡΑΦΟΝΤΑΙ ΣΤΗ ΣΤΟΙΧΕΙΩΔΗ ΣΥΣΚΕΥΑΣΙΑ</w:t>
      </w:r>
    </w:p>
    <w:p w14:paraId="6CF67EE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bCs/>
          <w:szCs w:val="22"/>
          <w:lang w:eastAsia="en-US"/>
        </w:rPr>
      </w:pPr>
    </w:p>
    <w:p w14:paraId="476EEE6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ΕΤΙΚΕΤΑ ΦΙΑΛΗΣ</w:t>
      </w:r>
    </w:p>
    <w:p w14:paraId="05BCF61C" w14:textId="77777777" w:rsidR="00490B31" w:rsidRPr="0047462D" w:rsidRDefault="00490B31" w:rsidP="00141E57">
      <w:pPr>
        <w:rPr>
          <w:szCs w:val="22"/>
          <w:lang w:eastAsia="en-US"/>
        </w:rPr>
      </w:pPr>
    </w:p>
    <w:p w14:paraId="3D3A39FB" w14:textId="77777777" w:rsidR="00F4326D" w:rsidRPr="0047462D" w:rsidRDefault="00F4326D" w:rsidP="00141E57">
      <w:pPr>
        <w:rPr>
          <w:szCs w:val="22"/>
          <w:lang w:eastAsia="en-US"/>
        </w:rPr>
      </w:pPr>
    </w:p>
    <w:p w14:paraId="7DCF39A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11E3DC51" w14:textId="77777777" w:rsidR="00490B31" w:rsidRPr="0047462D" w:rsidRDefault="00490B31" w:rsidP="00141E57">
      <w:pPr>
        <w:rPr>
          <w:szCs w:val="22"/>
          <w:lang w:eastAsia="en-US"/>
        </w:rPr>
      </w:pPr>
    </w:p>
    <w:p w14:paraId="6D87D3AF" w14:textId="77777777" w:rsidR="00490B31" w:rsidRPr="0047462D" w:rsidRDefault="00490B31" w:rsidP="00490B31">
      <w:pPr>
        <w:keepNext/>
        <w:rPr>
          <w:rFonts w:eastAsia="Times New Roman"/>
          <w:szCs w:val="22"/>
        </w:rPr>
      </w:pPr>
      <w:r w:rsidRPr="0047462D">
        <w:rPr>
          <w:rFonts w:eastAsia="Times New Roman"/>
          <w:szCs w:val="22"/>
        </w:rPr>
        <w:t xml:space="preserve">Kalydeco 150 mg </w:t>
      </w:r>
      <w:r w:rsidRPr="0047462D">
        <w:rPr>
          <w:rFonts w:eastAsia="Times New Roman"/>
          <w:spacing w:val="4"/>
          <w:szCs w:val="22"/>
        </w:rPr>
        <w:t>επικαλυμμένα με λεπτό υμένιο δισκία</w:t>
      </w:r>
    </w:p>
    <w:p w14:paraId="0ED0CCA0" w14:textId="77777777" w:rsidR="003620B7" w:rsidRPr="0047462D" w:rsidRDefault="00004A6E" w:rsidP="00141E57">
      <w:r w:rsidRPr="0047462D">
        <w:rPr>
          <w:lang w:val="en-US"/>
        </w:rPr>
        <w:t>i</w:t>
      </w:r>
      <w:r w:rsidR="009C4FCB" w:rsidRPr="0047462D">
        <w:t>vacaftor</w:t>
      </w:r>
    </w:p>
    <w:p w14:paraId="7B46C6E6" w14:textId="77777777" w:rsidR="00490B31" w:rsidRPr="0047462D" w:rsidRDefault="00490B31" w:rsidP="00141E57">
      <w:pPr>
        <w:rPr>
          <w:szCs w:val="22"/>
        </w:rPr>
      </w:pPr>
    </w:p>
    <w:p w14:paraId="65496F45" w14:textId="77777777" w:rsidR="00490B31" w:rsidRPr="0047462D" w:rsidRDefault="00490B31" w:rsidP="00141E57">
      <w:pPr>
        <w:rPr>
          <w:szCs w:val="22"/>
        </w:rPr>
      </w:pPr>
    </w:p>
    <w:p w14:paraId="4D3EA4E0"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i/>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ΔΡΑΣΤΙΚΗ(ΕΣ) ΟΥΣΙΑ(ΕΣ)</w:t>
      </w:r>
    </w:p>
    <w:p w14:paraId="7747F40C" w14:textId="77777777" w:rsidR="00490B31" w:rsidRPr="0047462D" w:rsidRDefault="00490B31" w:rsidP="00141E57">
      <w:pPr>
        <w:rPr>
          <w:i/>
          <w:szCs w:val="22"/>
          <w:lang w:eastAsia="en-US"/>
        </w:rPr>
      </w:pPr>
    </w:p>
    <w:p w14:paraId="1E6A65ED" w14:textId="77777777" w:rsidR="00490B31" w:rsidRPr="0047462D" w:rsidRDefault="00490B31" w:rsidP="00490B31">
      <w:pPr>
        <w:rPr>
          <w:szCs w:val="22"/>
          <w:lang w:eastAsia="en-US"/>
        </w:rPr>
      </w:pPr>
      <w:r w:rsidRPr="0047462D">
        <w:rPr>
          <w:rFonts w:eastAsia="Times New Roman"/>
          <w:szCs w:val="22"/>
        </w:rPr>
        <w:t>Kάθε δισκίο περιέχει 150 mg ivacaftor.</w:t>
      </w:r>
    </w:p>
    <w:p w14:paraId="72D4E86C" w14:textId="77777777" w:rsidR="00490B31" w:rsidRPr="0047462D" w:rsidRDefault="00490B31" w:rsidP="00141E57">
      <w:pPr>
        <w:rPr>
          <w:szCs w:val="22"/>
          <w:lang w:eastAsia="en-US"/>
        </w:rPr>
      </w:pPr>
    </w:p>
    <w:p w14:paraId="6CE56155" w14:textId="77777777" w:rsidR="00490B31" w:rsidRPr="0047462D" w:rsidRDefault="00490B31" w:rsidP="00141E57">
      <w:pPr>
        <w:rPr>
          <w:szCs w:val="22"/>
          <w:lang w:eastAsia="en-US"/>
        </w:rPr>
      </w:pPr>
    </w:p>
    <w:p w14:paraId="36D3DB83"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7898FE23" w14:textId="77777777" w:rsidR="00490B31" w:rsidRPr="0047462D" w:rsidRDefault="00490B31" w:rsidP="00141E57">
      <w:pPr>
        <w:rPr>
          <w:szCs w:val="22"/>
          <w:lang w:eastAsia="en-US"/>
        </w:rPr>
      </w:pPr>
    </w:p>
    <w:p w14:paraId="205A84D8" w14:textId="77777777" w:rsidR="00490B31" w:rsidRPr="0047462D" w:rsidRDefault="00490B31" w:rsidP="00490B31">
      <w:pPr>
        <w:rPr>
          <w:szCs w:val="22"/>
          <w:lang w:eastAsia="en-US"/>
        </w:rPr>
      </w:pPr>
      <w:r w:rsidRPr="0047462D">
        <w:rPr>
          <w:rFonts w:eastAsia="Times New Roman"/>
          <w:szCs w:val="22"/>
        </w:rPr>
        <w:t>Περιέχει λακτόζη.</w:t>
      </w:r>
    </w:p>
    <w:p w14:paraId="4BA71D52" w14:textId="77777777" w:rsidR="00490B31" w:rsidRPr="0047462D" w:rsidRDefault="00490B31" w:rsidP="00141E57">
      <w:pPr>
        <w:rPr>
          <w:szCs w:val="22"/>
          <w:lang w:eastAsia="en-US"/>
        </w:rPr>
      </w:pPr>
    </w:p>
    <w:p w14:paraId="651CBE3C" w14:textId="77777777" w:rsidR="009C4FCB" w:rsidRPr="0047462D" w:rsidRDefault="00ED7342" w:rsidP="009C4FCB">
      <w:pPr>
        <w:rPr>
          <w:szCs w:val="22"/>
          <w:lang w:eastAsia="en-US"/>
        </w:rPr>
      </w:pPr>
      <w:r w:rsidRPr="0047462D">
        <w:rPr>
          <w:rFonts w:eastAsia="Times New Roman"/>
          <w:szCs w:val="22"/>
        </w:rPr>
        <w:t>Βλ. φύλλο οδηγιών χρήσης για περισσότερες πληροφορίες.</w:t>
      </w:r>
    </w:p>
    <w:p w14:paraId="1ABAEFC5" w14:textId="77777777" w:rsidR="00490B31" w:rsidRPr="0047462D" w:rsidRDefault="00490B31" w:rsidP="00141E57">
      <w:pPr>
        <w:rPr>
          <w:szCs w:val="22"/>
          <w:lang w:eastAsia="en-US"/>
        </w:rPr>
      </w:pPr>
    </w:p>
    <w:p w14:paraId="108D2898" w14:textId="77777777" w:rsidR="009C4FCB" w:rsidRPr="0047462D" w:rsidRDefault="009C4FCB" w:rsidP="00141E57">
      <w:pPr>
        <w:rPr>
          <w:szCs w:val="22"/>
          <w:lang w:eastAsia="en-US"/>
        </w:rPr>
      </w:pPr>
    </w:p>
    <w:p w14:paraId="125B0266"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4877B8DA" w14:textId="77777777" w:rsidR="00490B31" w:rsidRPr="0047462D" w:rsidRDefault="00490B31" w:rsidP="00141E57">
      <w:pPr>
        <w:rPr>
          <w:szCs w:val="22"/>
          <w:lang w:eastAsia="en-US"/>
        </w:rPr>
      </w:pPr>
    </w:p>
    <w:p w14:paraId="33FB6D12" w14:textId="34B95CA6" w:rsidR="00490B31" w:rsidRPr="0047462D" w:rsidRDefault="00490B31" w:rsidP="00490B31">
      <w:pPr>
        <w:rPr>
          <w:szCs w:val="22"/>
          <w:lang w:eastAsia="en-US"/>
        </w:rPr>
      </w:pPr>
      <w:r w:rsidRPr="0047462D">
        <w:rPr>
          <w:rFonts w:eastAsia="Times New Roman"/>
          <w:szCs w:val="22"/>
        </w:rPr>
        <w:t>56 δισκία</w:t>
      </w:r>
    </w:p>
    <w:p w14:paraId="4F941844" w14:textId="77777777" w:rsidR="00490B31" w:rsidRPr="0047462D" w:rsidRDefault="00490B31" w:rsidP="00141E57">
      <w:pPr>
        <w:rPr>
          <w:szCs w:val="22"/>
          <w:lang w:eastAsia="en-US"/>
        </w:rPr>
      </w:pPr>
    </w:p>
    <w:p w14:paraId="7F73C28A" w14:textId="77777777" w:rsidR="00490B31" w:rsidRPr="0047462D" w:rsidRDefault="00490B31" w:rsidP="00141E57">
      <w:pPr>
        <w:rPr>
          <w:szCs w:val="22"/>
          <w:lang w:eastAsia="en-US"/>
        </w:rPr>
      </w:pPr>
    </w:p>
    <w:p w14:paraId="16FB202C"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ΟΔΟΣ(ΟΙ) ΧΟΡΗΓΗΣΗΣ</w:t>
      </w:r>
    </w:p>
    <w:p w14:paraId="3B0DEB29" w14:textId="77777777" w:rsidR="00490B31" w:rsidRPr="0047462D" w:rsidRDefault="00490B31" w:rsidP="00141E57">
      <w:pPr>
        <w:rPr>
          <w:szCs w:val="22"/>
          <w:lang w:eastAsia="en-US"/>
        </w:rPr>
      </w:pPr>
    </w:p>
    <w:p w14:paraId="2003600F" w14:textId="77777777" w:rsidR="00490B31" w:rsidRPr="0047462D" w:rsidRDefault="00490B31" w:rsidP="00141E57">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3C88E2F6" w14:textId="77777777" w:rsidR="000F0A70" w:rsidRPr="0047462D" w:rsidRDefault="000F0A70" w:rsidP="00141E57">
      <w:pPr>
        <w:rPr>
          <w:rFonts w:eastAsia="Times New Roman"/>
          <w:szCs w:val="22"/>
        </w:rPr>
      </w:pPr>
    </w:p>
    <w:p w14:paraId="6A77C417" w14:textId="77777777" w:rsidR="00490B31" w:rsidRPr="0047462D" w:rsidRDefault="00490B31" w:rsidP="00490B31">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0FAAA690" w14:textId="77777777" w:rsidR="00490B31" w:rsidRPr="0047462D" w:rsidRDefault="00490B31" w:rsidP="00141E57">
      <w:pPr>
        <w:autoSpaceDE w:val="0"/>
        <w:rPr>
          <w:szCs w:val="22"/>
        </w:rPr>
      </w:pPr>
    </w:p>
    <w:p w14:paraId="20C48DA0" w14:textId="77777777" w:rsidR="00490B31" w:rsidRPr="0047462D" w:rsidRDefault="00490B31" w:rsidP="00141E57">
      <w:pPr>
        <w:autoSpaceDE w:val="0"/>
        <w:rPr>
          <w:szCs w:val="22"/>
        </w:rPr>
      </w:pPr>
    </w:p>
    <w:p w14:paraId="2F79E627"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27F3464" w14:textId="77777777" w:rsidR="00490B31" w:rsidRPr="0047462D" w:rsidRDefault="00490B31" w:rsidP="00141E57">
      <w:pPr>
        <w:rPr>
          <w:szCs w:val="22"/>
          <w:lang w:eastAsia="en-US"/>
        </w:rPr>
      </w:pPr>
    </w:p>
    <w:p w14:paraId="1509D272" w14:textId="77777777" w:rsidR="00490B31" w:rsidRPr="0047462D" w:rsidRDefault="00490B31" w:rsidP="00141E57">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4DB2B78" w14:textId="77777777" w:rsidR="00490B31" w:rsidRPr="0047462D" w:rsidRDefault="00490B31" w:rsidP="00141E57">
      <w:pPr>
        <w:rPr>
          <w:szCs w:val="22"/>
          <w:lang w:eastAsia="en-US"/>
        </w:rPr>
      </w:pPr>
    </w:p>
    <w:p w14:paraId="571F5C14" w14:textId="77777777" w:rsidR="00490B31" w:rsidRPr="0047462D" w:rsidRDefault="00490B31" w:rsidP="00141E57">
      <w:pPr>
        <w:rPr>
          <w:szCs w:val="22"/>
          <w:lang w:eastAsia="en-US"/>
        </w:rPr>
      </w:pPr>
    </w:p>
    <w:p w14:paraId="691C6206"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ΑΛΛΗ(ΕΣ) ΕΙΔΙΚΗ(ΕΣ) ΠΡΟΕΙΔΟΠΟΙΗΣΗ(ΕΙΣ), ΕΑΝ ΕΙΝΑΙ ΑΠΑΡΑΙΤΗΤΗ(ΕΣ)</w:t>
      </w:r>
    </w:p>
    <w:p w14:paraId="00E97C91" w14:textId="77777777" w:rsidR="00490B31" w:rsidRPr="0047462D" w:rsidRDefault="00490B31" w:rsidP="00141E57">
      <w:pPr>
        <w:rPr>
          <w:szCs w:val="22"/>
          <w:lang w:eastAsia="en-US"/>
        </w:rPr>
      </w:pPr>
    </w:p>
    <w:p w14:paraId="185C67DF" w14:textId="77777777" w:rsidR="00490B31" w:rsidRPr="0047462D" w:rsidRDefault="00490B31" w:rsidP="00141E57">
      <w:pPr>
        <w:rPr>
          <w:szCs w:val="22"/>
          <w:lang w:eastAsia="en-US"/>
        </w:rPr>
      </w:pPr>
    </w:p>
    <w:p w14:paraId="2C099B66"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079B5EAE" w14:textId="77777777" w:rsidR="00490B31" w:rsidRPr="0047462D" w:rsidRDefault="00490B31" w:rsidP="00141E57">
      <w:pPr>
        <w:rPr>
          <w:szCs w:val="22"/>
          <w:lang w:eastAsia="en-US"/>
        </w:rPr>
      </w:pPr>
    </w:p>
    <w:p w14:paraId="6E8BE108" w14:textId="77777777" w:rsidR="00490B31" w:rsidRPr="0047462D" w:rsidRDefault="00490B31" w:rsidP="00141E57">
      <w:pPr>
        <w:rPr>
          <w:szCs w:val="22"/>
          <w:lang w:eastAsia="en-US"/>
        </w:rPr>
      </w:pPr>
      <w:r w:rsidRPr="0047462D">
        <w:rPr>
          <w:rFonts w:eastAsia="Times New Roman"/>
          <w:szCs w:val="22"/>
        </w:rPr>
        <w:t>ΛΗΞΗ</w:t>
      </w:r>
    </w:p>
    <w:p w14:paraId="0744F1B9" w14:textId="77777777" w:rsidR="00490B31" w:rsidRPr="0047462D" w:rsidRDefault="00490B31" w:rsidP="00141E57">
      <w:pPr>
        <w:rPr>
          <w:szCs w:val="22"/>
          <w:lang w:eastAsia="en-US"/>
        </w:rPr>
      </w:pPr>
    </w:p>
    <w:p w14:paraId="7AFA012C" w14:textId="77777777" w:rsidR="00490B31" w:rsidRPr="0047462D" w:rsidRDefault="00490B31" w:rsidP="00141E57">
      <w:pPr>
        <w:rPr>
          <w:szCs w:val="22"/>
          <w:lang w:eastAsia="en-US"/>
        </w:rPr>
      </w:pPr>
    </w:p>
    <w:p w14:paraId="640BF350"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3982277E" w14:textId="77777777" w:rsidR="00490B31" w:rsidRPr="0047462D" w:rsidRDefault="00490B31" w:rsidP="009A2EEC">
      <w:pPr>
        <w:rPr>
          <w:szCs w:val="22"/>
          <w:lang w:eastAsia="en-US"/>
        </w:rPr>
      </w:pPr>
    </w:p>
    <w:p w14:paraId="5131E809" w14:textId="77777777" w:rsidR="00490B31" w:rsidRPr="0047462D" w:rsidRDefault="00490B31" w:rsidP="00141E57">
      <w:pPr>
        <w:ind w:left="567" w:hanging="567"/>
        <w:rPr>
          <w:szCs w:val="22"/>
          <w:lang w:eastAsia="en-US"/>
        </w:rPr>
      </w:pPr>
    </w:p>
    <w:p w14:paraId="029F8441" w14:textId="77777777" w:rsidR="00490B31" w:rsidRPr="0047462D" w:rsidRDefault="00490B31"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noProof/>
          <w:szCs w:val="22"/>
          <w:lang w:eastAsia="en-US"/>
        </w:rPr>
      </w:pPr>
      <w:r w:rsidRPr="0047462D">
        <w:rPr>
          <w:b/>
          <w:noProof/>
          <w:szCs w:val="22"/>
          <w:lang w:eastAsia="en-US"/>
        </w:rPr>
        <w:t>10.</w:t>
      </w:r>
      <w:r w:rsidRPr="0047462D">
        <w:rPr>
          <w:b/>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CA16311" w14:textId="77777777" w:rsidR="00490B31" w:rsidRPr="0047462D" w:rsidRDefault="00490B31" w:rsidP="00141E57">
      <w:pPr>
        <w:rPr>
          <w:szCs w:val="22"/>
          <w:lang w:eastAsia="en-US"/>
        </w:rPr>
      </w:pPr>
    </w:p>
    <w:p w14:paraId="16625886" w14:textId="77777777" w:rsidR="00490B31" w:rsidRPr="0047462D" w:rsidRDefault="00490B31" w:rsidP="00141E57">
      <w:pPr>
        <w:rPr>
          <w:szCs w:val="22"/>
          <w:lang w:eastAsia="en-US"/>
        </w:rPr>
      </w:pPr>
    </w:p>
    <w:p w14:paraId="55EAD2E3"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11.</w:t>
      </w:r>
      <w:r w:rsidRPr="0047462D">
        <w:rPr>
          <w:b/>
          <w:noProof/>
          <w:szCs w:val="22"/>
          <w:lang w:eastAsia="en-US"/>
        </w:rPr>
        <w:tab/>
        <w:t>ΟΝΟΜΑ ΚΑΙ ΔΙΕΥΘΥΝΣΗ ΚΑΤΟΧΟΥ ΤΗΣ ΑΔΕΙΑΣ ΚΥΚΛΟΦΟΡΙΑΣ</w:t>
      </w:r>
    </w:p>
    <w:p w14:paraId="2CA92FE0" w14:textId="77777777" w:rsidR="00490B31" w:rsidRPr="0047462D" w:rsidRDefault="00490B31" w:rsidP="00141E57">
      <w:pPr>
        <w:rPr>
          <w:szCs w:val="22"/>
          <w:lang w:eastAsia="en-US"/>
        </w:rPr>
      </w:pPr>
    </w:p>
    <w:p w14:paraId="719E5CF1" w14:textId="77777777" w:rsidR="00AE0285" w:rsidRPr="0047462D" w:rsidRDefault="00AE0285" w:rsidP="00AE0285">
      <w:pPr>
        <w:rPr>
          <w:iCs/>
          <w:lang w:val="en-GB"/>
        </w:rPr>
      </w:pPr>
      <w:r w:rsidRPr="0047462D">
        <w:rPr>
          <w:iCs/>
          <w:lang w:val="en-GB"/>
        </w:rPr>
        <w:t>Vertex Pharmaceuticals (Ireland) Limited</w:t>
      </w:r>
    </w:p>
    <w:p w14:paraId="63608F12" w14:textId="77777777" w:rsidR="00AE0285" w:rsidRPr="0047462D" w:rsidRDefault="00AE0285" w:rsidP="00AE0285">
      <w:pPr>
        <w:rPr>
          <w:iCs/>
          <w:lang w:val="en-GB"/>
        </w:rPr>
      </w:pPr>
      <w:r w:rsidRPr="0047462D">
        <w:rPr>
          <w:iCs/>
          <w:lang w:val="en-GB"/>
        </w:rPr>
        <w:t>28-32 Pembroke Street Upper</w:t>
      </w:r>
    </w:p>
    <w:p w14:paraId="0A5D99C2"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43E05063" w14:textId="77777777" w:rsidR="00AE0285" w:rsidRPr="0047462D" w:rsidRDefault="00AE0285" w:rsidP="00AE0285">
      <w:pPr>
        <w:rPr>
          <w:iCs/>
        </w:rPr>
      </w:pPr>
      <w:r w:rsidRPr="0047462D">
        <w:rPr>
          <w:iCs/>
        </w:rPr>
        <w:t>Ιρλανδία</w:t>
      </w:r>
    </w:p>
    <w:p w14:paraId="0F78C68D" w14:textId="77777777" w:rsidR="00490B31" w:rsidRPr="0047462D" w:rsidRDefault="00490B31" w:rsidP="00141E57"/>
    <w:p w14:paraId="2765C7DF" w14:textId="77777777" w:rsidR="00490B31" w:rsidRPr="0047462D" w:rsidRDefault="00490B31" w:rsidP="00141E57">
      <w:pPr>
        <w:rPr>
          <w:szCs w:val="22"/>
          <w:lang w:eastAsia="en-US"/>
        </w:rPr>
      </w:pPr>
    </w:p>
    <w:p w14:paraId="06B175C8"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12.</w:t>
      </w:r>
      <w:r w:rsidRPr="0047462D">
        <w:rPr>
          <w:b/>
          <w:noProof/>
          <w:szCs w:val="22"/>
          <w:lang w:eastAsia="en-US"/>
        </w:rPr>
        <w:tab/>
        <w:t xml:space="preserve">ΑΡΙΘΜΟΣ(ΟΙ) ΑΔΕΙΑΣ ΚΥΚΛΟΦΟΡΙΑΣ </w:t>
      </w:r>
    </w:p>
    <w:p w14:paraId="61001CDF" w14:textId="77777777" w:rsidR="00490B31" w:rsidRPr="0047462D" w:rsidRDefault="00490B31" w:rsidP="00141E57">
      <w:pPr>
        <w:rPr>
          <w:szCs w:val="22"/>
          <w:lang w:eastAsia="en-US"/>
        </w:rPr>
      </w:pPr>
    </w:p>
    <w:p w14:paraId="5C607F16" w14:textId="77777777" w:rsidR="00490B31" w:rsidRPr="0047462D" w:rsidRDefault="00490B31" w:rsidP="00141E57">
      <w:pPr>
        <w:rPr>
          <w:szCs w:val="22"/>
          <w:lang w:eastAsia="en-US"/>
        </w:rPr>
      </w:pPr>
      <w:r w:rsidRPr="0047462D">
        <w:rPr>
          <w:rFonts w:eastAsia="Times New Roman"/>
          <w:szCs w:val="22"/>
        </w:rPr>
        <w:t>EU</w:t>
      </w:r>
      <w:r w:rsidRPr="0047462D">
        <w:rPr>
          <w:szCs w:val="24"/>
        </w:rPr>
        <w:t>/1/12/782/001</w:t>
      </w:r>
    </w:p>
    <w:p w14:paraId="7CF8544B" w14:textId="77777777" w:rsidR="00490B31" w:rsidRPr="0047462D" w:rsidRDefault="00490B31" w:rsidP="00141E57">
      <w:pPr>
        <w:rPr>
          <w:szCs w:val="22"/>
          <w:lang w:eastAsia="en-US"/>
        </w:rPr>
      </w:pPr>
    </w:p>
    <w:p w14:paraId="5DC6B143" w14:textId="77777777" w:rsidR="00490B31" w:rsidRPr="0047462D" w:rsidRDefault="00490B31" w:rsidP="00141E57">
      <w:pPr>
        <w:rPr>
          <w:szCs w:val="22"/>
          <w:lang w:eastAsia="en-US"/>
        </w:rPr>
      </w:pPr>
    </w:p>
    <w:p w14:paraId="2A8B4676"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13.</w:t>
      </w:r>
      <w:r w:rsidRPr="0047462D">
        <w:rPr>
          <w:b/>
          <w:noProof/>
          <w:szCs w:val="22"/>
          <w:lang w:eastAsia="en-US"/>
        </w:rPr>
        <w:tab/>
        <w:t>ΑΡΙΘΜΟΣ ΠΑΡΤΙΔΑΣ</w:t>
      </w:r>
    </w:p>
    <w:p w14:paraId="3C1ADEA8" w14:textId="77777777" w:rsidR="00490B31" w:rsidRPr="0047462D" w:rsidRDefault="00490B31" w:rsidP="00141E57">
      <w:pPr>
        <w:rPr>
          <w:i/>
          <w:szCs w:val="22"/>
          <w:lang w:eastAsia="en-US"/>
        </w:rPr>
      </w:pPr>
    </w:p>
    <w:p w14:paraId="6DDC98F0" w14:textId="77777777" w:rsidR="00490B31" w:rsidRPr="0047462D" w:rsidRDefault="00490B31" w:rsidP="00141E57">
      <w:pPr>
        <w:rPr>
          <w:szCs w:val="22"/>
          <w:lang w:eastAsia="en-US"/>
        </w:rPr>
      </w:pPr>
      <w:r w:rsidRPr="0047462D">
        <w:rPr>
          <w:rFonts w:eastAsia="Times New Roman"/>
          <w:szCs w:val="22"/>
        </w:rPr>
        <w:t>Παρτίδα</w:t>
      </w:r>
    </w:p>
    <w:p w14:paraId="42E41B16" w14:textId="77777777" w:rsidR="00490B31" w:rsidRPr="0047462D" w:rsidRDefault="00490B31" w:rsidP="00141E57">
      <w:pPr>
        <w:rPr>
          <w:szCs w:val="22"/>
          <w:lang w:eastAsia="en-US"/>
        </w:rPr>
      </w:pPr>
    </w:p>
    <w:p w14:paraId="43EFE40C" w14:textId="77777777" w:rsidR="00490B31" w:rsidRPr="0047462D" w:rsidRDefault="00490B31" w:rsidP="00141E57">
      <w:pPr>
        <w:rPr>
          <w:szCs w:val="22"/>
          <w:lang w:eastAsia="en-US"/>
        </w:rPr>
      </w:pPr>
    </w:p>
    <w:p w14:paraId="650C7E05"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14.</w:t>
      </w:r>
      <w:r w:rsidRPr="0047462D">
        <w:rPr>
          <w:b/>
          <w:noProof/>
          <w:szCs w:val="22"/>
          <w:lang w:eastAsia="en-US"/>
        </w:rPr>
        <w:tab/>
        <w:t>ΓΕΝΙΚΗ ΚΑΤΑΤΑΞΗ ΓΙΑ ΤΗ ΔΙΑΘΕΣΗ</w:t>
      </w:r>
    </w:p>
    <w:p w14:paraId="2B4B619B" w14:textId="77777777" w:rsidR="00490B31" w:rsidRPr="0047462D" w:rsidRDefault="00490B31" w:rsidP="00141E57">
      <w:pPr>
        <w:rPr>
          <w:szCs w:val="22"/>
          <w:lang w:eastAsia="en-US"/>
        </w:rPr>
      </w:pPr>
    </w:p>
    <w:p w14:paraId="05EC3E58" w14:textId="77777777" w:rsidR="00490B31" w:rsidRPr="0047462D" w:rsidRDefault="00490B31" w:rsidP="00141E57">
      <w:pPr>
        <w:rPr>
          <w:szCs w:val="22"/>
          <w:lang w:eastAsia="en-US"/>
        </w:rPr>
      </w:pPr>
    </w:p>
    <w:p w14:paraId="532070F0"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15.</w:t>
      </w:r>
      <w:r w:rsidRPr="0047462D">
        <w:rPr>
          <w:b/>
          <w:noProof/>
          <w:szCs w:val="22"/>
          <w:lang w:eastAsia="en-US"/>
        </w:rPr>
        <w:tab/>
        <w:t>ΟΔΗΓΙΕΣ ΧΡΗΣΗΣ</w:t>
      </w:r>
    </w:p>
    <w:p w14:paraId="1E997F28" w14:textId="77777777" w:rsidR="00490B31" w:rsidRPr="0047462D" w:rsidRDefault="00490B31" w:rsidP="00141E57">
      <w:pPr>
        <w:rPr>
          <w:szCs w:val="22"/>
          <w:lang w:eastAsia="en-US"/>
        </w:rPr>
      </w:pPr>
    </w:p>
    <w:p w14:paraId="01AFDE74" w14:textId="77777777" w:rsidR="00490B31" w:rsidRPr="0047462D" w:rsidRDefault="00490B31" w:rsidP="00141E57">
      <w:pPr>
        <w:rPr>
          <w:szCs w:val="22"/>
          <w:lang w:eastAsia="en-US"/>
        </w:rPr>
      </w:pPr>
    </w:p>
    <w:p w14:paraId="52F5AF1A"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16.</w:t>
      </w:r>
      <w:r w:rsidRPr="0047462D">
        <w:rPr>
          <w:b/>
          <w:noProof/>
          <w:szCs w:val="22"/>
          <w:lang w:eastAsia="en-US"/>
        </w:rPr>
        <w:tab/>
        <w:t>ΠΛΗΡΟΦΟΡΙΕΣ ΣΕ BRAILLE</w:t>
      </w:r>
    </w:p>
    <w:p w14:paraId="364B63AC" w14:textId="77777777" w:rsidR="006F11D8" w:rsidRPr="0047462D" w:rsidRDefault="006F11D8" w:rsidP="006F11D8">
      <w:pPr>
        <w:rPr>
          <w:rFonts w:eastAsia="Times New Roman"/>
          <w:spacing w:val="4"/>
          <w:szCs w:val="22"/>
        </w:rPr>
      </w:pPr>
    </w:p>
    <w:p w14:paraId="053B8532" w14:textId="77777777" w:rsidR="006F11D8" w:rsidRPr="0047462D" w:rsidRDefault="006F11D8" w:rsidP="006F11D8">
      <w:pPr>
        <w:rPr>
          <w:b/>
        </w:rPr>
      </w:pPr>
    </w:p>
    <w:p w14:paraId="57717C1F"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7B38A81" w14:textId="77777777" w:rsidR="006F11D8" w:rsidRPr="0047462D" w:rsidRDefault="006F11D8" w:rsidP="006F11D8">
      <w:pPr>
        <w:rPr>
          <w:noProof/>
        </w:rPr>
      </w:pPr>
    </w:p>
    <w:p w14:paraId="7DD53726" w14:textId="77777777" w:rsidR="006F11D8" w:rsidRPr="0047462D" w:rsidRDefault="006F11D8" w:rsidP="006F11D8">
      <w:pPr>
        <w:rPr>
          <w:noProof/>
        </w:rPr>
      </w:pPr>
    </w:p>
    <w:p w14:paraId="77B1A729"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7566C18F" w14:textId="77777777" w:rsidR="00490B31" w:rsidRPr="0047462D" w:rsidRDefault="00490B31" w:rsidP="00141E57">
      <w:pPr>
        <w:rPr>
          <w:szCs w:val="22"/>
          <w:lang w:eastAsia="en-US"/>
        </w:rPr>
      </w:pPr>
    </w:p>
    <w:p w14:paraId="021C79EC" w14:textId="77777777" w:rsidR="006F11D8" w:rsidRPr="0047462D" w:rsidRDefault="006F11D8" w:rsidP="00141E57">
      <w:pPr>
        <w:rPr>
          <w:szCs w:val="22"/>
          <w:lang w:eastAsia="en-US"/>
        </w:rPr>
      </w:pPr>
    </w:p>
    <w:p w14:paraId="197E06AA" w14:textId="77777777" w:rsidR="00F4326D" w:rsidRPr="0047462D" w:rsidRDefault="00F4326D">
      <w:pPr>
        <w:suppressAutoHyphens w:val="0"/>
        <w:rPr>
          <w:szCs w:val="22"/>
          <w:lang w:eastAsia="en-US"/>
        </w:rPr>
      </w:pPr>
      <w:r w:rsidRPr="0047462D">
        <w:rPr>
          <w:szCs w:val="22"/>
          <w:lang w:eastAsia="en-US"/>
        </w:rPr>
        <w:br w:type="page"/>
      </w:r>
    </w:p>
    <w:p w14:paraId="12D25685" w14:textId="77777777" w:rsidR="00F4326D" w:rsidRPr="0047462D" w:rsidRDefault="00F4326D" w:rsidP="00F4326D">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sz w:val="22"/>
          <w:szCs w:val="22"/>
        </w:rPr>
      </w:pPr>
      <w:r w:rsidRPr="0047462D">
        <w:rPr>
          <w:rFonts w:ascii="Times New Roman" w:hAnsi="Times New Roman"/>
          <w:sz w:val="22"/>
        </w:rPr>
        <w:t>ΕΝΔΕΙΞΕΙΣ ΠΟΥ ΠΡΕΠΕΙ ΝΑ ΑΝΑΓΡΑΦΟΝΤΑΙ ΣΤΗΝ ΕΞΩΤΕΡΙΚΗ ΣΥΣΚΕΥΑΣΙΑ</w:t>
      </w:r>
    </w:p>
    <w:p w14:paraId="2A4DDD9F" w14:textId="77777777" w:rsidR="00F4326D" w:rsidRPr="0047462D" w:rsidRDefault="00F4326D" w:rsidP="00F4326D">
      <w:pPr>
        <w:pBdr>
          <w:top w:val="single" w:sz="4" w:space="1" w:color="auto"/>
          <w:left w:val="single" w:sz="4" w:space="4" w:color="auto"/>
          <w:bottom w:val="single" w:sz="4" w:space="1" w:color="auto"/>
          <w:right w:val="single" w:sz="4" w:space="4" w:color="auto"/>
        </w:pBdr>
        <w:rPr>
          <w:b/>
          <w:bCs/>
          <w:caps/>
        </w:rPr>
      </w:pPr>
    </w:p>
    <w:p w14:paraId="083BE42C" w14:textId="77777777" w:rsidR="00F4326D" w:rsidRPr="0047462D" w:rsidRDefault="00F4326D" w:rsidP="00F4326D">
      <w:pPr>
        <w:pBdr>
          <w:top w:val="single" w:sz="4" w:space="1" w:color="auto"/>
          <w:left w:val="single" w:sz="4" w:space="4" w:color="auto"/>
          <w:bottom w:val="single" w:sz="4" w:space="1" w:color="auto"/>
          <w:right w:val="single" w:sz="4" w:space="4" w:color="auto"/>
        </w:pBdr>
      </w:pPr>
      <w:r w:rsidRPr="0047462D">
        <w:rPr>
          <w:rFonts w:eastAsia="Times New Roman"/>
          <w:b/>
          <w:bCs/>
          <w:caps/>
          <w:szCs w:val="22"/>
        </w:rPr>
        <w:t>ΕΞΩΤΕΡΙΚΟ ΚΟΥΤΙ ΓΙΑ</w:t>
      </w:r>
      <w:r w:rsidRPr="0047462D">
        <w:rPr>
          <w:rFonts w:eastAsia="Times New Roman"/>
          <w:b/>
          <w:bCs/>
          <w:szCs w:val="22"/>
        </w:rPr>
        <w:t xml:space="preserve"> ΤΟΝ ΦΑΚΕΛΛΙΣΚΟ</w:t>
      </w:r>
    </w:p>
    <w:p w14:paraId="7CAD236E" w14:textId="77777777" w:rsidR="00F4326D" w:rsidRPr="0047462D" w:rsidRDefault="00F4326D" w:rsidP="00F4326D">
      <w:pPr>
        <w:suppressLineNumbers/>
        <w:ind w:left="720" w:hanging="720"/>
      </w:pPr>
    </w:p>
    <w:p w14:paraId="19351CB0" w14:textId="77777777" w:rsidR="00F4326D" w:rsidRPr="0047462D" w:rsidRDefault="00F4326D" w:rsidP="00F4326D">
      <w:pPr>
        <w:suppressLineNumbers/>
        <w:ind w:left="720" w:hanging="720"/>
      </w:pPr>
    </w:p>
    <w:p w14:paraId="259A4AC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w:t>
      </w:r>
      <w:r w:rsidRPr="0047462D">
        <w:rPr>
          <w:b/>
          <w:bCs/>
        </w:rPr>
        <w:tab/>
        <w:t>ΟΝΟΜΑΣΙΑ ΤΟΥ ΦΑΡΜΑΚΕΥΤΙΚΟΥ ΠΡΟΪΟΝΤΟΣ</w:t>
      </w:r>
    </w:p>
    <w:p w14:paraId="2B348386" w14:textId="77777777" w:rsidR="00F4326D" w:rsidRPr="0047462D" w:rsidRDefault="00F4326D" w:rsidP="00F4326D">
      <w:pPr>
        <w:suppressLineNumbers/>
        <w:ind w:left="720" w:hanging="720"/>
      </w:pPr>
    </w:p>
    <w:p w14:paraId="18A6787C" w14:textId="77777777" w:rsidR="00F4326D" w:rsidRPr="0047462D" w:rsidRDefault="00F4326D" w:rsidP="00F4326D">
      <w:pPr>
        <w:ind w:left="720" w:hanging="720"/>
      </w:pPr>
      <w:r w:rsidRPr="0047462D">
        <w:t xml:space="preserve">Kalydeco 25 mg </w:t>
      </w:r>
      <w:r w:rsidRPr="0047462D">
        <w:rPr>
          <w:rFonts w:eastAsia="Times New Roman"/>
          <w:spacing w:val="4"/>
          <w:szCs w:val="22"/>
        </w:rPr>
        <w:t>κοκκία σε φακελλίσκο</w:t>
      </w:r>
    </w:p>
    <w:p w14:paraId="4568E77E" w14:textId="77777777" w:rsidR="00F4326D" w:rsidRPr="0047462D" w:rsidRDefault="00F4326D" w:rsidP="00F4326D">
      <w:pPr>
        <w:ind w:left="720" w:hanging="720"/>
        <w:rPr>
          <w:i/>
          <w:iCs/>
        </w:rPr>
      </w:pPr>
      <w:r w:rsidRPr="0047462D">
        <w:t>ivacaftor</w:t>
      </w:r>
    </w:p>
    <w:p w14:paraId="64859A53" w14:textId="77777777" w:rsidR="00F4326D" w:rsidRPr="0047462D" w:rsidRDefault="00F4326D" w:rsidP="00F4326D">
      <w:pPr>
        <w:suppressLineNumbers/>
        <w:ind w:left="720" w:hanging="720"/>
      </w:pPr>
    </w:p>
    <w:p w14:paraId="747E3BEA" w14:textId="77777777" w:rsidR="00F4326D" w:rsidRPr="0047462D" w:rsidRDefault="00F4326D" w:rsidP="00F4326D">
      <w:pPr>
        <w:suppressLineNumbers/>
        <w:ind w:left="720" w:hanging="720"/>
      </w:pPr>
    </w:p>
    <w:p w14:paraId="29CD7114" w14:textId="77777777" w:rsidR="00F4326D" w:rsidRPr="0047462D" w:rsidRDefault="00F4326D" w:rsidP="00F4326D">
      <w:pPr>
        <w:suppressLineNumbers/>
        <w:pBdr>
          <w:top w:val="single" w:sz="4" w:space="0" w:color="auto"/>
          <w:left w:val="single" w:sz="4" w:space="4" w:color="auto"/>
          <w:bottom w:val="single" w:sz="4" w:space="1" w:color="auto"/>
          <w:right w:val="single" w:sz="4" w:space="4" w:color="auto"/>
        </w:pBdr>
        <w:ind w:left="720" w:hanging="720"/>
        <w:outlineLvl w:val="1"/>
        <w:rPr>
          <w:b/>
          <w:bCs/>
        </w:rPr>
      </w:pPr>
      <w:r w:rsidRPr="0047462D">
        <w:rPr>
          <w:b/>
          <w:bCs/>
        </w:rPr>
        <w:t>2.</w:t>
      </w:r>
      <w:r w:rsidRPr="0047462D">
        <w:rPr>
          <w:b/>
          <w:bCs/>
        </w:rPr>
        <w:tab/>
        <w:t>ΣΥΝΘΕΣΗ ΣΕ ΔΡΑΣΤΙΚΗ ΟΥΣΙΑ</w:t>
      </w:r>
    </w:p>
    <w:p w14:paraId="4977C37D" w14:textId="77777777" w:rsidR="00F4326D" w:rsidRPr="0047462D" w:rsidRDefault="00F4326D" w:rsidP="00F4326D">
      <w:pPr>
        <w:suppressLineNumbers/>
        <w:ind w:left="720" w:hanging="720"/>
        <w:rPr>
          <w:i/>
          <w:iCs/>
        </w:rPr>
      </w:pPr>
    </w:p>
    <w:p w14:paraId="1293673B" w14:textId="77777777" w:rsidR="00F4326D" w:rsidRPr="0047462D" w:rsidRDefault="00F4326D" w:rsidP="00F4326D">
      <w:pPr>
        <w:widowControl w:val="0"/>
        <w:ind w:left="720" w:hanging="720"/>
      </w:pPr>
      <w:r w:rsidRPr="0047462D">
        <w:rPr>
          <w:rFonts w:eastAsia="Times New Roman"/>
          <w:szCs w:val="22"/>
        </w:rPr>
        <w:t xml:space="preserve">Kάθε φακελλίσκος κοκκίων περιέχει </w:t>
      </w:r>
      <w:r w:rsidRPr="0047462D">
        <w:t>25 mg ivacaftor.</w:t>
      </w:r>
    </w:p>
    <w:p w14:paraId="3BEC0D96" w14:textId="77777777" w:rsidR="00F4326D" w:rsidRPr="0047462D" w:rsidRDefault="00F4326D" w:rsidP="00F4326D">
      <w:pPr>
        <w:suppressLineNumbers/>
        <w:ind w:left="720" w:hanging="720"/>
      </w:pPr>
    </w:p>
    <w:p w14:paraId="69D21472" w14:textId="77777777" w:rsidR="00F4326D" w:rsidRPr="0047462D" w:rsidRDefault="00F4326D" w:rsidP="00F4326D">
      <w:pPr>
        <w:suppressLineNumbers/>
        <w:ind w:left="720" w:hanging="720"/>
      </w:pPr>
    </w:p>
    <w:p w14:paraId="3B675B44"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3.</w:t>
      </w:r>
      <w:r w:rsidRPr="0047462D">
        <w:rPr>
          <w:b/>
          <w:bCs/>
        </w:rPr>
        <w:tab/>
      </w:r>
      <w:r w:rsidRPr="0047462D">
        <w:rPr>
          <w:rFonts w:eastAsia="Times New Roman"/>
          <w:b/>
          <w:bCs/>
          <w:szCs w:val="22"/>
        </w:rPr>
        <w:t>ΚΑΤΑΛΟΓΟΣ ΕΚΔΟΧΩΝ</w:t>
      </w:r>
    </w:p>
    <w:p w14:paraId="0725113B" w14:textId="77777777" w:rsidR="00F4326D" w:rsidRPr="0047462D" w:rsidRDefault="00F4326D" w:rsidP="00F4326D">
      <w:pPr>
        <w:suppressLineNumbers/>
        <w:ind w:left="720" w:hanging="720"/>
      </w:pPr>
    </w:p>
    <w:p w14:paraId="3412A986" w14:textId="77777777" w:rsidR="00F4326D" w:rsidRPr="0047462D" w:rsidRDefault="00F4326D" w:rsidP="00F4326D">
      <w:pPr>
        <w:rPr>
          <w:szCs w:val="22"/>
          <w:lang w:eastAsia="en-US"/>
        </w:rPr>
      </w:pPr>
      <w:r w:rsidRPr="0047462D">
        <w:rPr>
          <w:rFonts w:eastAsia="Times New Roman"/>
          <w:szCs w:val="22"/>
        </w:rPr>
        <w:t>Περιέχει λακτόζη.</w:t>
      </w:r>
    </w:p>
    <w:p w14:paraId="4AFE5026" w14:textId="77777777" w:rsidR="00F4326D" w:rsidRPr="0047462D" w:rsidRDefault="00F4326D" w:rsidP="00F4326D">
      <w:pPr>
        <w:rPr>
          <w:szCs w:val="22"/>
          <w:lang w:eastAsia="en-US"/>
        </w:rPr>
      </w:pPr>
    </w:p>
    <w:p w14:paraId="19558CD0" w14:textId="77777777" w:rsidR="00F4326D" w:rsidRPr="0047462D" w:rsidRDefault="00F4326D" w:rsidP="00F4326D">
      <w:pPr>
        <w:rPr>
          <w:szCs w:val="22"/>
          <w:lang w:eastAsia="en-US"/>
        </w:rPr>
      </w:pPr>
      <w:r w:rsidRPr="0047462D">
        <w:rPr>
          <w:rFonts w:eastAsia="Times New Roman"/>
          <w:szCs w:val="22"/>
        </w:rPr>
        <w:t>Βλ. φύλλο οδηγιών χρήσης για περισσότερες πληροφορίες.</w:t>
      </w:r>
    </w:p>
    <w:p w14:paraId="0207B439" w14:textId="77777777" w:rsidR="00F4326D" w:rsidRPr="0047462D" w:rsidRDefault="00F4326D" w:rsidP="00F4326D">
      <w:pPr>
        <w:suppressLineNumbers/>
        <w:ind w:left="720" w:hanging="720"/>
      </w:pPr>
    </w:p>
    <w:p w14:paraId="7C99AC12" w14:textId="77777777" w:rsidR="00F4326D" w:rsidRPr="0047462D" w:rsidRDefault="00F4326D" w:rsidP="00F4326D">
      <w:pPr>
        <w:suppressLineNumbers/>
        <w:ind w:left="720" w:hanging="720"/>
      </w:pPr>
    </w:p>
    <w:p w14:paraId="2E6B25A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4.</w:t>
      </w:r>
      <w:r w:rsidRPr="0047462D">
        <w:rPr>
          <w:b/>
          <w:bCs/>
        </w:rPr>
        <w:tab/>
      </w:r>
      <w:r w:rsidR="008B4641" w:rsidRPr="0047462D">
        <w:rPr>
          <w:rFonts w:eastAsia="Times New Roman"/>
          <w:b/>
          <w:bCs/>
          <w:szCs w:val="22"/>
        </w:rPr>
        <w:t>ΦΑΡΜΑΚΟΤΕΧΝΙΚΗ ΜΟΡΦΗ ΚΑΙ ΠΕΡΙΕΧΟΜΕΝΟ</w:t>
      </w:r>
    </w:p>
    <w:p w14:paraId="5F91476C" w14:textId="77777777" w:rsidR="00F4326D" w:rsidRPr="0047462D" w:rsidRDefault="00F4326D" w:rsidP="00F4326D">
      <w:pPr>
        <w:suppressLineNumbers/>
        <w:ind w:left="720" w:hanging="720"/>
      </w:pPr>
    </w:p>
    <w:p w14:paraId="636DD173" w14:textId="77777777" w:rsidR="008B4641" w:rsidRPr="0047462D" w:rsidRDefault="008B4641" w:rsidP="008B4641">
      <w:pPr>
        <w:rPr>
          <w:szCs w:val="22"/>
          <w:lang w:eastAsia="en-US"/>
        </w:rPr>
      </w:pPr>
      <w:r w:rsidRPr="0047462D">
        <w:rPr>
          <w:szCs w:val="22"/>
          <w:lang w:eastAsia="en-US"/>
        </w:rPr>
        <w:t>Κοκκία σε φακελλίσκο</w:t>
      </w:r>
    </w:p>
    <w:p w14:paraId="0709131B" w14:textId="77777777" w:rsidR="008B4641" w:rsidRPr="0047462D" w:rsidRDefault="008B4641" w:rsidP="008B4641">
      <w:pPr>
        <w:rPr>
          <w:szCs w:val="22"/>
          <w:lang w:eastAsia="en-US"/>
        </w:rPr>
      </w:pPr>
    </w:p>
    <w:p w14:paraId="022E9C9F" w14:textId="77777777" w:rsidR="008B4641" w:rsidRPr="0047462D" w:rsidRDefault="008B4641" w:rsidP="008B4641">
      <w:pPr>
        <w:rPr>
          <w:szCs w:val="22"/>
          <w:lang w:eastAsia="en-US"/>
        </w:rPr>
      </w:pPr>
      <w:r w:rsidRPr="0047462D">
        <w:rPr>
          <w:szCs w:val="22"/>
          <w:lang w:eastAsia="en-US"/>
        </w:rPr>
        <w:t>56 φακελλίσκοι</w:t>
      </w:r>
    </w:p>
    <w:p w14:paraId="513B40E0" w14:textId="77777777" w:rsidR="008B4641" w:rsidRPr="0047462D" w:rsidRDefault="008B4641" w:rsidP="008B4641">
      <w:pPr>
        <w:rPr>
          <w:szCs w:val="22"/>
          <w:lang w:eastAsia="en-US"/>
        </w:rPr>
      </w:pPr>
    </w:p>
    <w:p w14:paraId="6934A54B" w14:textId="77777777" w:rsidR="00F4326D" w:rsidRPr="0047462D" w:rsidRDefault="008B4641" w:rsidP="008B4641">
      <w:pPr>
        <w:ind w:left="720" w:hanging="720"/>
      </w:pPr>
      <w:r w:rsidRPr="0047462D">
        <w:rPr>
          <w:szCs w:val="22"/>
          <w:lang w:eastAsia="en-US"/>
        </w:rPr>
        <w:t>4 ξεχωριστές καρτέλες με 14 φακελλίσκους ανά καρτέλα</w:t>
      </w:r>
    </w:p>
    <w:p w14:paraId="23B62FE0" w14:textId="77777777" w:rsidR="00F4326D" w:rsidRPr="0047462D" w:rsidRDefault="00F4326D" w:rsidP="00F4326D">
      <w:pPr>
        <w:suppressLineNumbers/>
        <w:ind w:left="720" w:hanging="720"/>
      </w:pPr>
    </w:p>
    <w:p w14:paraId="1F5760FF" w14:textId="77777777" w:rsidR="00F4326D" w:rsidRPr="0047462D" w:rsidRDefault="00F4326D" w:rsidP="00F4326D">
      <w:pPr>
        <w:suppressLineNumbers/>
        <w:ind w:left="720" w:hanging="720"/>
      </w:pPr>
    </w:p>
    <w:p w14:paraId="7630C816"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5.</w:t>
      </w:r>
      <w:r w:rsidRPr="0047462D">
        <w:rPr>
          <w:b/>
          <w:bCs/>
        </w:rPr>
        <w:tab/>
      </w:r>
      <w:r w:rsidR="008B4641" w:rsidRPr="0047462D">
        <w:rPr>
          <w:rFonts w:eastAsia="Times New Roman"/>
          <w:b/>
          <w:bCs/>
          <w:szCs w:val="22"/>
        </w:rPr>
        <w:t>ΤΡΟΠΟΣ ΚΑΙ ΟΔΟΣ(ΟΙ) ΧΟΡΗΓΗΣΗΣ</w:t>
      </w:r>
    </w:p>
    <w:p w14:paraId="4878EFB3" w14:textId="77777777" w:rsidR="00F4326D" w:rsidRPr="0047462D" w:rsidRDefault="00F4326D" w:rsidP="00F4326D">
      <w:pPr>
        <w:suppressLineNumbers/>
        <w:tabs>
          <w:tab w:val="left" w:pos="4997"/>
        </w:tabs>
        <w:ind w:left="720" w:hanging="720"/>
      </w:pPr>
    </w:p>
    <w:p w14:paraId="62907BAB" w14:textId="77777777" w:rsidR="008B4641" w:rsidRPr="0047462D" w:rsidRDefault="008B4641" w:rsidP="008B4641">
      <w:pPr>
        <w:rPr>
          <w:rFonts w:eastAsia="Times New Roman"/>
          <w:szCs w:val="22"/>
        </w:rPr>
      </w:pPr>
      <w:r w:rsidRPr="0047462D">
        <w:rPr>
          <w:rFonts w:eastAsia="Times New Roman"/>
          <w:szCs w:val="22"/>
        </w:rPr>
        <w:t>Διαβάστε το φύλλο οδηγιών χρήσης πριν από τη χρήση.</w:t>
      </w:r>
    </w:p>
    <w:p w14:paraId="5BE54090" w14:textId="77777777" w:rsidR="008B4641" w:rsidRPr="0047462D" w:rsidRDefault="008B4641" w:rsidP="008B4641">
      <w:pPr>
        <w:rPr>
          <w:rFonts w:eastAsia="Times New Roman"/>
          <w:szCs w:val="22"/>
        </w:rPr>
      </w:pPr>
    </w:p>
    <w:p w14:paraId="04EAAE4E" w14:textId="77777777" w:rsidR="00F4326D" w:rsidRPr="0047462D" w:rsidRDefault="008B4641" w:rsidP="008B4641">
      <w:pPr>
        <w:ind w:left="720" w:hanging="720"/>
      </w:pPr>
      <w:r w:rsidRPr="0047462D">
        <w:rPr>
          <w:rFonts w:eastAsia="Times New Roman"/>
          <w:szCs w:val="22"/>
        </w:rPr>
        <w:t>Από στόματος</w:t>
      </w:r>
      <w:r w:rsidRPr="0047462D">
        <w:rPr>
          <w:rFonts w:eastAsia="Times New Roman"/>
          <w:szCs w:val="22"/>
          <w:lang w:eastAsia="en-US"/>
        </w:rPr>
        <w:t xml:space="preserve"> χρήση</w:t>
      </w:r>
    </w:p>
    <w:p w14:paraId="3A2D9F95" w14:textId="77777777" w:rsidR="00F4326D" w:rsidRPr="0047462D" w:rsidRDefault="00F4326D" w:rsidP="00F4326D">
      <w:pPr>
        <w:ind w:left="720" w:hanging="720"/>
      </w:pPr>
    </w:p>
    <w:p w14:paraId="034FE848" w14:textId="77777777" w:rsidR="00F4326D" w:rsidRPr="0047462D" w:rsidRDefault="008B4641" w:rsidP="00F4326D">
      <w:pPr>
        <w:ind w:left="720" w:hanging="720"/>
        <w:rPr>
          <w:b/>
        </w:rPr>
      </w:pPr>
      <w:r w:rsidRPr="0047462D">
        <w:rPr>
          <w:b/>
        </w:rPr>
        <w:t>Οδηγίες χρήσης</w:t>
      </w:r>
    </w:p>
    <w:p w14:paraId="2B8EBAC5" w14:textId="77777777" w:rsidR="00F4326D" w:rsidRPr="0047462D" w:rsidRDefault="00F4326D" w:rsidP="00F4326D">
      <w:pPr>
        <w:suppressLineNumbers/>
        <w:ind w:left="720" w:hanging="720"/>
      </w:pPr>
    </w:p>
    <w:p w14:paraId="1D9FDC48" w14:textId="77777777" w:rsidR="008B4641" w:rsidRPr="0047462D" w:rsidRDefault="008B4641" w:rsidP="008B4641">
      <w:pPr>
        <w:rPr>
          <w:rFonts w:eastAsia="Times New Roman"/>
          <w:szCs w:val="22"/>
        </w:rPr>
      </w:pPr>
      <w:r w:rsidRPr="0047462D">
        <w:rPr>
          <w:rFonts w:eastAsia="Times New Roman"/>
          <w:szCs w:val="22"/>
        </w:rPr>
        <w:t>Αναμείξτε όλο το περιεχόμενο ενός φακελλίσκου με 5</w:t>
      </w:r>
      <w:r w:rsidRPr="0047462D">
        <w:rPr>
          <w:rFonts w:eastAsia="MS Mincho"/>
          <w:color w:val="000000"/>
          <w:szCs w:val="22"/>
          <w:lang w:eastAsia="ja-JP"/>
        </w:rPr>
        <w:t> </w:t>
      </w:r>
      <w:r w:rsidRPr="0047462D">
        <w:rPr>
          <w:rFonts w:eastAsia="Times New Roman"/>
          <w:szCs w:val="22"/>
        </w:rPr>
        <w:t>m</w:t>
      </w:r>
      <w:r w:rsidRPr="0047462D">
        <w:rPr>
          <w:rFonts w:eastAsia="Times New Roman"/>
          <w:szCs w:val="22"/>
          <w:lang w:val="en-US"/>
        </w:rPr>
        <w:t>l</w:t>
      </w:r>
      <w:r w:rsidRPr="0047462D">
        <w:rPr>
          <w:rFonts w:eastAsia="Times New Roman"/>
          <w:szCs w:val="22"/>
        </w:rPr>
        <w:t xml:space="preserve"> μαλακής τροφής κατάλληλης για την ηλικία ή υγρού που βρίσκεται σε θερμοκρασία δωματίου ή χαμηλότερη και καταναλώστε πλήρως.</w:t>
      </w:r>
    </w:p>
    <w:p w14:paraId="18D26FEE" w14:textId="77777777" w:rsidR="008B4641" w:rsidRPr="0047462D" w:rsidRDefault="008B4641" w:rsidP="008B4641">
      <w:pPr>
        <w:rPr>
          <w:rFonts w:eastAsia="Times New Roman"/>
          <w:szCs w:val="22"/>
        </w:rPr>
      </w:pPr>
    </w:p>
    <w:p w14:paraId="5C1CB2A9" w14:textId="77777777" w:rsidR="008B4641" w:rsidRPr="0047462D" w:rsidRDefault="008B4641" w:rsidP="008B4641">
      <w:r w:rsidRPr="0047462D">
        <w:rPr>
          <w:rFonts w:eastAsia="Times New Roman"/>
          <w:szCs w:val="22"/>
        </w:rPr>
        <w:t>Χρησιμοποιήστε εντός μίας ώρας μετά την ανάμειξη, λίγο πριν ή αμέσως μετά από γεύμα ή σνακ που περιέχει λίπος.</w:t>
      </w:r>
    </w:p>
    <w:p w14:paraId="53FED5E2" w14:textId="77777777" w:rsidR="008B4641" w:rsidRPr="0047462D" w:rsidRDefault="008B4641" w:rsidP="008B4641">
      <w:pPr>
        <w:suppressLineNumbers/>
      </w:pPr>
    </w:p>
    <w:p w14:paraId="72602CCB" w14:textId="77777777" w:rsidR="00F4326D" w:rsidRPr="0047462D" w:rsidRDefault="008B4641" w:rsidP="008B4641">
      <w:pPr>
        <w:suppressLineNumbers/>
        <w:ind w:left="720" w:hanging="720"/>
      </w:pPr>
      <w:r w:rsidRPr="0047462D">
        <w:t>Σηκώστε εδώ για να ανοίξετε</w:t>
      </w:r>
    </w:p>
    <w:p w14:paraId="6EA364F3" w14:textId="77777777" w:rsidR="00F4326D" w:rsidRPr="0047462D" w:rsidRDefault="00F4326D" w:rsidP="00F4326D">
      <w:pPr>
        <w:suppressLineNumbers/>
        <w:ind w:left="720" w:hanging="720"/>
      </w:pPr>
    </w:p>
    <w:p w14:paraId="0D64AC33" w14:textId="77777777" w:rsidR="00F4326D" w:rsidRPr="0047462D" w:rsidRDefault="00F4326D" w:rsidP="00F4326D">
      <w:pPr>
        <w:suppressLineNumbers/>
        <w:ind w:left="720" w:hanging="720"/>
      </w:pPr>
    </w:p>
    <w:p w14:paraId="6A2EE5FC" w14:textId="77777777" w:rsidR="00F4326D" w:rsidRPr="0047462D" w:rsidRDefault="00F4326D" w:rsidP="00F4326D">
      <w:pPr>
        <w:keepNext/>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6.</w:t>
      </w:r>
      <w:r w:rsidRPr="0047462D">
        <w:rPr>
          <w:b/>
          <w:bCs/>
        </w:rPr>
        <w:tab/>
      </w:r>
      <w:r w:rsidR="005865F4"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439DD00" w14:textId="77777777" w:rsidR="00F4326D" w:rsidRPr="0047462D" w:rsidRDefault="00F4326D" w:rsidP="00F4326D">
      <w:pPr>
        <w:keepNext/>
        <w:suppressLineNumbers/>
        <w:ind w:left="720" w:hanging="720"/>
      </w:pPr>
    </w:p>
    <w:p w14:paraId="5AE0046B" w14:textId="77777777" w:rsidR="00F4326D" w:rsidRPr="0047462D" w:rsidRDefault="005865F4" w:rsidP="00F4326D">
      <w:pPr>
        <w:ind w:left="720" w:hanging="720"/>
      </w:pPr>
      <w:r w:rsidRPr="0047462D">
        <w:rPr>
          <w:rFonts w:eastAsia="Times New Roman"/>
          <w:szCs w:val="22"/>
        </w:rPr>
        <w:t>Να φυλάσσεται σε θέση, την οποία δεν βλέπουν και δεν προσεγγίζουν τα παιδιά</w:t>
      </w:r>
      <w:r w:rsidR="00F4326D" w:rsidRPr="0047462D">
        <w:t>.</w:t>
      </w:r>
    </w:p>
    <w:p w14:paraId="5F165848" w14:textId="77777777" w:rsidR="00F4326D" w:rsidRPr="0047462D" w:rsidRDefault="00F4326D" w:rsidP="00F4326D">
      <w:pPr>
        <w:ind w:left="720" w:hanging="720"/>
      </w:pPr>
    </w:p>
    <w:p w14:paraId="7745B312" w14:textId="77777777" w:rsidR="00F4326D" w:rsidRPr="0047462D" w:rsidRDefault="00F4326D" w:rsidP="00F4326D">
      <w:pPr>
        <w:ind w:left="720" w:hanging="720"/>
      </w:pPr>
    </w:p>
    <w:p w14:paraId="47F3AF7A"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7.</w:t>
      </w:r>
      <w:r w:rsidRPr="0047462D">
        <w:rPr>
          <w:b/>
          <w:bCs/>
        </w:rPr>
        <w:tab/>
      </w:r>
      <w:r w:rsidR="005865F4" w:rsidRPr="0047462D">
        <w:rPr>
          <w:rFonts w:eastAsia="Times New Roman"/>
          <w:b/>
          <w:bCs/>
          <w:szCs w:val="22"/>
        </w:rPr>
        <w:t>ΑΛΛΗ(ΕΣ) ΕΙΔΙΚΗ(ΕΣ) ΠΡΟΕΙΔΟΠΟΙΗΣΗ(ΕΙΣ)</w:t>
      </w:r>
      <w:r w:rsidR="005865F4" w:rsidRPr="0047462D">
        <w:rPr>
          <w:b/>
          <w:lang w:eastAsia="en-US"/>
        </w:rPr>
        <w:t>, ΕΑΝ ΕΙΝΑΙ ΑΠΑΡΑΙΤΗΤΗ(ΕΣ)</w:t>
      </w:r>
    </w:p>
    <w:p w14:paraId="6A9FB18F" w14:textId="77777777" w:rsidR="00F4326D" w:rsidRPr="0047462D" w:rsidRDefault="00F4326D" w:rsidP="00F4326D">
      <w:pPr>
        <w:suppressLineNumbers/>
        <w:ind w:left="720" w:hanging="720"/>
      </w:pPr>
    </w:p>
    <w:p w14:paraId="0B6BBDC7" w14:textId="77777777" w:rsidR="00F4326D" w:rsidRPr="0047462D" w:rsidRDefault="00F4326D" w:rsidP="00F4326D">
      <w:pPr>
        <w:suppressLineNumbers/>
        <w:tabs>
          <w:tab w:val="left" w:pos="749"/>
        </w:tabs>
        <w:ind w:left="720" w:hanging="720"/>
      </w:pPr>
    </w:p>
    <w:p w14:paraId="3F5C3450"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8.</w:t>
      </w:r>
      <w:r w:rsidRPr="0047462D">
        <w:rPr>
          <w:b/>
          <w:bCs/>
        </w:rPr>
        <w:tab/>
      </w:r>
      <w:r w:rsidR="005865F4" w:rsidRPr="0047462D">
        <w:rPr>
          <w:rFonts w:eastAsia="Times New Roman"/>
          <w:b/>
          <w:bCs/>
          <w:szCs w:val="22"/>
        </w:rPr>
        <w:t>ΗΜΕΡΟΜΗΝΙΑ ΛΗΞΗΣ</w:t>
      </w:r>
    </w:p>
    <w:p w14:paraId="4F4FC3AB" w14:textId="77777777" w:rsidR="00F4326D" w:rsidRPr="0047462D" w:rsidRDefault="00F4326D" w:rsidP="00F4326D">
      <w:pPr>
        <w:suppressLineNumbers/>
        <w:ind w:left="720" w:hanging="720"/>
      </w:pPr>
    </w:p>
    <w:p w14:paraId="42125275" w14:textId="77777777" w:rsidR="00F4326D" w:rsidRPr="0047462D" w:rsidRDefault="005865F4" w:rsidP="00F4326D">
      <w:pPr>
        <w:suppressLineNumbers/>
        <w:ind w:left="720" w:hanging="720"/>
      </w:pPr>
      <w:r w:rsidRPr="0047462D">
        <w:t>ΛΗΞΗ</w:t>
      </w:r>
    </w:p>
    <w:p w14:paraId="53F23C74" w14:textId="77777777" w:rsidR="00F4326D" w:rsidRPr="0047462D" w:rsidRDefault="00F4326D" w:rsidP="00F4326D">
      <w:pPr>
        <w:suppressLineNumbers/>
        <w:ind w:left="720" w:hanging="720"/>
      </w:pPr>
    </w:p>
    <w:p w14:paraId="0F0601D7" w14:textId="77777777" w:rsidR="00F4326D" w:rsidRPr="0047462D" w:rsidRDefault="00F4326D" w:rsidP="00F4326D">
      <w:pPr>
        <w:suppressLineNumbers/>
        <w:ind w:left="720" w:hanging="720"/>
      </w:pPr>
    </w:p>
    <w:p w14:paraId="74814475"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9.</w:t>
      </w:r>
      <w:r w:rsidRPr="0047462D">
        <w:rPr>
          <w:b/>
          <w:bCs/>
        </w:rPr>
        <w:tab/>
      </w:r>
      <w:r w:rsidR="005865F4" w:rsidRPr="0047462D">
        <w:rPr>
          <w:rFonts w:eastAsia="Times New Roman"/>
          <w:b/>
          <w:bCs/>
          <w:szCs w:val="22"/>
        </w:rPr>
        <w:t>ΕΙΔΙΚΕΣ ΣΥΝΘΗΚΕΣ ΦΥΛΑΞΗΣ</w:t>
      </w:r>
    </w:p>
    <w:p w14:paraId="1E2C34EB" w14:textId="77777777" w:rsidR="00F4326D" w:rsidRPr="0047462D" w:rsidRDefault="00F4326D" w:rsidP="00F4326D">
      <w:pPr>
        <w:suppressLineNumbers/>
        <w:ind w:left="720" w:hanging="720"/>
      </w:pPr>
    </w:p>
    <w:p w14:paraId="20F6CAF4" w14:textId="77777777" w:rsidR="00F4326D" w:rsidRPr="0047462D" w:rsidRDefault="00F4326D" w:rsidP="00F4326D">
      <w:pPr>
        <w:ind w:left="720" w:hanging="720"/>
      </w:pPr>
    </w:p>
    <w:p w14:paraId="36D4B33B"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10.</w:t>
      </w:r>
      <w:r w:rsidRPr="0047462D">
        <w:rPr>
          <w:b/>
          <w:bCs/>
        </w:rPr>
        <w:tab/>
      </w:r>
      <w:r w:rsidR="005865F4" w:rsidRPr="0047462D">
        <w:rPr>
          <w:b/>
          <w:bCs/>
          <w:noProof/>
          <w:szCs w:val="22"/>
          <w:lang w:eastAsia="en-US"/>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8ECA7F1" w14:textId="77777777" w:rsidR="00F4326D" w:rsidRPr="0047462D" w:rsidRDefault="00F4326D" w:rsidP="00F4326D">
      <w:pPr>
        <w:ind w:left="720" w:hanging="720"/>
        <w:rPr>
          <w:b/>
          <w:bCs/>
        </w:rPr>
      </w:pPr>
    </w:p>
    <w:p w14:paraId="49F3834B" w14:textId="77777777" w:rsidR="00F4326D" w:rsidRPr="0047462D" w:rsidRDefault="00F4326D" w:rsidP="00F4326D">
      <w:pPr>
        <w:ind w:left="720" w:hanging="720"/>
        <w:rPr>
          <w:b/>
          <w:bCs/>
        </w:rPr>
      </w:pPr>
    </w:p>
    <w:p w14:paraId="1E00BDAC"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11.</w:t>
      </w:r>
      <w:r w:rsidRPr="0047462D">
        <w:rPr>
          <w:b/>
          <w:bCs/>
        </w:rPr>
        <w:tab/>
      </w:r>
      <w:r w:rsidR="005865F4" w:rsidRPr="0047462D">
        <w:rPr>
          <w:b/>
          <w:bCs/>
          <w:noProof/>
          <w:szCs w:val="22"/>
          <w:lang w:eastAsia="en-US"/>
        </w:rPr>
        <w:t>ΟΝΟΜΑ ΚΑΙ ΔΙΕΥΘΥΝΣΗ ΚΑΤΟΧΟΥ ΤΗΣ ΑΔΕΙΑΣ ΚΥΚΛΟΦΟΡΙΑΣ</w:t>
      </w:r>
    </w:p>
    <w:p w14:paraId="1D7938C4" w14:textId="77777777" w:rsidR="00F4326D" w:rsidRPr="0047462D" w:rsidRDefault="00F4326D" w:rsidP="00F4326D">
      <w:pPr>
        <w:rPr>
          <w:iCs/>
        </w:rPr>
      </w:pPr>
    </w:p>
    <w:p w14:paraId="4E838368" w14:textId="77777777" w:rsidR="00F4326D" w:rsidRPr="0047462D" w:rsidRDefault="00F4326D" w:rsidP="00F4326D">
      <w:pPr>
        <w:rPr>
          <w:iCs/>
          <w:lang w:val="en-US"/>
        </w:rPr>
      </w:pPr>
      <w:r w:rsidRPr="0047462D">
        <w:rPr>
          <w:iCs/>
          <w:lang w:val="en-US"/>
        </w:rPr>
        <w:t>Vertex Pharmaceuticals (Ireland) Limited</w:t>
      </w:r>
    </w:p>
    <w:p w14:paraId="2654FC35" w14:textId="77777777" w:rsidR="00F4326D" w:rsidRPr="0047462D" w:rsidRDefault="00F4326D" w:rsidP="00F4326D">
      <w:pPr>
        <w:rPr>
          <w:iCs/>
          <w:lang w:val="en-US"/>
        </w:rPr>
      </w:pPr>
      <w:r w:rsidRPr="0047462D">
        <w:rPr>
          <w:iCs/>
          <w:lang w:val="en-US"/>
        </w:rPr>
        <w:t>28-32 Pembroke Street Upper</w:t>
      </w:r>
    </w:p>
    <w:p w14:paraId="255C4569" w14:textId="77777777" w:rsidR="00F4326D" w:rsidRPr="0047462D" w:rsidRDefault="00F4326D" w:rsidP="00F4326D">
      <w:pPr>
        <w:rPr>
          <w:iCs/>
        </w:rPr>
      </w:pPr>
      <w:r w:rsidRPr="0047462D">
        <w:rPr>
          <w:iCs/>
        </w:rPr>
        <w:t>Dublin 2, D02 EK84</w:t>
      </w:r>
    </w:p>
    <w:p w14:paraId="5FDFA3E9" w14:textId="77777777" w:rsidR="005865F4" w:rsidRPr="0047462D" w:rsidRDefault="005865F4" w:rsidP="005865F4">
      <w:pPr>
        <w:pStyle w:val="NormalIndent"/>
        <w:spacing w:after="0"/>
        <w:ind w:left="0"/>
        <w:rPr>
          <w:rFonts w:eastAsia="Times New Roman"/>
        </w:rPr>
      </w:pPr>
      <w:r w:rsidRPr="0047462D">
        <w:rPr>
          <w:iCs/>
        </w:rPr>
        <w:t>Ιρλανδία</w:t>
      </w:r>
    </w:p>
    <w:p w14:paraId="21A00886" w14:textId="77777777" w:rsidR="00F4326D" w:rsidRPr="0047462D" w:rsidRDefault="00F4326D" w:rsidP="00F4326D">
      <w:pPr>
        <w:pStyle w:val="NormalIndent"/>
        <w:spacing w:after="0"/>
        <w:ind w:hanging="720"/>
      </w:pPr>
    </w:p>
    <w:p w14:paraId="1373BF38" w14:textId="77777777" w:rsidR="00F4326D" w:rsidRPr="0047462D" w:rsidRDefault="00F4326D" w:rsidP="00F4326D">
      <w:pPr>
        <w:pStyle w:val="NormalIndent"/>
        <w:spacing w:after="0"/>
        <w:ind w:hanging="720"/>
      </w:pPr>
    </w:p>
    <w:p w14:paraId="5A7B8635"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12.</w:t>
      </w:r>
      <w:r w:rsidRPr="0047462D">
        <w:rPr>
          <w:b/>
          <w:bCs/>
        </w:rPr>
        <w:tab/>
      </w:r>
      <w:r w:rsidR="005865F4" w:rsidRPr="0047462D">
        <w:rPr>
          <w:rFonts w:eastAsia="Times New Roman"/>
          <w:b/>
          <w:bCs/>
          <w:szCs w:val="22"/>
        </w:rPr>
        <w:t>ΑΡΙΘΜΟΣ(ΟΙ) ΑΔΕΙΑΣ ΚΥΚΛΟΦΟΡΙΑΣ</w:t>
      </w:r>
    </w:p>
    <w:p w14:paraId="4FD8884D" w14:textId="77777777" w:rsidR="00F4326D" w:rsidRPr="0047462D" w:rsidRDefault="00F4326D" w:rsidP="00F4326D">
      <w:pPr>
        <w:suppressLineNumbers/>
        <w:ind w:left="720" w:hanging="720"/>
      </w:pPr>
    </w:p>
    <w:p w14:paraId="40F1E523" w14:textId="77777777" w:rsidR="00F4326D" w:rsidRPr="0047462D" w:rsidRDefault="00F4326D" w:rsidP="00F4326D">
      <w:pPr>
        <w:suppressLineNumbers/>
        <w:ind w:left="720" w:hanging="720"/>
      </w:pPr>
      <w:r w:rsidRPr="0047462D">
        <w:t>EU/1/12/782/006</w:t>
      </w:r>
    </w:p>
    <w:p w14:paraId="1AF05086" w14:textId="77777777" w:rsidR="00F4326D" w:rsidRPr="0047462D" w:rsidRDefault="00F4326D" w:rsidP="00F4326D">
      <w:pPr>
        <w:suppressLineNumbers/>
        <w:ind w:left="720" w:hanging="720"/>
      </w:pPr>
    </w:p>
    <w:p w14:paraId="104DF23C" w14:textId="77777777" w:rsidR="00F4326D" w:rsidRPr="0047462D" w:rsidRDefault="00F4326D" w:rsidP="00F4326D">
      <w:pPr>
        <w:suppressLineNumbers/>
        <w:ind w:left="720" w:hanging="720"/>
      </w:pPr>
    </w:p>
    <w:p w14:paraId="19529B33"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13.</w:t>
      </w:r>
      <w:r w:rsidRPr="0047462D">
        <w:rPr>
          <w:b/>
          <w:bCs/>
        </w:rPr>
        <w:tab/>
      </w:r>
      <w:r w:rsidR="005865F4" w:rsidRPr="0047462D">
        <w:rPr>
          <w:b/>
          <w:bCs/>
          <w:noProof/>
          <w:szCs w:val="22"/>
          <w:lang w:eastAsia="en-US"/>
        </w:rPr>
        <w:t>ΑΡΙΘΜΟΣ ΠΑΡΤΙΔΑΣ</w:t>
      </w:r>
    </w:p>
    <w:p w14:paraId="1118BE3C" w14:textId="77777777" w:rsidR="00F4326D" w:rsidRPr="0047462D" w:rsidRDefault="00F4326D" w:rsidP="00F4326D">
      <w:pPr>
        <w:suppressLineNumbers/>
        <w:ind w:left="720" w:hanging="720"/>
        <w:rPr>
          <w:iCs/>
        </w:rPr>
      </w:pPr>
    </w:p>
    <w:p w14:paraId="7D46BAF1" w14:textId="77777777" w:rsidR="00F4326D" w:rsidRPr="0047462D" w:rsidRDefault="005865F4" w:rsidP="00F4326D">
      <w:pPr>
        <w:suppressLineNumbers/>
        <w:ind w:left="720" w:hanging="720"/>
      </w:pPr>
      <w:r w:rsidRPr="0047462D">
        <w:t>Παρτίδα</w:t>
      </w:r>
    </w:p>
    <w:p w14:paraId="1D7EA3C4" w14:textId="77777777" w:rsidR="00F4326D" w:rsidRPr="0047462D" w:rsidRDefault="00F4326D" w:rsidP="00F4326D">
      <w:pPr>
        <w:suppressLineNumbers/>
        <w:ind w:left="720" w:hanging="720"/>
      </w:pPr>
    </w:p>
    <w:p w14:paraId="1E5D658E" w14:textId="77777777" w:rsidR="00F4326D" w:rsidRPr="0047462D" w:rsidRDefault="00F4326D" w:rsidP="00F4326D">
      <w:pPr>
        <w:suppressLineNumbers/>
        <w:ind w:left="720" w:hanging="720"/>
      </w:pPr>
    </w:p>
    <w:p w14:paraId="000DB9C7"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rPr>
      </w:pPr>
      <w:r w:rsidRPr="0047462D">
        <w:rPr>
          <w:b/>
          <w:bCs/>
        </w:rPr>
        <w:t>14.</w:t>
      </w:r>
      <w:r w:rsidRPr="0047462D">
        <w:rPr>
          <w:b/>
          <w:bCs/>
        </w:rPr>
        <w:tab/>
      </w:r>
      <w:r w:rsidR="005865F4" w:rsidRPr="0047462D">
        <w:rPr>
          <w:b/>
          <w:bCs/>
          <w:noProof/>
          <w:szCs w:val="22"/>
          <w:lang w:eastAsia="en-US"/>
        </w:rPr>
        <w:t>ΓΕΝΙΚΗ ΚΑΤΑΤΑΞΗ ΓΙΑ ΤΗ ΔΙΑΘΕΣΗ</w:t>
      </w:r>
    </w:p>
    <w:p w14:paraId="299CBBD2" w14:textId="77777777" w:rsidR="00F4326D" w:rsidRPr="0047462D" w:rsidRDefault="00F4326D" w:rsidP="00F4326D">
      <w:pPr>
        <w:suppressLineNumbers/>
        <w:ind w:left="720" w:hanging="720"/>
      </w:pPr>
    </w:p>
    <w:p w14:paraId="7CDE276D" w14:textId="77777777" w:rsidR="00F4326D" w:rsidRPr="0047462D" w:rsidRDefault="00F4326D" w:rsidP="00F4326D">
      <w:pPr>
        <w:suppressLineNumbers/>
        <w:ind w:left="720" w:hanging="720"/>
      </w:pPr>
    </w:p>
    <w:p w14:paraId="719B7AA7" w14:textId="77777777" w:rsidR="00F4326D" w:rsidRPr="0047462D" w:rsidRDefault="00F4326D" w:rsidP="00F4326D">
      <w:pPr>
        <w:suppressLineNumbers/>
        <w:pBdr>
          <w:top w:val="single" w:sz="4" w:space="2" w:color="auto"/>
          <w:left w:val="single" w:sz="4" w:space="4" w:color="auto"/>
          <w:bottom w:val="single" w:sz="4" w:space="1" w:color="auto"/>
          <w:right w:val="single" w:sz="4" w:space="4" w:color="auto"/>
        </w:pBdr>
        <w:ind w:left="720" w:hanging="720"/>
        <w:outlineLvl w:val="1"/>
      </w:pPr>
      <w:r w:rsidRPr="0047462D">
        <w:rPr>
          <w:b/>
          <w:bCs/>
        </w:rPr>
        <w:t>15.</w:t>
      </w:r>
      <w:r w:rsidRPr="0047462D">
        <w:rPr>
          <w:b/>
          <w:bCs/>
        </w:rPr>
        <w:tab/>
      </w:r>
      <w:r w:rsidR="005865F4" w:rsidRPr="0047462D">
        <w:rPr>
          <w:b/>
          <w:bCs/>
          <w:noProof/>
          <w:szCs w:val="22"/>
          <w:lang w:eastAsia="en-US"/>
        </w:rPr>
        <w:t>ΟΔΗΓΙΕΣ ΧΡΗΣΗΣ</w:t>
      </w:r>
    </w:p>
    <w:p w14:paraId="74BD54D2" w14:textId="77777777" w:rsidR="00F4326D" w:rsidRPr="0047462D" w:rsidRDefault="00F4326D" w:rsidP="00F4326D">
      <w:pPr>
        <w:suppressLineNumbers/>
        <w:ind w:left="720" w:hanging="720"/>
      </w:pPr>
    </w:p>
    <w:p w14:paraId="1E6BFBBF" w14:textId="77777777" w:rsidR="00F4326D" w:rsidRPr="0047462D" w:rsidRDefault="00F4326D" w:rsidP="00F4326D">
      <w:pPr>
        <w:suppressLineNumbers/>
        <w:ind w:left="720" w:hanging="720"/>
        <w:rPr>
          <w:sz w:val="20"/>
        </w:rPr>
      </w:pPr>
    </w:p>
    <w:p w14:paraId="2FA580D1" w14:textId="77777777" w:rsidR="00F4326D" w:rsidRPr="0047462D" w:rsidRDefault="00F4326D" w:rsidP="00EB5A36">
      <w:pPr>
        <w:suppressLineNumbers/>
        <w:pBdr>
          <w:top w:val="single" w:sz="4" w:space="2" w:color="auto"/>
          <w:left w:val="single" w:sz="4" w:space="4" w:color="auto"/>
          <w:bottom w:val="single" w:sz="4" w:space="1" w:color="auto"/>
          <w:right w:val="single" w:sz="4" w:space="4" w:color="auto"/>
        </w:pBdr>
        <w:ind w:left="720" w:hanging="720"/>
        <w:outlineLvl w:val="1"/>
        <w:rPr>
          <w:noProof/>
          <w:szCs w:val="22"/>
          <w:lang w:eastAsia="en-US"/>
        </w:rPr>
      </w:pPr>
      <w:r w:rsidRPr="0047462D">
        <w:rPr>
          <w:b/>
          <w:bCs/>
          <w:noProof/>
          <w:szCs w:val="22"/>
          <w:lang w:eastAsia="en-US"/>
        </w:rPr>
        <w:t>16.</w:t>
      </w:r>
      <w:r w:rsidRPr="0047462D">
        <w:rPr>
          <w:b/>
          <w:bCs/>
          <w:noProof/>
          <w:szCs w:val="22"/>
          <w:lang w:eastAsia="en-US"/>
        </w:rPr>
        <w:tab/>
      </w:r>
      <w:r w:rsidR="005865F4" w:rsidRPr="0047462D">
        <w:rPr>
          <w:b/>
          <w:bCs/>
          <w:noProof/>
          <w:szCs w:val="22"/>
          <w:lang w:eastAsia="en-US"/>
        </w:rPr>
        <w:t>ΠΛΗΡΟΦΟΡΙΕΣ ΣΕ BRAILLE</w:t>
      </w:r>
    </w:p>
    <w:p w14:paraId="7B4B8EC4" w14:textId="77777777" w:rsidR="00F4326D" w:rsidRPr="0047462D" w:rsidRDefault="00F4326D" w:rsidP="00F4326D">
      <w:pPr>
        <w:suppressLineNumbers/>
        <w:ind w:left="720" w:hanging="720"/>
        <w:rPr>
          <w:shd w:val="clear" w:color="auto" w:fill="CCCCCC"/>
        </w:rPr>
      </w:pPr>
    </w:p>
    <w:p w14:paraId="1CB0E1ED" w14:textId="77777777" w:rsidR="00F4326D" w:rsidRPr="0047462D" w:rsidRDefault="00F4326D" w:rsidP="00F4326D">
      <w:pPr>
        <w:ind w:left="720" w:hanging="720"/>
      </w:pPr>
      <w:r w:rsidRPr="0047462D">
        <w:t xml:space="preserve">Kalydeco 25 mg </w:t>
      </w:r>
      <w:r w:rsidR="005865F4" w:rsidRPr="0047462D">
        <w:t>κοκκία</w:t>
      </w:r>
    </w:p>
    <w:p w14:paraId="48D80A27" w14:textId="77777777" w:rsidR="00F4326D" w:rsidRPr="0047462D" w:rsidRDefault="00F4326D" w:rsidP="00F4326D">
      <w:pPr>
        <w:ind w:left="720" w:hanging="720"/>
      </w:pPr>
    </w:p>
    <w:p w14:paraId="230A57D5" w14:textId="77777777" w:rsidR="00F4326D" w:rsidRPr="0047462D" w:rsidRDefault="00F4326D" w:rsidP="00F4326D">
      <w:pPr>
        <w:ind w:left="720" w:hanging="720"/>
      </w:pPr>
    </w:p>
    <w:p w14:paraId="5ED83BCD" w14:textId="77777777" w:rsidR="00F4326D" w:rsidRPr="0047462D" w:rsidRDefault="00F4326D" w:rsidP="00F4326D">
      <w:pPr>
        <w:keepNext/>
        <w:pBdr>
          <w:top w:val="single" w:sz="4" w:space="1" w:color="auto"/>
          <w:left w:val="single" w:sz="4" w:space="4" w:color="auto"/>
          <w:bottom w:val="single" w:sz="4" w:space="1" w:color="auto"/>
          <w:right w:val="single" w:sz="4" w:space="4" w:color="auto"/>
        </w:pBdr>
        <w:ind w:left="720" w:hanging="720"/>
        <w:outlineLvl w:val="1"/>
        <w:rPr>
          <w:b/>
          <w:bCs/>
          <w:lang w:eastAsia="en-GB"/>
        </w:rPr>
      </w:pPr>
      <w:r w:rsidRPr="0047462D">
        <w:rPr>
          <w:b/>
          <w:lang w:eastAsia="en-GB"/>
        </w:rPr>
        <w:t>17.</w:t>
      </w:r>
      <w:r w:rsidRPr="0047462D">
        <w:rPr>
          <w:b/>
          <w:lang w:eastAsia="en-GB"/>
        </w:rPr>
        <w:tab/>
      </w:r>
      <w:r w:rsidR="00115645" w:rsidRPr="0047462D">
        <w:rPr>
          <w:b/>
          <w:noProof/>
        </w:rPr>
        <w:t>ΜΟΝΑΔΙΚΟΣ ΑΝΑΓΝΩΡΙΣΤΙΚΟΣ ΚΩΔΙΚΟΣ – ΔΙΣΔΙΑΣΤΑΤΟΣ ΓΡΑΜΜΩΤΟΣ ΚΩΔΙΚΑΣ (2D)</w:t>
      </w:r>
    </w:p>
    <w:p w14:paraId="287B14DF" w14:textId="77777777" w:rsidR="00F4326D" w:rsidRPr="0047462D" w:rsidRDefault="00F4326D" w:rsidP="00F4326D">
      <w:pPr>
        <w:suppressLineNumbers/>
        <w:ind w:left="720" w:hanging="720"/>
        <w:rPr>
          <w:bCs/>
        </w:rPr>
      </w:pPr>
    </w:p>
    <w:p w14:paraId="14DC69FC" w14:textId="77777777" w:rsidR="00F4326D" w:rsidRPr="0047462D" w:rsidRDefault="00115645" w:rsidP="00F4326D">
      <w:pPr>
        <w:autoSpaceDE w:val="0"/>
        <w:autoSpaceDN w:val="0"/>
        <w:adjustRightInd w:val="0"/>
        <w:ind w:left="720" w:hanging="720"/>
        <w:rPr>
          <w:rFonts w:eastAsia="TimesNewRomanPSMT"/>
          <w:lang w:eastAsia="de-DE"/>
        </w:rPr>
      </w:pPr>
      <w:r w:rsidRPr="0047462D">
        <w:rPr>
          <w:noProof/>
        </w:rPr>
        <w:t>Δισδιάστατος γραμμωτός κώδικας (2D) που φέρει τον περιληφθέντα μοναδικό αναγνωριστικό κωδικό</w:t>
      </w:r>
      <w:r w:rsidR="00F4326D" w:rsidRPr="0047462D">
        <w:rPr>
          <w:rFonts w:eastAsia="TimesNewRomanPSMT"/>
          <w:lang w:eastAsia="de-DE"/>
        </w:rPr>
        <w:t>.</w:t>
      </w:r>
    </w:p>
    <w:p w14:paraId="66DA9A26" w14:textId="77777777" w:rsidR="00F4326D" w:rsidRPr="0047462D" w:rsidRDefault="00F4326D" w:rsidP="00F4326D">
      <w:pPr>
        <w:ind w:left="720" w:hanging="720"/>
      </w:pPr>
    </w:p>
    <w:p w14:paraId="6B588715" w14:textId="77777777" w:rsidR="00F4326D" w:rsidRPr="0047462D" w:rsidRDefault="00F4326D" w:rsidP="00F4326D">
      <w:pPr>
        <w:ind w:left="720" w:hanging="720"/>
      </w:pPr>
    </w:p>
    <w:p w14:paraId="3E432452" w14:textId="77777777" w:rsidR="00F4326D" w:rsidRPr="0047462D" w:rsidRDefault="00F4326D" w:rsidP="005B1B70">
      <w:pPr>
        <w:keepNext/>
        <w:pBdr>
          <w:top w:val="single" w:sz="4" w:space="1" w:color="auto"/>
          <w:left w:val="single" w:sz="4" w:space="4" w:color="auto"/>
          <w:bottom w:val="single" w:sz="4" w:space="1" w:color="auto"/>
          <w:right w:val="single" w:sz="4" w:space="4" w:color="auto"/>
        </w:pBdr>
        <w:ind w:left="720" w:hanging="720"/>
        <w:outlineLvl w:val="1"/>
        <w:rPr>
          <w:b/>
          <w:bCs/>
          <w:lang w:eastAsia="en-GB"/>
        </w:rPr>
      </w:pPr>
      <w:r w:rsidRPr="0047462D">
        <w:rPr>
          <w:b/>
          <w:lang w:eastAsia="en-GB"/>
        </w:rPr>
        <w:t>18.</w:t>
      </w:r>
      <w:r w:rsidRPr="0047462D">
        <w:rPr>
          <w:b/>
          <w:lang w:eastAsia="en-GB"/>
        </w:rPr>
        <w:tab/>
      </w:r>
      <w:r w:rsidR="00115645" w:rsidRPr="0047462D">
        <w:rPr>
          <w:b/>
          <w:noProof/>
        </w:rPr>
        <w:t>ΜΟΝΑΔΙΚΟΣ ΑΝΑΓΝΩΡΙΣΤΙΚΟΣ ΚΩΔΙΚΟΣ – ΔΕΔΟΜΕΝΑ ΑΝΑΓΝΩΣΙΜΑ ΑΠΟ ΤΟΝ ΑΝΘΡΩΠΟ</w:t>
      </w:r>
    </w:p>
    <w:p w14:paraId="30D522A6" w14:textId="77777777" w:rsidR="00F4326D" w:rsidRPr="0047462D" w:rsidRDefault="00F4326D" w:rsidP="00EB5A36">
      <w:pPr>
        <w:keepNext/>
        <w:suppressLineNumbers/>
        <w:ind w:left="720" w:hanging="720"/>
        <w:rPr>
          <w:bCs/>
        </w:rPr>
      </w:pPr>
    </w:p>
    <w:p w14:paraId="7B9F115E" w14:textId="77777777" w:rsidR="00F4326D" w:rsidRPr="0047462D" w:rsidRDefault="00F4326D" w:rsidP="00EB5A36">
      <w:pPr>
        <w:keepNext/>
        <w:autoSpaceDE w:val="0"/>
        <w:autoSpaceDN w:val="0"/>
        <w:adjustRightInd w:val="0"/>
        <w:ind w:left="720" w:hanging="720"/>
        <w:rPr>
          <w:rFonts w:eastAsia="TimesNewRomanPSMT"/>
          <w:lang w:eastAsia="de-DE"/>
        </w:rPr>
      </w:pPr>
      <w:r w:rsidRPr="0047462D">
        <w:rPr>
          <w:rFonts w:eastAsia="TimesNewRomanPSMT"/>
          <w:lang w:val="en-US" w:eastAsia="de-DE"/>
        </w:rPr>
        <w:t>PC</w:t>
      </w:r>
    </w:p>
    <w:p w14:paraId="206A45E7" w14:textId="77777777" w:rsidR="00F4326D" w:rsidRPr="0047462D" w:rsidRDefault="00F4326D" w:rsidP="00EB5A36">
      <w:pPr>
        <w:keepNext/>
        <w:autoSpaceDE w:val="0"/>
        <w:autoSpaceDN w:val="0"/>
        <w:adjustRightInd w:val="0"/>
        <w:ind w:left="720" w:hanging="720"/>
        <w:rPr>
          <w:rFonts w:eastAsia="TimesNewRomanPSMT"/>
          <w:lang w:eastAsia="de-DE"/>
        </w:rPr>
      </w:pPr>
      <w:r w:rsidRPr="0047462D">
        <w:rPr>
          <w:rFonts w:eastAsia="TimesNewRomanPSMT"/>
          <w:lang w:val="en-US" w:eastAsia="de-DE"/>
        </w:rPr>
        <w:t>SN</w:t>
      </w:r>
    </w:p>
    <w:p w14:paraId="2808610C" w14:textId="77777777" w:rsidR="00F4326D" w:rsidRPr="0047462D" w:rsidRDefault="00F4326D" w:rsidP="00F4326D">
      <w:pPr>
        <w:ind w:left="720" w:hanging="720"/>
        <w:rPr>
          <w:lang w:eastAsia="de-DE"/>
        </w:rPr>
      </w:pPr>
      <w:r w:rsidRPr="0047462D">
        <w:rPr>
          <w:lang w:val="en-US" w:eastAsia="de-DE"/>
        </w:rPr>
        <w:t>NN</w:t>
      </w:r>
    </w:p>
    <w:p w14:paraId="647FD0B0" w14:textId="77777777" w:rsidR="006F11D8" w:rsidRPr="0047462D" w:rsidRDefault="00F4326D" w:rsidP="00F4326D">
      <w:pPr>
        <w:rPr>
          <w:szCs w:val="22"/>
        </w:rPr>
      </w:pPr>
      <w:r w:rsidRPr="0047462D">
        <w:rPr>
          <w:szCs w:val="22"/>
        </w:rPr>
        <w:br w:type="page"/>
      </w:r>
    </w:p>
    <w:p w14:paraId="1675ED25" w14:textId="77777777" w:rsidR="00F4326D" w:rsidRPr="0047462D" w:rsidRDefault="00256481" w:rsidP="00F4326D">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7462D">
        <w:rPr>
          <w:rFonts w:ascii="Times New Roman" w:hAnsi="Times New Roman" w:cs="Times New Roman"/>
          <w:sz w:val="22"/>
          <w:szCs w:val="22"/>
        </w:rPr>
        <w:t>ΕΝΔΕΙΞΕΙΣ ΠΟΥ ΠΡΕΠΕΙ ΝΑ ΑΝΑΓΡΑΦΟΝΤΑΙ ΣΤΗΝ ΕΝΔΙΑΜΕΣΗ ΣΥΣΚΕΥΑΣΙΑ</w:t>
      </w:r>
    </w:p>
    <w:p w14:paraId="45176BEC"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567" w:hanging="567"/>
        <w:rPr>
          <w:b/>
        </w:rPr>
      </w:pPr>
    </w:p>
    <w:p w14:paraId="2E942184" w14:textId="77777777" w:rsidR="00F4326D" w:rsidRPr="0047462D" w:rsidRDefault="00256481" w:rsidP="00F4326D">
      <w:pPr>
        <w:pBdr>
          <w:top w:val="single" w:sz="4" w:space="1" w:color="auto"/>
          <w:left w:val="single" w:sz="4" w:space="4" w:color="auto"/>
          <w:bottom w:val="single" w:sz="4" w:space="1" w:color="auto"/>
          <w:right w:val="single" w:sz="4" w:space="4" w:color="auto"/>
        </w:pBdr>
      </w:pPr>
      <w:r w:rsidRPr="0047462D">
        <w:rPr>
          <w:rFonts w:eastAsia="Times New Roman"/>
          <w:b/>
          <w:bCs/>
          <w:caps/>
          <w:szCs w:val="22"/>
        </w:rPr>
        <w:t>ΚΑΡΤΕΛΑ ΓΙΑ ΤΟΝ ΦΑΚΕΛΛΙΣΚΟ</w:t>
      </w:r>
    </w:p>
    <w:p w14:paraId="03D68432" w14:textId="77777777" w:rsidR="00F4326D" w:rsidRPr="0047462D" w:rsidRDefault="00F4326D" w:rsidP="00F4326D">
      <w:pPr>
        <w:suppressLineNumbers/>
      </w:pPr>
    </w:p>
    <w:p w14:paraId="579A3154" w14:textId="77777777" w:rsidR="00F4326D" w:rsidRPr="0047462D" w:rsidRDefault="00F4326D" w:rsidP="00F4326D">
      <w:pPr>
        <w:suppressLineNumbers/>
      </w:pPr>
    </w:p>
    <w:p w14:paraId="51634213"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w:t>
      </w:r>
      <w:r w:rsidRPr="0047462D">
        <w:rPr>
          <w:b/>
          <w:bCs/>
        </w:rPr>
        <w:tab/>
      </w:r>
      <w:r w:rsidR="00256481" w:rsidRPr="0047462D">
        <w:rPr>
          <w:rFonts w:eastAsia="Times New Roman"/>
          <w:b/>
          <w:bCs/>
          <w:szCs w:val="22"/>
        </w:rPr>
        <w:t>ΟΝΟΜΑΣΙΑ ΤΟΥ ΦΑΡΜΑΚΕΥΤΙΚΟΥ ΠΡΟΪΟΝΤΟΣ</w:t>
      </w:r>
    </w:p>
    <w:p w14:paraId="67EAB595" w14:textId="77777777" w:rsidR="00F4326D" w:rsidRPr="0047462D" w:rsidRDefault="00F4326D" w:rsidP="00F4326D">
      <w:pPr>
        <w:suppressLineNumbers/>
        <w:ind w:left="720" w:hanging="720"/>
      </w:pPr>
    </w:p>
    <w:p w14:paraId="3244F770" w14:textId="77777777" w:rsidR="00F4326D" w:rsidRPr="0047462D" w:rsidRDefault="00F4326D" w:rsidP="00F4326D">
      <w:pPr>
        <w:ind w:left="720" w:hanging="720"/>
      </w:pPr>
      <w:r w:rsidRPr="0047462D">
        <w:t xml:space="preserve">Kalydeco 25 mg </w:t>
      </w:r>
      <w:r w:rsidR="00256481" w:rsidRPr="0047462D">
        <w:rPr>
          <w:rFonts w:eastAsia="Times New Roman"/>
          <w:spacing w:val="4"/>
          <w:szCs w:val="22"/>
        </w:rPr>
        <w:t>κοκκία σε φακελλίσκο</w:t>
      </w:r>
    </w:p>
    <w:p w14:paraId="1AD54328" w14:textId="77777777" w:rsidR="00F4326D" w:rsidRPr="0047462D" w:rsidRDefault="00F4326D" w:rsidP="00F4326D">
      <w:pPr>
        <w:ind w:left="720" w:hanging="720"/>
        <w:rPr>
          <w:i/>
          <w:iCs/>
        </w:rPr>
      </w:pPr>
      <w:r w:rsidRPr="0047462D">
        <w:t>ivacaftor</w:t>
      </w:r>
    </w:p>
    <w:p w14:paraId="027E033E" w14:textId="77777777" w:rsidR="00F4326D" w:rsidRPr="0047462D" w:rsidRDefault="00F4326D" w:rsidP="00F4326D">
      <w:pPr>
        <w:suppressLineNumbers/>
        <w:ind w:left="720" w:hanging="720"/>
      </w:pPr>
    </w:p>
    <w:p w14:paraId="374F0D5B" w14:textId="77777777" w:rsidR="00F4326D" w:rsidRPr="0047462D" w:rsidRDefault="00F4326D" w:rsidP="00F4326D">
      <w:pPr>
        <w:suppressLineNumbers/>
        <w:ind w:left="720" w:hanging="720"/>
      </w:pPr>
    </w:p>
    <w:p w14:paraId="6EC03FDD"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2.</w:t>
      </w:r>
      <w:r w:rsidRPr="0047462D">
        <w:rPr>
          <w:b/>
          <w:bCs/>
        </w:rPr>
        <w:tab/>
      </w:r>
      <w:r w:rsidR="00256481" w:rsidRPr="0047462D">
        <w:rPr>
          <w:rFonts w:eastAsia="Times New Roman"/>
          <w:b/>
          <w:bCs/>
          <w:szCs w:val="22"/>
        </w:rPr>
        <w:t>ΣΥΝΘΕΣΗ ΣΕ ΔΡΑΣΤΙΚΗ ΟΥΣΙΑ</w:t>
      </w:r>
    </w:p>
    <w:p w14:paraId="605EF007" w14:textId="77777777" w:rsidR="00F4326D" w:rsidRPr="0047462D" w:rsidRDefault="00F4326D" w:rsidP="00F4326D">
      <w:pPr>
        <w:suppressLineNumbers/>
        <w:ind w:left="720" w:hanging="720"/>
        <w:rPr>
          <w:i/>
          <w:iCs/>
        </w:rPr>
      </w:pPr>
    </w:p>
    <w:p w14:paraId="352B285E" w14:textId="77777777" w:rsidR="00F4326D" w:rsidRPr="0047462D" w:rsidRDefault="00256481" w:rsidP="00F4326D">
      <w:pPr>
        <w:widowControl w:val="0"/>
        <w:ind w:left="720" w:hanging="720"/>
      </w:pPr>
      <w:r w:rsidRPr="0047462D">
        <w:rPr>
          <w:rFonts w:eastAsia="Times New Roman"/>
          <w:szCs w:val="22"/>
        </w:rPr>
        <w:t xml:space="preserve">Kάθε φακελλίσκος κοκκίων περιέχει </w:t>
      </w:r>
      <w:r w:rsidR="00F4326D" w:rsidRPr="0047462D">
        <w:t>25 mg ivacaftor.</w:t>
      </w:r>
    </w:p>
    <w:p w14:paraId="53B8603C" w14:textId="77777777" w:rsidR="00F4326D" w:rsidRPr="0047462D" w:rsidRDefault="00F4326D" w:rsidP="00F4326D">
      <w:pPr>
        <w:suppressLineNumbers/>
        <w:ind w:left="720" w:hanging="720"/>
      </w:pPr>
    </w:p>
    <w:p w14:paraId="6350BF94" w14:textId="77777777" w:rsidR="00F4326D" w:rsidRPr="0047462D" w:rsidRDefault="00F4326D" w:rsidP="00F4326D">
      <w:pPr>
        <w:suppressLineNumbers/>
        <w:ind w:left="720" w:hanging="720"/>
      </w:pPr>
    </w:p>
    <w:p w14:paraId="2BD26C2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3.</w:t>
      </w:r>
      <w:r w:rsidRPr="0047462D">
        <w:rPr>
          <w:b/>
          <w:bCs/>
        </w:rPr>
        <w:tab/>
      </w:r>
      <w:r w:rsidR="00256481" w:rsidRPr="0047462D">
        <w:rPr>
          <w:rFonts w:eastAsia="Times New Roman"/>
          <w:b/>
          <w:bCs/>
          <w:szCs w:val="22"/>
        </w:rPr>
        <w:t>ΚΑΤΑΛΟΓΟΣ ΕΚΔΟΧΩΝ</w:t>
      </w:r>
    </w:p>
    <w:p w14:paraId="428CEB44" w14:textId="77777777" w:rsidR="00F4326D" w:rsidRPr="0047462D" w:rsidRDefault="00F4326D" w:rsidP="00F4326D">
      <w:pPr>
        <w:suppressLineNumbers/>
        <w:ind w:left="720" w:hanging="720"/>
      </w:pPr>
    </w:p>
    <w:p w14:paraId="332A5F47" w14:textId="77777777" w:rsidR="00256481" w:rsidRPr="0047462D" w:rsidRDefault="00256481" w:rsidP="00256481">
      <w:pPr>
        <w:rPr>
          <w:szCs w:val="22"/>
          <w:lang w:eastAsia="en-US"/>
        </w:rPr>
      </w:pPr>
      <w:r w:rsidRPr="0047462D">
        <w:rPr>
          <w:rFonts w:eastAsia="Times New Roman"/>
          <w:szCs w:val="22"/>
        </w:rPr>
        <w:t>Περιέχει λακτόζη.</w:t>
      </w:r>
    </w:p>
    <w:p w14:paraId="7B95FCE2" w14:textId="77777777" w:rsidR="00256481" w:rsidRPr="0047462D" w:rsidRDefault="00256481" w:rsidP="00256481">
      <w:pPr>
        <w:rPr>
          <w:szCs w:val="22"/>
          <w:lang w:eastAsia="en-US"/>
        </w:rPr>
      </w:pPr>
    </w:p>
    <w:p w14:paraId="44135EFD" w14:textId="77777777" w:rsidR="00F4326D" w:rsidRPr="0047462D" w:rsidRDefault="00256481" w:rsidP="00256481">
      <w:pPr>
        <w:ind w:left="720" w:hanging="720"/>
      </w:pPr>
      <w:r w:rsidRPr="0047462D">
        <w:rPr>
          <w:rFonts w:eastAsia="Times New Roman"/>
          <w:szCs w:val="22"/>
        </w:rPr>
        <w:t>Βλ. φύλλο οδηγιών χρήσης για περισσότερες πληροφορίες</w:t>
      </w:r>
      <w:r w:rsidR="00F4326D" w:rsidRPr="0047462D">
        <w:t>.</w:t>
      </w:r>
    </w:p>
    <w:p w14:paraId="362FF789" w14:textId="77777777" w:rsidR="00F4326D" w:rsidRPr="0047462D" w:rsidRDefault="00F4326D" w:rsidP="00F4326D">
      <w:pPr>
        <w:suppressLineNumbers/>
        <w:ind w:left="720" w:hanging="720"/>
      </w:pPr>
    </w:p>
    <w:p w14:paraId="693824A0" w14:textId="77777777" w:rsidR="00F4326D" w:rsidRPr="0047462D" w:rsidRDefault="00F4326D" w:rsidP="00F4326D">
      <w:pPr>
        <w:suppressLineNumbers/>
        <w:ind w:left="720" w:hanging="720"/>
      </w:pPr>
    </w:p>
    <w:p w14:paraId="29E1F082"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4.</w:t>
      </w:r>
      <w:r w:rsidRPr="0047462D">
        <w:rPr>
          <w:b/>
          <w:bCs/>
        </w:rPr>
        <w:tab/>
      </w:r>
      <w:r w:rsidR="00256481" w:rsidRPr="0047462D">
        <w:rPr>
          <w:rFonts w:eastAsia="Times New Roman"/>
          <w:b/>
          <w:bCs/>
          <w:szCs w:val="22"/>
        </w:rPr>
        <w:t>ΦΑΡΜΑΚΟΤΕΧΝΙΚΗ ΜΟΡΦΗ ΚΑΙ ΠΕΡΙΕΧΟΜΕΝΟ</w:t>
      </w:r>
    </w:p>
    <w:p w14:paraId="5BD471A8" w14:textId="77777777" w:rsidR="00F4326D" w:rsidRPr="0047462D" w:rsidRDefault="00F4326D" w:rsidP="00F4326D">
      <w:pPr>
        <w:suppressLineNumbers/>
        <w:ind w:left="720" w:hanging="720"/>
      </w:pPr>
    </w:p>
    <w:p w14:paraId="00193059" w14:textId="77777777" w:rsidR="00256481" w:rsidRPr="0047462D" w:rsidRDefault="00256481" w:rsidP="00256481">
      <w:pPr>
        <w:rPr>
          <w:szCs w:val="22"/>
          <w:lang w:eastAsia="en-US"/>
        </w:rPr>
      </w:pPr>
      <w:r w:rsidRPr="0047462D">
        <w:rPr>
          <w:szCs w:val="22"/>
          <w:lang w:eastAsia="en-US"/>
        </w:rPr>
        <w:t>Κοκκία σε φακελλίσκο</w:t>
      </w:r>
    </w:p>
    <w:p w14:paraId="6160728A" w14:textId="77777777" w:rsidR="00256481" w:rsidRPr="0047462D" w:rsidRDefault="00256481" w:rsidP="00256481">
      <w:pPr>
        <w:rPr>
          <w:szCs w:val="22"/>
          <w:lang w:eastAsia="en-US"/>
        </w:rPr>
      </w:pPr>
    </w:p>
    <w:p w14:paraId="4C16F86B" w14:textId="77777777" w:rsidR="00F4326D" w:rsidRPr="0047462D" w:rsidRDefault="00256481" w:rsidP="00256481">
      <w:pPr>
        <w:ind w:left="720" w:hanging="720"/>
      </w:pPr>
      <w:r w:rsidRPr="0047462D">
        <w:rPr>
          <w:szCs w:val="22"/>
          <w:lang w:eastAsia="en-US"/>
        </w:rPr>
        <w:t>14</w:t>
      </w:r>
      <w:r w:rsidR="00DD7EB2" w:rsidRPr="0047462D">
        <w:rPr>
          <w:szCs w:val="22"/>
          <w:lang w:eastAsia="en-US"/>
        </w:rPr>
        <w:t> </w:t>
      </w:r>
      <w:r w:rsidRPr="0047462D">
        <w:rPr>
          <w:szCs w:val="22"/>
          <w:lang w:eastAsia="en-US"/>
        </w:rPr>
        <w:t>φακελλίσκοι</w:t>
      </w:r>
    </w:p>
    <w:p w14:paraId="2844F1A5" w14:textId="77777777" w:rsidR="00F4326D" w:rsidRPr="0047462D" w:rsidRDefault="00F4326D" w:rsidP="00F4326D">
      <w:pPr>
        <w:suppressLineNumbers/>
        <w:ind w:left="720" w:hanging="720"/>
      </w:pPr>
    </w:p>
    <w:p w14:paraId="77F7196F" w14:textId="77777777" w:rsidR="00F4326D" w:rsidRPr="0047462D" w:rsidRDefault="00F4326D" w:rsidP="00F4326D">
      <w:pPr>
        <w:suppressLineNumbers/>
        <w:ind w:left="720" w:hanging="720"/>
      </w:pPr>
    </w:p>
    <w:p w14:paraId="5D97B700"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5.</w:t>
      </w:r>
      <w:r w:rsidRPr="0047462D">
        <w:rPr>
          <w:b/>
          <w:bCs/>
        </w:rPr>
        <w:tab/>
      </w:r>
      <w:r w:rsidR="00256481" w:rsidRPr="0047462D">
        <w:rPr>
          <w:rFonts w:eastAsia="Times New Roman"/>
          <w:b/>
          <w:bCs/>
          <w:szCs w:val="22"/>
        </w:rPr>
        <w:t>ΤΡΟΠΟΣ ΚΑΙ ΟΔΟΣ(ΟΙ) ΧΟΡΗΓΗΣΗΣ</w:t>
      </w:r>
    </w:p>
    <w:p w14:paraId="2054689F" w14:textId="77777777" w:rsidR="00F4326D" w:rsidRPr="0047462D" w:rsidRDefault="00F4326D" w:rsidP="00F4326D">
      <w:pPr>
        <w:suppressLineNumbers/>
        <w:ind w:left="720" w:hanging="720"/>
      </w:pPr>
    </w:p>
    <w:p w14:paraId="613E6BA2" w14:textId="77777777" w:rsidR="00256481" w:rsidRPr="0047462D" w:rsidRDefault="00256481" w:rsidP="00256481">
      <w:pPr>
        <w:rPr>
          <w:rFonts w:eastAsia="Times New Roman"/>
          <w:szCs w:val="22"/>
        </w:rPr>
      </w:pPr>
      <w:r w:rsidRPr="0047462D">
        <w:rPr>
          <w:rFonts w:eastAsia="Times New Roman"/>
          <w:szCs w:val="22"/>
        </w:rPr>
        <w:t>Διαβάστε το φύλλο οδηγιών χρήσης πριν από τη χρήση.</w:t>
      </w:r>
    </w:p>
    <w:p w14:paraId="32B417D2" w14:textId="77777777" w:rsidR="00256481" w:rsidRPr="0047462D" w:rsidRDefault="00256481" w:rsidP="00256481">
      <w:pPr>
        <w:rPr>
          <w:rFonts w:eastAsia="Times New Roman"/>
          <w:szCs w:val="22"/>
        </w:rPr>
      </w:pPr>
    </w:p>
    <w:p w14:paraId="42029154" w14:textId="77777777" w:rsidR="00F4326D" w:rsidRPr="0047462D" w:rsidRDefault="00256481" w:rsidP="00256481">
      <w:pPr>
        <w:ind w:left="720" w:hanging="720"/>
        <w:rPr>
          <w:rFonts w:eastAsia="Times New Roman"/>
          <w:szCs w:val="22"/>
          <w:lang w:eastAsia="en-US"/>
        </w:rPr>
      </w:pPr>
      <w:r w:rsidRPr="0047462D">
        <w:rPr>
          <w:rFonts w:eastAsia="Times New Roman"/>
          <w:szCs w:val="22"/>
        </w:rPr>
        <w:t>Από στόματος</w:t>
      </w:r>
      <w:r w:rsidRPr="0047462D">
        <w:rPr>
          <w:rFonts w:eastAsia="Times New Roman"/>
          <w:szCs w:val="22"/>
          <w:lang w:eastAsia="en-US"/>
        </w:rPr>
        <w:t xml:space="preserve"> χρήση</w:t>
      </w:r>
    </w:p>
    <w:p w14:paraId="778E2CA3" w14:textId="77777777" w:rsidR="00256481" w:rsidRPr="0047462D" w:rsidRDefault="00256481" w:rsidP="00256481">
      <w:pPr>
        <w:ind w:left="720" w:hanging="720"/>
      </w:pPr>
    </w:p>
    <w:p w14:paraId="2453635A" w14:textId="77777777" w:rsidR="00F4326D" w:rsidRPr="0047462D" w:rsidRDefault="00256481" w:rsidP="00F4326D">
      <w:pPr>
        <w:ind w:left="720" w:hanging="720"/>
        <w:rPr>
          <w:b/>
        </w:rPr>
      </w:pPr>
      <w:r w:rsidRPr="0047462D">
        <w:rPr>
          <w:b/>
        </w:rPr>
        <w:t>Οδηγίες χρήσης</w:t>
      </w:r>
    </w:p>
    <w:p w14:paraId="2E172A2B" w14:textId="77777777" w:rsidR="00F4326D" w:rsidRPr="0047462D" w:rsidRDefault="00F4326D" w:rsidP="00F4326D">
      <w:pPr>
        <w:ind w:left="720" w:hanging="720"/>
      </w:pPr>
    </w:p>
    <w:p w14:paraId="49B98F7C" w14:textId="77777777" w:rsidR="00256481" w:rsidRPr="0047462D" w:rsidRDefault="00256481" w:rsidP="00256481">
      <w:pPr>
        <w:suppressLineNumbers/>
      </w:pPr>
      <w:r w:rsidRPr="0047462D">
        <w:t xml:space="preserve">Αναμείξτε όλο το περιεχόμενο ενός φακελλίσκου με 5 ml μαλακής τροφής κατάλληλης για την ηλικία ή υγρού που βρίσκεται σε θερμοκρασία δωματίου ή χαμηλότερη και καταναλώστε πλήρως. </w:t>
      </w:r>
    </w:p>
    <w:p w14:paraId="6EC2560B" w14:textId="77777777" w:rsidR="00256481" w:rsidRPr="0047462D" w:rsidRDefault="00256481" w:rsidP="00256481">
      <w:pPr>
        <w:suppressLineNumbers/>
      </w:pPr>
    </w:p>
    <w:p w14:paraId="306BE792" w14:textId="77777777" w:rsidR="00256481" w:rsidRPr="0047462D" w:rsidRDefault="00256481" w:rsidP="00256481">
      <w:pPr>
        <w:suppressLineNumbers/>
      </w:pPr>
      <w:r w:rsidRPr="0047462D">
        <w:t>Χρησιμοποιήστε εντός μίας ώρας μετά την ανάμειξη, λίγο πριν ή αμέσως μετά από γεύμα ή σνακ που περιέχει λίπος.</w:t>
      </w:r>
    </w:p>
    <w:p w14:paraId="369FA461" w14:textId="77777777" w:rsidR="00256481" w:rsidRPr="0047462D" w:rsidRDefault="00256481" w:rsidP="00256481">
      <w:pPr>
        <w:suppressLineNumbers/>
      </w:pPr>
    </w:p>
    <w:p w14:paraId="2571FD00" w14:textId="77777777" w:rsidR="00F4326D" w:rsidRPr="0047462D" w:rsidRDefault="00256481" w:rsidP="00256481">
      <w:pPr>
        <w:suppressLineNumbers/>
      </w:pPr>
      <w:r w:rsidRPr="0047462D">
        <w:t>Χρησιμοποιήστε όλες τις δόσεις 7 ημερών πριν ξεκινήσετε μια νέα καρτέλα</w:t>
      </w:r>
      <w:r w:rsidR="00F4326D" w:rsidRPr="0047462D">
        <w:t>.</w:t>
      </w:r>
    </w:p>
    <w:p w14:paraId="2103A1B9" w14:textId="77777777" w:rsidR="00F4326D" w:rsidRPr="0047462D" w:rsidRDefault="00F4326D" w:rsidP="00F4326D">
      <w:pPr>
        <w:rPr>
          <w:bCs/>
        </w:rPr>
      </w:pPr>
    </w:p>
    <w:p w14:paraId="235FFCF1" w14:textId="77777777" w:rsidR="00F4326D" w:rsidRPr="0047462D" w:rsidRDefault="00256481" w:rsidP="00F4326D">
      <w:pPr>
        <w:rPr>
          <w:bCs/>
        </w:rPr>
      </w:pPr>
      <w:r w:rsidRPr="0047462D">
        <w:rPr>
          <w:bCs/>
        </w:rPr>
        <w:t>Πρωί</w:t>
      </w:r>
    </w:p>
    <w:p w14:paraId="34776F03" w14:textId="77777777" w:rsidR="00F4326D" w:rsidRPr="0047462D" w:rsidRDefault="00F4326D" w:rsidP="00F4326D">
      <w:pPr>
        <w:rPr>
          <w:bCs/>
        </w:rPr>
      </w:pPr>
    </w:p>
    <w:p w14:paraId="64EA882D" w14:textId="77777777" w:rsidR="00F4326D" w:rsidRPr="0047462D" w:rsidRDefault="00256481" w:rsidP="00F4326D">
      <w:pPr>
        <w:rPr>
          <w:bCs/>
        </w:rPr>
      </w:pPr>
      <w:r w:rsidRPr="0047462D">
        <w:rPr>
          <w:bCs/>
        </w:rPr>
        <w:t>Βράδυ</w:t>
      </w:r>
    </w:p>
    <w:p w14:paraId="14770822" w14:textId="77777777" w:rsidR="00F4326D" w:rsidRPr="0047462D" w:rsidRDefault="00F4326D" w:rsidP="00F4326D">
      <w:pPr>
        <w:rPr>
          <w:bCs/>
        </w:rPr>
      </w:pPr>
    </w:p>
    <w:p w14:paraId="357FB567" w14:textId="77777777" w:rsidR="00F4326D" w:rsidRPr="0047462D" w:rsidRDefault="00256481" w:rsidP="00F4326D">
      <w:pPr>
        <w:rPr>
          <w:bCs/>
        </w:rPr>
      </w:pPr>
      <w:r w:rsidRPr="0047462D">
        <w:rPr>
          <w:bCs/>
        </w:rPr>
        <w:t>Δευ. Τρ. Τετ. Πέμ. Παρ. Σάβ. Κυρ</w:t>
      </w:r>
      <w:r w:rsidR="00F4326D" w:rsidRPr="0047462D">
        <w:rPr>
          <w:bCs/>
        </w:rPr>
        <w:t>.</w:t>
      </w:r>
    </w:p>
    <w:p w14:paraId="7F5EFAF8" w14:textId="77777777" w:rsidR="00F4326D" w:rsidRPr="0047462D" w:rsidRDefault="00F4326D" w:rsidP="00F4326D"/>
    <w:p w14:paraId="79CEF207" w14:textId="77777777" w:rsidR="00F4326D" w:rsidRPr="0047462D" w:rsidRDefault="00F4326D" w:rsidP="00F4326D"/>
    <w:p w14:paraId="1327F327" w14:textId="77777777" w:rsidR="00F4326D" w:rsidRPr="0047462D" w:rsidRDefault="00F4326D" w:rsidP="00F4326D">
      <w:pPr>
        <w:keepNext/>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6.</w:t>
      </w:r>
      <w:r w:rsidRPr="0047462D">
        <w:rPr>
          <w:b/>
          <w:bCs/>
        </w:rPr>
        <w:tab/>
      </w:r>
      <w:r w:rsidR="008E754E"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EA7D556" w14:textId="77777777" w:rsidR="00F4326D" w:rsidRPr="0047462D" w:rsidRDefault="00F4326D" w:rsidP="00F4326D">
      <w:pPr>
        <w:keepNext/>
        <w:suppressLineNumbers/>
        <w:ind w:left="720" w:hanging="720"/>
      </w:pPr>
    </w:p>
    <w:p w14:paraId="07B050F6" w14:textId="77777777" w:rsidR="00F4326D" w:rsidRPr="0047462D" w:rsidRDefault="008E754E" w:rsidP="00F4326D">
      <w:pPr>
        <w:ind w:left="720" w:hanging="720"/>
      </w:pPr>
      <w:r w:rsidRPr="0047462D">
        <w:t>Να φυλάσσεται σε θέση, την οποία δεν βλέπουν και δεν προσεγγίζουν τα παιδιά</w:t>
      </w:r>
      <w:r w:rsidR="00F4326D" w:rsidRPr="0047462D">
        <w:t>.</w:t>
      </w:r>
    </w:p>
    <w:p w14:paraId="121EA5A4" w14:textId="77777777" w:rsidR="00F4326D" w:rsidRPr="0047462D" w:rsidRDefault="00F4326D" w:rsidP="00F4326D">
      <w:pPr>
        <w:suppressLineNumbers/>
        <w:ind w:left="720" w:hanging="720"/>
      </w:pPr>
    </w:p>
    <w:p w14:paraId="3CC547DD" w14:textId="77777777" w:rsidR="00F4326D" w:rsidRPr="0047462D" w:rsidRDefault="00F4326D" w:rsidP="00F4326D">
      <w:pPr>
        <w:suppressLineNumbers/>
        <w:ind w:left="720" w:hanging="720"/>
      </w:pPr>
    </w:p>
    <w:p w14:paraId="7762C778"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7.</w:t>
      </w:r>
      <w:r w:rsidRPr="0047462D">
        <w:rPr>
          <w:b/>
          <w:bCs/>
        </w:rPr>
        <w:tab/>
      </w:r>
      <w:r w:rsidR="008E754E" w:rsidRPr="0047462D">
        <w:rPr>
          <w:b/>
        </w:rPr>
        <w:t>ΑΛΛΗ(ΕΣ) ΕΙΔΙΚΗ(ΕΣ) ΠΡΟΕΙΔΟΠΟΙΗΣΗ(ΕΙΣ), ΕΑΝ ΕΙΝΑΙ ΑΠΑΡΑΙΤΗΤΗ(ΕΣ)</w:t>
      </w:r>
    </w:p>
    <w:p w14:paraId="238B2CCC" w14:textId="77777777" w:rsidR="00F4326D" w:rsidRPr="0047462D" w:rsidRDefault="00F4326D" w:rsidP="00F4326D">
      <w:pPr>
        <w:suppressLineNumbers/>
        <w:ind w:left="720" w:hanging="720"/>
      </w:pPr>
    </w:p>
    <w:p w14:paraId="2D425EA9" w14:textId="77777777" w:rsidR="00F4326D" w:rsidRPr="0047462D" w:rsidRDefault="00F4326D" w:rsidP="00F4326D">
      <w:pPr>
        <w:suppressLineNumbers/>
        <w:tabs>
          <w:tab w:val="left" w:pos="749"/>
        </w:tabs>
        <w:ind w:left="720" w:hanging="720"/>
      </w:pPr>
    </w:p>
    <w:p w14:paraId="663636FC"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8.</w:t>
      </w:r>
      <w:r w:rsidRPr="0047462D">
        <w:rPr>
          <w:b/>
          <w:bCs/>
        </w:rPr>
        <w:tab/>
      </w:r>
      <w:r w:rsidR="008E754E" w:rsidRPr="0047462D">
        <w:rPr>
          <w:b/>
          <w:noProof/>
          <w:szCs w:val="22"/>
        </w:rPr>
        <w:t>ΗΜΕΡΟΜΗΝΙΑ ΛΗΞΗΣ</w:t>
      </w:r>
    </w:p>
    <w:p w14:paraId="48E84739" w14:textId="77777777" w:rsidR="00F4326D" w:rsidRPr="0047462D" w:rsidRDefault="00F4326D" w:rsidP="00F4326D">
      <w:pPr>
        <w:suppressLineNumbers/>
        <w:ind w:left="720" w:hanging="720"/>
      </w:pPr>
    </w:p>
    <w:p w14:paraId="12014235" w14:textId="77777777" w:rsidR="00F4326D" w:rsidRPr="0047462D" w:rsidRDefault="00F4326D" w:rsidP="00F4326D">
      <w:pPr>
        <w:suppressLineNumbers/>
        <w:ind w:left="720" w:hanging="720"/>
      </w:pPr>
    </w:p>
    <w:p w14:paraId="55559F54" w14:textId="77777777" w:rsidR="00F4326D" w:rsidRPr="0047462D" w:rsidRDefault="00F4326D" w:rsidP="00F4326D">
      <w:pPr>
        <w:keepNext/>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9.</w:t>
      </w:r>
      <w:r w:rsidRPr="0047462D">
        <w:rPr>
          <w:b/>
          <w:bCs/>
        </w:rPr>
        <w:tab/>
      </w:r>
      <w:r w:rsidR="008E754E" w:rsidRPr="0047462D">
        <w:rPr>
          <w:b/>
          <w:noProof/>
          <w:szCs w:val="22"/>
        </w:rPr>
        <w:t>ΕΙΔΙΚΕΣ ΣΥΝΘΗΚΕΣ ΦΥΛΑΞΗΣ</w:t>
      </w:r>
    </w:p>
    <w:p w14:paraId="50CE3C92" w14:textId="77777777" w:rsidR="00F4326D" w:rsidRPr="0047462D" w:rsidRDefault="00F4326D" w:rsidP="00F4326D">
      <w:pPr>
        <w:ind w:left="720" w:hanging="720"/>
      </w:pPr>
    </w:p>
    <w:p w14:paraId="12F68BD4" w14:textId="77777777" w:rsidR="00F4326D" w:rsidRPr="0047462D" w:rsidRDefault="00F4326D" w:rsidP="00F4326D">
      <w:pPr>
        <w:suppressLineNumbers/>
        <w:ind w:left="720" w:hanging="720"/>
      </w:pPr>
    </w:p>
    <w:p w14:paraId="175EEEE1"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10.</w:t>
      </w:r>
      <w:r w:rsidRPr="0047462D">
        <w:rPr>
          <w:b/>
          <w:bCs/>
        </w:rPr>
        <w:tab/>
      </w:r>
      <w:r w:rsidR="008E754E" w:rsidRPr="0047462D">
        <w:rPr>
          <w:b/>
        </w:rPr>
        <w:t>ΙΔΙΑΙΤΕΡΕΣ ΠΡΟΦΥΛΑΞΕΙΣ ΓΙΑ ΤΗΝ ΑΠΟΡΡΙΨΗ ΤΩΝ ΜΗ</w:t>
      </w:r>
      <w:r w:rsidR="008E754E" w:rsidRPr="0047462D">
        <w:rPr>
          <w:b/>
          <w:bCs/>
        </w:rPr>
        <w:t xml:space="preserve"> </w:t>
      </w:r>
      <w:r w:rsidR="008E754E" w:rsidRPr="0047462D">
        <w:rPr>
          <w:b/>
        </w:rPr>
        <w:t>ΧΡΗΣΙΜΟΠΟΙΗΘΕΝΤΩΝ ΦΑΡΜΑΚΕΥΤΙΚΩΝ ΠΡΟΪΟΝΤΩΝ Ή ΤΩΝ</w:t>
      </w:r>
      <w:r w:rsidR="008E754E" w:rsidRPr="0047462D">
        <w:rPr>
          <w:b/>
          <w:bCs/>
        </w:rPr>
        <w:t xml:space="preserve"> </w:t>
      </w:r>
      <w:r w:rsidR="008E754E" w:rsidRPr="0047462D">
        <w:rPr>
          <w:b/>
        </w:rPr>
        <w:t>ΥΠΟΛΕΙΜΜΑΤΩΝ ΠΟΥ ΠΡΟΕΡΧΟΝΤΑΙ ΑΠΟ ΑΥΤΑ, ΕΦΟΣΟΝ ΑΠΑΙΤΕΙΤΑΙ</w:t>
      </w:r>
    </w:p>
    <w:p w14:paraId="2FFEDD52" w14:textId="77777777" w:rsidR="00F4326D" w:rsidRPr="0047462D" w:rsidRDefault="00F4326D" w:rsidP="00F4326D">
      <w:pPr>
        <w:ind w:left="720" w:hanging="720"/>
      </w:pPr>
    </w:p>
    <w:p w14:paraId="5F7D5360" w14:textId="77777777" w:rsidR="00F4326D" w:rsidRPr="0047462D" w:rsidRDefault="00F4326D" w:rsidP="00F4326D">
      <w:pPr>
        <w:ind w:left="720" w:hanging="720"/>
      </w:pPr>
    </w:p>
    <w:p w14:paraId="65F479B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11.</w:t>
      </w:r>
      <w:r w:rsidRPr="0047462D">
        <w:rPr>
          <w:b/>
          <w:bCs/>
        </w:rPr>
        <w:tab/>
      </w:r>
      <w:r w:rsidR="008E754E" w:rsidRPr="0047462D">
        <w:rPr>
          <w:b/>
        </w:rPr>
        <w:t>ΟΝΟΜΑ ΚΑΙ ΔΙΕΥΘΥΝΣΗ ΚΑΤΟΧΟΥ ΤΗΣ ΑΔΕΙΑΣ ΚΥΚΛΟΦΟΡΙΑΣ</w:t>
      </w:r>
    </w:p>
    <w:p w14:paraId="6EEF4F21" w14:textId="77777777" w:rsidR="00F4326D" w:rsidRPr="0047462D" w:rsidRDefault="00F4326D" w:rsidP="00F4326D">
      <w:pPr>
        <w:suppressLineNumbers/>
        <w:ind w:left="720" w:hanging="720"/>
      </w:pPr>
    </w:p>
    <w:p w14:paraId="6DBB8E69" w14:textId="77777777" w:rsidR="00F4326D" w:rsidRPr="0047462D" w:rsidRDefault="00F4326D" w:rsidP="00F4326D">
      <w:pPr>
        <w:ind w:left="720" w:hanging="720"/>
        <w:rPr>
          <w:rFonts w:eastAsia="MS Mincho"/>
          <w:bCs/>
          <w:lang w:val="en-US" w:eastAsia="ja-JP"/>
        </w:rPr>
      </w:pPr>
      <w:r w:rsidRPr="0047462D">
        <w:rPr>
          <w:iCs/>
          <w:lang w:val="en-US"/>
        </w:rPr>
        <w:t>Vertex Pharmaceuticals (Ireland) Limited</w:t>
      </w:r>
    </w:p>
    <w:p w14:paraId="4F5341DD" w14:textId="77777777" w:rsidR="00F4326D" w:rsidRPr="0047462D" w:rsidRDefault="00F4326D" w:rsidP="00F4326D">
      <w:pPr>
        <w:rPr>
          <w:iCs/>
          <w:lang w:val="en-US"/>
        </w:rPr>
      </w:pPr>
      <w:r w:rsidRPr="0047462D">
        <w:rPr>
          <w:iCs/>
          <w:lang w:val="en-US"/>
        </w:rPr>
        <w:t>28-32 Pembroke Street Upper</w:t>
      </w:r>
    </w:p>
    <w:p w14:paraId="48128E88" w14:textId="77777777" w:rsidR="00F4326D" w:rsidRPr="0047462D" w:rsidRDefault="00F4326D" w:rsidP="00F4326D">
      <w:pPr>
        <w:rPr>
          <w:iCs/>
        </w:rPr>
      </w:pPr>
      <w:r w:rsidRPr="0047462D">
        <w:rPr>
          <w:iCs/>
        </w:rPr>
        <w:t>Dublin 2, D02 EK84</w:t>
      </w:r>
    </w:p>
    <w:p w14:paraId="0AF2C9AE" w14:textId="77777777" w:rsidR="00F4326D" w:rsidRPr="0047462D" w:rsidRDefault="008E754E" w:rsidP="00F4326D">
      <w:pPr>
        <w:ind w:left="720" w:hanging="720"/>
      </w:pPr>
      <w:r w:rsidRPr="0047462D">
        <w:rPr>
          <w:iCs/>
        </w:rPr>
        <w:t>Ιρλανδία</w:t>
      </w:r>
    </w:p>
    <w:p w14:paraId="1F2FDC9F" w14:textId="77777777" w:rsidR="00F4326D" w:rsidRPr="0047462D" w:rsidRDefault="00F4326D" w:rsidP="00F4326D">
      <w:pPr>
        <w:pStyle w:val="NormalIndent"/>
        <w:spacing w:after="0"/>
        <w:ind w:hanging="720"/>
      </w:pPr>
    </w:p>
    <w:p w14:paraId="0A2F9363" w14:textId="77777777" w:rsidR="00F4326D" w:rsidRPr="0047462D" w:rsidRDefault="00F4326D" w:rsidP="00F4326D">
      <w:pPr>
        <w:pStyle w:val="NormalIndent"/>
        <w:spacing w:after="0"/>
        <w:ind w:hanging="720"/>
      </w:pPr>
    </w:p>
    <w:p w14:paraId="5E35E55A"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12.</w:t>
      </w:r>
      <w:r w:rsidRPr="0047462D">
        <w:rPr>
          <w:b/>
          <w:bCs/>
        </w:rPr>
        <w:tab/>
      </w:r>
      <w:r w:rsidR="008E754E" w:rsidRPr="0047462D">
        <w:rPr>
          <w:b/>
          <w:noProof/>
          <w:szCs w:val="22"/>
        </w:rPr>
        <w:t>ΑΡΙΘΜΟΣ(ΟΙ) ΑΔΕΙΑΣ ΚΥΚΛΟΦΟΡΙΑΣ</w:t>
      </w:r>
      <w:r w:rsidRPr="0047462D">
        <w:rPr>
          <w:b/>
          <w:bCs/>
        </w:rPr>
        <w:t xml:space="preserve"> </w:t>
      </w:r>
    </w:p>
    <w:p w14:paraId="54AC83DD" w14:textId="77777777" w:rsidR="00F4326D" w:rsidRPr="0047462D" w:rsidRDefault="00F4326D" w:rsidP="00F4326D">
      <w:pPr>
        <w:suppressLineNumbers/>
        <w:ind w:left="720" w:hanging="720"/>
        <w:rPr>
          <w:rFonts w:cs="Verdana"/>
        </w:rPr>
      </w:pPr>
    </w:p>
    <w:p w14:paraId="794B8AC6" w14:textId="77777777" w:rsidR="00F4326D" w:rsidRPr="0047462D" w:rsidRDefault="00F4326D" w:rsidP="00F4326D">
      <w:pPr>
        <w:suppressLineNumbers/>
        <w:ind w:left="720" w:hanging="720"/>
      </w:pPr>
      <w:r w:rsidRPr="0047462D">
        <w:t>EU/1/12/782/006</w:t>
      </w:r>
    </w:p>
    <w:p w14:paraId="6217D7CC" w14:textId="77777777" w:rsidR="00F4326D" w:rsidRPr="0047462D" w:rsidRDefault="00F4326D" w:rsidP="00F4326D">
      <w:pPr>
        <w:suppressLineNumbers/>
        <w:ind w:left="720" w:hanging="720"/>
      </w:pPr>
    </w:p>
    <w:p w14:paraId="47BE8F57" w14:textId="77777777" w:rsidR="00F4326D" w:rsidRPr="0047462D" w:rsidRDefault="00F4326D" w:rsidP="00F4326D">
      <w:pPr>
        <w:suppressLineNumbers/>
        <w:ind w:left="720" w:hanging="720"/>
      </w:pPr>
    </w:p>
    <w:p w14:paraId="748DDB76"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13.</w:t>
      </w:r>
      <w:r w:rsidRPr="0047462D">
        <w:rPr>
          <w:b/>
          <w:bCs/>
        </w:rPr>
        <w:tab/>
      </w:r>
      <w:r w:rsidR="008E754E" w:rsidRPr="0047462D">
        <w:rPr>
          <w:b/>
        </w:rPr>
        <w:t>ΑΡΙΘΜΟΣ ΠΑΡΤΙΔΑΣ</w:t>
      </w:r>
    </w:p>
    <w:p w14:paraId="01293C6D" w14:textId="77777777" w:rsidR="00F4326D" w:rsidRPr="0047462D" w:rsidRDefault="00F4326D" w:rsidP="00F4326D">
      <w:pPr>
        <w:suppressLineNumbers/>
        <w:ind w:left="720" w:hanging="720"/>
        <w:rPr>
          <w:iCs/>
        </w:rPr>
      </w:pPr>
    </w:p>
    <w:p w14:paraId="25FFCD22" w14:textId="77777777" w:rsidR="00F4326D" w:rsidRPr="0047462D" w:rsidRDefault="00F4326D" w:rsidP="00F4326D">
      <w:pPr>
        <w:suppressLineNumbers/>
        <w:ind w:left="720" w:hanging="720"/>
      </w:pPr>
    </w:p>
    <w:p w14:paraId="616D5948"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14.</w:t>
      </w:r>
      <w:r w:rsidRPr="0047462D">
        <w:rPr>
          <w:b/>
          <w:bCs/>
        </w:rPr>
        <w:tab/>
      </w:r>
      <w:r w:rsidR="008E754E" w:rsidRPr="0047462D">
        <w:rPr>
          <w:b/>
        </w:rPr>
        <w:t>ΓΕΝΙΚΗ ΚΑΤΑΤΑΞΗ ΓΙΑ ΤΗ ΔΙΑΘΕΣΗ</w:t>
      </w:r>
    </w:p>
    <w:p w14:paraId="3B0712E2" w14:textId="77777777" w:rsidR="00F4326D" w:rsidRPr="0047462D" w:rsidRDefault="00F4326D" w:rsidP="00F4326D">
      <w:pPr>
        <w:suppressLineNumbers/>
      </w:pPr>
    </w:p>
    <w:p w14:paraId="196C43AB" w14:textId="77777777" w:rsidR="00F4326D" w:rsidRPr="0047462D" w:rsidRDefault="00F4326D" w:rsidP="00F4326D">
      <w:pPr>
        <w:suppressLineNumbers/>
      </w:pPr>
    </w:p>
    <w:p w14:paraId="696CA93F" w14:textId="77777777" w:rsidR="00F4326D" w:rsidRPr="0047462D" w:rsidRDefault="00F4326D" w:rsidP="00F4326D">
      <w:pPr>
        <w:suppressLineNumbers/>
        <w:pBdr>
          <w:top w:val="single" w:sz="4" w:space="2" w:color="auto"/>
          <w:left w:val="single" w:sz="4" w:space="4" w:color="auto"/>
          <w:bottom w:val="single" w:sz="4" w:space="1" w:color="auto"/>
          <w:right w:val="single" w:sz="4" w:space="4" w:color="auto"/>
        </w:pBdr>
        <w:outlineLvl w:val="1"/>
      </w:pPr>
      <w:r w:rsidRPr="0047462D">
        <w:rPr>
          <w:b/>
          <w:bCs/>
        </w:rPr>
        <w:t>15.</w:t>
      </w:r>
      <w:r w:rsidRPr="0047462D">
        <w:rPr>
          <w:b/>
          <w:bCs/>
        </w:rPr>
        <w:tab/>
      </w:r>
      <w:r w:rsidR="008E754E" w:rsidRPr="0047462D">
        <w:rPr>
          <w:b/>
          <w:noProof/>
          <w:szCs w:val="22"/>
        </w:rPr>
        <w:t>ΟΔΗΓΙΕΣ ΧΡΗΣΗΣ</w:t>
      </w:r>
    </w:p>
    <w:p w14:paraId="08A5C396" w14:textId="77777777" w:rsidR="00F4326D" w:rsidRPr="0047462D" w:rsidRDefault="00F4326D" w:rsidP="00F4326D">
      <w:pPr>
        <w:suppressLineNumbers/>
      </w:pPr>
    </w:p>
    <w:p w14:paraId="5A4D01F8" w14:textId="77777777" w:rsidR="00F4326D" w:rsidRPr="0047462D" w:rsidRDefault="00F4326D" w:rsidP="00F4326D">
      <w:pPr>
        <w:suppressLineNumbers/>
      </w:pPr>
    </w:p>
    <w:p w14:paraId="575174F0" w14:textId="77777777" w:rsidR="00F4326D" w:rsidRPr="0047462D" w:rsidRDefault="00F4326D" w:rsidP="00EB5A36">
      <w:pPr>
        <w:suppressLineNumbers/>
        <w:pBdr>
          <w:top w:val="single" w:sz="4" w:space="2" w:color="auto"/>
          <w:left w:val="single" w:sz="4" w:space="4" w:color="auto"/>
          <w:bottom w:val="single" w:sz="4" w:space="1" w:color="auto"/>
          <w:right w:val="single" w:sz="4" w:space="4" w:color="auto"/>
        </w:pBdr>
        <w:outlineLvl w:val="1"/>
      </w:pPr>
      <w:r w:rsidRPr="0047462D">
        <w:rPr>
          <w:b/>
          <w:bCs/>
        </w:rPr>
        <w:t>16.</w:t>
      </w:r>
      <w:r w:rsidRPr="0047462D">
        <w:rPr>
          <w:b/>
          <w:bCs/>
        </w:rPr>
        <w:tab/>
      </w:r>
      <w:r w:rsidR="008E754E" w:rsidRPr="0047462D">
        <w:rPr>
          <w:b/>
          <w:noProof/>
          <w:szCs w:val="22"/>
        </w:rPr>
        <w:t xml:space="preserve">ΠΛΗΡΟΦΟΡΙΕΣ ΣΕ </w:t>
      </w:r>
      <w:r w:rsidR="008E754E" w:rsidRPr="0047462D">
        <w:rPr>
          <w:b/>
          <w:bCs/>
        </w:rPr>
        <w:t>BRAILLE</w:t>
      </w:r>
    </w:p>
    <w:p w14:paraId="6AFFFFF7" w14:textId="77777777" w:rsidR="00F4326D" w:rsidRPr="0047462D" w:rsidRDefault="00F4326D" w:rsidP="00F4326D"/>
    <w:p w14:paraId="7A0B8C54" w14:textId="77777777" w:rsidR="00F4326D" w:rsidRPr="0047462D" w:rsidRDefault="00F4326D" w:rsidP="00F4326D"/>
    <w:p w14:paraId="28137E69" w14:textId="77777777" w:rsidR="00F4326D" w:rsidRPr="0047462D" w:rsidRDefault="00F4326D" w:rsidP="00EB5A36">
      <w:pPr>
        <w:suppressLineNumbers/>
        <w:pBdr>
          <w:top w:val="single" w:sz="4" w:space="2" w:color="auto"/>
          <w:left w:val="single" w:sz="4" w:space="4" w:color="auto"/>
          <w:bottom w:val="single" w:sz="4" w:space="1" w:color="auto"/>
          <w:right w:val="single" w:sz="4" w:space="4" w:color="auto"/>
        </w:pBdr>
        <w:ind w:left="540" w:hanging="540"/>
        <w:outlineLvl w:val="1"/>
      </w:pPr>
      <w:r w:rsidRPr="0047462D">
        <w:rPr>
          <w:b/>
          <w:bCs/>
        </w:rPr>
        <w:t>17.</w:t>
      </w:r>
      <w:r w:rsidRPr="0047462D">
        <w:rPr>
          <w:b/>
          <w:bCs/>
        </w:rPr>
        <w:tab/>
      </w:r>
      <w:r w:rsidR="008E754E" w:rsidRPr="0047462D">
        <w:rPr>
          <w:b/>
          <w:noProof/>
        </w:rPr>
        <w:t>ΜΟΝΑΔΙΚΟΣ ΑΝΑΓΝΩΡΙΣΤΙΚΟΣ ΚΩΔΙΚΟΣ – ΔΙΣΔΙΑΣΤΑΤΟΣ ΓΡΑΜΜΩΤΟΣ ΚΩΔΙΚΑΣ</w:t>
      </w:r>
      <w:r w:rsidRPr="0047462D">
        <w:rPr>
          <w:b/>
          <w:bCs/>
        </w:rPr>
        <w:t xml:space="preserve"> </w:t>
      </w:r>
      <w:r w:rsidR="008E754E" w:rsidRPr="0047462D">
        <w:rPr>
          <w:b/>
          <w:bCs/>
        </w:rPr>
        <w:t>(</w:t>
      </w:r>
      <w:r w:rsidRPr="0047462D">
        <w:rPr>
          <w:b/>
          <w:bCs/>
        </w:rPr>
        <w:t>2D</w:t>
      </w:r>
      <w:r w:rsidR="008E754E" w:rsidRPr="0047462D">
        <w:rPr>
          <w:b/>
          <w:bCs/>
        </w:rPr>
        <w:t>)</w:t>
      </w:r>
    </w:p>
    <w:p w14:paraId="0EE53A6B" w14:textId="77777777" w:rsidR="00F4326D" w:rsidRPr="0047462D" w:rsidRDefault="00F4326D" w:rsidP="00F4326D">
      <w:pPr>
        <w:suppressLineNumbers/>
        <w:rPr>
          <w:bCs/>
        </w:rPr>
      </w:pPr>
    </w:p>
    <w:p w14:paraId="0AFEDE29" w14:textId="77777777" w:rsidR="00F4326D" w:rsidRPr="0047462D" w:rsidRDefault="00F4326D" w:rsidP="00F4326D">
      <w:pPr>
        <w:suppressLineNumbers/>
        <w:rPr>
          <w:bCs/>
        </w:rPr>
      </w:pPr>
    </w:p>
    <w:p w14:paraId="6E9D82B7" w14:textId="77777777" w:rsidR="00F4326D" w:rsidRPr="0047462D" w:rsidRDefault="00F4326D" w:rsidP="00EB5A36">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18.</w:t>
      </w:r>
      <w:r w:rsidRPr="0047462D">
        <w:rPr>
          <w:b/>
          <w:bCs/>
        </w:rPr>
        <w:tab/>
      </w:r>
      <w:r w:rsidR="008E754E" w:rsidRPr="0047462D">
        <w:rPr>
          <w:b/>
          <w:noProof/>
        </w:rPr>
        <w:t>ΜΟΝΑΔΙΚΟΣ ΑΝΑΓΝΩΡΙΣΤΙΚΟΣ ΚΩΔΙΚΟΣ – ΔΕΔΟΜΕΝΑ ΑΝΑΓΝΩΣΙΜΑ ΑΠΟ ΤΟΝ ΑΝΘΡΩΠΟ</w:t>
      </w:r>
    </w:p>
    <w:p w14:paraId="2BAC8CAF" w14:textId="77777777" w:rsidR="00F4326D" w:rsidRPr="0047462D" w:rsidRDefault="00F4326D" w:rsidP="00F4326D">
      <w:pPr>
        <w:suppressLineNumbers/>
        <w:rPr>
          <w:bCs/>
        </w:rPr>
      </w:pPr>
    </w:p>
    <w:p w14:paraId="159DE620" w14:textId="77777777" w:rsidR="00F4326D" w:rsidRPr="0047462D" w:rsidRDefault="00F4326D" w:rsidP="00F4326D"/>
    <w:p w14:paraId="65921737" w14:textId="77777777" w:rsidR="00F4326D" w:rsidRPr="0047462D" w:rsidRDefault="00F4326D" w:rsidP="00F4326D">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Cs w:val="0"/>
          <w:sz w:val="22"/>
          <w:szCs w:val="22"/>
        </w:rPr>
      </w:pPr>
      <w:r w:rsidRPr="0047462D">
        <w:rPr>
          <w:rFonts w:ascii="Times New Roman" w:hAnsi="Times New Roman" w:cs="Times New Roman"/>
          <w:bCs w:val="0"/>
          <w:sz w:val="22"/>
          <w:szCs w:val="22"/>
        </w:rPr>
        <w:br w:type="page"/>
      </w:r>
      <w:r w:rsidR="002A0A00" w:rsidRPr="0047462D">
        <w:rPr>
          <w:rFonts w:ascii="Times New Roman" w:hAnsi="Times New Roman" w:cs="Times New Roman"/>
          <w:bCs w:val="0"/>
          <w:sz w:val="22"/>
          <w:szCs w:val="22"/>
        </w:rPr>
        <w:t>ΕΛΑΧΙΣΤΕΣ ΕΝΔΕΙΞΕΙΣ ΠΟΥ ΠΡΕΠΕΙ ΝΑ ΑΝΑΓΡΑΦΟΝΤΑΙ ΣΤΙΣ ΜΙΚΡΕΣ ΣΤΟΙΧΕΙΩΔΕΙΣ ΣΥΣΚΕΥΑΣΙΕΣ</w:t>
      </w:r>
    </w:p>
    <w:p w14:paraId="30917EA9"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567" w:hanging="567"/>
        <w:rPr>
          <w:b/>
          <w:bCs/>
        </w:rPr>
      </w:pPr>
    </w:p>
    <w:p w14:paraId="58B4DF87" w14:textId="77777777" w:rsidR="00F4326D" w:rsidRPr="0047462D" w:rsidRDefault="002A0A00" w:rsidP="00F4326D">
      <w:pPr>
        <w:suppressLineNumbers/>
        <w:pBdr>
          <w:top w:val="single" w:sz="4" w:space="1" w:color="auto"/>
          <w:left w:val="single" w:sz="4" w:space="4" w:color="auto"/>
          <w:bottom w:val="single" w:sz="4" w:space="1" w:color="auto"/>
          <w:right w:val="single" w:sz="4" w:space="4" w:color="auto"/>
        </w:pBdr>
        <w:ind w:left="567" w:hanging="567"/>
        <w:rPr>
          <w:b/>
          <w:bCs/>
        </w:rPr>
      </w:pPr>
      <w:r w:rsidRPr="0047462D">
        <w:rPr>
          <w:rFonts w:eastAsia="Times New Roman"/>
          <w:b/>
          <w:bCs/>
          <w:szCs w:val="22"/>
        </w:rPr>
        <w:t>ΦΑΚΕΛΛΙΣΚΟΙ</w:t>
      </w:r>
    </w:p>
    <w:p w14:paraId="2DF0187C" w14:textId="77777777" w:rsidR="00F4326D" w:rsidRPr="0047462D" w:rsidRDefault="00F4326D" w:rsidP="00F4326D">
      <w:pPr>
        <w:suppressLineNumbers/>
      </w:pPr>
    </w:p>
    <w:p w14:paraId="6EE809BC" w14:textId="77777777" w:rsidR="00F4326D" w:rsidRPr="0047462D" w:rsidRDefault="00F4326D" w:rsidP="00F4326D">
      <w:pPr>
        <w:suppressLineNumbers/>
      </w:pPr>
    </w:p>
    <w:p w14:paraId="56CA7672"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w:t>
      </w:r>
      <w:r w:rsidRPr="0047462D">
        <w:rPr>
          <w:b/>
          <w:bCs/>
        </w:rPr>
        <w:tab/>
      </w:r>
      <w:r w:rsidR="002A0A00" w:rsidRPr="0047462D">
        <w:rPr>
          <w:b/>
        </w:rPr>
        <w:t>ΟΝΟΜΑΣΙΑ ΤΟΥ ΦΑΡΜΑΚΕΥΤΙΚΟΥ ΠΡΟΪΟΝΤΟΣ ΚΑΙ ΟΔΟΣ(ΟΙ) ΧΟΡΗΓΗΣΗΣ</w:t>
      </w:r>
    </w:p>
    <w:p w14:paraId="302EC4B6" w14:textId="77777777" w:rsidR="00F4326D" w:rsidRPr="0047462D" w:rsidRDefault="00F4326D" w:rsidP="00F4326D">
      <w:pPr>
        <w:suppressLineNumbers/>
        <w:ind w:left="720" w:hanging="720"/>
        <w:rPr>
          <w:iCs/>
        </w:rPr>
      </w:pPr>
    </w:p>
    <w:p w14:paraId="0D3D5708" w14:textId="77777777" w:rsidR="00F4326D" w:rsidRPr="0047462D" w:rsidRDefault="00F4326D" w:rsidP="00F4326D">
      <w:pPr>
        <w:ind w:left="720" w:hanging="720"/>
      </w:pPr>
      <w:r w:rsidRPr="0047462D">
        <w:t xml:space="preserve">Kalydeco 25 mg </w:t>
      </w:r>
      <w:r w:rsidR="002A0A00" w:rsidRPr="0047462D">
        <w:t>κοκκία</w:t>
      </w:r>
    </w:p>
    <w:p w14:paraId="05408A61" w14:textId="77777777" w:rsidR="00F4326D" w:rsidRPr="0047462D" w:rsidRDefault="00F4326D" w:rsidP="00F4326D">
      <w:pPr>
        <w:ind w:left="720" w:hanging="720"/>
      </w:pPr>
      <w:r w:rsidRPr="0047462D">
        <w:t>ivacaftor</w:t>
      </w:r>
    </w:p>
    <w:p w14:paraId="18094EC2" w14:textId="77777777" w:rsidR="00F4326D" w:rsidRPr="0047462D" w:rsidRDefault="002A0A00" w:rsidP="00F4326D">
      <w:pPr>
        <w:ind w:left="720" w:hanging="720"/>
      </w:pPr>
      <w:r w:rsidRPr="0047462D">
        <w:rPr>
          <w:szCs w:val="22"/>
          <w:lang w:eastAsia="en-US"/>
        </w:rPr>
        <w:t>Από στόματος χρήση</w:t>
      </w:r>
    </w:p>
    <w:p w14:paraId="381F1FB3" w14:textId="77777777" w:rsidR="00F4326D" w:rsidRPr="0047462D" w:rsidRDefault="00F4326D" w:rsidP="00F4326D">
      <w:pPr>
        <w:ind w:left="720" w:hanging="720"/>
        <w:rPr>
          <w:i/>
          <w:iCs/>
        </w:rPr>
      </w:pPr>
    </w:p>
    <w:p w14:paraId="1D0FEAD9" w14:textId="77777777" w:rsidR="00F4326D" w:rsidRPr="0047462D" w:rsidRDefault="00F4326D" w:rsidP="00F4326D">
      <w:pPr>
        <w:ind w:left="720" w:hanging="720"/>
        <w:rPr>
          <w:i/>
          <w:iCs/>
        </w:rPr>
      </w:pPr>
    </w:p>
    <w:p w14:paraId="06B151FD"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2.</w:t>
      </w:r>
      <w:r w:rsidRPr="0047462D">
        <w:rPr>
          <w:b/>
          <w:bCs/>
        </w:rPr>
        <w:tab/>
      </w:r>
      <w:r w:rsidR="002A0A00" w:rsidRPr="0047462D">
        <w:rPr>
          <w:b/>
          <w:noProof/>
          <w:szCs w:val="22"/>
        </w:rPr>
        <w:t>ΤΡΟΠΟΣ ΧΟΡΗΓΗΣΗΣ</w:t>
      </w:r>
    </w:p>
    <w:p w14:paraId="5BA31181" w14:textId="77777777" w:rsidR="00F4326D" w:rsidRPr="0047462D" w:rsidRDefault="00F4326D" w:rsidP="00F4326D">
      <w:pPr>
        <w:suppressLineNumbers/>
        <w:ind w:left="720" w:hanging="720"/>
      </w:pPr>
    </w:p>
    <w:p w14:paraId="19E35D5A" w14:textId="77777777" w:rsidR="00F4326D" w:rsidRPr="0047462D" w:rsidRDefault="00F4326D" w:rsidP="00F4326D">
      <w:pPr>
        <w:suppressLineNumbers/>
        <w:ind w:left="720" w:hanging="720"/>
      </w:pPr>
    </w:p>
    <w:p w14:paraId="42811738" w14:textId="77777777" w:rsidR="00F4326D" w:rsidRPr="0047462D" w:rsidRDefault="00F4326D" w:rsidP="00F4326D">
      <w:pPr>
        <w:suppressLineNumbers/>
        <w:pBdr>
          <w:top w:val="single" w:sz="4" w:space="1" w:color="auto"/>
          <w:left w:val="single" w:sz="4" w:space="4" w:color="auto"/>
          <w:bottom w:val="single" w:sz="4" w:space="2" w:color="auto"/>
          <w:right w:val="single" w:sz="4" w:space="4" w:color="auto"/>
        </w:pBdr>
        <w:ind w:left="720" w:hanging="720"/>
        <w:outlineLvl w:val="1"/>
        <w:rPr>
          <w:b/>
          <w:bCs/>
        </w:rPr>
      </w:pPr>
      <w:r w:rsidRPr="0047462D">
        <w:rPr>
          <w:b/>
          <w:bCs/>
        </w:rPr>
        <w:t>3.</w:t>
      </w:r>
      <w:r w:rsidRPr="0047462D">
        <w:rPr>
          <w:b/>
          <w:bCs/>
        </w:rPr>
        <w:tab/>
      </w:r>
      <w:r w:rsidR="002A0A00" w:rsidRPr="0047462D">
        <w:rPr>
          <w:b/>
          <w:bCs/>
          <w:noProof/>
          <w:szCs w:val="22"/>
          <w:lang w:eastAsia="en-US"/>
        </w:rPr>
        <w:t>ΗΜΕΡΟΜΗΝΙΑ ΛΗΞΗΣ</w:t>
      </w:r>
    </w:p>
    <w:p w14:paraId="6D648ACB" w14:textId="77777777" w:rsidR="00F4326D" w:rsidRPr="0047462D" w:rsidRDefault="00F4326D" w:rsidP="00F4326D">
      <w:pPr>
        <w:suppressLineNumbers/>
        <w:ind w:left="720" w:hanging="720"/>
      </w:pPr>
    </w:p>
    <w:p w14:paraId="452D8A94" w14:textId="77777777" w:rsidR="00F4326D" w:rsidRPr="0047462D" w:rsidRDefault="002A0A00" w:rsidP="00F4326D">
      <w:pPr>
        <w:suppressLineNumbers/>
        <w:ind w:left="720" w:hanging="720"/>
      </w:pPr>
      <w:r w:rsidRPr="0047462D">
        <w:t>ΛΗΞΗ</w:t>
      </w:r>
    </w:p>
    <w:p w14:paraId="7F2A1AEA" w14:textId="77777777" w:rsidR="00F4326D" w:rsidRPr="0047462D" w:rsidRDefault="00F4326D" w:rsidP="00F4326D">
      <w:pPr>
        <w:suppressLineNumbers/>
        <w:ind w:left="720" w:hanging="720"/>
      </w:pPr>
    </w:p>
    <w:p w14:paraId="0D578A55" w14:textId="77777777" w:rsidR="00F4326D" w:rsidRPr="0047462D" w:rsidRDefault="00F4326D" w:rsidP="00F4326D">
      <w:pPr>
        <w:suppressLineNumbers/>
        <w:ind w:left="720" w:hanging="720"/>
      </w:pPr>
    </w:p>
    <w:p w14:paraId="72629426"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4.</w:t>
      </w:r>
      <w:r w:rsidRPr="0047462D">
        <w:rPr>
          <w:b/>
          <w:bCs/>
        </w:rPr>
        <w:tab/>
      </w:r>
      <w:r w:rsidR="00473280" w:rsidRPr="0047462D">
        <w:rPr>
          <w:b/>
          <w:bCs/>
          <w:noProof/>
          <w:szCs w:val="22"/>
          <w:lang w:eastAsia="en-US"/>
        </w:rPr>
        <w:t>ΑΡΙΘΜΟΣ ΠΑΡΤΙΔΑΣ</w:t>
      </w:r>
    </w:p>
    <w:p w14:paraId="4ADA7BA0" w14:textId="77777777" w:rsidR="00F4326D" w:rsidRPr="0047462D" w:rsidRDefault="00F4326D" w:rsidP="00F4326D">
      <w:pPr>
        <w:suppressLineNumbers/>
        <w:ind w:left="720" w:hanging="720"/>
      </w:pPr>
    </w:p>
    <w:p w14:paraId="3AC592D9" w14:textId="77777777" w:rsidR="00F4326D" w:rsidRPr="0047462D" w:rsidRDefault="00473280" w:rsidP="00F4326D">
      <w:pPr>
        <w:suppressLineNumbers/>
        <w:ind w:left="720" w:hanging="720"/>
      </w:pPr>
      <w:r w:rsidRPr="0047462D">
        <w:t>Παρτίδα</w:t>
      </w:r>
    </w:p>
    <w:p w14:paraId="489F73FC" w14:textId="77777777" w:rsidR="00F4326D" w:rsidRPr="0047462D" w:rsidRDefault="00F4326D" w:rsidP="00F4326D">
      <w:pPr>
        <w:suppressLineNumbers/>
        <w:ind w:left="720" w:hanging="720"/>
      </w:pPr>
    </w:p>
    <w:p w14:paraId="28316CA1" w14:textId="77777777" w:rsidR="00F4326D" w:rsidRPr="0047462D" w:rsidRDefault="00F4326D" w:rsidP="00F4326D">
      <w:pPr>
        <w:suppressLineNumbers/>
        <w:ind w:left="720" w:hanging="720"/>
      </w:pPr>
    </w:p>
    <w:p w14:paraId="0B212D6A"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5.</w:t>
      </w:r>
      <w:r w:rsidRPr="0047462D">
        <w:rPr>
          <w:b/>
          <w:bCs/>
        </w:rPr>
        <w:tab/>
      </w:r>
      <w:r w:rsidR="00473280" w:rsidRPr="0047462D">
        <w:rPr>
          <w:b/>
        </w:rPr>
        <w:t>ΠΕΡΙΕΧΟΜΕΝΟ ΚΑΤΑ ΒΑΡΟΣ, ΚΑΤ' ΟΓΚΟ Ή ΚΑΤΑ ΜΟΝΑΔΑ</w:t>
      </w:r>
    </w:p>
    <w:p w14:paraId="12D7F595" w14:textId="77777777" w:rsidR="00F4326D" w:rsidRPr="0047462D" w:rsidRDefault="00F4326D" w:rsidP="00F4326D">
      <w:pPr>
        <w:ind w:left="720" w:hanging="720"/>
      </w:pPr>
    </w:p>
    <w:p w14:paraId="01F4FFD8" w14:textId="77777777" w:rsidR="00F4326D" w:rsidRPr="0047462D" w:rsidRDefault="00F4326D" w:rsidP="00F4326D">
      <w:pPr>
        <w:ind w:left="720" w:hanging="720"/>
      </w:pPr>
    </w:p>
    <w:p w14:paraId="2F07A31D"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lang w:val="en-US"/>
        </w:rPr>
      </w:pPr>
      <w:r w:rsidRPr="0047462D">
        <w:rPr>
          <w:b/>
          <w:bCs/>
          <w:lang w:val="en-US"/>
        </w:rPr>
        <w:t>6.</w:t>
      </w:r>
      <w:r w:rsidRPr="0047462D">
        <w:rPr>
          <w:b/>
          <w:bCs/>
          <w:lang w:val="en-US"/>
        </w:rPr>
        <w:tab/>
      </w:r>
      <w:r w:rsidR="00473280" w:rsidRPr="0047462D">
        <w:rPr>
          <w:b/>
        </w:rPr>
        <w:t>ΑΛΛΑ</w:t>
      </w:r>
      <w:r w:rsidR="00473280" w:rsidRPr="0047462D">
        <w:rPr>
          <w:b/>
          <w:lang w:val="fr-FR"/>
        </w:rPr>
        <w:t xml:space="preserve"> </w:t>
      </w:r>
      <w:r w:rsidR="00473280" w:rsidRPr="0047462D">
        <w:rPr>
          <w:b/>
        </w:rPr>
        <w:t>ΣΤΟΙΧΕΙΑ</w:t>
      </w:r>
    </w:p>
    <w:p w14:paraId="5309585E" w14:textId="77777777" w:rsidR="00F4326D" w:rsidRPr="0047462D" w:rsidRDefault="00F4326D" w:rsidP="00F4326D">
      <w:pPr>
        <w:ind w:left="720" w:hanging="720"/>
        <w:rPr>
          <w:lang w:val="en-US"/>
        </w:rPr>
      </w:pPr>
    </w:p>
    <w:p w14:paraId="288FEDE9" w14:textId="77777777" w:rsidR="00F4326D" w:rsidRPr="0047462D" w:rsidRDefault="00F4326D" w:rsidP="00F4326D">
      <w:pPr>
        <w:ind w:left="720" w:hanging="720"/>
        <w:rPr>
          <w:lang w:val="en-US"/>
        </w:rPr>
      </w:pPr>
      <w:r w:rsidRPr="0047462D">
        <w:rPr>
          <w:lang w:val="en-US"/>
        </w:rPr>
        <w:t>Vertex Pharmaceuticals (Ireland) Limited</w:t>
      </w:r>
    </w:p>
    <w:p w14:paraId="34A6BC5E" w14:textId="77777777" w:rsidR="00F4326D" w:rsidRPr="0047462D" w:rsidRDefault="00F4326D" w:rsidP="00F4326D">
      <w:pPr>
        <w:ind w:left="720" w:hanging="720"/>
        <w:rPr>
          <w:lang w:val="en-US"/>
        </w:rPr>
      </w:pPr>
    </w:p>
    <w:p w14:paraId="7B9528E1" w14:textId="77777777" w:rsidR="00F4326D" w:rsidRPr="0047462D" w:rsidRDefault="00F4326D" w:rsidP="00F4326D">
      <w:pPr>
        <w:ind w:left="720" w:hanging="720"/>
        <w:rPr>
          <w:lang w:val="en-US"/>
        </w:rPr>
      </w:pPr>
    </w:p>
    <w:p w14:paraId="244E2B90" w14:textId="77777777" w:rsidR="00F4326D" w:rsidRPr="0047462D" w:rsidRDefault="00F4326D" w:rsidP="00F4326D">
      <w:pPr>
        <w:rPr>
          <w:szCs w:val="22"/>
          <w:lang w:val="en-US" w:eastAsia="en-US"/>
        </w:rPr>
      </w:pPr>
      <w:r w:rsidRPr="0047462D">
        <w:rPr>
          <w:szCs w:val="22"/>
          <w:lang w:val="en-US"/>
        </w:rPr>
        <w:br w:type="page"/>
      </w:r>
    </w:p>
    <w:p w14:paraId="5B7B0BB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rFonts w:eastAsia="Times New Roman"/>
          <w:b/>
          <w:bCs/>
          <w:caps/>
          <w:szCs w:val="22"/>
        </w:rPr>
      </w:pPr>
      <w:r w:rsidRPr="0047462D">
        <w:rPr>
          <w:rFonts w:eastAsia="Times New Roman"/>
          <w:b/>
          <w:bCs/>
          <w:szCs w:val="22"/>
        </w:rPr>
        <w:t>ΕΝΔΕΙΞΕΙΣ ΠΟΥ ΠΡΕΠΕΙ ΝΑ ΑΝΑΓΡΑΦΟΝΤΑΙ ΣΤΗΝ ΕΞΩΤΕΡΙΚΗ ΣΥΣΚΕΥΑΣΙΑ</w:t>
      </w:r>
    </w:p>
    <w:p w14:paraId="1A7CF60C" w14:textId="77777777" w:rsidR="001C01B6" w:rsidRPr="0047462D" w:rsidRDefault="001C01B6" w:rsidP="001C01B6">
      <w:pPr>
        <w:keepNext/>
        <w:pBdr>
          <w:top w:val="single" w:sz="4" w:space="1" w:color="000000"/>
          <w:left w:val="single" w:sz="4" w:space="4" w:color="000000"/>
          <w:bottom w:val="single" w:sz="4" w:space="1" w:color="000000"/>
          <w:right w:val="single" w:sz="4" w:space="4" w:color="000000"/>
        </w:pBdr>
        <w:rPr>
          <w:rFonts w:eastAsia="Times New Roman"/>
          <w:b/>
          <w:bCs/>
          <w:caps/>
          <w:szCs w:val="22"/>
        </w:rPr>
      </w:pPr>
    </w:p>
    <w:p w14:paraId="46F7F54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ΤΟΝ ΦΑΚΕΛΛΙΣΚΟ</w:t>
      </w:r>
    </w:p>
    <w:p w14:paraId="3189E3F0" w14:textId="77777777" w:rsidR="001C01B6" w:rsidRPr="0047462D" w:rsidRDefault="001C01B6" w:rsidP="001C01B6">
      <w:pPr>
        <w:rPr>
          <w:szCs w:val="22"/>
          <w:lang w:eastAsia="en-US"/>
        </w:rPr>
      </w:pPr>
    </w:p>
    <w:p w14:paraId="11FA2FAE"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603D03F" w14:textId="77777777" w:rsidR="001C01B6" w:rsidRPr="0047462D" w:rsidRDefault="001C01B6" w:rsidP="001C01B6">
      <w:pPr>
        <w:rPr>
          <w:szCs w:val="22"/>
          <w:lang w:eastAsia="en-US"/>
        </w:rPr>
      </w:pPr>
    </w:p>
    <w:p w14:paraId="1B58D6E8" w14:textId="77777777" w:rsidR="001C01B6" w:rsidRPr="0047462D" w:rsidRDefault="001C01B6" w:rsidP="001C01B6">
      <w:pPr>
        <w:rPr>
          <w:rFonts w:eastAsia="Times New Roman"/>
          <w:spacing w:val="4"/>
          <w:szCs w:val="22"/>
        </w:rPr>
      </w:pPr>
      <w:r w:rsidRPr="0047462D">
        <w:rPr>
          <w:rFonts w:eastAsia="Times New Roman"/>
          <w:szCs w:val="22"/>
        </w:rPr>
        <w:t>Kalydeco 50</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3A3949D7" w14:textId="77777777" w:rsidR="001C01B6" w:rsidRPr="0047462D" w:rsidRDefault="00004A6E" w:rsidP="001C01B6">
      <w:pPr>
        <w:rPr>
          <w:szCs w:val="22"/>
          <w:lang w:eastAsia="en-US"/>
        </w:rPr>
      </w:pPr>
      <w:r w:rsidRPr="0047462D">
        <w:rPr>
          <w:lang w:val="en-US"/>
        </w:rPr>
        <w:t>i</w:t>
      </w:r>
      <w:r w:rsidR="009C4FCB" w:rsidRPr="0047462D">
        <w:t>vacaftor</w:t>
      </w:r>
    </w:p>
    <w:p w14:paraId="42D2827D" w14:textId="77777777" w:rsidR="001C01B6" w:rsidRPr="0047462D" w:rsidRDefault="001C01B6" w:rsidP="001C01B6">
      <w:pPr>
        <w:rPr>
          <w:szCs w:val="22"/>
          <w:lang w:eastAsia="en-US"/>
        </w:rPr>
      </w:pPr>
    </w:p>
    <w:p w14:paraId="20E4D6E5" w14:textId="77777777" w:rsidR="001C01B6" w:rsidRPr="0047462D" w:rsidRDefault="001C01B6" w:rsidP="001C01B6">
      <w:pPr>
        <w:rPr>
          <w:szCs w:val="22"/>
          <w:lang w:eastAsia="en-US"/>
        </w:rPr>
      </w:pPr>
    </w:p>
    <w:p w14:paraId="0614CEBC"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674BB6F8" w14:textId="77777777" w:rsidR="001C01B6" w:rsidRPr="0047462D" w:rsidRDefault="001C01B6" w:rsidP="001C01B6">
      <w:pPr>
        <w:rPr>
          <w:i/>
          <w:iCs/>
          <w:szCs w:val="22"/>
          <w:lang w:eastAsia="en-US"/>
        </w:rPr>
      </w:pPr>
    </w:p>
    <w:p w14:paraId="5EB73C88" w14:textId="77777777" w:rsidR="001C01B6" w:rsidRPr="0047462D" w:rsidRDefault="001C01B6" w:rsidP="001C01B6">
      <w:pPr>
        <w:rPr>
          <w:szCs w:val="22"/>
          <w:lang w:eastAsia="en-US"/>
        </w:rPr>
      </w:pPr>
      <w:r w:rsidRPr="0047462D">
        <w:rPr>
          <w:rFonts w:eastAsia="Times New Roman"/>
          <w:szCs w:val="22"/>
        </w:rPr>
        <w:t>Kάθε φακελλίσκος κοκκίων περιέχει 50 mg ivacaftor.</w:t>
      </w:r>
    </w:p>
    <w:p w14:paraId="369A1196" w14:textId="77777777" w:rsidR="001C01B6" w:rsidRPr="0047462D" w:rsidRDefault="001C01B6" w:rsidP="001C01B6">
      <w:pPr>
        <w:rPr>
          <w:szCs w:val="22"/>
          <w:lang w:eastAsia="en-US"/>
        </w:rPr>
      </w:pPr>
    </w:p>
    <w:p w14:paraId="4FA17BB6" w14:textId="77777777" w:rsidR="001C01B6" w:rsidRPr="0047462D" w:rsidRDefault="001C01B6" w:rsidP="001C01B6">
      <w:pPr>
        <w:rPr>
          <w:szCs w:val="22"/>
          <w:lang w:eastAsia="en-US"/>
        </w:rPr>
      </w:pPr>
    </w:p>
    <w:p w14:paraId="0113D541"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70E8D3CF" w14:textId="77777777" w:rsidR="001C01B6" w:rsidRPr="0047462D" w:rsidRDefault="001C01B6" w:rsidP="001C01B6">
      <w:pPr>
        <w:rPr>
          <w:szCs w:val="22"/>
          <w:lang w:eastAsia="en-US"/>
        </w:rPr>
      </w:pPr>
    </w:p>
    <w:p w14:paraId="2F12AB0E" w14:textId="77777777" w:rsidR="001C01B6" w:rsidRPr="0047462D" w:rsidRDefault="001C01B6" w:rsidP="001C01B6">
      <w:pPr>
        <w:rPr>
          <w:szCs w:val="22"/>
          <w:lang w:eastAsia="en-US"/>
        </w:rPr>
      </w:pPr>
      <w:r w:rsidRPr="0047462D">
        <w:rPr>
          <w:rFonts w:eastAsia="Times New Roman"/>
          <w:szCs w:val="22"/>
        </w:rPr>
        <w:t>Περιέχει λακτόζη.</w:t>
      </w:r>
    </w:p>
    <w:p w14:paraId="7A390B07" w14:textId="77777777" w:rsidR="001C01B6" w:rsidRPr="0047462D" w:rsidRDefault="001C01B6" w:rsidP="001C01B6">
      <w:pPr>
        <w:rPr>
          <w:szCs w:val="22"/>
          <w:lang w:eastAsia="en-US"/>
        </w:rPr>
      </w:pPr>
    </w:p>
    <w:p w14:paraId="79690EAA" w14:textId="77777777" w:rsidR="001C01B6" w:rsidRPr="0047462D" w:rsidRDefault="00ED7342" w:rsidP="001C01B6">
      <w:pPr>
        <w:rPr>
          <w:szCs w:val="22"/>
          <w:lang w:eastAsia="en-US"/>
        </w:rPr>
      </w:pPr>
      <w:r w:rsidRPr="0047462D">
        <w:rPr>
          <w:rFonts w:eastAsia="Times New Roman"/>
          <w:szCs w:val="22"/>
        </w:rPr>
        <w:t>Βλ. φύλλο οδηγιών χρήσης για περισσότερες πληροφορίες.</w:t>
      </w:r>
    </w:p>
    <w:p w14:paraId="4E648B2A" w14:textId="77777777" w:rsidR="001C01B6" w:rsidRPr="0047462D" w:rsidRDefault="001C01B6" w:rsidP="001C01B6">
      <w:pPr>
        <w:rPr>
          <w:szCs w:val="22"/>
          <w:lang w:eastAsia="en-US"/>
        </w:rPr>
      </w:pPr>
    </w:p>
    <w:p w14:paraId="023BAA65" w14:textId="77777777" w:rsidR="001C01B6" w:rsidRPr="0047462D" w:rsidRDefault="001C01B6" w:rsidP="001C01B6">
      <w:pPr>
        <w:rPr>
          <w:szCs w:val="22"/>
          <w:lang w:eastAsia="en-US"/>
        </w:rPr>
      </w:pPr>
    </w:p>
    <w:p w14:paraId="460499E4"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39909852" w14:textId="77777777" w:rsidR="001C01B6" w:rsidRPr="0047462D" w:rsidRDefault="001C01B6" w:rsidP="001C01B6">
      <w:pPr>
        <w:rPr>
          <w:szCs w:val="22"/>
          <w:lang w:eastAsia="en-US"/>
        </w:rPr>
      </w:pPr>
    </w:p>
    <w:p w14:paraId="7B30601F" w14:textId="77777777" w:rsidR="001C01B6" w:rsidRPr="0047462D" w:rsidRDefault="001C01B6" w:rsidP="001C01B6">
      <w:pPr>
        <w:rPr>
          <w:szCs w:val="22"/>
          <w:lang w:eastAsia="en-US"/>
        </w:rPr>
      </w:pPr>
      <w:r w:rsidRPr="0047462D">
        <w:rPr>
          <w:szCs w:val="22"/>
          <w:lang w:eastAsia="en-US"/>
        </w:rPr>
        <w:t>Κοκκία σε φακελλίσκο</w:t>
      </w:r>
    </w:p>
    <w:p w14:paraId="09E47967" w14:textId="77777777" w:rsidR="001C01B6" w:rsidRPr="0047462D" w:rsidRDefault="001C01B6" w:rsidP="001C01B6">
      <w:pPr>
        <w:rPr>
          <w:szCs w:val="22"/>
          <w:lang w:eastAsia="en-US"/>
        </w:rPr>
      </w:pPr>
    </w:p>
    <w:p w14:paraId="1D122CE0" w14:textId="77777777" w:rsidR="001C01B6" w:rsidRPr="0047462D" w:rsidRDefault="001C01B6" w:rsidP="001C01B6">
      <w:pPr>
        <w:rPr>
          <w:szCs w:val="22"/>
          <w:lang w:eastAsia="en-US"/>
        </w:rPr>
      </w:pPr>
      <w:r w:rsidRPr="0047462D">
        <w:rPr>
          <w:szCs w:val="22"/>
          <w:lang w:eastAsia="en-US"/>
        </w:rPr>
        <w:t>56 φακελλίσκοι</w:t>
      </w:r>
    </w:p>
    <w:p w14:paraId="5D5059A7" w14:textId="77777777" w:rsidR="001C01B6" w:rsidRPr="0047462D" w:rsidRDefault="001C01B6" w:rsidP="001C01B6">
      <w:pPr>
        <w:rPr>
          <w:szCs w:val="22"/>
          <w:lang w:eastAsia="en-US"/>
        </w:rPr>
      </w:pPr>
    </w:p>
    <w:p w14:paraId="6E8C320F" w14:textId="77777777" w:rsidR="001C01B6" w:rsidRPr="0047462D" w:rsidRDefault="001C01B6" w:rsidP="001C01B6">
      <w:pPr>
        <w:rPr>
          <w:szCs w:val="22"/>
          <w:lang w:eastAsia="en-US"/>
        </w:rPr>
      </w:pPr>
      <w:r w:rsidRPr="0047462D">
        <w:rPr>
          <w:szCs w:val="22"/>
          <w:lang w:eastAsia="en-US"/>
        </w:rPr>
        <w:t>4 ξεχωριστές καρτέλες με 14 φακελλίσκους ανά καρτέλα</w:t>
      </w:r>
    </w:p>
    <w:p w14:paraId="136953DA" w14:textId="77777777" w:rsidR="001C01B6" w:rsidRPr="0047462D" w:rsidRDefault="001C01B6" w:rsidP="001C01B6">
      <w:pPr>
        <w:rPr>
          <w:szCs w:val="22"/>
          <w:lang w:eastAsia="en-US"/>
        </w:rPr>
      </w:pPr>
    </w:p>
    <w:p w14:paraId="4AC282F9" w14:textId="77777777" w:rsidR="001C01B6" w:rsidRPr="0047462D" w:rsidRDefault="001C01B6" w:rsidP="001C01B6">
      <w:pPr>
        <w:rPr>
          <w:szCs w:val="22"/>
          <w:lang w:eastAsia="en-US"/>
        </w:rPr>
      </w:pPr>
    </w:p>
    <w:p w14:paraId="23276DD0"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9C4FCB" w:rsidRPr="0047462D">
        <w:rPr>
          <w:rFonts w:eastAsia="Times New Roman"/>
          <w:b/>
          <w:bCs/>
          <w:szCs w:val="22"/>
        </w:rPr>
        <w:t>(ΟΙ)</w:t>
      </w:r>
      <w:r w:rsidRPr="0047462D">
        <w:rPr>
          <w:rFonts w:eastAsia="Times New Roman"/>
          <w:b/>
          <w:bCs/>
          <w:szCs w:val="22"/>
        </w:rPr>
        <w:t xml:space="preserve"> ΧΟΡΗΓΗΣΗΣ</w:t>
      </w:r>
    </w:p>
    <w:p w14:paraId="3AAC98DC" w14:textId="77777777" w:rsidR="001C01B6" w:rsidRPr="0047462D" w:rsidRDefault="001C01B6" w:rsidP="001C01B6">
      <w:pPr>
        <w:rPr>
          <w:szCs w:val="22"/>
          <w:lang w:eastAsia="en-US"/>
        </w:rPr>
      </w:pPr>
    </w:p>
    <w:p w14:paraId="0A70F0AA"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29CD5AD6" w14:textId="77777777" w:rsidR="000F0A70" w:rsidRPr="0047462D" w:rsidRDefault="000F0A70" w:rsidP="001C01B6">
      <w:pPr>
        <w:rPr>
          <w:rFonts w:eastAsia="Times New Roman"/>
          <w:szCs w:val="22"/>
        </w:rPr>
      </w:pPr>
    </w:p>
    <w:p w14:paraId="46229C9B"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38DED07C" w14:textId="77777777" w:rsidR="001C01B6" w:rsidRPr="0047462D" w:rsidRDefault="001C01B6" w:rsidP="001C01B6">
      <w:pPr>
        <w:autoSpaceDE w:val="0"/>
        <w:rPr>
          <w:szCs w:val="22"/>
        </w:rPr>
      </w:pPr>
    </w:p>
    <w:p w14:paraId="56F0E748" w14:textId="71B323D0" w:rsidR="009C4FCB" w:rsidRPr="0047462D" w:rsidRDefault="009C4FCB" w:rsidP="001C01B6">
      <w:r w:rsidRPr="0047462D">
        <w:rPr>
          <w:b/>
          <w:bCs/>
        </w:rPr>
        <w:t>Ο</w:t>
      </w:r>
      <w:r w:rsidR="00D82483" w:rsidRPr="0047462D">
        <w:rPr>
          <w:b/>
          <w:bCs/>
        </w:rPr>
        <w:t>δηγίες χρήσης</w:t>
      </w:r>
    </w:p>
    <w:p w14:paraId="72E5A4DF" w14:textId="77777777" w:rsidR="001C01B6" w:rsidRPr="0047462D" w:rsidRDefault="001C01B6" w:rsidP="001C01B6"/>
    <w:p w14:paraId="7F9E799A" w14:textId="77777777" w:rsidR="000F0A70" w:rsidRPr="0047462D" w:rsidRDefault="009A71A9" w:rsidP="006F402D">
      <w:pPr>
        <w:rPr>
          <w:rFonts w:eastAsia="Times New Roman"/>
          <w:szCs w:val="22"/>
        </w:rPr>
      </w:pPr>
      <w:r w:rsidRPr="0047462D">
        <w:rPr>
          <w:rFonts w:eastAsia="Times New Roman"/>
          <w:szCs w:val="22"/>
        </w:rPr>
        <w:t>Αναμείξτε όλο το περιεχόμενο ενός φακελλίσκου με 5</w:t>
      </w:r>
      <w:r w:rsidRPr="0047462D">
        <w:rPr>
          <w:rFonts w:eastAsia="MS Mincho"/>
          <w:color w:val="000000"/>
          <w:szCs w:val="22"/>
          <w:lang w:eastAsia="ja-JP"/>
        </w:rPr>
        <w:t> </w:t>
      </w:r>
      <w:r w:rsidRPr="0047462D">
        <w:rPr>
          <w:rFonts w:eastAsia="Times New Roman"/>
          <w:szCs w:val="22"/>
        </w:rPr>
        <w:t>m</w:t>
      </w:r>
      <w:r w:rsidRPr="0047462D">
        <w:rPr>
          <w:rFonts w:eastAsia="Times New Roman"/>
          <w:szCs w:val="22"/>
          <w:lang w:val="en-US"/>
        </w:rPr>
        <w:t>l</w:t>
      </w:r>
      <w:r w:rsidRPr="0047462D">
        <w:rPr>
          <w:rFonts w:eastAsia="Times New Roman"/>
          <w:szCs w:val="22"/>
        </w:rPr>
        <w:t xml:space="preserve"> μαλακής τροφής κατάλληλης για την ηλικία ή υγρού</w:t>
      </w:r>
      <w:r w:rsidR="000375A7" w:rsidRPr="0047462D">
        <w:rPr>
          <w:rFonts w:eastAsia="Times New Roman"/>
          <w:szCs w:val="22"/>
        </w:rPr>
        <w:t xml:space="preserve"> που βρίσκεται σε θερμοκρασία δωματίου ή </w:t>
      </w:r>
      <w:r w:rsidR="006F402D" w:rsidRPr="0047462D">
        <w:rPr>
          <w:rFonts w:eastAsia="Times New Roman"/>
          <w:szCs w:val="22"/>
        </w:rPr>
        <w:t>χαμηλότερη</w:t>
      </w:r>
      <w:r w:rsidR="00ED7342" w:rsidRPr="0047462D">
        <w:rPr>
          <w:rFonts w:eastAsia="Times New Roman"/>
          <w:szCs w:val="22"/>
        </w:rPr>
        <w:t xml:space="preserve"> </w:t>
      </w:r>
      <w:r w:rsidR="000375A7" w:rsidRPr="0047462D">
        <w:rPr>
          <w:rFonts w:eastAsia="Times New Roman"/>
          <w:szCs w:val="22"/>
        </w:rPr>
        <w:t>και καταναλώστε πλήρως</w:t>
      </w:r>
      <w:r w:rsidRPr="0047462D">
        <w:rPr>
          <w:rFonts w:eastAsia="Times New Roman"/>
          <w:szCs w:val="22"/>
        </w:rPr>
        <w:t>.</w:t>
      </w:r>
    </w:p>
    <w:p w14:paraId="7DAC015A" w14:textId="77777777" w:rsidR="000F0A70" w:rsidRPr="0047462D" w:rsidRDefault="000F0A70" w:rsidP="006F402D">
      <w:pPr>
        <w:rPr>
          <w:rFonts w:eastAsia="Times New Roman"/>
          <w:szCs w:val="22"/>
        </w:rPr>
      </w:pPr>
    </w:p>
    <w:p w14:paraId="4ABCD600" w14:textId="77777777" w:rsidR="001C01B6" w:rsidRPr="0047462D" w:rsidRDefault="009A71A9" w:rsidP="006F402D">
      <w:r w:rsidRPr="0047462D">
        <w:rPr>
          <w:rFonts w:eastAsia="Times New Roman"/>
          <w:szCs w:val="22"/>
        </w:rPr>
        <w:t xml:space="preserve">Χρησιμοποιήστε εντός μίας ώρας </w:t>
      </w:r>
      <w:r w:rsidR="00402E9F" w:rsidRPr="0047462D">
        <w:rPr>
          <w:rFonts w:eastAsia="Times New Roman"/>
          <w:szCs w:val="22"/>
        </w:rPr>
        <w:t>μετά</w:t>
      </w:r>
      <w:r w:rsidRPr="0047462D">
        <w:rPr>
          <w:rFonts w:eastAsia="Times New Roman"/>
          <w:szCs w:val="22"/>
        </w:rPr>
        <w:t xml:space="preserve"> την ανάμειξη, λίγο πριν ή </w:t>
      </w:r>
      <w:r w:rsidR="00E80D9A" w:rsidRPr="0047462D">
        <w:rPr>
          <w:rFonts w:eastAsia="Times New Roman"/>
          <w:szCs w:val="22"/>
        </w:rPr>
        <w:t xml:space="preserve">αμέσως </w:t>
      </w:r>
      <w:r w:rsidRPr="0047462D">
        <w:rPr>
          <w:rFonts w:eastAsia="Times New Roman"/>
          <w:szCs w:val="22"/>
        </w:rPr>
        <w:t xml:space="preserve">μετά από </w:t>
      </w:r>
      <w:r w:rsidR="00402E9F" w:rsidRPr="0047462D">
        <w:rPr>
          <w:rFonts w:eastAsia="Times New Roman"/>
          <w:szCs w:val="22"/>
        </w:rPr>
        <w:t>γεύμα ή σνακ</w:t>
      </w:r>
      <w:r w:rsidRPr="0047462D">
        <w:rPr>
          <w:rFonts w:eastAsia="Times New Roman"/>
          <w:szCs w:val="22"/>
        </w:rPr>
        <w:t xml:space="preserve"> που περιέχει λίπος.</w:t>
      </w:r>
    </w:p>
    <w:p w14:paraId="496AA507" w14:textId="77777777" w:rsidR="00D800AC" w:rsidRPr="0047462D" w:rsidRDefault="00D800AC" w:rsidP="00D800AC">
      <w:pPr>
        <w:suppressLineNumbers/>
      </w:pPr>
    </w:p>
    <w:p w14:paraId="1B49CE05" w14:textId="77777777" w:rsidR="00075865" w:rsidRPr="0047462D" w:rsidRDefault="00075865" w:rsidP="00075865">
      <w:pPr>
        <w:suppressLineNumbers/>
      </w:pPr>
      <w:r w:rsidRPr="0047462D">
        <w:t xml:space="preserve">Σηκώστε εδώ για να ανοίξετε </w:t>
      </w:r>
    </w:p>
    <w:p w14:paraId="79714C70" w14:textId="77777777" w:rsidR="001C01B6" w:rsidRPr="0047462D" w:rsidRDefault="001C01B6" w:rsidP="001C01B6">
      <w:pPr>
        <w:rPr>
          <w:szCs w:val="22"/>
          <w:lang w:eastAsia="en-US"/>
        </w:rPr>
      </w:pPr>
    </w:p>
    <w:p w14:paraId="0A8E4E7D" w14:textId="77777777" w:rsidR="001C01B6" w:rsidRPr="0047462D" w:rsidRDefault="001C01B6" w:rsidP="001C01B6">
      <w:pPr>
        <w:autoSpaceDE w:val="0"/>
        <w:rPr>
          <w:szCs w:val="22"/>
        </w:rPr>
      </w:pPr>
    </w:p>
    <w:p w14:paraId="1065D72C" w14:textId="77777777" w:rsidR="001C01B6" w:rsidRPr="0047462D" w:rsidRDefault="001C01B6" w:rsidP="009A2EEC">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DFC6A95" w14:textId="77777777" w:rsidR="001C01B6" w:rsidRPr="0047462D" w:rsidRDefault="001C01B6" w:rsidP="009A2EEC">
      <w:pPr>
        <w:keepNext/>
        <w:rPr>
          <w:szCs w:val="22"/>
          <w:lang w:eastAsia="en-US"/>
        </w:rPr>
      </w:pPr>
    </w:p>
    <w:p w14:paraId="4791A76D"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9D0DD82" w14:textId="77777777" w:rsidR="001C01B6" w:rsidRPr="0047462D" w:rsidRDefault="001C01B6" w:rsidP="001C01B6">
      <w:pPr>
        <w:rPr>
          <w:szCs w:val="22"/>
          <w:lang w:eastAsia="en-US"/>
        </w:rPr>
      </w:pPr>
    </w:p>
    <w:p w14:paraId="1CCEA70F" w14:textId="77777777" w:rsidR="001C01B6" w:rsidRPr="0047462D" w:rsidRDefault="001C01B6" w:rsidP="001C01B6">
      <w:pPr>
        <w:rPr>
          <w:szCs w:val="22"/>
          <w:lang w:eastAsia="en-US"/>
        </w:rPr>
      </w:pPr>
    </w:p>
    <w:p w14:paraId="3EEBB454" w14:textId="77777777" w:rsidR="005D5499" w:rsidRPr="0047462D" w:rsidRDefault="001C01B6" w:rsidP="009E50D2">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402E9F" w:rsidRPr="0047462D">
        <w:rPr>
          <w:rFonts w:eastAsia="Times New Roman"/>
          <w:b/>
          <w:bCs/>
          <w:szCs w:val="22"/>
        </w:rPr>
        <w:t>Η(</w:t>
      </w:r>
      <w:r w:rsidRPr="0047462D">
        <w:rPr>
          <w:rFonts w:eastAsia="Times New Roman"/>
          <w:b/>
          <w:bCs/>
          <w:szCs w:val="22"/>
        </w:rPr>
        <w:t>ΕΣ</w:t>
      </w:r>
      <w:r w:rsidR="00402E9F" w:rsidRPr="0047462D">
        <w:rPr>
          <w:rFonts w:eastAsia="Times New Roman"/>
          <w:b/>
          <w:bCs/>
          <w:szCs w:val="22"/>
        </w:rPr>
        <w:t>)</w:t>
      </w:r>
      <w:r w:rsidRPr="0047462D">
        <w:rPr>
          <w:rFonts w:eastAsia="Times New Roman"/>
          <w:b/>
          <w:bCs/>
          <w:szCs w:val="22"/>
        </w:rPr>
        <w:t xml:space="preserve"> ΕΙΔΙΚ</w:t>
      </w:r>
      <w:r w:rsidR="00402E9F" w:rsidRPr="0047462D">
        <w:rPr>
          <w:rFonts w:eastAsia="Times New Roman"/>
          <w:b/>
          <w:bCs/>
          <w:szCs w:val="22"/>
        </w:rPr>
        <w:t>Η(</w:t>
      </w:r>
      <w:r w:rsidRPr="0047462D">
        <w:rPr>
          <w:rFonts w:eastAsia="Times New Roman"/>
          <w:b/>
          <w:bCs/>
          <w:szCs w:val="22"/>
        </w:rPr>
        <w:t>ΕΣ</w:t>
      </w:r>
      <w:r w:rsidR="00402E9F" w:rsidRPr="0047462D">
        <w:rPr>
          <w:rFonts w:eastAsia="Times New Roman"/>
          <w:b/>
          <w:bCs/>
          <w:szCs w:val="22"/>
        </w:rPr>
        <w:t>)</w:t>
      </w:r>
      <w:r w:rsidRPr="0047462D">
        <w:rPr>
          <w:rFonts w:eastAsia="Times New Roman"/>
          <w:b/>
          <w:bCs/>
          <w:szCs w:val="22"/>
        </w:rPr>
        <w:t xml:space="preserve"> ΠΡΟΕΙΔΟΠΟΙΗΣ</w:t>
      </w:r>
      <w:r w:rsidR="00402E9F" w:rsidRPr="0047462D">
        <w:rPr>
          <w:rFonts w:eastAsia="Times New Roman"/>
          <w:b/>
          <w:bCs/>
          <w:szCs w:val="22"/>
        </w:rPr>
        <w:t>Η(</w:t>
      </w:r>
      <w:r w:rsidRPr="0047462D">
        <w:rPr>
          <w:rFonts w:eastAsia="Times New Roman"/>
          <w:b/>
          <w:bCs/>
          <w:szCs w:val="22"/>
        </w:rPr>
        <w:t>ΕΙΣ</w:t>
      </w:r>
      <w:r w:rsidR="00402E9F" w:rsidRPr="0047462D">
        <w:rPr>
          <w:rFonts w:eastAsia="Times New Roman"/>
          <w:b/>
          <w:bCs/>
          <w:szCs w:val="22"/>
        </w:rPr>
        <w:t>)</w:t>
      </w:r>
      <w:r w:rsidRPr="0047462D">
        <w:rPr>
          <w:b/>
          <w:lang w:eastAsia="en-US"/>
        </w:rPr>
        <w:t>, ΕΑΝ ΕΙΝΑΙ ΑΠΑΡΑΙΤΗΤ</w:t>
      </w:r>
      <w:r w:rsidR="00402E9F" w:rsidRPr="0047462D">
        <w:rPr>
          <w:b/>
          <w:lang w:eastAsia="en-US"/>
        </w:rPr>
        <w:t>Η(</w:t>
      </w:r>
      <w:r w:rsidRPr="0047462D">
        <w:rPr>
          <w:b/>
          <w:lang w:eastAsia="en-US"/>
        </w:rPr>
        <w:t>ΕΣ</w:t>
      </w:r>
      <w:r w:rsidR="00402E9F" w:rsidRPr="0047462D">
        <w:rPr>
          <w:b/>
          <w:lang w:eastAsia="en-US"/>
        </w:rPr>
        <w:t>)</w:t>
      </w:r>
    </w:p>
    <w:p w14:paraId="7371D819" w14:textId="77777777" w:rsidR="001C01B6" w:rsidRPr="0047462D" w:rsidRDefault="001C01B6" w:rsidP="001C01B6">
      <w:pPr>
        <w:rPr>
          <w:szCs w:val="22"/>
          <w:lang w:eastAsia="en-US"/>
        </w:rPr>
      </w:pPr>
    </w:p>
    <w:p w14:paraId="717C3243" w14:textId="77777777" w:rsidR="001C01B6" w:rsidRPr="0047462D" w:rsidRDefault="001C01B6" w:rsidP="001C01B6">
      <w:pPr>
        <w:tabs>
          <w:tab w:val="left" w:pos="749"/>
        </w:tabs>
        <w:rPr>
          <w:szCs w:val="22"/>
          <w:lang w:eastAsia="en-US"/>
        </w:rPr>
      </w:pPr>
    </w:p>
    <w:p w14:paraId="44A125D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5362396" w14:textId="77777777" w:rsidR="001C01B6" w:rsidRPr="0047462D" w:rsidRDefault="001C01B6" w:rsidP="001C01B6">
      <w:pPr>
        <w:rPr>
          <w:szCs w:val="22"/>
          <w:lang w:eastAsia="en-US"/>
        </w:rPr>
      </w:pPr>
    </w:p>
    <w:p w14:paraId="39003A50" w14:textId="77777777" w:rsidR="001C01B6" w:rsidRPr="0047462D" w:rsidRDefault="001C01B6" w:rsidP="001C01B6">
      <w:pPr>
        <w:rPr>
          <w:szCs w:val="22"/>
          <w:lang w:eastAsia="en-US"/>
        </w:rPr>
      </w:pPr>
      <w:r w:rsidRPr="0047462D">
        <w:rPr>
          <w:rFonts w:eastAsia="Times New Roman"/>
          <w:szCs w:val="22"/>
        </w:rPr>
        <w:t>ΛΗΞΗ</w:t>
      </w:r>
    </w:p>
    <w:p w14:paraId="53214CCC" w14:textId="77777777" w:rsidR="001C01B6" w:rsidRPr="0047462D" w:rsidRDefault="001C01B6" w:rsidP="001C01B6">
      <w:pPr>
        <w:rPr>
          <w:szCs w:val="22"/>
          <w:lang w:eastAsia="en-US"/>
        </w:rPr>
      </w:pPr>
    </w:p>
    <w:p w14:paraId="3F8C1F2D" w14:textId="77777777" w:rsidR="001C01B6" w:rsidRPr="0047462D" w:rsidRDefault="001C01B6" w:rsidP="001C01B6">
      <w:pPr>
        <w:rPr>
          <w:szCs w:val="22"/>
          <w:lang w:eastAsia="en-US"/>
        </w:rPr>
      </w:pPr>
    </w:p>
    <w:p w14:paraId="7D94DED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53366BC6" w14:textId="77777777" w:rsidR="001C01B6" w:rsidRPr="0047462D" w:rsidRDefault="001C01B6" w:rsidP="001C01B6">
      <w:pPr>
        <w:rPr>
          <w:szCs w:val="22"/>
          <w:lang w:eastAsia="en-US"/>
        </w:rPr>
      </w:pPr>
    </w:p>
    <w:p w14:paraId="69D15A47" w14:textId="77777777" w:rsidR="001C01B6" w:rsidRPr="0047462D" w:rsidRDefault="001C01B6" w:rsidP="001C01B6">
      <w:pPr>
        <w:rPr>
          <w:szCs w:val="22"/>
          <w:lang w:eastAsia="en-US"/>
        </w:rPr>
      </w:pPr>
    </w:p>
    <w:p w14:paraId="1F813D59" w14:textId="77777777" w:rsidR="001C01B6" w:rsidRPr="0047462D" w:rsidRDefault="001C01B6"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7" w:hanging="567"/>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C1B33DB" w14:textId="77777777" w:rsidR="001C01B6" w:rsidRPr="0047462D" w:rsidRDefault="001C01B6" w:rsidP="001C01B6">
      <w:pPr>
        <w:rPr>
          <w:szCs w:val="22"/>
          <w:lang w:eastAsia="en-US"/>
        </w:rPr>
      </w:pPr>
    </w:p>
    <w:p w14:paraId="7AA13F0F" w14:textId="77777777" w:rsidR="001C01B6" w:rsidRPr="0047462D" w:rsidRDefault="001C01B6" w:rsidP="001C01B6">
      <w:pPr>
        <w:rPr>
          <w:szCs w:val="22"/>
          <w:lang w:eastAsia="en-US"/>
        </w:rPr>
      </w:pPr>
    </w:p>
    <w:p w14:paraId="16FD0EE0"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05305490" w14:textId="77777777" w:rsidR="001C01B6" w:rsidRPr="0047462D" w:rsidRDefault="001C01B6" w:rsidP="001C01B6">
      <w:pPr>
        <w:rPr>
          <w:szCs w:val="22"/>
          <w:lang w:eastAsia="en-US"/>
        </w:rPr>
      </w:pPr>
    </w:p>
    <w:p w14:paraId="2A28B9BB" w14:textId="77777777" w:rsidR="00AE0285" w:rsidRPr="0047462D" w:rsidRDefault="00AE0285" w:rsidP="00AE0285">
      <w:pPr>
        <w:rPr>
          <w:iCs/>
          <w:lang w:val="en-GB"/>
        </w:rPr>
      </w:pPr>
      <w:r w:rsidRPr="0047462D">
        <w:rPr>
          <w:iCs/>
          <w:lang w:val="en-GB"/>
        </w:rPr>
        <w:t>Vertex Pharmaceuticals (Ireland) Limited</w:t>
      </w:r>
    </w:p>
    <w:p w14:paraId="776A1538" w14:textId="77777777" w:rsidR="00AE0285" w:rsidRPr="0047462D" w:rsidRDefault="00AE0285" w:rsidP="00AE0285">
      <w:pPr>
        <w:rPr>
          <w:iCs/>
          <w:lang w:val="en-GB"/>
        </w:rPr>
      </w:pPr>
      <w:r w:rsidRPr="0047462D">
        <w:rPr>
          <w:iCs/>
          <w:lang w:val="en-GB"/>
        </w:rPr>
        <w:t>28-32 Pembroke Street Upper</w:t>
      </w:r>
    </w:p>
    <w:p w14:paraId="3BBD00D3"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5CD585AD" w14:textId="77777777" w:rsidR="00AE0285" w:rsidRPr="0047462D" w:rsidRDefault="00AE0285" w:rsidP="00AE0285">
      <w:pPr>
        <w:pStyle w:val="NormalIndent"/>
        <w:spacing w:after="0"/>
        <w:ind w:left="0"/>
        <w:rPr>
          <w:rFonts w:eastAsia="Times New Roman"/>
        </w:rPr>
      </w:pPr>
      <w:r w:rsidRPr="0047462D">
        <w:rPr>
          <w:iCs/>
        </w:rPr>
        <w:t>Ιρλανδία</w:t>
      </w:r>
    </w:p>
    <w:p w14:paraId="067634B0" w14:textId="77777777" w:rsidR="001C01B6" w:rsidRPr="0047462D" w:rsidRDefault="001C01B6" w:rsidP="001C01B6"/>
    <w:p w14:paraId="7FCFFA8F" w14:textId="77777777" w:rsidR="001C01B6" w:rsidRPr="0047462D" w:rsidRDefault="001C01B6" w:rsidP="001C01B6">
      <w:pPr>
        <w:pStyle w:val="1"/>
        <w:spacing w:after="0"/>
        <w:ind w:left="0"/>
        <w:rPr>
          <w:szCs w:val="22"/>
        </w:rPr>
      </w:pPr>
    </w:p>
    <w:p w14:paraId="68CC29B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lang w:eastAsia="en-US"/>
        </w:rPr>
        <w:t>12.</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7B6A7081" w14:textId="77777777" w:rsidR="001C01B6" w:rsidRPr="0047462D" w:rsidRDefault="001C01B6" w:rsidP="001C01B6">
      <w:pPr>
        <w:rPr>
          <w:szCs w:val="22"/>
          <w:lang w:eastAsia="en-US"/>
        </w:rPr>
      </w:pPr>
    </w:p>
    <w:p w14:paraId="3D6B0930" w14:textId="77777777" w:rsidR="001C01B6" w:rsidRPr="0047462D" w:rsidRDefault="001C01B6" w:rsidP="001C01B6">
      <w:r w:rsidRPr="0047462D">
        <w:rPr>
          <w:lang w:val="de-DE"/>
        </w:rPr>
        <w:t>EU</w:t>
      </w:r>
      <w:r w:rsidRPr="0047462D">
        <w:t>/1/12/782/003</w:t>
      </w:r>
    </w:p>
    <w:p w14:paraId="4E4C47E2" w14:textId="77777777" w:rsidR="001C01B6" w:rsidRPr="0047462D" w:rsidRDefault="001C01B6" w:rsidP="001C01B6">
      <w:pPr>
        <w:rPr>
          <w:szCs w:val="22"/>
          <w:lang w:eastAsia="en-US"/>
        </w:rPr>
      </w:pPr>
    </w:p>
    <w:p w14:paraId="5F6E93F3" w14:textId="77777777" w:rsidR="001C01B6" w:rsidRPr="0047462D" w:rsidRDefault="001C01B6" w:rsidP="001C01B6">
      <w:pPr>
        <w:rPr>
          <w:szCs w:val="22"/>
          <w:lang w:eastAsia="en-US"/>
        </w:rPr>
      </w:pPr>
    </w:p>
    <w:p w14:paraId="302EABD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09842E48" w14:textId="77777777" w:rsidR="001C01B6" w:rsidRPr="0047462D" w:rsidRDefault="001C01B6" w:rsidP="001C01B6">
      <w:pPr>
        <w:rPr>
          <w:i/>
          <w:iCs/>
          <w:szCs w:val="22"/>
          <w:lang w:eastAsia="en-US"/>
        </w:rPr>
      </w:pPr>
    </w:p>
    <w:p w14:paraId="2EF03056" w14:textId="77777777" w:rsidR="001C01B6" w:rsidRPr="0047462D" w:rsidRDefault="001C01B6" w:rsidP="001C01B6">
      <w:pPr>
        <w:rPr>
          <w:szCs w:val="22"/>
          <w:lang w:eastAsia="en-US"/>
        </w:rPr>
      </w:pPr>
      <w:r w:rsidRPr="0047462D">
        <w:rPr>
          <w:szCs w:val="22"/>
          <w:lang w:eastAsia="en-US"/>
        </w:rPr>
        <w:t>Παρτίδα</w:t>
      </w:r>
    </w:p>
    <w:p w14:paraId="4F7B2537" w14:textId="77777777" w:rsidR="001C01B6" w:rsidRPr="0047462D" w:rsidRDefault="001C01B6" w:rsidP="001C01B6">
      <w:pPr>
        <w:rPr>
          <w:szCs w:val="22"/>
          <w:lang w:eastAsia="en-US"/>
        </w:rPr>
      </w:pPr>
    </w:p>
    <w:p w14:paraId="424F7DE1" w14:textId="77777777" w:rsidR="001C01B6" w:rsidRPr="0047462D" w:rsidRDefault="001C01B6" w:rsidP="001C01B6">
      <w:pPr>
        <w:rPr>
          <w:szCs w:val="22"/>
          <w:lang w:eastAsia="en-US"/>
        </w:rPr>
      </w:pPr>
    </w:p>
    <w:p w14:paraId="7E9D04D7"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68CF9FB8" w14:textId="77777777" w:rsidR="001C01B6" w:rsidRPr="0047462D" w:rsidRDefault="001C01B6" w:rsidP="001C01B6">
      <w:pPr>
        <w:rPr>
          <w:szCs w:val="22"/>
          <w:lang w:eastAsia="en-US"/>
        </w:rPr>
      </w:pPr>
    </w:p>
    <w:p w14:paraId="002F3A2D" w14:textId="77777777" w:rsidR="001C01B6" w:rsidRPr="0047462D" w:rsidRDefault="001C01B6" w:rsidP="001C01B6">
      <w:pPr>
        <w:rPr>
          <w:szCs w:val="22"/>
          <w:lang w:eastAsia="en-US"/>
        </w:rPr>
      </w:pPr>
    </w:p>
    <w:p w14:paraId="2ED78C24" w14:textId="77777777" w:rsidR="001C01B6" w:rsidRPr="0047462D" w:rsidRDefault="001C01B6" w:rsidP="001C01B6">
      <w:pPr>
        <w:pBdr>
          <w:top w:val="single" w:sz="4" w:space="2"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1E2818F9" w14:textId="77777777" w:rsidR="001C01B6" w:rsidRPr="0047462D" w:rsidRDefault="001C01B6" w:rsidP="001C01B6">
      <w:pPr>
        <w:rPr>
          <w:szCs w:val="22"/>
          <w:lang w:eastAsia="en-US"/>
        </w:rPr>
      </w:pPr>
    </w:p>
    <w:p w14:paraId="0352CCCC" w14:textId="77777777" w:rsidR="001C01B6" w:rsidRPr="0047462D" w:rsidRDefault="001C01B6" w:rsidP="001C01B6">
      <w:pPr>
        <w:rPr>
          <w:szCs w:val="22"/>
          <w:lang w:eastAsia="en-US"/>
        </w:rPr>
      </w:pPr>
    </w:p>
    <w:p w14:paraId="1A875466" w14:textId="77777777" w:rsidR="001C01B6" w:rsidRPr="0047462D" w:rsidRDefault="001C01B6" w:rsidP="001C01B6">
      <w:pPr>
        <w:pBdr>
          <w:top w:val="single" w:sz="4" w:space="1" w:color="auto"/>
          <w:left w:val="single" w:sz="4" w:space="4" w:color="auto"/>
          <w:bottom w:val="single" w:sz="4" w:space="0" w:color="auto"/>
          <w:right w:val="single" w:sz="4" w:space="4" w:color="auto"/>
        </w:pBdr>
        <w:tabs>
          <w:tab w:val="left" w:pos="567"/>
        </w:tabs>
        <w:suppressAutoHyphens w:val="0"/>
        <w:spacing w:line="260" w:lineRule="exact"/>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54BD9FED" w14:textId="77777777" w:rsidR="001C01B6" w:rsidRPr="0047462D" w:rsidRDefault="001C01B6" w:rsidP="001C01B6">
      <w:pPr>
        <w:rPr>
          <w:szCs w:val="22"/>
          <w:shd w:val="clear" w:color="auto" w:fill="CCCCCC"/>
          <w:lang w:eastAsia="en-US"/>
        </w:rPr>
      </w:pPr>
    </w:p>
    <w:p w14:paraId="09AD33E6" w14:textId="77777777" w:rsidR="001C01B6" w:rsidRPr="0047462D" w:rsidRDefault="001C01B6" w:rsidP="001C01B6">
      <w:r w:rsidRPr="0047462D">
        <w:t>Kalydeco 50 mg κοκκία</w:t>
      </w:r>
    </w:p>
    <w:p w14:paraId="54ACA824" w14:textId="77777777" w:rsidR="006F11D8" w:rsidRPr="0047462D" w:rsidRDefault="006F11D8" w:rsidP="006F11D8">
      <w:pPr>
        <w:rPr>
          <w:rFonts w:eastAsia="Times New Roman"/>
          <w:spacing w:val="4"/>
          <w:szCs w:val="22"/>
        </w:rPr>
      </w:pPr>
    </w:p>
    <w:p w14:paraId="7EBB3FA5" w14:textId="77777777" w:rsidR="006F11D8" w:rsidRPr="0047462D" w:rsidRDefault="006F11D8" w:rsidP="006F11D8">
      <w:pPr>
        <w:rPr>
          <w:b/>
        </w:rPr>
      </w:pPr>
    </w:p>
    <w:p w14:paraId="7085A396"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51E19B11" w14:textId="77777777" w:rsidR="005D5499" w:rsidRPr="0047462D" w:rsidRDefault="005D5499" w:rsidP="009E50D2">
      <w:pPr>
        <w:keepNext/>
        <w:rPr>
          <w:noProof/>
        </w:rPr>
      </w:pPr>
    </w:p>
    <w:p w14:paraId="5706B277"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36F97086" w14:textId="77777777" w:rsidR="006F11D8" w:rsidRPr="0047462D" w:rsidRDefault="006F11D8" w:rsidP="006F11D8">
      <w:pPr>
        <w:rPr>
          <w:b/>
          <w:noProof/>
          <w:szCs w:val="22"/>
          <w:u w:val="single"/>
        </w:rPr>
      </w:pPr>
    </w:p>
    <w:p w14:paraId="38E33DC9" w14:textId="77777777" w:rsidR="006F11D8" w:rsidRPr="0047462D" w:rsidRDefault="006F11D8" w:rsidP="006F11D8">
      <w:pPr>
        <w:rPr>
          <w:noProof/>
        </w:rPr>
      </w:pPr>
    </w:p>
    <w:p w14:paraId="00C6186C" w14:textId="77777777" w:rsidR="005D5499" w:rsidRPr="0047462D" w:rsidRDefault="006F11D8" w:rsidP="009A2EEC">
      <w:pPr>
        <w:keepNext/>
        <w:pBdr>
          <w:top w:val="single" w:sz="4" w:space="1" w:color="auto"/>
          <w:left w:val="single" w:sz="4" w:space="4" w:color="auto"/>
          <w:bottom w:val="single" w:sz="4" w:space="0" w:color="auto"/>
          <w:right w:val="single" w:sz="4" w:space="4" w:color="auto"/>
        </w:pBdr>
        <w:ind w:left="567" w:hanging="567"/>
        <w:rPr>
          <w:b/>
          <w:noProof/>
        </w:rPr>
      </w:pPr>
      <w:r w:rsidRPr="0047462D">
        <w:rPr>
          <w:b/>
          <w:noProof/>
        </w:rPr>
        <w:t>18.</w:t>
      </w:r>
      <w:r w:rsidRPr="0047462D">
        <w:rPr>
          <w:b/>
          <w:noProof/>
        </w:rPr>
        <w:tab/>
      </w:r>
      <w:r w:rsidR="00F7148C" w:rsidRPr="0047462D">
        <w:rPr>
          <w:b/>
          <w:noProof/>
        </w:rPr>
        <w:t>ΜΟΝΑΔΙΚΟΣ ΑΝΑΓΝΩΡΙΣΤΙΚΟΣ ΚΩΔΙΚΟΣ – ΔΕΔΟΜΕΝΑ ΑΝΑΓΝΩΣΙΜΑ ΑΠΟ ΤΟΝ ΑΝΘΡΩΠΟ</w:t>
      </w:r>
      <w:r w:rsidR="00F7148C" w:rsidRPr="0047462D" w:rsidDel="00F7148C">
        <w:rPr>
          <w:b/>
          <w:noProof/>
        </w:rPr>
        <w:t xml:space="preserve"> </w:t>
      </w:r>
    </w:p>
    <w:p w14:paraId="4AA396E3" w14:textId="77777777" w:rsidR="00F7148C" w:rsidRPr="0047462D" w:rsidRDefault="00F7148C" w:rsidP="009E50D2">
      <w:pPr>
        <w:keepNext/>
        <w:rPr>
          <w:szCs w:val="22"/>
        </w:rPr>
      </w:pPr>
    </w:p>
    <w:p w14:paraId="00E07064" w14:textId="2467640F" w:rsidR="005D5499" w:rsidRPr="0047462D" w:rsidRDefault="006F11D8" w:rsidP="009E50D2">
      <w:pPr>
        <w:keepNext/>
        <w:rPr>
          <w:szCs w:val="22"/>
        </w:rPr>
      </w:pPr>
      <w:r w:rsidRPr="0047462D">
        <w:rPr>
          <w:szCs w:val="22"/>
        </w:rPr>
        <w:t>PC</w:t>
      </w:r>
    </w:p>
    <w:p w14:paraId="3D4456D0" w14:textId="2D7646C7" w:rsidR="005D5499" w:rsidRPr="0047462D" w:rsidRDefault="006F11D8" w:rsidP="009E50D2">
      <w:pPr>
        <w:keepNext/>
        <w:rPr>
          <w:szCs w:val="22"/>
        </w:rPr>
      </w:pPr>
      <w:r w:rsidRPr="0047462D">
        <w:rPr>
          <w:szCs w:val="22"/>
        </w:rPr>
        <w:t>SN</w:t>
      </w:r>
    </w:p>
    <w:p w14:paraId="01C34308" w14:textId="2D860408" w:rsidR="006F11D8" w:rsidRPr="0047462D" w:rsidRDefault="006F11D8" w:rsidP="006F11D8">
      <w:pPr>
        <w:rPr>
          <w:szCs w:val="22"/>
        </w:rPr>
      </w:pPr>
      <w:r w:rsidRPr="0047462D">
        <w:rPr>
          <w:szCs w:val="22"/>
        </w:rPr>
        <w:t>NN</w:t>
      </w:r>
    </w:p>
    <w:p w14:paraId="3AEF4433" w14:textId="77777777" w:rsidR="006F11D8" w:rsidRPr="0047462D" w:rsidRDefault="006F11D8" w:rsidP="006F11D8">
      <w:pPr>
        <w:ind w:left="-198"/>
        <w:rPr>
          <w:szCs w:val="22"/>
        </w:rPr>
      </w:pPr>
    </w:p>
    <w:p w14:paraId="08183E83" w14:textId="77777777" w:rsidR="006F11D8" w:rsidRPr="0047462D" w:rsidRDefault="006F11D8" w:rsidP="001C01B6"/>
    <w:p w14:paraId="2522D3E0" w14:textId="77777777" w:rsidR="001C01B6" w:rsidRPr="0047462D" w:rsidRDefault="001C01B6" w:rsidP="001C01B6">
      <w:pPr>
        <w:rPr>
          <w:szCs w:val="22"/>
          <w:lang w:eastAsia="en-US"/>
        </w:rPr>
      </w:pPr>
      <w:r w:rsidRPr="0047462D">
        <w:rPr>
          <w:rFonts w:eastAsia="Times New Roman"/>
          <w:spacing w:val="4"/>
          <w:szCs w:val="22"/>
        </w:rPr>
        <w:br w:type="page"/>
      </w:r>
    </w:p>
    <w:p w14:paraId="4426F94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 xml:space="preserve">ΕΝΔΕΙΞΕΙΣ ΠΟΥ ΠΡΕΠΕΙ ΝΑ ΑΝΑΓΡΑΦΟΝΤΑΙ </w:t>
      </w:r>
      <w:r w:rsidRPr="0047462D">
        <w:rPr>
          <w:b/>
        </w:rPr>
        <w:t>ΣΤΗ</w:t>
      </w:r>
      <w:r w:rsidR="003C0E64" w:rsidRPr="0047462D">
        <w:rPr>
          <w:b/>
        </w:rPr>
        <w:t>Ν ΕΝΔΙΑΜΕΣΗ</w:t>
      </w:r>
      <w:r w:rsidRPr="0047462D">
        <w:rPr>
          <w:b/>
        </w:rPr>
        <w:t xml:space="preserve"> ΣΥΣΚΕΥΑΣΙΑ</w:t>
      </w:r>
    </w:p>
    <w:p w14:paraId="263564B8"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p>
    <w:p w14:paraId="6965B777"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ΚΑΡΤΕΛΑ ΓΙΑ ΤΟΝ ΦΑΚΕΛΛΙΣΚΟ</w:t>
      </w:r>
    </w:p>
    <w:p w14:paraId="7E3C3B26" w14:textId="77777777" w:rsidR="006F402D" w:rsidRPr="0047462D" w:rsidRDefault="006F402D" w:rsidP="00075865">
      <w:pPr>
        <w:suppressLineNumbers/>
      </w:pPr>
    </w:p>
    <w:p w14:paraId="67B628B9" w14:textId="77777777" w:rsidR="001C01B6" w:rsidRPr="0047462D" w:rsidRDefault="001C01B6" w:rsidP="001C01B6">
      <w:pPr>
        <w:rPr>
          <w:szCs w:val="22"/>
          <w:lang w:eastAsia="en-US"/>
        </w:rPr>
      </w:pPr>
    </w:p>
    <w:p w14:paraId="52452E3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30B4BED" w14:textId="77777777" w:rsidR="001C01B6" w:rsidRPr="0047462D" w:rsidRDefault="001C01B6" w:rsidP="001C01B6">
      <w:pPr>
        <w:rPr>
          <w:szCs w:val="22"/>
          <w:lang w:eastAsia="en-US"/>
        </w:rPr>
      </w:pPr>
    </w:p>
    <w:p w14:paraId="236C894F" w14:textId="77777777" w:rsidR="001C01B6" w:rsidRPr="0047462D" w:rsidRDefault="001C01B6" w:rsidP="001C01B6">
      <w:pPr>
        <w:rPr>
          <w:rFonts w:eastAsia="Times New Roman"/>
          <w:spacing w:val="4"/>
          <w:szCs w:val="22"/>
        </w:rPr>
      </w:pPr>
      <w:r w:rsidRPr="0047462D">
        <w:rPr>
          <w:rFonts w:eastAsia="Times New Roman"/>
          <w:szCs w:val="22"/>
        </w:rPr>
        <w:t>Kalydeco 50</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15DC56BF" w14:textId="77777777" w:rsidR="001C01B6" w:rsidRPr="0047462D" w:rsidRDefault="00004A6E" w:rsidP="001C01B6">
      <w:pPr>
        <w:rPr>
          <w:szCs w:val="22"/>
          <w:lang w:eastAsia="en-US"/>
        </w:rPr>
      </w:pPr>
      <w:r w:rsidRPr="0047462D">
        <w:rPr>
          <w:rFonts w:eastAsia="Times New Roman"/>
          <w:szCs w:val="22"/>
          <w:lang w:val="en-US"/>
        </w:rPr>
        <w:t>i</w:t>
      </w:r>
      <w:r w:rsidR="001C01B6" w:rsidRPr="0047462D">
        <w:rPr>
          <w:rFonts w:eastAsia="Times New Roman"/>
          <w:szCs w:val="22"/>
        </w:rPr>
        <w:t>vacaftor</w:t>
      </w:r>
    </w:p>
    <w:p w14:paraId="40F895F5" w14:textId="77777777" w:rsidR="001C01B6" w:rsidRPr="0047462D" w:rsidRDefault="001C01B6" w:rsidP="001C01B6">
      <w:pPr>
        <w:rPr>
          <w:szCs w:val="22"/>
          <w:lang w:eastAsia="en-US"/>
        </w:rPr>
      </w:pPr>
    </w:p>
    <w:p w14:paraId="1B9DB72A" w14:textId="77777777" w:rsidR="001C01B6" w:rsidRPr="0047462D" w:rsidRDefault="001C01B6" w:rsidP="001C01B6">
      <w:pPr>
        <w:rPr>
          <w:szCs w:val="22"/>
          <w:lang w:eastAsia="en-US"/>
        </w:rPr>
      </w:pPr>
    </w:p>
    <w:p w14:paraId="0C8893F6"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6EA105B4" w14:textId="77777777" w:rsidR="001C01B6" w:rsidRPr="0047462D" w:rsidRDefault="001C01B6" w:rsidP="001C01B6">
      <w:pPr>
        <w:rPr>
          <w:i/>
          <w:iCs/>
          <w:szCs w:val="22"/>
          <w:lang w:eastAsia="en-US"/>
        </w:rPr>
      </w:pPr>
    </w:p>
    <w:p w14:paraId="3264B337" w14:textId="77777777" w:rsidR="001C01B6" w:rsidRPr="0047462D" w:rsidRDefault="001C01B6" w:rsidP="001C01B6">
      <w:pPr>
        <w:rPr>
          <w:szCs w:val="22"/>
          <w:lang w:eastAsia="en-US"/>
        </w:rPr>
      </w:pPr>
      <w:r w:rsidRPr="0047462D">
        <w:rPr>
          <w:rFonts w:eastAsia="Times New Roman"/>
          <w:szCs w:val="22"/>
        </w:rPr>
        <w:t>Kάθε φακελλίσκος κοκκίων περιέχει 50 mg ivacaftor.</w:t>
      </w:r>
    </w:p>
    <w:p w14:paraId="5C3C2350" w14:textId="77777777" w:rsidR="001C01B6" w:rsidRPr="0047462D" w:rsidRDefault="001C01B6" w:rsidP="001C01B6">
      <w:pPr>
        <w:rPr>
          <w:szCs w:val="22"/>
          <w:lang w:eastAsia="en-US"/>
        </w:rPr>
      </w:pPr>
    </w:p>
    <w:p w14:paraId="0A23A834" w14:textId="77777777" w:rsidR="001C01B6" w:rsidRPr="0047462D" w:rsidRDefault="001C01B6" w:rsidP="001C01B6">
      <w:pPr>
        <w:rPr>
          <w:szCs w:val="22"/>
          <w:lang w:eastAsia="en-US"/>
        </w:rPr>
      </w:pPr>
    </w:p>
    <w:p w14:paraId="14F89B3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2066B1DF" w14:textId="77777777" w:rsidR="001C01B6" w:rsidRPr="0047462D" w:rsidRDefault="001C01B6" w:rsidP="001C01B6">
      <w:pPr>
        <w:rPr>
          <w:szCs w:val="22"/>
          <w:lang w:eastAsia="en-US"/>
        </w:rPr>
      </w:pPr>
    </w:p>
    <w:p w14:paraId="1EC27049" w14:textId="77777777" w:rsidR="001C01B6" w:rsidRPr="0047462D" w:rsidRDefault="001C01B6" w:rsidP="001C01B6">
      <w:pPr>
        <w:rPr>
          <w:szCs w:val="22"/>
          <w:lang w:eastAsia="en-US"/>
        </w:rPr>
      </w:pPr>
      <w:r w:rsidRPr="0047462D">
        <w:rPr>
          <w:rFonts w:eastAsia="Times New Roman"/>
          <w:szCs w:val="22"/>
        </w:rPr>
        <w:t>Περιέχει λακτόζη.</w:t>
      </w:r>
    </w:p>
    <w:p w14:paraId="245A63CF" w14:textId="77777777" w:rsidR="001C01B6" w:rsidRPr="0047462D" w:rsidRDefault="001C01B6" w:rsidP="001C01B6">
      <w:pPr>
        <w:rPr>
          <w:szCs w:val="22"/>
          <w:lang w:eastAsia="en-US"/>
        </w:rPr>
      </w:pPr>
    </w:p>
    <w:p w14:paraId="3AB3B405" w14:textId="77777777" w:rsidR="001C01B6" w:rsidRPr="0047462D" w:rsidRDefault="001C01B6" w:rsidP="001C01B6">
      <w:pPr>
        <w:rPr>
          <w:szCs w:val="22"/>
          <w:lang w:eastAsia="en-US"/>
        </w:rPr>
      </w:pPr>
      <w:r w:rsidRPr="0047462D">
        <w:rPr>
          <w:rFonts w:eastAsia="Times New Roman"/>
          <w:szCs w:val="22"/>
        </w:rPr>
        <w:t>Βλ. φύλλο οδηγιών χρήσης για περισσότερες πληροφορίες.</w:t>
      </w:r>
    </w:p>
    <w:p w14:paraId="1B0E0A05" w14:textId="77777777" w:rsidR="001C01B6" w:rsidRPr="0047462D" w:rsidRDefault="001C01B6" w:rsidP="001C01B6">
      <w:pPr>
        <w:rPr>
          <w:szCs w:val="22"/>
          <w:lang w:eastAsia="en-US"/>
        </w:rPr>
      </w:pPr>
    </w:p>
    <w:p w14:paraId="04A3325E" w14:textId="77777777" w:rsidR="001C01B6" w:rsidRPr="0047462D" w:rsidRDefault="001C01B6" w:rsidP="001C01B6">
      <w:pPr>
        <w:rPr>
          <w:szCs w:val="22"/>
          <w:lang w:eastAsia="en-US"/>
        </w:rPr>
      </w:pPr>
    </w:p>
    <w:p w14:paraId="03CFFDBE"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5D462156" w14:textId="77777777" w:rsidR="001C01B6" w:rsidRPr="0047462D" w:rsidRDefault="001C01B6" w:rsidP="001C01B6">
      <w:pPr>
        <w:rPr>
          <w:szCs w:val="22"/>
          <w:lang w:eastAsia="en-US"/>
        </w:rPr>
      </w:pPr>
    </w:p>
    <w:p w14:paraId="6679CCBD" w14:textId="77777777" w:rsidR="001C01B6" w:rsidRPr="0047462D" w:rsidRDefault="001C01B6" w:rsidP="001C01B6">
      <w:pPr>
        <w:rPr>
          <w:szCs w:val="22"/>
          <w:lang w:eastAsia="en-US"/>
        </w:rPr>
      </w:pPr>
      <w:r w:rsidRPr="0047462D">
        <w:rPr>
          <w:szCs w:val="22"/>
          <w:lang w:eastAsia="en-US"/>
        </w:rPr>
        <w:t>Κοκκία σε φακελλίσκο</w:t>
      </w:r>
    </w:p>
    <w:p w14:paraId="69B04919" w14:textId="77777777" w:rsidR="001C01B6" w:rsidRPr="0047462D" w:rsidRDefault="001C01B6" w:rsidP="001C01B6">
      <w:pPr>
        <w:rPr>
          <w:szCs w:val="22"/>
          <w:lang w:eastAsia="en-US"/>
        </w:rPr>
      </w:pPr>
    </w:p>
    <w:p w14:paraId="2AF12724" w14:textId="77777777" w:rsidR="001C01B6" w:rsidRPr="0047462D" w:rsidRDefault="001C01B6" w:rsidP="001C01B6">
      <w:pPr>
        <w:rPr>
          <w:szCs w:val="22"/>
          <w:lang w:eastAsia="en-US"/>
        </w:rPr>
      </w:pPr>
      <w:r w:rsidRPr="0047462D">
        <w:rPr>
          <w:szCs w:val="22"/>
          <w:lang w:eastAsia="en-US"/>
        </w:rPr>
        <w:t xml:space="preserve">14 </w:t>
      </w:r>
      <w:r w:rsidR="00402E9F" w:rsidRPr="0047462D">
        <w:rPr>
          <w:szCs w:val="22"/>
          <w:lang w:eastAsia="en-US"/>
        </w:rPr>
        <w:t>φακελλίσκοι</w:t>
      </w:r>
    </w:p>
    <w:p w14:paraId="00774881" w14:textId="77777777" w:rsidR="001C01B6" w:rsidRPr="0047462D" w:rsidRDefault="001C01B6" w:rsidP="001C01B6">
      <w:pPr>
        <w:rPr>
          <w:szCs w:val="22"/>
          <w:lang w:eastAsia="en-US"/>
        </w:rPr>
      </w:pPr>
    </w:p>
    <w:p w14:paraId="7B2527B8" w14:textId="77777777" w:rsidR="001C01B6" w:rsidRPr="0047462D" w:rsidRDefault="001C01B6" w:rsidP="001C01B6">
      <w:pPr>
        <w:rPr>
          <w:szCs w:val="22"/>
          <w:lang w:eastAsia="en-US"/>
        </w:rPr>
      </w:pPr>
    </w:p>
    <w:p w14:paraId="5B71BA26"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887FC4" w:rsidRPr="0047462D">
        <w:rPr>
          <w:rFonts w:eastAsia="Times New Roman"/>
          <w:b/>
          <w:bCs/>
          <w:szCs w:val="22"/>
        </w:rPr>
        <w:t>(ΟΙ)</w:t>
      </w:r>
      <w:r w:rsidRPr="0047462D">
        <w:rPr>
          <w:rFonts w:eastAsia="Times New Roman"/>
          <w:b/>
          <w:bCs/>
          <w:szCs w:val="22"/>
        </w:rPr>
        <w:t xml:space="preserve"> ΧΟΡΗΓΗΣΗΣ</w:t>
      </w:r>
    </w:p>
    <w:p w14:paraId="34FF365F" w14:textId="77777777" w:rsidR="001C01B6" w:rsidRPr="0047462D" w:rsidRDefault="001C01B6" w:rsidP="001C01B6">
      <w:pPr>
        <w:rPr>
          <w:szCs w:val="22"/>
          <w:lang w:eastAsia="en-US"/>
        </w:rPr>
      </w:pPr>
    </w:p>
    <w:p w14:paraId="3DD5A9F0"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48E52458" w14:textId="77777777" w:rsidR="000F0A70" w:rsidRPr="0047462D" w:rsidRDefault="000F0A70" w:rsidP="001C01B6">
      <w:pPr>
        <w:rPr>
          <w:rFonts w:eastAsia="Times New Roman"/>
          <w:szCs w:val="22"/>
        </w:rPr>
      </w:pPr>
    </w:p>
    <w:p w14:paraId="19B01ABD"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13FE852D" w14:textId="77777777" w:rsidR="001C01B6" w:rsidRPr="0047462D" w:rsidRDefault="001C01B6" w:rsidP="001C01B6">
      <w:pPr>
        <w:autoSpaceDE w:val="0"/>
        <w:rPr>
          <w:szCs w:val="22"/>
        </w:rPr>
      </w:pPr>
    </w:p>
    <w:p w14:paraId="2647D1E3" w14:textId="2BA425D3" w:rsidR="005D5499" w:rsidRPr="0047462D" w:rsidRDefault="00402E9F" w:rsidP="009E50D2">
      <w:pPr>
        <w:keepNext/>
      </w:pPr>
      <w:r w:rsidRPr="0047462D">
        <w:rPr>
          <w:b/>
          <w:bCs/>
        </w:rPr>
        <w:t>Ο</w:t>
      </w:r>
      <w:r w:rsidR="00274F51" w:rsidRPr="0047462D">
        <w:rPr>
          <w:b/>
          <w:bCs/>
        </w:rPr>
        <w:t>δηγίες χρήσης</w:t>
      </w:r>
    </w:p>
    <w:p w14:paraId="2C4BB055" w14:textId="77777777" w:rsidR="005D5499" w:rsidRPr="0047462D" w:rsidRDefault="005D5499" w:rsidP="009E50D2">
      <w:pPr>
        <w:keepNext/>
      </w:pPr>
    </w:p>
    <w:p w14:paraId="00765B35" w14:textId="77777777" w:rsidR="000F0A70" w:rsidRPr="0047462D" w:rsidRDefault="001C01B6" w:rsidP="001C01B6">
      <w:pPr>
        <w:rPr>
          <w:rFonts w:eastAsia="Times New Roman"/>
          <w:szCs w:val="22"/>
        </w:rPr>
      </w:pPr>
      <w:r w:rsidRPr="0047462D">
        <w:rPr>
          <w:rFonts w:eastAsia="Times New Roman"/>
          <w:szCs w:val="22"/>
        </w:rPr>
        <w:t>Αναμείξτε όλο το περιεχόμενο ενός φακελλίσκου με 5</w:t>
      </w:r>
      <w:r w:rsidRPr="0047462D">
        <w:t> </w:t>
      </w:r>
      <w:r w:rsidR="00966B5F" w:rsidRPr="0047462D">
        <w:rPr>
          <w:rFonts w:eastAsia="Times New Roman"/>
          <w:szCs w:val="22"/>
        </w:rPr>
        <w:t>m</w:t>
      </w:r>
      <w:r w:rsidR="00966B5F" w:rsidRPr="0047462D">
        <w:rPr>
          <w:rFonts w:eastAsia="Times New Roman"/>
          <w:szCs w:val="22"/>
          <w:lang w:val="en-US"/>
        </w:rPr>
        <w:t>l</w:t>
      </w:r>
      <w:r w:rsidR="00966B5F" w:rsidRPr="0047462D">
        <w:rPr>
          <w:rFonts w:eastAsia="Times New Roman"/>
          <w:szCs w:val="22"/>
        </w:rPr>
        <w:t xml:space="preserve"> </w:t>
      </w:r>
      <w:r w:rsidRPr="0047462D">
        <w:rPr>
          <w:rFonts w:eastAsia="Times New Roman"/>
          <w:szCs w:val="22"/>
        </w:rPr>
        <w:t>μαλακής τροφής κατάλληλης για την ηλικία ή υγρού</w:t>
      </w:r>
      <w:r w:rsidR="000375A7" w:rsidRPr="0047462D">
        <w:rPr>
          <w:rFonts w:eastAsia="Times New Roman"/>
          <w:szCs w:val="22"/>
        </w:rPr>
        <w:t xml:space="preserve"> που βρίσκεται σε θερμοκρασία δωματίου ή</w:t>
      </w:r>
      <w:r w:rsidR="001301E8" w:rsidRPr="0047462D">
        <w:rPr>
          <w:rFonts w:eastAsia="Times New Roman"/>
          <w:szCs w:val="22"/>
        </w:rPr>
        <w:t xml:space="preserve"> χαμηλότερη</w:t>
      </w:r>
      <w:r w:rsidR="000375A7" w:rsidRPr="0047462D">
        <w:rPr>
          <w:rFonts w:eastAsia="Times New Roman"/>
          <w:szCs w:val="22"/>
        </w:rPr>
        <w:t xml:space="preserve"> και </w:t>
      </w:r>
      <w:r w:rsidR="00ED7342" w:rsidRPr="0047462D">
        <w:rPr>
          <w:rFonts w:eastAsia="Times New Roman"/>
          <w:szCs w:val="22"/>
        </w:rPr>
        <w:t>καταναλώστε πλήρως</w:t>
      </w:r>
      <w:r w:rsidRPr="0047462D">
        <w:rPr>
          <w:rFonts w:eastAsia="Times New Roman"/>
          <w:szCs w:val="22"/>
        </w:rPr>
        <w:t>.</w:t>
      </w:r>
      <w:r w:rsidR="00876F87" w:rsidRPr="0047462D">
        <w:rPr>
          <w:rFonts w:eastAsia="Times New Roman"/>
          <w:szCs w:val="22"/>
        </w:rPr>
        <w:t xml:space="preserve"> </w:t>
      </w:r>
    </w:p>
    <w:p w14:paraId="5795AE69" w14:textId="77777777" w:rsidR="000F0A70" w:rsidRPr="0047462D" w:rsidRDefault="000F0A70" w:rsidP="001C01B6">
      <w:pPr>
        <w:rPr>
          <w:rFonts w:eastAsia="Times New Roman"/>
          <w:szCs w:val="22"/>
        </w:rPr>
      </w:pPr>
    </w:p>
    <w:p w14:paraId="2450C7CA" w14:textId="77777777" w:rsidR="001C01B6" w:rsidRPr="0047462D" w:rsidRDefault="00402E9F" w:rsidP="001C01B6">
      <w:pPr>
        <w:rPr>
          <w:rFonts w:eastAsia="Times New Roman"/>
          <w:szCs w:val="22"/>
        </w:rPr>
      </w:pPr>
      <w:r w:rsidRPr="0047462D">
        <w:rPr>
          <w:rFonts w:eastAsia="Times New Roman"/>
          <w:szCs w:val="22"/>
        </w:rPr>
        <w:t xml:space="preserve">Χρησιμοποιήστε εντός μίας ώρας μετά την ανάμειξη, λίγο πριν ή </w:t>
      </w:r>
      <w:r w:rsidR="00E80D9A" w:rsidRPr="0047462D">
        <w:rPr>
          <w:rFonts w:eastAsia="Times New Roman"/>
          <w:szCs w:val="22"/>
        </w:rPr>
        <w:t xml:space="preserve">αμέσως </w:t>
      </w:r>
      <w:r w:rsidRPr="0047462D">
        <w:rPr>
          <w:rFonts w:eastAsia="Times New Roman"/>
          <w:szCs w:val="22"/>
        </w:rPr>
        <w:t>μετά από γεύμα ή σνακ που περιέχει λίπος.</w:t>
      </w:r>
    </w:p>
    <w:p w14:paraId="4A0D66ED" w14:textId="77777777" w:rsidR="00402E9F" w:rsidRPr="0047462D" w:rsidRDefault="00402E9F" w:rsidP="001C01B6">
      <w:pPr>
        <w:rPr>
          <w:rFonts w:eastAsia="Times New Roman"/>
          <w:szCs w:val="22"/>
        </w:rPr>
      </w:pPr>
    </w:p>
    <w:p w14:paraId="7F326411" w14:textId="77777777" w:rsidR="001C01B6" w:rsidRPr="0047462D" w:rsidRDefault="00090C0F" w:rsidP="001C01B6">
      <w:pPr>
        <w:rPr>
          <w:bCs/>
        </w:rPr>
      </w:pPr>
      <w:r w:rsidRPr="0047462D">
        <w:rPr>
          <w:bCs/>
        </w:rPr>
        <w:t>Χ</w:t>
      </w:r>
      <w:r w:rsidR="001C01B6" w:rsidRPr="0047462D">
        <w:rPr>
          <w:bCs/>
        </w:rPr>
        <w:t>ρησιμοποιήστε όλες τις δόσεις 7 ημερών πριν ξεκινήσετε μια νέα καρτέλα.</w:t>
      </w:r>
    </w:p>
    <w:p w14:paraId="4B35D570" w14:textId="77777777" w:rsidR="00075865" w:rsidRPr="0047462D" w:rsidRDefault="00075865" w:rsidP="00075865">
      <w:pPr>
        <w:outlineLvl w:val="0"/>
        <w:rPr>
          <w:bCs/>
        </w:rPr>
      </w:pPr>
    </w:p>
    <w:p w14:paraId="6B4A0DDD" w14:textId="77777777" w:rsidR="00075865" w:rsidRPr="0047462D" w:rsidRDefault="00075865" w:rsidP="00075865">
      <w:pPr>
        <w:outlineLvl w:val="0"/>
        <w:rPr>
          <w:bCs/>
        </w:rPr>
      </w:pPr>
      <w:r w:rsidRPr="0047462D">
        <w:rPr>
          <w:bCs/>
        </w:rPr>
        <w:t>Πρωί</w:t>
      </w:r>
    </w:p>
    <w:p w14:paraId="1302D1DF" w14:textId="77777777" w:rsidR="00075865" w:rsidRPr="0047462D" w:rsidRDefault="00075865" w:rsidP="00075865">
      <w:pPr>
        <w:outlineLvl w:val="0"/>
        <w:rPr>
          <w:bCs/>
        </w:rPr>
      </w:pPr>
    </w:p>
    <w:p w14:paraId="6E3A11C7" w14:textId="77777777" w:rsidR="00075865" w:rsidRPr="0047462D" w:rsidRDefault="00075865" w:rsidP="00075865">
      <w:pPr>
        <w:outlineLvl w:val="0"/>
        <w:rPr>
          <w:bCs/>
        </w:rPr>
      </w:pPr>
      <w:r w:rsidRPr="0047462D">
        <w:rPr>
          <w:bCs/>
        </w:rPr>
        <w:t>Βράδυ</w:t>
      </w:r>
    </w:p>
    <w:p w14:paraId="44C90138" w14:textId="77777777" w:rsidR="00075865" w:rsidRPr="0047462D" w:rsidRDefault="00075865" w:rsidP="00075865">
      <w:pPr>
        <w:outlineLvl w:val="0"/>
        <w:rPr>
          <w:bCs/>
        </w:rPr>
      </w:pPr>
    </w:p>
    <w:p w14:paraId="6E4099FB" w14:textId="77EE1660" w:rsidR="00075865" w:rsidRPr="0047462D" w:rsidRDefault="00274F51" w:rsidP="00075865">
      <w:pPr>
        <w:outlineLvl w:val="0"/>
        <w:rPr>
          <w:bCs/>
        </w:rPr>
      </w:pPr>
      <w:r w:rsidRPr="0047462D">
        <w:rPr>
          <w:bCs/>
        </w:rPr>
        <w:t>Δευ. Τρ. Τετ. Πέμ. Παρ. Σάβ. Κυρ.</w:t>
      </w:r>
    </w:p>
    <w:p w14:paraId="3F602DD1" w14:textId="77777777" w:rsidR="001C01B6" w:rsidRPr="0047462D" w:rsidRDefault="001C01B6" w:rsidP="001C01B6">
      <w:pPr>
        <w:autoSpaceDE w:val="0"/>
        <w:rPr>
          <w:szCs w:val="22"/>
        </w:rPr>
      </w:pPr>
    </w:p>
    <w:p w14:paraId="67CA79AC" w14:textId="77777777" w:rsidR="001C01B6" w:rsidRPr="0047462D" w:rsidRDefault="001C01B6" w:rsidP="001C01B6">
      <w:pPr>
        <w:autoSpaceDE w:val="0"/>
        <w:rPr>
          <w:szCs w:val="22"/>
        </w:rPr>
      </w:pPr>
    </w:p>
    <w:p w14:paraId="5DAAB804"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96246F1" w14:textId="77777777" w:rsidR="001C01B6" w:rsidRPr="0047462D" w:rsidRDefault="001C01B6" w:rsidP="001C01B6">
      <w:pPr>
        <w:rPr>
          <w:szCs w:val="22"/>
          <w:lang w:eastAsia="en-US"/>
        </w:rPr>
      </w:pPr>
    </w:p>
    <w:p w14:paraId="4A48956B"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5D990C1A" w14:textId="77777777" w:rsidR="001C01B6" w:rsidRPr="0047462D" w:rsidRDefault="001C01B6" w:rsidP="001C01B6">
      <w:pPr>
        <w:rPr>
          <w:szCs w:val="22"/>
          <w:lang w:eastAsia="en-US"/>
        </w:rPr>
      </w:pPr>
    </w:p>
    <w:p w14:paraId="5372204E" w14:textId="77777777" w:rsidR="001C01B6" w:rsidRPr="0047462D" w:rsidRDefault="001C01B6" w:rsidP="001C01B6">
      <w:pPr>
        <w:rPr>
          <w:szCs w:val="22"/>
          <w:lang w:eastAsia="en-US"/>
        </w:rPr>
      </w:pPr>
    </w:p>
    <w:p w14:paraId="5C4E2886"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ΕΙΔΙΚ</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ΠΡΟΕΙΔΟΠΟΙΗΣ</w:t>
      </w:r>
      <w:r w:rsidR="00090C0F" w:rsidRPr="0047462D">
        <w:rPr>
          <w:rFonts w:eastAsia="Times New Roman"/>
          <w:b/>
          <w:bCs/>
          <w:szCs w:val="22"/>
        </w:rPr>
        <w:t>Η(</w:t>
      </w:r>
      <w:r w:rsidRPr="0047462D">
        <w:rPr>
          <w:rFonts w:eastAsia="Times New Roman"/>
          <w:b/>
          <w:bCs/>
          <w:szCs w:val="22"/>
        </w:rPr>
        <w:t>ΕΙΣ</w:t>
      </w:r>
      <w:r w:rsidR="00090C0F" w:rsidRPr="0047462D">
        <w:rPr>
          <w:rFonts w:eastAsia="Times New Roman"/>
          <w:b/>
          <w:bCs/>
          <w:szCs w:val="22"/>
        </w:rPr>
        <w:t>)</w:t>
      </w:r>
      <w:r w:rsidRPr="0047462D">
        <w:rPr>
          <w:b/>
          <w:lang w:eastAsia="en-US"/>
        </w:rPr>
        <w:t>, ΕΑΝ ΕΙΝΑΙ ΑΠΑΡΑΙΤΗΤ</w:t>
      </w:r>
      <w:r w:rsidR="00090C0F" w:rsidRPr="0047462D">
        <w:rPr>
          <w:b/>
          <w:lang w:eastAsia="en-US"/>
        </w:rPr>
        <w:t>Η(</w:t>
      </w:r>
      <w:r w:rsidRPr="0047462D">
        <w:rPr>
          <w:b/>
          <w:lang w:eastAsia="en-US"/>
        </w:rPr>
        <w:t>ΕΣ</w:t>
      </w:r>
      <w:r w:rsidR="00090C0F" w:rsidRPr="0047462D">
        <w:rPr>
          <w:b/>
          <w:lang w:eastAsia="en-US"/>
        </w:rPr>
        <w:t>)</w:t>
      </w:r>
    </w:p>
    <w:p w14:paraId="3D7594DD" w14:textId="77777777" w:rsidR="001C01B6" w:rsidRPr="0047462D" w:rsidRDefault="001C01B6" w:rsidP="001C01B6">
      <w:pPr>
        <w:rPr>
          <w:szCs w:val="22"/>
          <w:lang w:eastAsia="en-US"/>
        </w:rPr>
      </w:pPr>
    </w:p>
    <w:p w14:paraId="62DCC99C" w14:textId="77777777" w:rsidR="001C01B6" w:rsidRPr="0047462D" w:rsidRDefault="001C01B6" w:rsidP="001C01B6">
      <w:pPr>
        <w:tabs>
          <w:tab w:val="left" w:pos="749"/>
        </w:tabs>
        <w:rPr>
          <w:szCs w:val="22"/>
          <w:lang w:eastAsia="en-US"/>
        </w:rPr>
      </w:pPr>
    </w:p>
    <w:p w14:paraId="4B2F520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16A5651" w14:textId="77777777" w:rsidR="001C01B6" w:rsidRPr="0047462D" w:rsidRDefault="001C01B6" w:rsidP="001C01B6">
      <w:pPr>
        <w:rPr>
          <w:szCs w:val="22"/>
          <w:lang w:eastAsia="en-US"/>
        </w:rPr>
      </w:pPr>
    </w:p>
    <w:p w14:paraId="177E4CBA" w14:textId="77777777" w:rsidR="001C01B6" w:rsidRPr="0047462D" w:rsidRDefault="001C01B6" w:rsidP="001C01B6">
      <w:pPr>
        <w:rPr>
          <w:szCs w:val="22"/>
          <w:lang w:eastAsia="en-US"/>
        </w:rPr>
      </w:pPr>
    </w:p>
    <w:p w14:paraId="6352333D"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6384A9CA" w14:textId="77777777" w:rsidR="001C01B6" w:rsidRPr="0047462D" w:rsidRDefault="001C01B6" w:rsidP="001C01B6">
      <w:pPr>
        <w:rPr>
          <w:szCs w:val="22"/>
          <w:lang w:eastAsia="en-US"/>
        </w:rPr>
      </w:pPr>
    </w:p>
    <w:p w14:paraId="7372832C" w14:textId="77777777" w:rsidR="001C01B6" w:rsidRPr="0047462D" w:rsidRDefault="001C01B6" w:rsidP="001C01B6">
      <w:pPr>
        <w:rPr>
          <w:szCs w:val="22"/>
          <w:lang w:eastAsia="en-US"/>
        </w:rPr>
      </w:pPr>
    </w:p>
    <w:p w14:paraId="0B1F1231" w14:textId="77777777" w:rsidR="001C01B6" w:rsidRPr="0047462D" w:rsidRDefault="001C01B6"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7" w:hanging="567"/>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209A829" w14:textId="77777777" w:rsidR="001C01B6" w:rsidRPr="0047462D" w:rsidRDefault="001C01B6" w:rsidP="001C01B6">
      <w:pPr>
        <w:rPr>
          <w:szCs w:val="22"/>
          <w:lang w:eastAsia="en-US"/>
        </w:rPr>
      </w:pPr>
    </w:p>
    <w:p w14:paraId="0784F5E1" w14:textId="77777777" w:rsidR="001C01B6" w:rsidRPr="0047462D" w:rsidRDefault="001C01B6" w:rsidP="001C01B6">
      <w:pPr>
        <w:rPr>
          <w:szCs w:val="22"/>
          <w:lang w:eastAsia="en-US"/>
        </w:rPr>
      </w:pPr>
    </w:p>
    <w:p w14:paraId="12D9691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39A09116" w14:textId="77777777" w:rsidR="001C01B6" w:rsidRPr="0047462D" w:rsidRDefault="001C01B6" w:rsidP="001C01B6">
      <w:pPr>
        <w:rPr>
          <w:szCs w:val="22"/>
          <w:lang w:eastAsia="en-US"/>
        </w:rPr>
      </w:pPr>
    </w:p>
    <w:p w14:paraId="5FEABFA6" w14:textId="77777777" w:rsidR="00AE0285" w:rsidRPr="0047462D" w:rsidRDefault="00AE0285" w:rsidP="00AE0285">
      <w:pPr>
        <w:rPr>
          <w:iCs/>
          <w:lang w:val="en-GB"/>
        </w:rPr>
      </w:pPr>
      <w:r w:rsidRPr="0047462D">
        <w:rPr>
          <w:iCs/>
          <w:lang w:val="en-GB"/>
        </w:rPr>
        <w:t>Vertex Pharmaceuticals (Ireland) Limited</w:t>
      </w:r>
    </w:p>
    <w:p w14:paraId="4BC72828" w14:textId="77777777" w:rsidR="00AE0285" w:rsidRPr="0047462D" w:rsidRDefault="00AE0285" w:rsidP="00AE0285">
      <w:pPr>
        <w:rPr>
          <w:iCs/>
          <w:lang w:val="en-GB"/>
        </w:rPr>
      </w:pPr>
      <w:r w:rsidRPr="0047462D">
        <w:rPr>
          <w:iCs/>
          <w:lang w:val="en-GB"/>
        </w:rPr>
        <w:t>28-32 Pembroke Street Upper</w:t>
      </w:r>
    </w:p>
    <w:p w14:paraId="325C731A"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1FB88DDB" w14:textId="77777777" w:rsidR="00AE0285" w:rsidRPr="0047462D" w:rsidRDefault="00AE0285" w:rsidP="00AE0285">
      <w:pPr>
        <w:rPr>
          <w:rFonts w:eastAsia="Times New Roman"/>
          <w:szCs w:val="22"/>
        </w:rPr>
      </w:pPr>
      <w:r w:rsidRPr="0047462D">
        <w:rPr>
          <w:iCs/>
        </w:rPr>
        <w:t>Ιρλανδία</w:t>
      </w:r>
    </w:p>
    <w:p w14:paraId="0626C322" w14:textId="77777777" w:rsidR="001C01B6" w:rsidRPr="0047462D" w:rsidRDefault="001C01B6" w:rsidP="001C01B6"/>
    <w:p w14:paraId="1818A826" w14:textId="77777777" w:rsidR="001C01B6" w:rsidRPr="0047462D" w:rsidRDefault="001C01B6" w:rsidP="001C01B6">
      <w:pPr>
        <w:rPr>
          <w:szCs w:val="22"/>
          <w:lang w:eastAsia="en-US"/>
        </w:rPr>
      </w:pPr>
    </w:p>
    <w:p w14:paraId="04F7878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12.</w:t>
      </w:r>
      <w:r w:rsidRPr="0047462D">
        <w:rPr>
          <w:b/>
          <w:bCs/>
          <w:noProof/>
          <w:szCs w:val="22"/>
          <w:lang w:eastAsia="en-US"/>
        </w:rPr>
        <w:tab/>
        <w:t xml:space="preserve">ΑΡΙΘΜΟΣ(ΟΙ) ΑΔΕΙΑΣ ΚΥΚΛΟΦΟΡΙΑΣ </w:t>
      </w:r>
    </w:p>
    <w:p w14:paraId="27164791" w14:textId="77777777" w:rsidR="001C01B6" w:rsidRPr="0047462D" w:rsidRDefault="001C01B6" w:rsidP="001C01B6">
      <w:pPr>
        <w:rPr>
          <w:szCs w:val="22"/>
          <w:lang w:eastAsia="en-US"/>
        </w:rPr>
      </w:pPr>
    </w:p>
    <w:p w14:paraId="1CC44824" w14:textId="77777777" w:rsidR="001C01B6" w:rsidRPr="0047462D" w:rsidRDefault="001C01B6" w:rsidP="001C01B6">
      <w:pPr>
        <w:rPr>
          <w:rFonts w:cs="Verdana"/>
          <w:color w:val="000000"/>
        </w:rPr>
      </w:pPr>
      <w:r w:rsidRPr="0047462D">
        <w:rPr>
          <w:rFonts w:cs="Verdana"/>
          <w:color w:val="000000"/>
        </w:rPr>
        <w:t>EU/1/12/782/003</w:t>
      </w:r>
    </w:p>
    <w:p w14:paraId="311044FA" w14:textId="77777777" w:rsidR="001C01B6" w:rsidRPr="0047462D" w:rsidRDefault="001C01B6" w:rsidP="001C01B6"/>
    <w:p w14:paraId="5832F1A0" w14:textId="77777777" w:rsidR="001C01B6" w:rsidRPr="0047462D" w:rsidRDefault="001C01B6" w:rsidP="001C01B6">
      <w:pPr>
        <w:rPr>
          <w:szCs w:val="22"/>
          <w:lang w:eastAsia="en-US"/>
        </w:rPr>
      </w:pPr>
    </w:p>
    <w:p w14:paraId="356C79EB"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1D8DEA57" w14:textId="77777777" w:rsidR="001C01B6" w:rsidRPr="0047462D" w:rsidRDefault="001C01B6" w:rsidP="001C01B6">
      <w:pPr>
        <w:rPr>
          <w:szCs w:val="22"/>
          <w:lang w:eastAsia="en-US"/>
        </w:rPr>
      </w:pPr>
    </w:p>
    <w:p w14:paraId="6863C765" w14:textId="77777777" w:rsidR="001C01B6" w:rsidRPr="0047462D" w:rsidRDefault="001C01B6" w:rsidP="001C01B6">
      <w:pPr>
        <w:rPr>
          <w:szCs w:val="22"/>
          <w:lang w:eastAsia="en-US"/>
        </w:rPr>
      </w:pPr>
    </w:p>
    <w:p w14:paraId="56E56BF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3A6AFF3A" w14:textId="77777777" w:rsidR="001C01B6" w:rsidRPr="0047462D" w:rsidRDefault="001C01B6" w:rsidP="001C01B6">
      <w:pPr>
        <w:rPr>
          <w:szCs w:val="22"/>
          <w:lang w:eastAsia="en-US"/>
        </w:rPr>
      </w:pPr>
    </w:p>
    <w:p w14:paraId="35CE2585" w14:textId="77777777" w:rsidR="001C01B6" w:rsidRPr="0047462D" w:rsidRDefault="001C01B6" w:rsidP="001C01B6">
      <w:pPr>
        <w:rPr>
          <w:szCs w:val="22"/>
          <w:lang w:eastAsia="en-US"/>
        </w:rPr>
      </w:pPr>
    </w:p>
    <w:p w14:paraId="408223CD"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5BA44A0F" w14:textId="77777777" w:rsidR="001C01B6" w:rsidRPr="0047462D" w:rsidRDefault="001C01B6" w:rsidP="001C01B6">
      <w:pPr>
        <w:rPr>
          <w:szCs w:val="22"/>
          <w:lang w:eastAsia="en-US"/>
        </w:rPr>
      </w:pPr>
    </w:p>
    <w:p w14:paraId="48BA1271" w14:textId="77777777" w:rsidR="001C01B6" w:rsidRPr="0047462D" w:rsidRDefault="001C01B6" w:rsidP="001C01B6">
      <w:pPr>
        <w:rPr>
          <w:szCs w:val="22"/>
          <w:lang w:eastAsia="en-US"/>
        </w:rPr>
      </w:pPr>
    </w:p>
    <w:p w14:paraId="25624F98"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47944C31" w14:textId="77777777" w:rsidR="006F11D8" w:rsidRPr="0047462D" w:rsidRDefault="006F11D8" w:rsidP="006F11D8">
      <w:pPr>
        <w:rPr>
          <w:rFonts w:eastAsia="Times New Roman"/>
          <w:spacing w:val="4"/>
          <w:szCs w:val="22"/>
        </w:rPr>
      </w:pPr>
    </w:p>
    <w:p w14:paraId="1F3BC2B4" w14:textId="77777777" w:rsidR="006F11D8" w:rsidRPr="0047462D" w:rsidRDefault="006F11D8" w:rsidP="006F11D8">
      <w:pPr>
        <w:rPr>
          <w:b/>
        </w:rPr>
      </w:pPr>
    </w:p>
    <w:p w14:paraId="52A93121"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FCEB29A" w14:textId="77777777" w:rsidR="006F11D8" w:rsidRPr="0047462D" w:rsidRDefault="006F11D8" w:rsidP="006F11D8">
      <w:pPr>
        <w:rPr>
          <w:noProof/>
        </w:rPr>
      </w:pPr>
    </w:p>
    <w:p w14:paraId="77A6A232" w14:textId="77777777" w:rsidR="006F11D8" w:rsidRPr="0047462D" w:rsidRDefault="006F11D8" w:rsidP="006F11D8">
      <w:pPr>
        <w:rPr>
          <w:noProof/>
        </w:rPr>
      </w:pPr>
    </w:p>
    <w:p w14:paraId="4EA959B7" w14:textId="77777777" w:rsidR="001C01B6" w:rsidRPr="0047462D" w:rsidRDefault="006F11D8" w:rsidP="009A2EEC">
      <w:pPr>
        <w:pBdr>
          <w:top w:val="single" w:sz="4" w:space="1" w:color="auto"/>
          <w:left w:val="single" w:sz="4" w:space="4" w:color="auto"/>
          <w:bottom w:val="single" w:sz="4" w:space="0" w:color="auto"/>
          <w:right w:val="single" w:sz="4" w:space="4" w:color="auto"/>
        </w:pBdr>
        <w:ind w:left="567" w:hanging="567"/>
        <w:rPr>
          <w:szCs w:val="22"/>
          <w:lang w:eastAsia="en-US"/>
        </w:rPr>
      </w:pPr>
      <w:r w:rsidRPr="0047462D">
        <w:rPr>
          <w:b/>
          <w:noProof/>
        </w:rPr>
        <w:t>18.</w:t>
      </w:r>
      <w:r w:rsidRPr="0047462D">
        <w:rPr>
          <w:b/>
          <w:noProof/>
        </w:rPr>
        <w:tab/>
        <w:t>ΜΟΝΑΔΙΚΟΣ ΑΝΑΓΝΩΡΙΣΤΙΚΟΣ ΚΩΔΙΚΟΣ – ΔΕΔΟΜΕΝΑ ΑΝΑΓΝΩΣΙΜΑ ΑΠΟ ΤΟΝ ΑΝΘΡΩΠΟ</w:t>
      </w:r>
    </w:p>
    <w:p w14:paraId="51E39D91" w14:textId="77777777" w:rsidR="001C01B6" w:rsidRPr="0047462D" w:rsidRDefault="001C01B6" w:rsidP="001C01B6">
      <w:pPr>
        <w:pageBreakBefore/>
        <w:rPr>
          <w:szCs w:val="22"/>
          <w:shd w:val="clear" w:color="auto" w:fill="CCCCCC"/>
          <w:lang w:eastAsia="en-US"/>
        </w:rPr>
      </w:pPr>
    </w:p>
    <w:p w14:paraId="2420A69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b/>
          <w:bCs/>
          <w:szCs w:val="22"/>
          <w:lang w:eastAsia="en-US"/>
        </w:rPr>
      </w:pPr>
      <w:r w:rsidRPr="0047462D">
        <w:rPr>
          <w:b/>
        </w:rPr>
        <w:t>ΕΛΑΧΙΣΤΕΣ ΕΝΔΕΙΞΕΙΣ ΠΟΥ ΠΡΕΠΕΙ ΝΑ ΑΝΑΓΡΑΦΟΝΤΑΙ ΣΤΙΣ ΜΙΚΡΕΣ ΣΤΟΙΧΕΙΩΔΕΙΣ ΣΥΣΚΕΥΑΣΙΕΣ</w:t>
      </w:r>
    </w:p>
    <w:p w14:paraId="13A372F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b/>
          <w:bCs/>
          <w:szCs w:val="22"/>
          <w:lang w:eastAsia="en-US"/>
        </w:rPr>
      </w:pPr>
    </w:p>
    <w:p w14:paraId="007EBA4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rPr>
        <w:t>ΦΑΚΕΛΛΙΣΚΟΙ</w:t>
      </w:r>
    </w:p>
    <w:p w14:paraId="18BD57B7" w14:textId="77777777" w:rsidR="001C01B6" w:rsidRPr="0047462D" w:rsidRDefault="001C01B6" w:rsidP="001C01B6">
      <w:pPr>
        <w:rPr>
          <w:szCs w:val="22"/>
          <w:lang w:eastAsia="en-US"/>
        </w:rPr>
      </w:pPr>
    </w:p>
    <w:p w14:paraId="32DACF1D" w14:textId="77777777" w:rsidR="00274F51" w:rsidRPr="0047462D" w:rsidRDefault="00274F51" w:rsidP="001C01B6">
      <w:pPr>
        <w:rPr>
          <w:szCs w:val="22"/>
          <w:lang w:eastAsia="en-US"/>
        </w:rPr>
      </w:pPr>
    </w:p>
    <w:p w14:paraId="0F48636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w:t>
      </w:r>
      <w:r w:rsidRPr="0047462D">
        <w:rPr>
          <w:b/>
          <w:bCs/>
          <w:noProof/>
          <w:szCs w:val="22"/>
          <w:lang w:eastAsia="en-US"/>
        </w:rPr>
        <w:tab/>
      </w:r>
      <w:r w:rsidRPr="0047462D">
        <w:rPr>
          <w:b/>
        </w:rPr>
        <w:t>ΟΝΟΜΑΣΙΑ ΤΟΥ ΦΑΡΜΑΚΕΥΤΙΚΟΥ ΠΡΟΪΟΝΤΟΣ ΚΑΙ ΟΔΟΣ(ΟΙ) ΧΟΡΗΓΗΣΗΣ</w:t>
      </w:r>
    </w:p>
    <w:p w14:paraId="6719B8F9" w14:textId="77777777" w:rsidR="001C01B6" w:rsidRPr="0047462D" w:rsidRDefault="001C01B6" w:rsidP="001C01B6">
      <w:pPr>
        <w:rPr>
          <w:iCs/>
          <w:szCs w:val="22"/>
          <w:lang w:eastAsia="en-US"/>
        </w:rPr>
      </w:pPr>
    </w:p>
    <w:p w14:paraId="60DA0F25" w14:textId="77777777" w:rsidR="001C01B6" w:rsidRPr="0047462D" w:rsidRDefault="001C01B6" w:rsidP="001C01B6">
      <w:r w:rsidRPr="0047462D">
        <w:t xml:space="preserve">Kalydeco 50 mg κοκκία </w:t>
      </w:r>
    </w:p>
    <w:p w14:paraId="2883E924" w14:textId="77777777" w:rsidR="001C01B6" w:rsidRPr="0047462D" w:rsidRDefault="00004A6E" w:rsidP="001C01B6">
      <w:pPr>
        <w:rPr>
          <w:szCs w:val="22"/>
          <w:lang w:eastAsia="en-US"/>
        </w:rPr>
      </w:pPr>
      <w:r w:rsidRPr="0047462D">
        <w:rPr>
          <w:lang w:val="en-US"/>
        </w:rPr>
        <w:t>i</w:t>
      </w:r>
      <w:r w:rsidR="00090C0F" w:rsidRPr="0047462D">
        <w:t>vacaftor</w:t>
      </w:r>
    </w:p>
    <w:p w14:paraId="6793D6BA" w14:textId="77777777" w:rsidR="001C01B6" w:rsidRPr="0047462D" w:rsidRDefault="001C01B6" w:rsidP="001C01B6">
      <w:pPr>
        <w:rPr>
          <w:szCs w:val="22"/>
          <w:lang w:eastAsia="en-US"/>
        </w:rPr>
      </w:pPr>
      <w:r w:rsidRPr="0047462D">
        <w:rPr>
          <w:szCs w:val="22"/>
          <w:lang w:eastAsia="en-US"/>
        </w:rPr>
        <w:t>Από στόματος χρήση</w:t>
      </w:r>
    </w:p>
    <w:p w14:paraId="2DA196CE" w14:textId="77777777" w:rsidR="001C01B6" w:rsidRPr="0047462D" w:rsidRDefault="001C01B6" w:rsidP="001C01B6">
      <w:pPr>
        <w:rPr>
          <w:szCs w:val="22"/>
          <w:lang w:eastAsia="en-US"/>
        </w:rPr>
      </w:pPr>
    </w:p>
    <w:p w14:paraId="2B2332A1" w14:textId="77777777" w:rsidR="001C01B6" w:rsidRPr="0047462D" w:rsidRDefault="001C01B6" w:rsidP="001C01B6">
      <w:pPr>
        <w:rPr>
          <w:szCs w:val="22"/>
          <w:lang w:eastAsia="en-US"/>
        </w:rPr>
      </w:pPr>
    </w:p>
    <w:p w14:paraId="005A238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szCs w:val="22"/>
          <w:lang w:eastAsia="en-US"/>
        </w:rPr>
      </w:pPr>
      <w:r w:rsidRPr="0047462D">
        <w:rPr>
          <w:b/>
          <w:bCs/>
          <w:noProof/>
          <w:szCs w:val="22"/>
          <w:lang w:eastAsia="en-US"/>
        </w:rPr>
        <w:t>2.</w:t>
      </w:r>
      <w:r w:rsidRPr="0047462D">
        <w:rPr>
          <w:b/>
          <w:bCs/>
          <w:noProof/>
          <w:szCs w:val="22"/>
          <w:lang w:eastAsia="en-US"/>
        </w:rPr>
        <w:tab/>
      </w:r>
      <w:r w:rsidRPr="0047462D">
        <w:rPr>
          <w:b/>
          <w:noProof/>
          <w:szCs w:val="22"/>
        </w:rPr>
        <w:t>ΤΡΟΠΟΣ ΧΟΡΗΓΗΣΗΣ</w:t>
      </w:r>
    </w:p>
    <w:p w14:paraId="1D10DD9D" w14:textId="77777777" w:rsidR="001C01B6" w:rsidRPr="0047462D" w:rsidRDefault="001C01B6" w:rsidP="001C01B6">
      <w:pPr>
        <w:rPr>
          <w:szCs w:val="22"/>
          <w:lang w:eastAsia="en-US"/>
        </w:rPr>
      </w:pPr>
    </w:p>
    <w:p w14:paraId="2B128A08" w14:textId="77777777" w:rsidR="001C01B6" w:rsidRPr="0047462D" w:rsidRDefault="001C01B6" w:rsidP="001C01B6">
      <w:pPr>
        <w:rPr>
          <w:szCs w:val="22"/>
          <w:lang w:eastAsia="en-US"/>
        </w:rPr>
      </w:pPr>
    </w:p>
    <w:p w14:paraId="01462D67"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3.</w:t>
      </w:r>
      <w:r w:rsidRPr="0047462D">
        <w:rPr>
          <w:b/>
          <w:bCs/>
          <w:noProof/>
          <w:szCs w:val="22"/>
          <w:lang w:eastAsia="en-US"/>
        </w:rPr>
        <w:tab/>
        <w:t>ΗΜΕΡΟΜΗΝΙΑ ΛΗΞΗΣ</w:t>
      </w:r>
    </w:p>
    <w:p w14:paraId="7C486962" w14:textId="77777777" w:rsidR="001C01B6" w:rsidRPr="0047462D" w:rsidRDefault="001C01B6" w:rsidP="001C01B6">
      <w:pPr>
        <w:rPr>
          <w:szCs w:val="22"/>
          <w:lang w:eastAsia="en-US"/>
        </w:rPr>
      </w:pPr>
    </w:p>
    <w:p w14:paraId="00FFD1D0" w14:textId="77777777" w:rsidR="001C01B6" w:rsidRPr="0047462D" w:rsidRDefault="001C01B6" w:rsidP="001C01B6">
      <w:pPr>
        <w:rPr>
          <w:szCs w:val="22"/>
          <w:lang w:eastAsia="en-US"/>
        </w:rPr>
      </w:pPr>
      <w:r w:rsidRPr="0047462D">
        <w:rPr>
          <w:rFonts w:eastAsia="Times New Roman"/>
          <w:szCs w:val="22"/>
        </w:rPr>
        <w:t>ΛΗΞΗ</w:t>
      </w:r>
    </w:p>
    <w:p w14:paraId="7120C54B" w14:textId="77777777" w:rsidR="001C01B6" w:rsidRPr="0047462D" w:rsidRDefault="001C01B6" w:rsidP="001C01B6">
      <w:pPr>
        <w:rPr>
          <w:szCs w:val="22"/>
          <w:lang w:eastAsia="en-US"/>
        </w:rPr>
      </w:pPr>
    </w:p>
    <w:p w14:paraId="113DB8F3" w14:textId="77777777" w:rsidR="001C01B6" w:rsidRPr="0047462D" w:rsidRDefault="001C01B6" w:rsidP="001C01B6">
      <w:pPr>
        <w:rPr>
          <w:szCs w:val="22"/>
          <w:lang w:eastAsia="en-US"/>
        </w:rPr>
      </w:pPr>
    </w:p>
    <w:p w14:paraId="07ECF41C"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4.</w:t>
      </w:r>
      <w:r w:rsidRPr="0047462D">
        <w:rPr>
          <w:b/>
          <w:bCs/>
          <w:noProof/>
          <w:szCs w:val="22"/>
          <w:lang w:eastAsia="en-US"/>
        </w:rPr>
        <w:tab/>
        <w:t>ΑΡΙΘΜΟΣ ΠΑΡΤΙΔΑΣ</w:t>
      </w:r>
    </w:p>
    <w:p w14:paraId="285D81A2" w14:textId="77777777" w:rsidR="001C01B6" w:rsidRPr="0047462D" w:rsidRDefault="001C01B6" w:rsidP="001C01B6">
      <w:pPr>
        <w:rPr>
          <w:szCs w:val="22"/>
          <w:lang w:eastAsia="en-US"/>
        </w:rPr>
      </w:pPr>
    </w:p>
    <w:p w14:paraId="2642E4D1" w14:textId="77777777" w:rsidR="001C01B6" w:rsidRPr="0047462D" w:rsidRDefault="00745AD2" w:rsidP="001C01B6">
      <w:pPr>
        <w:rPr>
          <w:szCs w:val="22"/>
          <w:lang w:eastAsia="en-US"/>
        </w:rPr>
      </w:pPr>
      <w:r w:rsidRPr="0047462D">
        <w:rPr>
          <w:rFonts w:eastAsia="Times New Roman"/>
          <w:szCs w:val="22"/>
        </w:rPr>
        <w:t>Παρτίδα</w:t>
      </w:r>
    </w:p>
    <w:p w14:paraId="6F50EBE8" w14:textId="77777777" w:rsidR="001C01B6" w:rsidRPr="0047462D" w:rsidRDefault="001C01B6" w:rsidP="001C01B6">
      <w:pPr>
        <w:rPr>
          <w:szCs w:val="22"/>
          <w:lang w:eastAsia="en-US"/>
        </w:rPr>
      </w:pPr>
    </w:p>
    <w:p w14:paraId="0E771626" w14:textId="77777777" w:rsidR="001C01B6" w:rsidRPr="0047462D" w:rsidRDefault="001C01B6" w:rsidP="001C01B6">
      <w:pPr>
        <w:rPr>
          <w:szCs w:val="22"/>
          <w:lang w:eastAsia="en-US"/>
        </w:rPr>
      </w:pPr>
    </w:p>
    <w:p w14:paraId="099974D1"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5.</w:t>
      </w:r>
      <w:r w:rsidRPr="0047462D">
        <w:rPr>
          <w:b/>
          <w:bCs/>
          <w:noProof/>
          <w:szCs w:val="22"/>
          <w:lang w:eastAsia="en-US"/>
        </w:rPr>
        <w:tab/>
      </w:r>
      <w:r w:rsidRPr="0047462D">
        <w:rPr>
          <w:b/>
        </w:rPr>
        <w:t>ΠΕΡΙΕΧΟΜΕΝΟ ΚΑΤΑ ΒΑΡΟΣ, ΚΑΤ' ΟΓΚΟ Ή ΚΑΤΑ ΜΟΝΑΔΑ</w:t>
      </w:r>
    </w:p>
    <w:p w14:paraId="5F233490" w14:textId="77777777" w:rsidR="001C01B6" w:rsidRPr="0047462D" w:rsidRDefault="001C01B6" w:rsidP="001C01B6"/>
    <w:p w14:paraId="64A472D1" w14:textId="77777777" w:rsidR="001C01B6" w:rsidRPr="0047462D" w:rsidRDefault="001C01B6" w:rsidP="001C01B6"/>
    <w:p w14:paraId="13D5BB75" w14:textId="77777777" w:rsidR="001C01B6" w:rsidRPr="0047462D" w:rsidRDefault="001C01B6" w:rsidP="009A2EEC">
      <w:pPr>
        <w:pBdr>
          <w:top w:val="single" w:sz="4" w:space="1" w:color="auto"/>
          <w:left w:val="single" w:sz="4" w:space="4" w:color="auto"/>
          <w:bottom w:val="single" w:sz="4" w:space="1" w:color="auto"/>
          <w:right w:val="single" w:sz="4" w:space="4" w:color="auto"/>
        </w:pBdr>
        <w:tabs>
          <w:tab w:val="left" w:pos="567"/>
        </w:tabs>
        <w:rPr>
          <w:b/>
          <w:lang w:val="fr-FR"/>
        </w:rPr>
      </w:pPr>
      <w:r w:rsidRPr="0047462D">
        <w:rPr>
          <w:b/>
          <w:lang w:val="fr-FR"/>
        </w:rPr>
        <w:t>6.</w:t>
      </w:r>
      <w:r w:rsidRPr="0047462D">
        <w:rPr>
          <w:b/>
          <w:lang w:val="fr-FR"/>
        </w:rPr>
        <w:tab/>
      </w:r>
      <w:r w:rsidRPr="0047462D">
        <w:rPr>
          <w:b/>
        </w:rPr>
        <w:t>ΑΛΛΑ</w:t>
      </w:r>
      <w:r w:rsidRPr="0047462D">
        <w:rPr>
          <w:b/>
          <w:lang w:val="fr-FR"/>
        </w:rPr>
        <w:t xml:space="preserve"> </w:t>
      </w:r>
      <w:r w:rsidRPr="0047462D">
        <w:rPr>
          <w:b/>
        </w:rPr>
        <w:t>ΣΤΟΙΧΕΙΑ</w:t>
      </w:r>
    </w:p>
    <w:p w14:paraId="098530D4" w14:textId="77777777" w:rsidR="001C01B6" w:rsidRPr="0047462D" w:rsidRDefault="001C01B6" w:rsidP="001C01B6">
      <w:pPr>
        <w:rPr>
          <w:b/>
          <w:lang w:val="fr-FR"/>
        </w:rPr>
      </w:pPr>
    </w:p>
    <w:p w14:paraId="55AEE6C4" w14:textId="77777777" w:rsidR="00AE0285" w:rsidRPr="0047462D" w:rsidRDefault="00AE0285" w:rsidP="00AE0285">
      <w:pPr>
        <w:rPr>
          <w:iCs/>
          <w:lang w:val="en-GB"/>
        </w:rPr>
      </w:pPr>
      <w:r w:rsidRPr="0047462D">
        <w:rPr>
          <w:iCs/>
          <w:lang w:val="en-GB"/>
        </w:rPr>
        <w:t>Vertex Pharmaceuticals (Ireland) Limited</w:t>
      </w:r>
    </w:p>
    <w:p w14:paraId="31D7DE6C" w14:textId="77777777" w:rsidR="001C01B6" w:rsidRPr="0047462D" w:rsidRDefault="001C01B6" w:rsidP="001C01B6">
      <w:pPr>
        <w:rPr>
          <w:lang w:val="fr-FR"/>
        </w:rPr>
      </w:pPr>
    </w:p>
    <w:p w14:paraId="417C9A52" w14:textId="77777777" w:rsidR="0009053D" w:rsidRPr="0047462D" w:rsidRDefault="0009053D" w:rsidP="001C01B6">
      <w:pPr>
        <w:rPr>
          <w:szCs w:val="22"/>
          <w:lang w:val="fr-FR" w:eastAsia="en-US"/>
        </w:rPr>
      </w:pPr>
    </w:p>
    <w:p w14:paraId="64390165" w14:textId="77777777" w:rsidR="001C01B6" w:rsidRPr="0047462D" w:rsidRDefault="001C01B6" w:rsidP="001C01B6">
      <w:pPr>
        <w:pageBreakBefore/>
        <w:shd w:val="clear" w:color="auto" w:fill="FFFFFF"/>
        <w:rPr>
          <w:b/>
          <w:bCs/>
          <w:szCs w:val="22"/>
          <w:lang w:val="fr-FR" w:eastAsia="en-US"/>
        </w:rPr>
      </w:pPr>
    </w:p>
    <w:p w14:paraId="79F7761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rFonts w:eastAsia="Times New Roman"/>
          <w:b/>
          <w:bCs/>
          <w:caps/>
          <w:szCs w:val="22"/>
        </w:rPr>
      </w:pPr>
      <w:r w:rsidRPr="0047462D">
        <w:rPr>
          <w:rFonts w:eastAsia="Times New Roman"/>
          <w:b/>
          <w:bCs/>
          <w:szCs w:val="22"/>
        </w:rPr>
        <w:t>ΕΝΔΕΙΞΕΙΣ ΠΟΥ ΠΡΕΠΕΙ ΝΑ ΑΝΑΓΡΑΦΟΝΤΑΙ ΣΤΗΝ ΕΞΩΤΕΡΙΚΗ ΣΥΣΚΕΥΑΣΙΑ</w:t>
      </w:r>
    </w:p>
    <w:p w14:paraId="2579B6CF" w14:textId="77777777" w:rsidR="001C01B6" w:rsidRPr="0047462D" w:rsidRDefault="001C01B6" w:rsidP="001C01B6">
      <w:pPr>
        <w:keepNext/>
        <w:pBdr>
          <w:top w:val="single" w:sz="4" w:space="1" w:color="000000"/>
          <w:left w:val="single" w:sz="4" w:space="4" w:color="000000"/>
          <w:bottom w:val="single" w:sz="4" w:space="1" w:color="000000"/>
          <w:right w:val="single" w:sz="4" w:space="4" w:color="000000"/>
        </w:pBdr>
        <w:rPr>
          <w:rFonts w:eastAsia="Times New Roman"/>
          <w:b/>
          <w:bCs/>
          <w:caps/>
          <w:szCs w:val="22"/>
        </w:rPr>
      </w:pPr>
    </w:p>
    <w:p w14:paraId="4966D91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ΤΟΝ ΦΑΚΕΛΛΙΣΚΟ</w:t>
      </w:r>
    </w:p>
    <w:p w14:paraId="09A27862" w14:textId="77777777" w:rsidR="001C01B6" w:rsidRPr="0047462D" w:rsidRDefault="001C01B6" w:rsidP="001C01B6">
      <w:pPr>
        <w:rPr>
          <w:szCs w:val="22"/>
          <w:lang w:eastAsia="en-US"/>
        </w:rPr>
      </w:pPr>
    </w:p>
    <w:p w14:paraId="38F1103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13079B78" w14:textId="77777777" w:rsidR="001C01B6" w:rsidRPr="0047462D" w:rsidRDefault="001C01B6" w:rsidP="001C01B6">
      <w:pPr>
        <w:rPr>
          <w:szCs w:val="22"/>
          <w:lang w:eastAsia="en-US"/>
        </w:rPr>
      </w:pPr>
    </w:p>
    <w:p w14:paraId="25E418BF" w14:textId="77777777" w:rsidR="001C01B6" w:rsidRPr="0047462D" w:rsidRDefault="001C01B6" w:rsidP="001C01B6">
      <w:pPr>
        <w:rPr>
          <w:rFonts w:eastAsia="Times New Roman"/>
          <w:szCs w:val="22"/>
        </w:rPr>
      </w:pPr>
      <w:r w:rsidRPr="0047462D">
        <w:rPr>
          <w:rFonts w:eastAsia="Times New Roman"/>
          <w:szCs w:val="22"/>
        </w:rPr>
        <w:t>Kalydeco 75</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3A961C2C" w14:textId="77777777" w:rsidR="001C01B6" w:rsidRPr="0047462D" w:rsidRDefault="00004A6E" w:rsidP="001C01B6">
      <w:pPr>
        <w:rPr>
          <w:szCs w:val="22"/>
          <w:lang w:eastAsia="en-US"/>
        </w:rPr>
      </w:pPr>
      <w:r w:rsidRPr="0047462D">
        <w:rPr>
          <w:lang w:val="en-US"/>
        </w:rPr>
        <w:t>i</w:t>
      </w:r>
      <w:r w:rsidR="00090C0F" w:rsidRPr="0047462D">
        <w:t>vacaftor</w:t>
      </w:r>
    </w:p>
    <w:p w14:paraId="2BC39416" w14:textId="77777777" w:rsidR="001C01B6" w:rsidRPr="0047462D" w:rsidRDefault="001C01B6" w:rsidP="001C01B6">
      <w:pPr>
        <w:rPr>
          <w:szCs w:val="22"/>
          <w:lang w:eastAsia="en-US"/>
        </w:rPr>
      </w:pPr>
    </w:p>
    <w:p w14:paraId="0914CA24" w14:textId="77777777" w:rsidR="001C01B6" w:rsidRPr="0047462D" w:rsidRDefault="001C01B6" w:rsidP="001C01B6">
      <w:pPr>
        <w:rPr>
          <w:szCs w:val="22"/>
          <w:lang w:eastAsia="en-US"/>
        </w:rPr>
      </w:pPr>
    </w:p>
    <w:p w14:paraId="7D9B78C1"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50746E5C" w14:textId="77777777" w:rsidR="001C01B6" w:rsidRPr="0047462D" w:rsidRDefault="001C01B6" w:rsidP="001C01B6">
      <w:pPr>
        <w:rPr>
          <w:i/>
          <w:iCs/>
          <w:szCs w:val="22"/>
          <w:lang w:eastAsia="en-US"/>
        </w:rPr>
      </w:pPr>
    </w:p>
    <w:p w14:paraId="1DBAAF24" w14:textId="77777777" w:rsidR="001C01B6" w:rsidRPr="0047462D" w:rsidRDefault="001C01B6" w:rsidP="001C01B6">
      <w:pPr>
        <w:rPr>
          <w:rFonts w:eastAsia="Times New Roman"/>
          <w:szCs w:val="22"/>
        </w:rPr>
      </w:pPr>
      <w:r w:rsidRPr="0047462D">
        <w:rPr>
          <w:rFonts w:eastAsia="Times New Roman"/>
          <w:szCs w:val="22"/>
        </w:rPr>
        <w:t>Kάθε φακελλίσκος κοκκίων περιέχει 75 mg ivacaftor.</w:t>
      </w:r>
    </w:p>
    <w:p w14:paraId="1DDDCB40" w14:textId="77777777" w:rsidR="001C01B6" w:rsidRPr="0047462D" w:rsidRDefault="001C01B6" w:rsidP="001C01B6">
      <w:pPr>
        <w:rPr>
          <w:szCs w:val="22"/>
          <w:lang w:eastAsia="en-US"/>
        </w:rPr>
      </w:pPr>
    </w:p>
    <w:p w14:paraId="60CB218D" w14:textId="77777777" w:rsidR="001C01B6" w:rsidRPr="0047462D" w:rsidRDefault="001C01B6" w:rsidP="001C01B6">
      <w:pPr>
        <w:rPr>
          <w:szCs w:val="22"/>
          <w:lang w:eastAsia="en-US"/>
        </w:rPr>
      </w:pPr>
    </w:p>
    <w:p w14:paraId="6BD30D1D"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1AAB0B25" w14:textId="77777777" w:rsidR="001C01B6" w:rsidRPr="0047462D" w:rsidRDefault="001C01B6" w:rsidP="001C01B6">
      <w:pPr>
        <w:rPr>
          <w:szCs w:val="22"/>
          <w:lang w:eastAsia="en-US"/>
        </w:rPr>
      </w:pPr>
    </w:p>
    <w:p w14:paraId="2ED75CCA" w14:textId="77777777" w:rsidR="001C01B6" w:rsidRPr="0047462D" w:rsidRDefault="001C01B6" w:rsidP="001C01B6">
      <w:pPr>
        <w:rPr>
          <w:szCs w:val="22"/>
          <w:lang w:eastAsia="en-US"/>
        </w:rPr>
      </w:pPr>
      <w:r w:rsidRPr="0047462D">
        <w:rPr>
          <w:rFonts w:eastAsia="Times New Roman"/>
          <w:szCs w:val="22"/>
        </w:rPr>
        <w:t>Περιέχει λακτόζη.</w:t>
      </w:r>
    </w:p>
    <w:p w14:paraId="170F7CC3" w14:textId="77777777" w:rsidR="001C01B6" w:rsidRPr="0047462D" w:rsidRDefault="001C01B6" w:rsidP="001C01B6">
      <w:pPr>
        <w:rPr>
          <w:szCs w:val="22"/>
          <w:lang w:eastAsia="en-US"/>
        </w:rPr>
      </w:pPr>
    </w:p>
    <w:p w14:paraId="48321457" w14:textId="77777777" w:rsidR="001C01B6" w:rsidRPr="0047462D" w:rsidRDefault="00ED7342" w:rsidP="001C01B6">
      <w:pPr>
        <w:rPr>
          <w:szCs w:val="22"/>
          <w:lang w:eastAsia="en-US"/>
        </w:rPr>
      </w:pPr>
      <w:r w:rsidRPr="0047462D">
        <w:rPr>
          <w:rFonts w:eastAsia="Times New Roman"/>
          <w:szCs w:val="22"/>
        </w:rPr>
        <w:t>Βλ. φύλλο οδηγιών χρήσης για περισσότερες πληροφορίες.</w:t>
      </w:r>
    </w:p>
    <w:p w14:paraId="44431CBB" w14:textId="77777777" w:rsidR="001C01B6" w:rsidRPr="0047462D" w:rsidRDefault="001C01B6" w:rsidP="001C01B6">
      <w:pPr>
        <w:rPr>
          <w:szCs w:val="22"/>
          <w:lang w:eastAsia="en-US"/>
        </w:rPr>
      </w:pPr>
    </w:p>
    <w:p w14:paraId="5DB20494" w14:textId="77777777" w:rsidR="001C01B6" w:rsidRPr="0047462D" w:rsidRDefault="001C01B6" w:rsidP="001C01B6">
      <w:pPr>
        <w:rPr>
          <w:szCs w:val="22"/>
          <w:lang w:eastAsia="en-US"/>
        </w:rPr>
      </w:pPr>
    </w:p>
    <w:p w14:paraId="1166890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25A343D5" w14:textId="77777777" w:rsidR="001C01B6" w:rsidRPr="0047462D" w:rsidRDefault="001C01B6" w:rsidP="001C01B6">
      <w:pPr>
        <w:rPr>
          <w:szCs w:val="22"/>
          <w:lang w:eastAsia="en-US"/>
        </w:rPr>
      </w:pPr>
    </w:p>
    <w:p w14:paraId="036E1301" w14:textId="77777777" w:rsidR="001C01B6" w:rsidRPr="0047462D" w:rsidRDefault="001C01B6" w:rsidP="001C01B6">
      <w:pPr>
        <w:rPr>
          <w:szCs w:val="22"/>
          <w:lang w:eastAsia="en-US"/>
        </w:rPr>
      </w:pPr>
      <w:r w:rsidRPr="0047462D">
        <w:rPr>
          <w:szCs w:val="22"/>
          <w:lang w:eastAsia="en-US"/>
        </w:rPr>
        <w:t>Κοκκία σε φακελλίσκο</w:t>
      </w:r>
    </w:p>
    <w:p w14:paraId="30DBD1ED" w14:textId="77777777" w:rsidR="001C01B6" w:rsidRPr="0047462D" w:rsidRDefault="001C01B6" w:rsidP="001C01B6">
      <w:pPr>
        <w:rPr>
          <w:szCs w:val="22"/>
          <w:lang w:eastAsia="en-US"/>
        </w:rPr>
      </w:pPr>
    </w:p>
    <w:p w14:paraId="7C112C4A" w14:textId="03DD4A57" w:rsidR="001C01B6" w:rsidRPr="0047462D" w:rsidRDefault="001C01B6" w:rsidP="00AD331E">
      <w:pPr>
        <w:rPr>
          <w:szCs w:val="22"/>
          <w:lang w:eastAsia="en-US"/>
        </w:rPr>
      </w:pPr>
      <w:r w:rsidRPr="0047462D">
        <w:rPr>
          <w:szCs w:val="22"/>
          <w:lang w:eastAsia="en-US"/>
        </w:rPr>
        <w:t>56</w:t>
      </w:r>
      <w:r w:rsidR="00AD331E" w:rsidRPr="0047462D">
        <w:rPr>
          <w:szCs w:val="22"/>
          <w:lang w:val="en-GB" w:eastAsia="en-US"/>
        </w:rPr>
        <w:t> </w:t>
      </w:r>
      <w:r w:rsidRPr="0047462D">
        <w:rPr>
          <w:szCs w:val="22"/>
          <w:lang w:eastAsia="en-US"/>
        </w:rPr>
        <w:t>φακελλίσκοι</w:t>
      </w:r>
    </w:p>
    <w:p w14:paraId="39DCFFC1" w14:textId="77777777" w:rsidR="001C01B6" w:rsidRPr="0047462D" w:rsidRDefault="001C01B6" w:rsidP="001C01B6">
      <w:pPr>
        <w:rPr>
          <w:szCs w:val="22"/>
          <w:lang w:eastAsia="en-US"/>
        </w:rPr>
      </w:pPr>
    </w:p>
    <w:p w14:paraId="6E4C661A" w14:textId="64C46FB2" w:rsidR="001C01B6" w:rsidRPr="0047462D" w:rsidRDefault="001C01B6" w:rsidP="001C01B6">
      <w:pPr>
        <w:rPr>
          <w:szCs w:val="22"/>
          <w:lang w:eastAsia="en-US"/>
        </w:rPr>
      </w:pPr>
      <w:r w:rsidRPr="0047462D">
        <w:rPr>
          <w:szCs w:val="22"/>
          <w:lang w:eastAsia="en-US"/>
        </w:rPr>
        <w:t>4</w:t>
      </w:r>
      <w:r w:rsidR="00AD331E" w:rsidRPr="0047462D">
        <w:rPr>
          <w:szCs w:val="22"/>
          <w:lang w:val="en-GB" w:eastAsia="en-US"/>
        </w:rPr>
        <w:t> </w:t>
      </w:r>
      <w:r w:rsidRPr="0047462D">
        <w:rPr>
          <w:szCs w:val="22"/>
          <w:lang w:eastAsia="en-US"/>
        </w:rPr>
        <w:t>ξεχωριστές καρτέλες με 14</w:t>
      </w:r>
      <w:r w:rsidR="00AD331E" w:rsidRPr="0047462D">
        <w:rPr>
          <w:szCs w:val="22"/>
          <w:lang w:val="en-GB" w:eastAsia="en-US"/>
        </w:rPr>
        <w:t> </w:t>
      </w:r>
      <w:r w:rsidRPr="0047462D">
        <w:rPr>
          <w:szCs w:val="22"/>
          <w:lang w:eastAsia="en-US"/>
        </w:rPr>
        <w:t>φακελλίσκους ανά καρτέλα</w:t>
      </w:r>
    </w:p>
    <w:p w14:paraId="03F5EF3B" w14:textId="77777777" w:rsidR="001C01B6" w:rsidRPr="0047462D" w:rsidRDefault="001C01B6" w:rsidP="001C01B6">
      <w:pPr>
        <w:rPr>
          <w:szCs w:val="22"/>
          <w:lang w:eastAsia="en-US"/>
        </w:rPr>
      </w:pPr>
    </w:p>
    <w:p w14:paraId="0CE7609C" w14:textId="77777777" w:rsidR="001C01B6" w:rsidRPr="0047462D" w:rsidRDefault="001C01B6" w:rsidP="001C01B6">
      <w:pPr>
        <w:rPr>
          <w:szCs w:val="22"/>
          <w:lang w:eastAsia="en-US"/>
        </w:rPr>
      </w:pPr>
    </w:p>
    <w:p w14:paraId="237200A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090C0F" w:rsidRPr="0047462D">
        <w:rPr>
          <w:rFonts w:eastAsia="Times New Roman"/>
          <w:b/>
          <w:bCs/>
          <w:szCs w:val="22"/>
        </w:rPr>
        <w:t>(ΟΙ)</w:t>
      </w:r>
      <w:r w:rsidRPr="0047462D">
        <w:rPr>
          <w:rFonts w:eastAsia="Times New Roman"/>
          <w:b/>
          <w:bCs/>
          <w:szCs w:val="22"/>
        </w:rPr>
        <w:t xml:space="preserve"> ΧΟΡΗΓΗΣΗΣ</w:t>
      </w:r>
    </w:p>
    <w:p w14:paraId="679031E1" w14:textId="77777777" w:rsidR="001C01B6" w:rsidRPr="0047462D" w:rsidRDefault="001C01B6" w:rsidP="001C01B6">
      <w:pPr>
        <w:rPr>
          <w:szCs w:val="22"/>
          <w:lang w:eastAsia="en-US"/>
        </w:rPr>
      </w:pPr>
    </w:p>
    <w:p w14:paraId="21D66074"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383F0235" w14:textId="77777777" w:rsidR="000F0A70" w:rsidRPr="0047462D" w:rsidRDefault="000F0A70" w:rsidP="001C01B6">
      <w:pPr>
        <w:rPr>
          <w:rFonts w:eastAsia="Times New Roman"/>
          <w:szCs w:val="22"/>
        </w:rPr>
      </w:pPr>
    </w:p>
    <w:p w14:paraId="64446A57"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2FB08990" w14:textId="77777777" w:rsidR="001C01B6" w:rsidRPr="0047462D" w:rsidRDefault="001C01B6" w:rsidP="001C01B6">
      <w:pPr>
        <w:autoSpaceDE w:val="0"/>
        <w:rPr>
          <w:szCs w:val="22"/>
        </w:rPr>
      </w:pPr>
    </w:p>
    <w:p w14:paraId="229A19C1" w14:textId="4C966FA3" w:rsidR="005D5499" w:rsidRPr="0047462D" w:rsidRDefault="00090C0F" w:rsidP="009E50D2">
      <w:pPr>
        <w:keepNext/>
      </w:pPr>
      <w:r w:rsidRPr="0047462D">
        <w:rPr>
          <w:b/>
          <w:bCs/>
        </w:rPr>
        <w:t>Ο</w:t>
      </w:r>
      <w:r w:rsidR="00274F51" w:rsidRPr="0047462D">
        <w:rPr>
          <w:b/>
          <w:bCs/>
        </w:rPr>
        <w:t>δηγίες χρήσης</w:t>
      </w:r>
    </w:p>
    <w:p w14:paraId="0CDABCAF" w14:textId="77777777" w:rsidR="005D5499" w:rsidRPr="0047462D" w:rsidRDefault="005D5499" w:rsidP="009E50D2">
      <w:pPr>
        <w:keepNext/>
      </w:pPr>
    </w:p>
    <w:p w14:paraId="442F9073" w14:textId="77777777" w:rsidR="000F0A70" w:rsidRPr="0047462D" w:rsidRDefault="00887FC4" w:rsidP="001C01B6">
      <w:pPr>
        <w:rPr>
          <w:rFonts w:eastAsia="Times New Roman"/>
          <w:szCs w:val="22"/>
        </w:rPr>
      </w:pPr>
      <w:r w:rsidRPr="0047462D">
        <w:rPr>
          <w:rFonts w:eastAsia="Times New Roman"/>
          <w:szCs w:val="22"/>
        </w:rPr>
        <w:t>Αναμείξτε όλο το περιεχόμενο ενός φακελλίσκου με 5</w:t>
      </w:r>
      <w:r w:rsidRPr="0047462D">
        <w:rPr>
          <w:rFonts w:eastAsia="MS Mincho"/>
          <w:color w:val="000000"/>
          <w:szCs w:val="22"/>
          <w:lang w:eastAsia="ja-JP"/>
        </w:rPr>
        <w:t> </w:t>
      </w:r>
      <w:r w:rsidRPr="0047462D">
        <w:rPr>
          <w:rFonts w:eastAsia="Times New Roman"/>
          <w:szCs w:val="22"/>
        </w:rPr>
        <w:t>m</w:t>
      </w:r>
      <w:r w:rsidRPr="0047462D">
        <w:rPr>
          <w:rFonts w:eastAsia="Times New Roman"/>
          <w:szCs w:val="22"/>
          <w:lang w:val="en-US"/>
        </w:rPr>
        <w:t>l</w:t>
      </w:r>
      <w:r w:rsidRPr="0047462D">
        <w:rPr>
          <w:rFonts w:eastAsia="Times New Roman"/>
          <w:szCs w:val="22"/>
        </w:rPr>
        <w:t xml:space="preserve"> μαλακής τροφής κατάλληλης για την ηλικία ή υγρού</w:t>
      </w:r>
      <w:r w:rsidR="000375A7" w:rsidRPr="0047462D">
        <w:rPr>
          <w:rFonts w:eastAsia="Times New Roman"/>
          <w:szCs w:val="22"/>
        </w:rPr>
        <w:t xml:space="preserve"> που βρίσκεται σε θερμοκρασία δωματίου ή </w:t>
      </w:r>
      <w:r w:rsidR="00474005" w:rsidRPr="0047462D">
        <w:rPr>
          <w:rFonts w:eastAsia="Times New Roman"/>
          <w:szCs w:val="22"/>
        </w:rPr>
        <w:t xml:space="preserve">χαμηλότερη </w:t>
      </w:r>
      <w:r w:rsidR="000375A7" w:rsidRPr="0047462D">
        <w:rPr>
          <w:rFonts w:eastAsia="Times New Roman"/>
          <w:szCs w:val="22"/>
        </w:rPr>
        <w:t xml:space="preserve">και </w:t>
      </w:r>
      <w:r w:rsidR="00ED7342" w:rsidRPr="0047462D">
        <w:rPr>
          <w:rFonts w:eastAsia="Times New Roman"/>
          <w:szCs w:val="22"/>
        </w:rPr>
        <w:t>καταναλώστε πλήρως</w:t>
      </w:r>
      <w:r w:rsidRPr="0047462D">
        <w:rPr>
          <w:rFonts w:eastAsia="Times New Roman"/>
          <w:szCs w:val="22"/>
        </w:rPr>
        <w:t>.</w:t>
      </w:r>
    </w:p>
    <w:p w14:paraId="6FC55AD3" w14:textId="77777777" w:rsidR="000F0A70" w:rsidRPr="0047462D" w:rsidRDefault="000F0A70" w:rsidP="001C01B6">
      <w:pPr>
        <w:rPr>
          <w:rFonts w:eastAsia="Times New Roman"/>
          <w:szCs w:val="22"/>
        </w:rPr>
      </w:pPr>
    </w:p>
    <w:p w14:paraId="013A42B3" w14:textId="77777777" w:rsidR="001C01B6" w:rsidRPr="0047462D" w:rsidRDefault="00887FC4" w:rsidP="001C01B6">
      <w:r w:rsidRPr="0047462D">
        <w:rPr>
          <w:rFonts w:eastAsia="Times New Roman"/>
          <w:szCs w:val="22"/>
        </w:rPr>
        <w:t>Χρησιμοποιήστε εντός μίας ώρας μετά την ανάμειξη, λίγο πριν ή αμέσως μετά από γεύμα ή σνακ που περιέχει λίπος.</w:t>
      </w:r>
    </w:p>
    <w:p w14:paraId="331D6BD3" w14:textId="77777777" w:rsidR="00320A88" w:rsidRPr="0047462D" w:rsidRDefault="00320A88" w:rsidP="00320A88">
      <w:pPr>
        <w:suppressLineNumbers/>
      </w:pPr>
    </w:p>
    <w:p w14:paraId="0ABE4A3C" w14:textId="77777777" w:rsidR="00320A88" w:rsidRPr="0047462D" w:rsidRDefault="00320A88" w:rsidP="00320A88">
      <w:pPr>
        <w:suppressLineNumbers/>
      </w:pPr>
      <w:r w:rsidRPr="0047462D">
        <w:t xml:space="preserve">Σηκώστε εδώ για να ανοίξετε </w:t>
      </w:r>
    </w:p>
    <w:p w14:paraId="413290D6" w14:textId="77777777" w:rsidR="001C01B6" w:rsidRPr="0047462D" w:rsidRDefault="001C01B6" w:rsidP="001C01B6">
      <w:pPr>
        <w:rPr>
          <w:szCs w:val="22"/>
          <w:lang w:eastAsia="en-US"/>
        </w:rPr>
      </w:pPr>
    </w:p>
    <w:p w14:paraId="4BEB4A4E" w14:textId="77777777" w:rsidR="001C01B6" w:rsidRPr="0047462D" w:rsidRDefault="001C01B6" w:rsidP="001C01B6">
      <w:pPr>
        <w:autoSpaceDE w:val="0"/>
        <w:rPr>
          <w:szCs w:val="22"/>
        </w:rPr>
      </w:pPr>
    </w:p>
    <w:p w14:paraId="1C8E6B5A" w14:textId="77777777" w:rsidR="001C01B6" w:rsidRPr="0047462D" w:rsidRDefault="001C01B6" w:rsidP="009A2EEC">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EB92D72" w14:textId="77777777" w:rsidR="001C01B6" w:rsidRPr="0047462D" w:rsidRDefault="001C01B6" w:rsidP="009A2EEC">
      <w:pPr>
        <w:keepNext/>
        <w:rPr>
          <w:szCs w:val="22"/>
          <w:lang w:eastAsia="en-US"/>
        </w:rPr>
      </w:pPr>
    </w:p>
    <w:p w14:paraId="41112869"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4A480E40" w14:textId="77777777" w:rsidR="001C01B6" w:rsidRPr="0047462D" w:rsidRDefault="001C01B6" w:rsidP="001C01B6">
      <w:pPr>
        <w:rPr>
          <w:szCs w:val="22"/>
          <w:lang w:eastAsia="en-US"/>
        </w:rPr>
      </w:pPr>
    </w:p>
    <w:p w14:paraId="49577960" w14:textId="77777777" w:rsidR="001C01B6" w:rsidRPr="0047462D" w:rsidRDefault="001C01B6" w:rsidP="001C01B6">
      <w:pPr>
        <w:rPr>
          <w:szCs w:val="22"/>
          <w:lang w:eastAsia="en-US"/>
        </w:rPr>
      </w:pPr>
    </w:p>
    <w:p w14:paraId="3BD846B2" w14:textId="77777777" w:rsidR="005D5499" w:rsidRPr="0047462D" w:rsidRDefault="001C01B6" w:rsidP="009E50D2">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ΕΙΔΙΚ</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ΠΡΟΕΙΔΟΠΟΙΗΣ</w:t>
      </w:r>
      <w:r w:rsidR="00090C0F" w:rsidRPr="0047462D">
        <w:rPr>
          <w:rFonts w:eastAsia="Times New Roman"/>
          <w:b/>
          <w:bCs/>
          <w:szCs w:val="22"/>
        </w:rPr>
        <w:t>Η(</w:t>
      </w:r>
      <w:r w:rsidRPr="0047462D">
        <w:rPr>
          <w:rFonts w:eastAsia="Times New Roman"/>
          <w:b/>
          <w:bCs/>
          <w:szCs w:val="22"/>
        </w:rPr>
        <w:t>ΕΙΣ</w:t>
      </w:r>
      <w:r w:rsidR="00090C0F" w:rsidRPr="0047462D">
        <w:rPr>
          <w:rFonts w:eastAsia="Times New Roman"/>
          <w:b/>
          <w:bCs/>
          <w:szCs w:val="22"/>
        </w:rPr>
        <w:t>)</w:t>
      </w:r>
      <w:r w:rsidRPr="0047462D">
        <w:rPr>
          <w:b/>
          <w:lang w:eastAsia="en-US"/>
        </w:rPr>
        <w:t>, ΕΑΝ ΕΙΝΑΙ ΑΠΑΡΑΙΤΗΤ</w:t>
      </w:r>
      <w:r w:rsidR="00090C0F" w:rsidRPr="0047462D">
        <w:rPr>
          <w:b/>
          <w:lang w:eastAsia="en-US"/>
        </w:rPr>
        <w:t>Η(</w:t>
      </w:r>
      <w:r w:rsidRPr="0047462D">
        <w:rPr>
          <w:b/>
          <w:lang w:eastAsia="en-US"/>
        </w:rPr>
        <w:t>ΕΣ</w:t>
      </w:r>
      <w:r w:rsidR="00090C0F" w:rsidRPr="0047462D">
        <w:rPr>
          <w:b/>
          <w:lang w:eastAsia="en-US"/>
        </w:rPr>
        <w:t>)</w:t>
      </w:r>
    </w:p>
    <w:p w14:paraId="731CE6F0" w14:textId="77777777" w:rsidR="005D5499" w:rsidRPr="0047462D" w:rsidRDefault="005D5499" w:rsidP="009E50D2">
      <w:pPr>
        <w:keepNext/>
        <w:rPr>
          <w:szCs w:val="22"/>
          <w:lang w:eastAsia="en-US"/>
        </w:rPr>
      </w:pPr>
    </w:p>
    <w:p w14:paraId="36D481F2" w14:textId="77777777" w:rsidR="001C01B6" w:rsidRPr="0047462D" w:rsidRDefault="001C01B6" w:rsidP="001C01B6">
      <w:pPr>
        <w:tabs>
          <w:tab w:val="left" w:pos="749"/>
        </w:tabs>
        <w:rPr>
          <w:szCs w:val="22"/>
          <w:lang w:eastAsia="en-US"/>
        </w:rPr>
      </w:pPr>
    </w:p>
    <w:p w14:paraId="1189E507" w14:textId="77777777" w:rsidR="001C01B6" w:rsidRPr="0047462D" w:rsidRDefault="001C01B6" w:rsidP="00141E57">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223F549" w14:textId="77777777" w:rsidR="001C01B6" w:rsidRPr="0047462D" w:rsidRDefault="001C01B6" w:rsidP="00141E57">
      <w:pPr>
        <w:keepNext/>
        <w:rPr>
          <w:szCs w:val="22"/>
          <w:lang w:eastAsia="en-US"/>
        </w:rPr>
      </w:pPr>
    </w:p>
    <w:p w14:paraId="6885F71D" w14:textId="77777777" w:rsidR="001C01B6" w:rsidRPr="0047462D" w:rsidRDefault="001C01B6" w:rsidP="001C01B6">
      <w:pPr>
        <w:rPr>
          <w:szCs w:val="22"/>
          <w:lang w:eastAsia="en-US"/>
        </w:rPr>
      </w:pPr>
      <w:r w:rsidRPr="0047462D">
        <w:rPr>
          <w:rFonts w:eastAsia="Times New Roman"/>
          <w:szCs w:val="22"/>
        </w:rPr>
        <w:t>ΛΗΞΗ</w:t>
      </w:r>
    </w:p>
    <w:p w14:paraId="444C9420" w14:textId="77777777" w:rsidR="001C01B6" w:rsidRPr="0047462D" w:rsidRDefault="001C01B6" w:rsidP="001C01B6">
      <w:pPr>
        <w:rPr>
          <w:szCs w:val="22"/>
          <w:lang w:eastAsia="en-US"/>
        </w:rPr>
      </w:pPr>
    </w:p>
    <w:p w14:paraId="48DB74DA" w14:textId="77777777" w:rsidR="001C01B6" w:rsidRPr="0047462D" w:rsidRDefault="001C01B6" w:rsidP="001C01B6">
      <w:pPr>
        <w:rPr>
          <w:szCs w:val="22"/>
          <w:lang w:eastAsia="en-US"/>
        </w:rPr>
      </w:pPr>
    </w:p>
    <w:p w14:paraId="261EB83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038F15B1" w14:textId="77777777" w:rsidR="001C01B6" w:rsidRPr="0047462D" w:rsidRDefault="001C01B6" w:rsidP="001C01B6">
      <w:pPr>
        <w:rPr>
          <w:szCs w:val="22"/>
          <w:lang w:eastAsia="en-US"/>
        </w:rPr>
      </w:pPr>
    </w:p>
    <w:p w14:paraId="233FE1BF" w14:textId="77777777" w:rsidR="001C01B6" w:rsidRPr="0047462D" w:rsidRDefault="001C01B6" w:rsidP="001C01B6">
      <w:pPr>
        <w:rPr>
          <w:szCs w:val="22"/>
          <w:lang w:eastAsia="en-US"/>
        </w:rPr>
      </w:pPr>
    </w:p>
    <w:p w14:paraId="64C429F0" w14:textId="77777777" w:rsidR="001C01B6" w:rsidRPr="0047462D" w:rsidRDefault="001C01B6"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7" w:hanging="567"/>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5489B5F3" w14:textId="77777777" w:rsidR="001C01B6" w:rsidRPr="0047462D" w:rsidRDefault="001C01B6" w:rsidP="001C01B6">
      <w:pPr>
        <w:rPr>
          <w:szCs w:val="22"/>
          <w:lang w:eastAsia="en-US"/>
        </w:rPr>
      </w:pPr>
    </w:p>
    <w:p w14:paraId="42161C58" w14:textId="77777777" w:rsidR="001C01B6" w:rsidRPr="0047462D" w:rsidRDefault="001C01B6" w:rsidP="001C01B6">
      <w:pPr>
        <w:rPr>
          <w:szCs w:val="22"/>
          <w:lang w:eastAsia="en-US"/>
        </w:rPr>
      </w:pPr>
    </w:p>
    <w:p w14:paraId="654A397A"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6B8BF188" w14:textId="77777777" w:rsidR="001C01B6" w:rsidRPr="0047462D" w:rsidRDefault="001C01B6" w:rsidP="001C01B6">
      <w:pPr>
        <w:rPr>
          <w:szCs w:val="22"/>
          <w:lang w:eastAsia="en-US"/>
        </w:rPr>
      </w:pPr>
    </w:p>
    <w:p w14:paraId="72BDE40A" w14:textId="77777777" w:rsidR="00AE0285" w:rsidRPr="0047462D" w:rsidRDefault="00AE0285" w:rsidP="00AE0285">
      <w:pPr>
        <w:rPr>
          <w:iCs/>
          <w:lang w:val="en-GB"/>
        </w:rPr>
      </w:pPr>
      <w:r w:rsidRPr="0047462D">
        <w:rPr>
          <w:iCs/>
          <w:lang w:val="en-GB"/>
        </w:rPr>
        <w:t>Vertex Pharmaceuticals (Ireland) Limited</w:t>
      </w:r>
    </w:p>
    <w:p w14:paraId="79E25ABA" w14:textId="77777777" w:rsidR="00AE0285" w:rsidRPr="0047462D" w:rsidRDefault="00AE0285" w:rsidP="00AE0285">
      <w:pPr>
        <w:rPr>
          <w:iCs/>
          <w:lang w:val="en-GB"/>
        </w:rPr>
      </w:pPr>
      <w:r w:rsidRPr="0047462D">
        <w:rPr>
          <w:iCs/>
          <w:lang w:val="en-GB"/>
        </w:rPr>
        <w:t>28-32 Pembroke Street Upper</w:t>
      </w:r>
    </w:p>
    <w:p w14:paraId="7BBF7E96"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7C684BC8" w14:textId="77777777" w:rsidR="001C01B6" w:rsidRPr="0047462D" w:rsidRDefault="00AE0285" w:rsidP="00AB3D36">
      <w:r w:rsidRPr="0047462D">
        <w:rPr>
          <w:iCs/>
        </w:rPr>
        <w:t>Ιρλανδία</w:t>
      </w:r>
    </w:p>
    <w:p w14:paraId="48302B45" w14:textId="77777777" w:rsidR="00A36A94" w:rsidRPr="0047462D" w:rsidRDefault="00A36A94" w:rsidP="00AB3D36"/>
    <w:p w14:paraId="7AF8DA64" w14:textId="77777777" w:rsidR="001C01B6" w:rsidRPr="0047462D" w:rsidRDefault="001C01B6" w:rsidP="001C01B6">
      <w:pPr>
        <w:pStyle w:val="1"/>
        <w:spacing w:after="0"/>
        <w:ind w:left="0"/>
        <w:rPr>
          <w:szCs w:val="22"/>
        </w:rPr>
      </w:pPr>
    </w:p>
    <w:p w14:paraId="37DF36D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lang w:eastAsia="en-US"/>
        </w:rPr>
        <w:t>12.</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0947FAE0" w14:textId="77777777" w:rsidR="001C01B6" w:rsidRPr="0047462D" w:rsidRDefault="001C01B6" w:rsidP="001C01B6">
      <w:pPr>
        <w:rPr>
          <w:szCs w:val="22"/>
          <w:lang w:eastAsia="en-US"/>
        </w:rPr>
      </w:pPr>
    </w:p>
    <w:p w14:paraId="29702743" w14:textId="77777777" w:rsidR="001C01B6" w:rsidRPr="0047462D" w:rsidRDefault="001C01B6" w:rsidP="001C01B6">
      <w:pPr>
        <w:rPr>
          <w:szCs w:val="22"/>
          <w:lang w:eastAsia="en-US"/>
        </w:rPr>
      </w:pPr>
      <w:r w:rsidRPr="0047462D">
        <w:t>EU/1/12/782/004</w:t>
      </w:r>
    </w:p>
    <w:p w14:paraId="4E9EFE8B" w14:textId="77777777" w:rsidR="001C01B6" w:rsidRPr="0047462D" w:rsidRDefault="001C01B6" w:rsidP="001C01B6">
      <w:pPr>
        <w:rPr>
          <w:szCs w:val="22"/>
          <w:lang w:eastAsia="en-US"/>
        </w:rPr>
      </w:pPr>
    </w:p>
    <w:p w14:paraId="44980618" w14:textId="77777777" w:rsidR="001C01B6" w:rsidRPr="0047462D" w:rsidRDefault="001C01B6" w:rsidP="001C01B6">
      <w:pPr>
        <w:rPr>
          <w:szCs w:val="22"/>
          <w:lang w:eastAsia="en-US"/>
        </w:rPr>
      </w:pPr>
    </w:p>
    <w:p w14:paraId="172E9A4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71E0EA7B" w14:textId="77777777" w:rsidR="001C01B6" w:rsidRPr="0047462D" w:rsidRDefault="001C01B6" w:rsidP="001C01B6">
      <w:pPr>
        <w:rPr>
          <w:i/>
          <w:iCs/>
          <w:szCs w:val="22"/>
          <w:lang w:eastAsia="en-US"/>
        </w:rPr>
      </w:pPr>
    </w:p>
    <w:p w14:paraId="5C907156" w14:textId="77777777" w:rsidR="001C01B6" w:rsidRPr="0047462D" w:rsidRDefault="001C01B6" w:rsidP="001C01B6">
      <w:pPr>
        <w:rPr>
          <w:szCs w:val="22"/>
          <w:lang w:eastAsia="en-US"/>
        </w:rPr>
      </w:pPr>
      <w:r w:rsidRPr="0047462D">
        <w:rPr>
          <w:szCs w:val="22"/>
          <w:lang w:eastAsia="en-US"/>
        </w:rPr>
        <w:t>Παρτίδα</w:t>
      </w:r>
    </w:p>
    <w:p w14:paraId="2C58C570" w14:textId="77777777" w:rsidR="001C01B6" w:rsidRPr="0047462D" w:rsidRDefault="001C01B6" w:rsidP="001C01B6">
      <w:pPr>
        <w:rPr>
          <w:szCs w:val="22"/>
          <w:lang w:eastAsia="en-US"/>
        </w:rPr>
      </w:pPr>
    </w:p>
    <w:p w14:paraId="649B2151" w14:textId="77777777" w:rsidR="001C01B6" w:rsidRPr="0047462D" w:rsidRDefault="001C01B6" w:rsidP="001C01B6">
      <w:pPr>
        <w:rPr>
          <w:szCs w:val="22"/>
          <w:lang w:eastAsia="en-US"/>
        </w:rPr>
      </w:pPr>
    </w:p>
    <w:p w14:paraId="2E5A132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509D2970" w14:textId="77777777" w:rsidR="001C01B6" w:rsidRPr="0047462D" w:rsidRDefault="001C01B6" w:rsidP="001C01B6">
      <w:pPr>
        <w:rPr>
          <w:szCs w:val="22"/>
          <w:lang w:eastAsia="en-US"/>
        </w:rPr>
      </w:pPr>
    </w:p>
    <w:p w14:paraId="384B93F7" w14:textId="77777777" w:rsidR="001C01B6" w:rsidRPr="0047462D" w:rsidRDefault="001C01B6" w:rsidP="001C01B6">
      <w:pPr>
        <w:rPr>
          <w:szCs w:val="22"/>
          <w:lang w:eastAsia="en-US"/>
        </w:rPr>
      </w:pPr>
    </w:p>
    <w:p w14:paraId="4678423F" w14:textId="77777777" w:rsidR="001C01B6" w:rsidRPr="0047462D" w:rsidRDefault="001C01B6" w:rsidP="001C01B6">
      <w:pPr>
        <w:pBdr>
          <w:top w:val="single" w:sz="4" w:space="2"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0E924AB9" w14:textId="77777777" w:rsidR="001C01B6" w:rsidRPr="0047462D" w:rsidRDefault="001C01B6" w:rsidP="001C01B6">
      <w:pPr>
        <w:rPr>
          <w:szCs w:val="22"/>
          <w:lang w:eastAsia="en-US"/>
        </w:rPr>
      </w:pPr>
    </w:p>
    <w:p w14:paraId="1D495AE6" w14:textId="77777777" w:rsidR="001C01B6" w:rsidRPr="0047462D" w:rsidRDefault="001C01B6" w:rsidP="001C01B6">
      <w:pPr>
        <w:rPr>
          <w:szCs w:val="22"/>
          <w:lang w:eastAsia="en-US"/>
        </w:rPr>
      </w:pPr>
    </w:p>
    <w:p w14:paraId="2230EC2B" w14:textId="77777777" w:rsidR="001C01B6" w:rsidRPr="0047462D" w:rsidRDefault="001C01B6" w:rsidP="001C01B6">
      <w:pPr>
        <w:pBdr>
          <w:top w:val="single" w:sz="4" w:space="1" w:color="auto"/>
          <w:left w:val="single" w:sz="4" w:space="4" w:color="auto"/>
          <w:bottom w:val="single" w:sz="4" w:space="0" w:color="auto"/>
          <w:right w:val="single" w:sz="4" w:space="4" w:color="auto"/>
        </w:pBdr>
        <w:tabs>
          <w:tab w:val="left" w:pos="567"/>
        </w:tabs>
        <w:suppressAutoHyphens w:val="0"/>
        <w:spacing w:line="260" w:lineRule="exact"/>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49E0F374" w14:textId="77777777" w:rsidR="001C01B6" w:rsidRPr="0047462D" w:rsidRDefault="001C01B6" w:rsidP="001C01B6">
      <w:pPr>
        <w:rPr>
          <w:szCs w:val="22"/>
          <w:shd w:val="clear" w:color="auto" w:fill="CCCCCC"/>
          <w:lang w:eastAsia="en-US"/>
        </w:rPr>
      </w:pPr>
    </w:p>
    <w:p w14:paraId="55E88E11" w14:textId="77777777" w:rsidR="001C01B6" w:rsidRPr="0047462D" w:rsidRDefault="001C01B6" w:rsidP="001C01B6">
      <w:r w:rsidRPr="0047462D">
        <w:t>Kalydeco 75 mg κοκκία</w:t>
      </w:r>
    </w:p>
    <w:p w14:paraId="559F15B7" w14:textId="77777777" w:rsidR="006F11D8" w:rsidRPr="0047462D" w:rsidRDefault="006F11D8" w:rsidP="006F11D8">
      <w:pPr>
        <w:rPr>
          <w:rFonts w:eastAsia="Times New Roman"/>
          <w:spacing w:val="4"/>
          <w:szCs w:val="22"/>
        </w:rPr>
      </w:pPr>
    </w:p>
    <w:p w14:paraId="5310EAC4" w14:textId="77777777" w:rsidR="006F11D8" w:rsidRPr="0047462D" w:rsidRDefault="006F11D8" w:rsidP="006F11D8">
      <w:pPr>
        <w:rPr>
          <w:b/>
        </w:rPr>
      </w:pPr>
    </w:p>
    <w:p w14:paraId="4B0B4083"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09B6BD3B" w14:textId="77777777" w:rsidR="005D5499" w:rsidRPr="0047462D" w:rsidRDefault="005D5499" w:rsidP="009E50D2">
      <w:pPr>
        <w:keepNext/>
        <w:rPr>
          <w:noProof/>
        </w:rPr>
      </w:pPr>
    </w:p>
    <w:p w14:paraId="42863987"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3BFE599E" w14:textId="77777777" w:rsidR="006F11D8" w:rsidRPr="0047462D" w:rsidRDefault="006F11D8" w:rsidP="006F11D8">
      <w:pPr>
        <w:rPr>
          <w:noProof/>
        </w:rPr>
      </w:pPr>
    </w:p>
    <w:p w14:paraId="27C0C65C" w14:textId="77777777" w:rsidR="006F11D8" w:rsidRPr="0047462D" w:rsidRDefault="006F11D8" w:rsidP="006F11D8">
      <w:pPr>
        <w:rPr>
          <w:noProof/>
        </w:rPr>
      </w:pPr>
    </w:p>
    <w:p w14:paraId="29868799"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290CB9B2" w14:textId="77777777" w:rsidR="005D5499" w:rsidRPr="0047462D" w:rsidRDefault="005D5499" w:rsidP="009E50D2">
      <w:pPr>
        <w:keepNext/>
        <w:rPr>
          <w:noProof/>
        </w:rPr>
      </w:pPr>
    </w:p>
    <w:p w14:paraId="683CB595" w14:textId="5E7E9C66" w:rsidR="005D5499" w:rsidRPr="0047462D" w:rsidRDefault="006F11D8" w:rsidP="009E50D2">
      <w:pPr>
        <w:keepNext/>
        <w:rPr>
          <w:szCs w:val="22"/>
        </w:rPr>
      </w:pPr>
      <w:r w:rsidRPr="0047462D">
        <w:rPr>
          <w:szCs w:val="22"/>
        </w:rPr>
        <w:t>PC</w:t>
      </w:r>
    </w:p>
    <w:p w14:paraId="7C0EFFC0" w14:textId="3A42F050" w:rsidR="005D5499" w:rsidRPr="0047462D" w:rsidRDefault="006F11D8" w:rsidP="009E50D2">
      <w:pPr>
        <w:keepNext/>
        <w:rPr>
          <w:szCs w:val="22"/>
        </w:rPr>
      </w:pPr>
      <w:r w:rsidRPr="0047462D">
        <w:rPr>
          <w:szCs w:val="22"/>
        </w:rPr>
        <w:t>SN</w:t>
      </w:r>
    </w:p>
    <w:p w14:paraId="667654CB" w14:textId="3509FF2F" w:rsidR="006F11D8" w:rsidRPr="0047462D" w:rsidRDefault="006F11D8" w:rsidP="006F11D8">
      <w:pPr>
        <w:rPr>
          <w:szCs w:val="22"/>
        </w:rPr>
      </w:pPr>
      <w:r w:rsidRPr="0047462D">
        <w:rPr>
          <w:szCs w:val="22"/>
        </w:rPr>
        <w:t>NN</w:t>
      </w:r>
    </w:p>
    <w:p w14:paraId="665D939A" w14:textId="77777777" w:rsidR="006F11D8" w:rsidRPr="0047462D" w:rsidRDefault="006F11D8" w:rsidP="001C01B6">
      <w:pPr>
        <w:rPr>
          <w:rFonts w:eastAsia="Times New Roman"/>
          <w:spacing w:val="4"/>
          <w:szCs w:val="22"/>
        </w:rPr>
      </w:pPr>
    </w:p>
    <w:p w14:paraId="2EF4759B" w14:textId="77777777" w:rsidR="001C01B6" w:rsidRPr="0047462D" w:rsidRDefault="001C01B6" w:rsidP="001C01B6">
      <w:pPr>
        <w:rPr>
          <w:szCs w:val="22"/>
          <w:lang w:eastAsia="en-US"/>
        </w:rPr>
      </w:pPr>
      <w:r w:rsidRPr="0047462D">
        <w:rPr>
          <w:rFonts w:eastAsia="Times New Roman"/>
          <w:spacing w:val="4"/>
          <w:szCs w:val="22"/>
        </w:rPr>
        <w:br w:type="page"/>
      </w:r>
    </w:p>
    <w:p w14:paraId="73507C0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 xml:space="preserve">ΕΝΔΕΙΞΕΙΣ ΠΟΥ ΠΡΕΠΕΙ ΝΑ ΑΝΑΓΡΑΦΟΝΤΑΙ </w:t>
      </w:r>
      <w:r w:rsidRPr="0047462D">
        <w:rPr>
          <w:b/>
        </w:rPr>
        <w:t>ΣΤΗ</w:t>
      </w:r>
      <w:r w:rsidR="003C0E64" w:rsidRPr="0047462D">
        <w:rPr>
          <w:b/>
        </w:rPr>
        <w:t>Ν ΕΝΔΙΑΜΕΣΗ</w:t>
      </w:r>
      <w:r w:rsidRPr="0047462D">
        <w:rPr>
          <w:b/>
        </w:rPr>
        <w:t xml:space="preserve"> ΣΥΣΚΕΥΑΣΙΑ</w:t>
      </w:r>
    </w:p>
    <w:p w14:paraId="71B3AFCC"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p>
    <w:p w14:paraId="156C246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ΚΑΡΤΕΛΑ ΓΙΑ ΤΟΝ ΦΑΚΕΛΛΙΣΚΟ</w:t>
      </w:r>
    </w:p>
    <w:p w14:paraId="70BDC15C" w14:textId="77777777" w:rsidR="001C01B6" w:rsidRPr="0047462D" w:rsidRDefault="001C01B6" w:rsidP="001C01B6">
      <w:pPr>
        <w:rPr>
          <w:szCs w:val="22"/>
          <w:lang w:eastAsia="en-US"/>
        </w:rPr>
      </w:pPr>
    </w:p>
    <w:p w14:paraId="3AAFD1D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06131DC6" w14:textId="77777777" w:rsidR="001C01B6" w:rsidRPr="0047462D" w:rsidRDefault="001C01B6" w:rsidP="001C01B6">
      <w:pPr>
        <w:rPr>
          <w:szCs w:val="22"/>
          <w:lang w:eastAsia="en-US"/>
        </w:rPr>
      </w:pPr>
    </w:p>
    <w:p w14:paraId="2669EC87" w14:textId="77777777" w:rsidR="001C01B6" w:rsidRPr="0047462D" w:rsidRDefault="001C01B6" w:rsidP="001C01B6">
      <w:pPr>
        <w:rPr>
          <w:rFonts w:eastAsia="Times New Roman"/>
          <w:szCs w:val="22"/>
        </w:rPr>
      </w:pPr>
      <w:r w:rsidRPr="0047462D">
        <w:rPr>
          <w:rFonts w:eastAsia="Times New Roman"/>
          <w:szCs w:val="22"/>
        </w:rPr>
        <w:t>Kalydeco 75</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48A3C857" w14:textId="77777777" w:rsidR="001C01B6" w:rsidRPr="0047462D" w:rsidRDefault="00004A6E" w:rsidP="001C01B6">
      <w:pPr>
        <w:rPr>
          <w:szCs w:val="22"/>
          <w:lang w:eastAsia="en-US"/>
        </w:rPr>
      </w:pPr>
      <w:r w:rsidRPr="0047462D">
        <w:rPr>
          <w:lang w:val="en-US"/>
        </w:rPr>
        <w:t>i</w:t>
      </w:r>
      <w:r w:rsidR="00090C0F" w:rsidRPr="0047462D">
        <w:t>vacaftor</w:t>
      </w:r>
    </w:p>
    <w:p w14:paraId="4E498E84" w14:textId="77777777" w:rsidR="001C01B6" w:rsidRPr="0047462D" w:rsidRDefault="001C01B6" w:rsidP="001C01B6">
      <w:pPr>
        <w:rPr>
          <w:szCs w:val="22"/>
          <w:lang w:eastAsia="en-US"/>
        </w:rPr>
      </w:pPr>
    </w:p>
    <w:p w14:paraId="76ED40C8" w14:textId="77777777" w:rsidR="001C01B6" w:rsidRPr="0047462D" w:rsidRDefault="001C01B6" w:rsidP="001C01B6">
      <w:pPr>
        <w:rPr>
          <w:szCs w:val="22"/>
          <w:lang w:eastAsia="en-US"/>
        </w:rPr>
      </w:pPr>
    </w:p>
    <w:p w14:paraId="06DB28E7"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20BCDD4B" w14:textId="77777777" w:rsidR="001C01B6" w:rsidRPr="0047462D" w:rsidRDefault="001C01B6" w:rsidP="001C01B6">
      <w:pPr>
        <w:rPr>
          <w:i/>
          <w:iCs/>
          <w:szCs w:val="22"/>
          <w:lang w:eastAsia="en-US"/>
        </w:rPr>
      </w:pPr>
    </w:p>
    <w:p w14:paraId="088242A4" w14:textId="77777777" w:rsidR="001C01B6" w:rsidRPr="0047462D" w:rsidRDefault="001C01B6" w:rsidP="001C01B6">
      <w:pPr>
        <w:rPr>
          <w:szCs w:val="22"/>
          <w:lang w:eastAsia="en-US"/>
        </w:rPr>
      </w:pPr>
      <w:r w:rsidRPr="0047462D">
        <w:rPr>
          <w:rFonts w:eastAsia="Times New Roman"/>
          <w:szCs w:val="22"/>
        </w:rPr>
        <w:t>Kάθε φακελλίσκος κοκκίων περιέχει 75 mg ivacaftor.</w:t>
      </w:r>
    </w:p>
    <w:p w14:paraId="0843507E" w14:textId="77777777" w:rsidR="001C01B6" w:rsidRPr="0047462D" w:rsidRDefault="001C01B6" w:rsidP="001C01B6">
      <w:pPr>
        <w:rPr>
          <w:szCs w:val="22"/>
          <w:lang w:eastAsia="en-US"/>
        </w:rPr>
      </w:pPr>
    </w:p>
    <w:p w14:paraId="1973AD1F" w14:textId="77777777" w:rsidR="001C01B6" w:rsidRPr="0047462D" w:rsidRDefault="001C01B6" w:rsidP="001C01B6">
      <w:pPr>
        <w:rPr>
          <w:szCs w:val="22"/>
          <w:lang w:eastAsia="en-US"/>
        </w:rPr>
      </w:pPr>
    </w:p>
    <w:p w14:paraId="05C52C5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7842FAA4" w14:textId="77777777" w:rsidR="001C01B6" w:rsidRPr="0047462D" w:rsidRDefault="001C01B6" w:rsidP="001C01B6">
      <w:pPr>
        <w:rPr>
          <w:szCs w:val="22"/>
          <w:lang w:eastAsia="en-US"/>
        </w:rPr>
      </w:pPr>
    </w:p>
    <w:p w14:paraId="3C965B24" w14:textId="77777777" w:rsidR="001C01B6" w:rsidRPr="0047462D" w:rsidRDefault="001C01B6" w:rsidP="001C01B6">
      <w:pPr>
        <w:rPr>
          <w:szCs w:val="22"/>
          <w:lang w:eastAsia="en-US"/>
        </w:rPr>
      </w:pPr>
      <w:r w:rsidRPr="0047462D">
        <w:rPr>
          <w:rFonts w:eastAsia="Times New Roman"/>
          <w:szCs w:val="22"/>
        </w:rPr>
        <w:t>Περιέχει λακτόζη.</w:t>
      </w:r>
    </w:p>
    <w:p w14:paraId="6F334DC4" w14:textId="77777777" w:rsidR="001C01B6" w:rsidRPr="0047462D" w:rsidRDefault="001C01B6" w:rsidP="001C01B6">
      <w:pPr>
        <w:rPr>
          <w:szCs w:val="22"/>
          <w:lang w:eastAsia="en-US"/>
        </w:rPr>
      </w:pPr>
    </w:p>
    <w:p w14:paraId="1E3B424E" w14:textId="77777777" w:rsidR="001C01B6" w:rsidRPr="0047462D" w:rsidRDefault="001C01B6" w:rsidP="001C01B6">
      <w:pPr>
        <w:rPr>
          <w:szCs w:val="22"/>
          <w:lang w:eastAsia="en-US"/>
        </w:rPr>
      </w:pPr>
      <w:r w:rsidRPr="0047462D">
        <w:rPr>
          <w:rFonts w:eastAsia="Times New Roman"/>
          <w:szCs w:val="22"/>
        </w:rPr>
        <w:t>Βλ. φύλλο οδηγιών χρήσης για περισσότερες πληροφορίες.</w:t>
      </w:r>
    </w:p>
    <w:p w14:paraId="626B659A" w14:textId="77777777" w:rsidR="001C01B6" w:rsidRPr="0047462D" w:rsidRDefault="001C01B6" w:rsidP="001C01B6">
      <w:pPr>
        <w:rPr>
          <w:szCs w:val="22"/>
          <w:lang w:eastAsia="en-US"/>
        </w:rPr>
      </w:pPr>
    </w:p>
    <w:p w14:paraId="4D25B8C9" w14:textId="77777777" w:rsidR="001C01B6" w:rsidRPr="0047462D" w:rsidRDefault="001C01B6" w:rsidP="001C01B6">
      <w:pPr>
        <w:rPr>
          <w:szCs w:val="22"/>
          <w:lang w:eastAsia="en-US"/>
        </w:rPr>
      </w:pPr>
    </w:p>
    <w:p w14:paraId="3B2EC9D1"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0D0125C1" w14:textId="77777777" w:rsidR="001C01B6" w:rsidRPr="0047462D" w:rsidRDefault="001C01B6" w:rsidP="001C01B6">
      <w:pPr>
        <w:rPr>
          <w:szCs w:val="22"/>
          <w:lang w:eastAsia="en-US"/>
        </w:rPr>
      </w:pPr>
    </w:p>
    <w:p w14:paraId="001213E4" w14:textId="77777777" w:rsidR="001C01B6" w:rsidRPr="0047462D" w:rsidRDefault="001C01B6" w:rsidP="001C01B6">
      <w:pPr>
        <w:rPr>
          <w:szCs w:val="22"/>
          <w:lang w:eastAsia="en-US"/>
        </w:rPr>
      </w:pPr>
      <w:r w:rsidRPr="0047462D">
        <w:rPr>
          <w:szCs w:val="22"/>
          <w:lang w:eastAsia="en-US"/>
        </w:rPr>
        <w:t>Κοκκία σε φακελλίσκο</w:t>
      </w:r>
    </w:p>
    <w:p w14:paraId="5091BCD6" w14:textId="77777777" w:rsidR="001C01B6" w:rsidRPr="0047462D" w:rsidRDefault="001C01B6" w:rsidP="001C01B6">
      <w:pPr>
        <w:rPr>
          <w:szCs w:val="22"/>
          <w:lang w:eastAsia="en-US"/>
        </w:rPr>
      </w:pPr>
    </w:p>
    <w:p w14:paraId="020641A1" w14:textId="5B8F8AE9" w:rsidR="001C01B6" w:rsidRPr="0047462D" w:rsidRDefault="001C01B6" w:rsidP="00AD331E">
      <w:pPr>
        <w:rPr>
          <w:szCs w:val="22"/>
          <w:lang w:eastAsia="en-US"/>
        </w:rPr>
      </w:pPr>
      <w:r w:rsidRPr="0047462D">
        <w:rPr>
          <w:szCs w:val="22"/>
          <w:lang w:eastAsia="en-US"/>
        </w:rPr>
        <w:t>14</w:t>
      </w:r>
      <w:r w:rsidR="00AD331E" w:rsidRPr="0047462D">
        <w:rPr>
          <w:szCs w:val="22"/>
          <w:lang w:val="en-GB" w:eastAsia="en-US"/>
        </w:rPr>
        <w:t> </w:t>
      </w:r>
      <w:r w:rsidR="00090C0F" w:rsidRPr="0047462D">
        <w:rPr>
          <w:szCs w:val="22"/>
          <w:lang w:eastAsia="en-US"/>
        </w:rPr>
        <w:t>φακελλίσκοι</w:t>
      </w:r>
    </w:p>
    <w:p w14:paraId="45105D1C" w14:textId="77777777" w:rsidR="001C01B6" w:rsidRPr="0047462D" w:rsidRDefault="001C01B6" w:rsidP="001C01B6">
      <w:pPr>
        <w:rPr>
          <w:szCs w:val="22"/>
          <w:lang w:eastAsia="en-US"/>
        </w:rPr>
      </w:pPr>
    </w:p>
    <w:p w14:paraId="1FD0C7AE" w14:textId="77777777" w:rsidR="001C01B6" w:rsidRPr="0047462D" w:rsidRDefault="001C01B6" w:rsidP="001C01B6">
      <w:pPr>
        <w:rPr>
          <w:szCs w:val="22"/>
          <w:lang w:eastAsia="en-US"/>
        </w:rPr>
      </w:pPr>
    </w:p>
    <w:p w14:paraId="278913C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090C0F" w:rsidRPr="0047462D">
        <w:rPr>
          <w:rFonts w:eastAsia="Times New Roman"/>
          <w:b/>
          <w:bCs/>
          <w:szCs w:val="22"/>
        </w:rPr>
        <w:t>(ΟΙ)</w:t>
      </w:r>
      <w:r w:rsidRPr="0047462D">
        <w:rPr>
          <w:rFonts w:eastAsia="Times New Roman"/>
          <w:b/>
          <w:bCs/>
          <w:szCs w:val="22"/>
        </w:rPr>
        <w:t xml:space="preserve"> ΧΟΡΗΓΗΣΗΣ</w:t>
      </w:r>
    </w:p>
    <w:p w14:paraId="50C8DAFD" w14:textId="77777777" w:rsidR="001C01B6" w:rsidRPr="0047462D" w:rsidRDefault="001C01B6" w:rsidP="001C01B6">
      <w:pPr>
        <w:rPr>
          <w:szCs w:val="22"/>
          <w:lang w:eastAsia="en-US"/>
        </w:rPr>
      </w:pPr>
    </w:p>
    <w:p w14:paraId="4485F500"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6214D9B7" w14:textId="77777777" w:rsidR="000F0A70" w:rsidRPr="0047462D" w:rsidRDefault="000F0A70" w:rsidP="001C01B6">
      <w:pPr>
        <w:rPr>
          <w:rFonts w:eastAsia="Times New Roman"/>
          <w:szCs w:val="22"/>
        </w:rPr>
      </w:pPr>
    </w:p>
    <w:p w14:paraId="54F11DB7"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410DE653" w14:textId="77777777" w:rsidR="001C01B6" w:rsidRPr="0047462D" w:rsidRDefault="001C01B6" w:rsidP="001C01B6">
      <w:pPr>
        <w:autoSpaceDE w:val="0"/>
        <w:rPr>
          <w:szCs w:val="22"/>
        </w:rPr>
      </w:pPr>
    </w:p>
    <w:p w14:paraId="4D49C6C2" w14:textId="6574913A" w:rsidR="005D5499" w:rsidRPr="0047462D" w:rsidRDefault="00090C0F" w:rsidP="009E50D2">
      <w:pPr>
        <w:keepNext/>
      </w:pPr>
      <w:r w:rsidRPr="0047462D">
        <w:rPr>
          <w:b/>
          <w:bCs/>
        </w:rPr>
        <w:t>Ο</w:t>
      </w:r>
      <w:r w:rsidR="007F00C8" w:rsidRPr="0047462D">
        <w:rPr>
          <w:b/>
          <w:bCs/>
        </w:rPr>
        <w:t>δηγίες χρήσης</w:t>
      </w:r>
    </w:p>
    <w:p w14:paraId="225ADAB1" w14:textId="77777777" w:rsidR="005D5499" w:rsidRPr="0047462D" w:rsidRDefault="005D5499" w:rsidP="009E50D2">
      <w:pPr>
        <w:keepNext/>
      </w:pPr>
    </w:p>
    <w:p w14:paraId="49C35832" w14:textId="77777777" w:rsidR="000F0A70" w:rsidRPr="0047462D" w:rsidRDefault="001C01B6" w:rsidP="001C01B6">
      <w:pPr>
        <w:rPr>
          <w:rFonts w:eastAsia="Times New Roman"/>
          <w:szCs w:val="22"/>
        </w:rPr>
      </w:pPr>
      <w:r w:rsidRPr="0047462D">
        <w:rPr>
          <w:rFonts w:eastAsia="Times New Roman"/>
          <w:szCs w:val="22"/>
        </w:rPr>
        <w:t>Αναμείξτε όλο το περιεχόμενο ενός φακελλίσκου με 5</w:t>
      </w:r>
      <w:r w:rsidRPr="0047462D">
        <w:t> </w:t>
      </w:r>
      <w:r w:rsidR="00966B5F" w:rsidRPr="0047462D">
        <w:rPr>
          <w:rFonts w:eastAsia="Times New Roman"/>
          <w:szCs w:val="22"/>
        </w:rPr>
        <w:t>m</w:t>
      </w:r>
      <w:r w:rsidR="00966B5F" w:rsidRPr="0047462D">
        <w:rPr>
          <w:rFonts w:eastAsia="Times New Roman"/>
          <w:szCs w:val="22"/>
          <w:lang w:val="en-US"/>
        </w:rPr>
        <w:t>l</w:t>
      </w:r>
      <w:r w:rsidR="00966B5F" w:rsidRPr="0047462D">
        <w:rPr>
          <w:rFonts w:eastAsia="Times New Roman"/>
          <w:szCs w:val="22"/>
        </w:rPr>
        <w:t xml:space="preserve"> </w:t>
      </w:r>
      <w:r w:rsidRPr="0047462D">
        <w:rPr>
          <w:rFonts w:eastAsia="Times New Roman"/>
          <w:szCs w:val="22"/>
        </w:rPr>
        <w:t>μαλακής τροφής κατάλληλης για την ηλικία ή υγρού</w:t>
      </w:r>
      <w:r w:rsidR="000375A7" w:rsidRPr="0047462D">
        <w:rPr>
          <w:rFonts w:eastAsia="Times New Roman"/>
          <w:szCs w:val="22"/>
        </w:rPr>
        <w:t xml:space="preserve"> που βρίσκεται σε θερμοκρασία δωματίου ή </w:t>
      </w:r>
      <w:r w:rsidR="001301E8" w:rsidRPr="0047462D">
        <w:rPr>
          <w:rFonts w:eastAsia="Times New Roman"/>
          <w:szCs w:val="22"/>
        </w:rPr>
        <w:t xml:space="preserve">χαμηλότερη </w:t>
      </w:r>
      <w:r w:rsidR="000375A7" w:rsidRPr="0047462D">
        <w:rPr>
          <w:rFonts w:eastAsia="Times New Roman"/>
          <w:szCs w:val="22"/>
        </w:rPr>
        <w:t xml:space="preserve">και </w:t>
      </w:r>
      <w:r w:rsidR="00ED7342" w:rsidRPr="0047462D">
        <w:rPr>
          <w:rFonts w:eastAsia="Times New Roman"/>
          <w:szCs w:val="22"/>
        </w:rPr>
        <w:t>καταναλώστε πλήρως</w:t>
      </w:r>
      <w:r w:rsidRPr="0047462D">
        <w:rPr>
          <w:rFonts w:eastAsia="Times New Roman"/>
          <w:szCs w:val="22"/>
        </w:rPr>
        <w:t>.</w:t>
      </w:r>
      <w:r w:rsidR="00876F87" w:rsidRPr="0047462D">
        <w:rPr>
          <w:rFonts w:eastAsia="Times New Roman"/>
          <w:szCs w:val="22"/>
        </w:rPr>
        <w:t xml:space="preserve"> </w:t>
      </w:r>
    </w:p>
    <w:p w14:paraId="661B56AC" w14:textId="77777777" w:rsidR="000F0A70" w:rsidRPr="0047462D" w:rsidRDefault="000F0A70" w:rsidP="001C01B6">
      <w:pPr>
        <w:rPr>
          <w:rFonts w:eastAsia="Times New Roman"/>
          <w:szCs w:val="22"/>
        </w:rPr>
      </w:pPr>
    </w:p>
    <w:p w14:paraId="41D8E7FD" w14:textId="77777777" w:rsidR="001C01B6" w:rsidRPr="0047462D" w:rsidRDefault="00090C0F" w:rsidP="00DB0B92">
      <w:r w:rsidRPr="0047462D">
        <w:rPr>
          <w:rFonts w:eastAsia="Times New Roman"/>
          <w:szCs w:val="22"/>
        </w:rPr>
        <w:t xml:space="preserve">Χρησιμοποιήστε εντός μίας ώρας μετά την ανάμειξη, λίγο πριν ή </w:t>
      </w:r>
      <w:r w:rsidR="00E80D9A" w:rsidRPr="0047462D">
        <w:rPr>
          <w:rFonts w:eastAsia="Times New Roman"/>
          <w:szCs w:val="22"/>
        </w:rPr>
        <w:t xml:space="preserve">αμέσως </w:t>
      </w:r>
      <w:r w:rsidRPr="0047462D">
        <w:rPr>
          <w:rFonts w:eastAsia="Times New Roman"/>
          <w:szCs w:val="22"/>
        </w:rPr>
        <w:t>μετά από γεύμα ή σνακ που περιέχει λίπος.</w:t>
      </w:r>
    </w:p>
    <w:p w14:paraId="3948B724" w14:textId="77777777" w:rsidR="001C01B6" w:rsidRPr="0047462D" w:rsidRDefault="001C01B6" w:rsidP="001C01B6"/>
    <w:p w14:paraId="35A6BEF0" w14:textId="77777777" w:rsidR="001C01B6" w:rsidRPr="0047462D" w:rsidRDefault="00090C0F" w:rsidP="001C01B6">
      <w:pPr>
        <w:rPr>
          <w:bCs/>
        </w:rPr>
      </w:pPr>
      <w:r w:rsidRPr="0047462D">
        <w:rPr>
          <w:bCs/>
        </w:rPr>
        <w:t>Χ</w:t>
      </w:r>
      <w:r w:rsidR="001C01B6" w:rsidRPr="0047462D">
        <w:rPr>
          <w:bCs/>
        </w:rPr>
        <w:t>ρησιμοποιήστε όλες τις δόσεις 7 ημερών πριν ξεκινήσετε μια νέα καρτέλα.</w:t>
      </w:r>
    </w:p>
    <w:p w14:paraId="58F7D560" w14:textId="77777777" w:rsidR="001C01B6" w:rsidRPr="0047462D" w:rsidRDefault="001C01B6" w:rsidP="001C01B6">
      <w:pPr>
        <w:rPr>
          <w:bCs/>
        </w:rPr>
      </w:pPr>
    </w:p>
    <w:p w14:paraId="36C1BC10" w14:textId="77777777" w:rsidR="00A4093C" w:rsidRPr="0047462D" w:rsidRDefault="00A4093C" w:rsidP="00A4093C">
      <w:pPr>
        <w:outlineLvl w:val="0"/>
        <w:rPr>
          <w:bCs/>
        </w:rPr>
      </w:pPr>
      <w:r w:rsidRPr="0047462D">
        <w:rPr>
          <w:bCs/>
        </w:rPr>
        <w:t>Πρωί</w:t>
      </w:r>
    </w:p>
    <w:p w14:paraId="415872C7" w14:textId="77777777" w:rsidR="00A4093C" w:rsidRPr="0047462D" w:rsidRDefault="00A4093C" w:rsidP="00A4093C">
      <w:pPr>
        <w:outlineLvl w:val="0"/>
        <w:rPr>
          <w:bCs/>
        </w:rPr>
      </w:pPr>
    </w:p>
    <w:p w14:paraId="79380246" w14:textId="77777777" w:rsidR="00A4093C" w:rsidRPr="0047462D" w:rsidRDefault="00A4093C" w:rsidP="00A4093C">
      <w:pPr>
        <w:outlineLvl w:val="0"/>
        <w:rPr>
          <w:bCs/>
        </w:rPr>
      </w:pPr>
      <w:r w:rsidRPr="0047462D">
        <w:rPr>
          <w:bCs/>
        </w:rPr>
        <w:t>Βράδυ</w:t>
      </w:r>
    </w:p>
    <w:p w14:paraId="74BC2A4B" w14:textId="77777777" w:rsidR="00A4093C" w:rsidRPr="0047462D" w:rsidRDefault="00A4093C" w:rsidP="00A4093C">
      <w:pPr>
        <w:outlineLvl w:val="0"/>
        <w:rPr>
          <w:bCs/>
        </w:rPr>
      </w:pPr>
    </w:p>
    <w:p w14:paraId="71AF6A9E" w14:textId="632687A2" w:rsidR="00A4093C" w:rsidRPr="0047462D" w:rsidRDefault="007F00C8" w:rsidP="00A4093C">
      <w:pPr>
        <w:outlineLvl w:val="0"/>
        <w:rPr>
          <w:bCs/>
        </w:rPr>
      </w:pPr>
      <w:r w:rsidRPr="0047462D">
        <w:rPr>
          <w:bCs/>
        </w:rPr>
        <w:t>Δευ. Τρ. Τετ. Πέμ. Παρ. Σάβ. Κυρ.</w:t>
      </w:r>
    </w:p>
    <w:p w14:paraId="719A1479" w14:textId="77777777" w:rsidR="001C01B6" w:rsidRPr="0047462D" w:rsidRDefault="001C01B6" w:rsidP="001C01B6">
      <w:pPr>
        <w:autoSpaceDE w:val="0"/>
        <w:rPr>
          <w:szCs w:val="22"/>
        </w:rPr>
      </w:pPr>
    </w:p>
    <w:p w14:paraId="3F106782" w14:textId="77777777" w:rsidR="001C01B6" w:rsidRPr="0047462D" w:rsidRDefault="001C01B6" w:rsidP="001C01B6">
      <w:pPr>
        <w:autoSpaceDE w:val="0"/>
        <w:rPr>
          <w:szCs w:val="22"/>
        </w:rPr>
      </w:pPr>
    </w:p>
    <w:p w14:paraId="735FC250" w14:textId="77777777" w:rsidR="001C01B6" w:rsidRPr="0047462D" w:rsidRDefault="001C01B6" w:rsidP="00EB5A36">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BAE59F8" w14:textId="77777777" w:rsidR="001C01B6" w:rsidRPr="0047462D" w:rsidRDefault="001C01B6" w:rsidP="001C01B6">
      <w:pPr>
        <w:rPr>
          <w:szCs w:val="22"/>
          <w:lang w:eastAsia="en-US"/>
        </w:rPr>
      </w:pPr>
    </w:p>
    <w:p w14:paraId="2ABE4FF1"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620DAA03" w14:textId="77777777" w:rsidR="001C01B6" w:rsidRPr="0047462D" w:rsidRDefault="001C01B6" w:rsidP="001C01B6">
      <w:pPr>
        <w:rPr>
          <w:szCs w:val="22"/>
          <w:lang w:eastAsia="en-US"/>
        </w:rPr>
      </w:pPr>
    </w:p>
    <w:p w14:paraId="414030A6" w14:textId="77777777" w:rsidR="001C01B6" w:rsidRPr="0047462D" w:rsidRDefault="001C01B6" w:rsidP="001C01B6">
      <w:pPr>
        <w:rPr>
          <w:szCs w:val="22"/>
          <w:lang w:eastAsia="en-US"/>
        </w:rPr>
      </w:pPr>
    </w:p>
    <w:p w14:paraId="569717E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ΕΙΔΙΚ</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ΠΡΟΕΙΔΟΠΟΙΗΣ</w:t>
      </w:r>
      <w:r w:rsidR="00090C0F" w:rsidRPr="0047462D">
        <w:rPr>
          <w:rFonts w:eastAsia="Times New Roman"/>
          <w:b/>
          <w:bCs/>
          <w:szCs w:val="22"/>
        </w:rPr>
        <w:t>Η(</w:t>
      </w:r>
      <w:r w:rsidRPr="0047462D">
        <w:rPr>
          <w:rFonts w:eastAsia="Times New Roman"/>
          <w:b/>
          <w:bCs/>
          <w:szCs w:val="22"/>
        </w:rPr>
        <w:t>ΕΙΣ</w:t>
      </w:r>
      <w:r w:rsidR="00090C0F" w:rsidRPr="0047462D">
        <w:rPr>
          <w:rFonts w:eastAsia="Times New Roman"/>
          <w:b/>
          <w:bCs/>
          <w:szCs w:val="22"/>
        </w:rPr>
        <w:t>)</w:t>
      </w:r>
      <w:r w:rsidRPr="0047462D">
        <w:rPr>
          <w:b/>
          <w:lang w:eastAsia="en-US"/>
        </w:rPr>
        <w:t>, ΕΑΝ ΕΙΝΑΙ ΑΠΑΡΑΙΤΗΤ</w:t>
      </w:r>
      <w:r w:rsidR="00090C0F" w:rsidRPr="0047462D">
        <w:rPr>
          <w:b/>
          <w:lang w:eastAsia="en-US"/>
        </w:rPr>
        <w:t>Η(</w:t>
      </w:r>
      <w:r w:rsidRPr="0047462D">
        <w:rPr>
          <w:b/>
          <w:lang w:eastAsia="en-US"/>
        </w:rPr>
        <w:t>ΕΣ</w:t>
      </w:r>
      <w:r w:rsidR="00090C0F" w:rsidRPr="0047462D">
        <w:rPr>
          <w:b/>
          <w:lang w:eastAsia="en-US"/>
        </w:rPr>
        <w:t>)</w:t>
      </w:r>
    </w:p>
    <w:p w14:paraId="7D7E1E89" w14:textId="77777777" w:rsidR="001C01B6" w:rsidRPr="0047462D" w:rsidRDefault="001C01B6" w:rsidP="001C01B6">
      <w:pPr>
        <w:rPr>
          <w:szCs w:val="22"/>
          <w:lang w:eastAsia="en-US"/>
        </w:rPr>
      </w:pPr>
    </w:p>
    <w:p w14:paraId="6A66717E" w14:textId="77777777" w:rsidR="001C01B6" w:rsidRPr="0047462D" w:rsidRDefault="001C01B6" w:rsidP="001C01B6">
      <w:pPr>
        <w:tabs>
          <w:tab w:val="left" w:pos="749"/>
        </w:tabs>
        <w:rPr>
          <w:szCs w:val="22"/>
          <w:lang w:eastAsia="en-US"/>
        </w:rPr>
      </w:pPr>
    </w:p>
    <w:p w14:paraId="771CD53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282BEAFB" w14:textId="77777777" w:rsidR="001C01B6" w:rsidRPr="0047462D" w:rsidRDefault="001C01B6" w:rsidP="001C01B6">
      <w:pPr>
        <w:rPr>
          <w:szCs w:val="22"/>
          <w:lang w:eastAsia="en-US"/>
        </w:rPr>
      </w:pPr>
    </w:p>
    <w:p w14:paraId="37E276ED" w14:textId="77777777" w:rsidR="001C01B6" w:rsidRPr="0047462D" w:rsidRDefault="001C01B6" w:rsidP="001C01B6">
      <w:pPr>
        <w:rPr>
          <w:szCs w:val="22"/>
          <w:lang w:eastAsia="en-US"/>
        </w:rPr>
      </w:pPr>
    </w:p>
    <w:p w14:paraId="05F9307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43C56BA5" w14:textId="77777777" w:rsidR="001C01B6" w:rsidRPr="0047462D" w:rsidRDefault="001C01B6" w:rsidP="001C01B6">
      <w:pPr>
        <w:rPr>
          <w:szCs w:val="22"/>
          <w:lang w:eastAsia="en-US"/>
        </w:rPr>
      </w:pPr>
    </w:p>
    <w:p w14:paraId="07BF830B" w14:textId="77777777" w:rsidR="001C01B6" w:rsidRPr="0047462D" w:rsidRDefault="001C01B6" w:rsidP="001C01B6">
      <w:pPr>
        <w:rPr>
          <w:szCs w:val="22"/>
          <w:lang w:eastAsia="en-US"/>
        </w:rPr>
      </w:pPr>
    </w:p>
    <w:p w14:paraId="5912F843" w14:textId="77777777" w:rsidR="001C01B6" w:rsidRPr="0047462D" w:rsidRDefault="001C01B6"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7CB162E" w14:textId="77777777" w:rsidR="001C01B6" w:rsidRPr="0047462D" w:rsidRDefault="001C01B6" w:rsidP="001C01B6">
      <w:pPr>
        <w:rPr>
          <w:szCs w:val="22"/>
          <w:lang w:eastAsia="en-US"/>
        </w:rPr>
      </w:pPr>
    </w:p>
    <w:p w14:paraId="551EB581" w14:textId="77777777" w:rsidR="001C01B6" w:rsidRPr="0047462D" w:rsidRDefault="001C01B6" w:rsidP="001C01B6">
      <w:pPr>
        <w:rPr>
          <w:szCs w:val="22"/>
          <w:lang w:eastAsia="en-US"/>
        </w:rPr>
      </w:pPr>
    </w:p>
    <w:p w14:paraId="16260B0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51469F4B" w14:textId="77777777" w:rsidR="00AE0285" w:rsidRPr="0047462D" w:rsidRDefault="00AE0285" w:rsidP="00AE0285">
      <w:pPr>
        <w:rPr>
          <w:iCs/>
        </w:rPr>
      </w:pPr>
    </w:p>
    <w:p w14:paraId="1D59E421" w14:textId="77777777" w:rsidR="00AE0285" w:rsidRPr="0047462D" w:rsidRDefault="00AE0285" w:rsidP="00AE0285">
      <w:pPr>
        <w:rPr>
          <w:iCs/>
          <w:lang w:val="en-GB"/>
        </w:rPr>
      </w:pPr>
      <w:r w:rsidRPr="0047462D">
        <w:rPr>
          <w:iCs/>
          <w:lang w:val="en-GB"/>
        </w:rPr>
        <w:t>Vertex Pharmaceuticals (Ireland) Limited</w:t>
      </w:r>
    </w:p>
    <w:p w14:paraId="1C917E56" w14:textId="77777777" w:rsidR="00AE0285" w:rsidRPr="0047462D" w:rsidRDefault="00AE0285" w:rsidP="00AE0285">
      <w:pPr>
        <w:rPr>
          <w:iCs/>
          <w:lang w:val="en-GB"/>
        </w:rPr>
      </w:pPr>
      <w:r w:rsidRPr="0047462D">
        <w:rPr>
          <w:iCs/>
          <w:lang w:val="en-GB"/>
        </w:rPr>
        <w:t>28-32 Pembroke Street Upper</w:t>
      </w:r>
    </w:p>
    <w:p w14:paraId="14A87380"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1D63A934" w14:textId="77777777" w:rsidR="001C01B6" w:rsidRPr="0047462D" w:rsidRDefault="00AE0285" w:rsidP="001C01B6">
      <w:pPr>
        <w:rPr>
          <w:iCs/>
          <w:szCs w:val="22"/>
          <w:lang w:eastAsia="en-US"/>
        </w:rPr>
      </w:pPr>
      <w:r w:rsidRPr="0047462D">
        <w:rPr>
          <w:iCs/>
        </w:rPr>
        <w:t>Ιρλανδία</w:t>
      </w:r>
    </w:p>
    <w:p w14:paraId="135EF01B" w14:textId="77777777" w:rsidR="00BB4FF6" w:rsidRPr="0047462D" w:rsidRDefault="00BB4FF6" w:rsidP="001C01B6">
      <w:pPr>
        <w:rPr>
          <w:iCs/>
          <w:szCs w:val="22"/>
          <w:lang w:eastAsia="en-US"/>
        </w:rPr>
      </w:pPr>
    </w:p>
    <w:p w14:paraId="3C2E08D6" w14:textId="77777777" w:rsidR="001C01B6" w:rsidRPr="0047462D" w:rsidRDefault="001C01B6" w:rsidP="001C01B6">
      <w:pPr>
        <w:rPr>
          <w:szCs w:val="22"/>
          <w:lang w:eastAsia="en-US"/>
        </w:rPr>
      </w:pPr>
    </w:p>
    <w:p w14:paraId="4D15C917"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12.</w:t>
      </w:r>
      <w:r w:rsidRPr="0047462D">
        <w:rPr>
          <w:b/>
          <w:bCs/>
          <w:noProof/>
          <w:szCs w:val="22"/>
          <w:lang w:eastAsia="en-US"/>
        </w:rPr>
        <w:tab/>
        <w:t xml:space="preserve">ΑΡΙΘΜΟΣ(ΟΙ) ΑΔΕΙΑΣ ΚΥΚΛΟΦΟΡΙΑΣ </w:t>
      </w:r>
    </w:p>
    <w:p w14:paraId="57D05EE8" w14:textId="77777777" w:rsidR="001C01B6" w:rsidRPr="0047462D" w:rsidRDefault="001C01B6" w:rsidP="001C01B6">
      <w:pPr>
        <w:rPr>
          <w:szCs w:val="22"/>
          <w:lang w:eastAsia="en-US"/>
        </w:rPr>
      </w:pPr>
    </w:p>
    <w:p w14:paraId="6FD5C52B" w14:textId="77777777" w:rsidR="001C01B6" w:rsidRPr="0047462D" w:rsidRDefault="001C01B6" w:rsidP="001C01B6">
      <w:r w:rsidRPr="0047462D">
        <w:t>EU/1/12/782/004</w:t>
      </w:r>
    </w:p>
    <w:p w14:paraId="76F9E91F" w14:textId="77777777" w:rsidR="001C01B6" w:rsidRPr="0047462D" w:rsidRDefault="001C01B6" w:rsidP="001C01B6">
      <w:pPr>
        <w:rPr>
          <w:szCs w:val="22"/>
          <w:lang w:eastAsia="en-US"/>
        </w:rPr>
      </w:pPr>
    </w:p>
    <w:p w14:paraId="6C7136AE" w14:textId="77777777" w:rsidR="009D1620" w:rsidRPr="0047462D" w:rsidRDefault="009D1620" w:rsidP="001C01B6">
      <w:pPr>
        <w:rPr>
          <w:szCs w:val="22"/>
          <w:lang w:eastAsia="en-US"/>
        </w:rPr>
      </w:pPr>
    </w:p>
    <w:p w14:paraId="4E4BAB1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47F08C1E" w14:textId="77777777" w:rsidR="001C01B6" w:rsidRPr="0047462D" w:rsidRDefault="001C01B6" w:rsidP="001C01B6">
      <w:pPr>
        <w:rPr>
          <w:szCs w:val="22"/>
          <w:lang w:eastAsia="en-US"/>
        </w:rPr>
      </w:pPr>
    </w:p>
    <w:p w14:paraId="723C3C27" w14:textId="77777777" w:rsidR="001C01B6" w:rsidRPr="0047462D" w:rsidRDefault="001C01B6" w:rsidP="001C01B6">
      <w:pPr>
        <w:rPr>
          <w:szCs w:val="22"/>
          <w:lang w:eastAsia="en-US"/>
        </w:rPr>
      </w:pPr>
    </w:p>
    <w:p w14:paraId="0BDC9B88"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29477185" w14:textId="77777777" w:rsidR="001C01B6" w:rsidRPr="0047462D" w:rsidRDefault="001C01B6" w:rsidP="001C01B6">
      <w:pPr>
        <w:rPr>
          <w:szCs w:val="22"/>
          <w:lang w:eastAsia="en-US"/>
        </w:rPr>
      </w:pPr>
    </w:p>
    <w:p w14:paraId="34DACF3D" w14:textId="77777777" w:rsidR="001C01B6" w:rsidRPr="0047462D" w:rsidRDefault="001C01B6" w:rsidP="001C01B6">
      <w:pPr>
        <w:rPr>
          <w:szCs w:val="22"/>
          <w:lang w:eastAsia="en-US"/>
        </w:rPr>
      </w:pPr>
    </w:p>
    <w:p w14:paraId="494D1B6B"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2E21C3EB" w14:textId="77777777" w:rsidR="001C01B6" w:rsidRPr="0047462D" w:rsidRDefault="001C01B6" w:rsidP="001C01B6">
      <w:pPr>
        <w:rPr>
          <w:szCs w:val="22"/>
          <w:lang w:eastAsia="en-US"/>
        </w:rPr>
      </w:pPr>
    </w:p>
    <w:p w14:paraId="6065E55C" w14:textId="77777777" w:rsidR="001C01B6" w:rsidRPr="0047462D" w:rsidRDefault="001C01B6" w:rsidP="001C01B6">
      <w:pPr>
        <w:rPr>
          <w:szCs w:val="22"/>
          <w:lang w:eastAsia="en-US"/>
        </w:rPr>
      </w:pPr>
    </w:p>
    <w:p w14:paraId="401CF63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321E056E" w14:textId="77777777" w:rsidR="006F11D8" w:rsidRPr="0047462D" w:rsidRDefault="006F11D8" w:rsidP="006F11D8">
      <w:pPr>
        <w:rPr>
          <w:rFonts w:eastAsia="Times New Roman"/>
          <w:spacing w:val="4"/>
          <w:szCs w:val="22"/>
        </w:rPr>
      </w:pPr>
    </w:p>
    <w:p w14:paraId="44C30CF3" w14:textId="77777777" w:rsidR="006F11D8" w:rsidRPr="0047462D" w:rsidRDefault="006F11D8" w:rsidP="006F11D8">
      <w:pPr>
        <w:rPr>
          <w:b/>
        </w:rPr>
      </w:pPr>
    </w:p>
    <w:p w14:paraId="09D4A4C4"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DC1A88D" w14:textId="77777777" w:rsidR="006F11D8" w:rsidRPr="0047462D" w:rsidRDefault="006F11D8" w:rsidP="006F11D8">
      <w:pPr>
        <w:rPr>
          <w:noProof/>
        </w:rPr>
      </w:pPr>
    </w:p>
    <w:p w14:paraId="496C0FA6" w14:textId="77777777" w:rsidR="006F11D8" w:rsidRPr="0047462D" w:rsidRDefault="006F11D8" w:rsidP="006F11D8">
      <w:pPr>
        <w:rPr>
          <w:noProof/>
        </w:rPr>
      </w:pPr>
    </w:p>
    <w:p w14:paraId="51A138C2" w14:textId="77777777" w:rsidR="001C01B6" w:rsidRPr="0047462D" w:rsidRDefault="006F11D8" w:rsidP="009A2EEC">
      <w:pPr>
        <w:pBdr>
          <w:top w:val="single" w:sz="4" w:space="1" w:color="auto"/>
          <w:left w:val="single" w:sz="4" w:space="4" w:color="auto"/>
          <w:bottom w:val="single" w:sz="4" w:space="0" w:color="auto"/>
          <w:right w:val="single" w:sz="4" w:space="4" w:color="auto"/>
        </w:pBdr>
        <w:ind w:left="567" w:hanging="567"/>
        <w:rPr>
          <w:szCs w:val="22"/>
          <w:lang w:eastAsia="en-US"/>
        </w:rPr>
      </w:pPr>
      <w:r w:rsidRPr="0047462D">
        <w:rPr>
          <w:b/>
          <w:noProof/>
        </w:rPr>
        <w:t>18.</w:t>
      </w:r>
      <w:r w:rsidRPr="0047462D">
        <w:rPr>
          <w:b/>
          <w:noProof/>
        </w:rPr>
        <w:tab/>
        <w:t>ΜΟΝΑΔΙΚΟΣ ΑΝΑΓΝΩΡΙΣΤΙΚΟΣ ΚΩΔΙΚΟΣ – ΔΕΔΟΜΕΝΑ ΑΝΑΓΝΩΣΙΜΑ ΑΠΟ ΤΟΝ ΑΝΘΡΩΠΟ</w:t>
      </w:r>
    </w:p>
    <w:p w14:paraId="310B4212" w14:textId="77777777" w:rsidR="001C01B6" w:rsidRPr="0047462D" w:rsidRDefault="001C01B6" w:rsidP="001C01B6">
      <w:pPr>
        <w:pageBreakBefore/>
        <w:rPr>
          <w:szCs w:val="22"/>
          <w:shd w:val="clear" w:color="auto" w:fill="CCCCCC"/>
          <w:lang w:eastAsia="en-US"/>
        </w:rPr>
      </w:pPr>
    </w:p>
    <w:p w14:paraId="17F26CF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b/>
          <w:bCs/>
          <w:szCs w:val="22"/>
          <w:lang w:eastAsia="en-US"/>
        </w:rPr>
      </w:pPr>
      <w:r w:rsidRPr="0047462D">
        <w:rPr>
          <w:b/>
        </w:rPr>
        <w:t>ΕΛΑΧΙΣΤΕΣ ΕΝΔΕΙΞΕΙΣ ΠΟΥ ΠΡΕΠΕΙ ΝΑ ΑΝΑΓΡΑΦΟΝΤΑΙ ΣΤΙΣ ΜΙΚΡΕΣ ΣΤΟΙΧΕΙΩΔΕΙΣ ΣΥΣΚΕΥΑΣΙΕΣ</w:t>
      </w:r>
    </w:p>
    <w:p w14:paraId="4A4B94C0"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b/>
          <w:bCs/>
          <w:szCs w:val="22"/>
          <w:lang w:eastAsia="en-US"/>
        </w:rPr>
      </w:pPr>
    </w:p>
    <w:p w14:paraId="5096731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rPr>
        <w:t>ΦΑΚΕΛΛΙΣΚΟΙ</w:t>
      </w:r>
    </w:p>
    <w:p w14:paraId="36CA6EC2" w14:textId="77777777" w:rsidR="001C01B6" w:rsidRPr="0047462D" w:rsidRDefault="001C01B6" w:rsidP="001C01B6">
      <w:pPr>
        <w:rPr>
          <w:szCs w:val="22"/>
          <w:lang w:eastAsia="en-US"/>
        </w:rPr>
      </w:pPr>
    </w:p>
    <w:p w14:paraId="0F07D8C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w:t>
      </w:r>
      <w:r w:rsidRPr="0047462D">
        <w:rPr>
          <w:b/>
          <w:bCs/>
          <w:noProof/>
          <w:szCs w:val="22"/>
          <w:lang w:eastAsia="en-US"/>
        </w:rPr>
        <w:tab/>
      </w:r>
      <w:r w:rsidRPr="0047462D">
        <w:rPr>
          <w:b/>
        </w:rPr>
        <w:t>ΟΝΟΜΑΣΙΑ ΤΟΥ ΦΑΡΜΑΚΕΥΤΙΚΟΥ ΠΡΟΪΟΝΤΟΣ ΚΑΙ ΟΔΟΣ(ΟΙ) ΧΟΡΗΓΗΣΗΣ</w:t>
      </w:r>
    </w:p>
    <w:p w14:paraId="3B14FF86" w14:textId="77777777" w:rsidR="001C01B6" w:rsidRPr="0047462D" w:rsidRDefault="001C01B6" w:rsidP="001C01B6">
      <w:pPr>
        <w:rPr>
          <w:iCs/>
          <w:szCs w:val="22"/>
          <w:lang w:eastAsia="en-US"/>
        </w:rPr>
      </w:pPr>
    </w:p>
    <w:p w14:paraId="2F9B835C" w14:textId="77777777" w:rsidR="001C01B6" w:rsidRPr="0047462D" w:rsidRDefault="001C01B6" w:rsidP="001C01B6">
      <w:r w:rsidRPr="0047462D">
        <w:t xml:space="preserve">Kalydeco 75 mg κοκκία </w:t>
      </w:r>
    </w:p>
    <w:p w14:paraId="7C0B256D" w14:textId="77777777" w:rsidR="001C01B6" w:rsidRPr="0047462D" w:rsidRDefault="00004A6E" w:rsidP="001C01B6">
      <w:pPr>
        <w:rPr>
          <w:szCs w:val="22"/>
          <w:lang w:eastAsia="en-US"/>
        </w:rPr>
      </w:pPr>
      <w:r w:rsidRPr="0047462D">
        <w:rPr>
          <w:lang w:val="en-US"/>
        </w:rPr>
        <w:t>i</w:t>
      </w:r>
      <w:r w:rsidR="00090C0F" w:rsidRPr="0047462D">
        <w:t>vacaftor</w:t>
      </w:r>
    </w:p>
    <w:p w14:paraId="52A7D1F7" w14:textId="77777777" w:rsidR="001C01B6" w:rsidRPr="0047462D" w:rsidRDefault="001C01B6" w:rsidP="001C01B6">
      <w:pPr>
        <w:rPr>
          <w:szCs w:val="22"/>
          <w:lang w:eastAsia="en-US"/>
        </w:rPr>
      </w:pPr>
      <w:r w:rsidRPr="0047462D">
        <w:rPr>
          <w:szCs w:val="22"/>
          <w:lang w:eastAsia="en-US"/>
        </w:rPr>
        <w:t>Από στόματος χρήση</w:t>
      </w:r>
    </w:p>
    <w:p w14:paraId="0B2EC4E1" w14:textId="77777777" w:rsidR="001C01B6" w:rsidRPr="0047462D" w:rsidRDefault="001C01B6" w:rsidP="001C01B6">
      <w:pPr>
        <w:rPr>
          <w:szCs w:val="22"/>
          <w:lang w:eastAsia="en-US"/>
        </w:rPr>
      </w:pPr>
    </w:p>
    <w:p w14:paraId="1C439E8B" w14:textId="77777777" w:rsidR="001C01B6" w:rsidRPr="0047462D" w:rsidRDefault="001C01B6" w:rsidP="001C01B6">
      <w:pPr>
        <w:rPr>
          <w:szCs w:val="22"/>
          <w:lang w:eastAsia="en-US"/>
        </w:rPr>
      </w:pPr>
    </w:p>
    <w:p w14:paraId="6925F3D0"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szCs w:val="22"/>
          <w:lang w:eastAsia="en-US"/>
        </w:rPr>
      </w:pPr>
      <w:r w:rsidRPr="0047462D">
        <w:rPr>
          <w:b/>
          <w:bCs/>
          <w:noProof/>
          <w:szCs w:val="22"/>
          <w:lang w:eastAsia="en-US"/>
        </w:rPr>
        <w:t>2.</w:t>
      </w:r>
      <w:r w:rsidRPr="0047462D">
        <w:rPr>
          <w:b/>
          <w:bCs/>
          <w:noProof/>
          <w:szCs w:val="22"/>
          <w:lang w:eastAsia="en-US"/>
        </w:rPr>
        <w:tab/>
      </w:r>
      <w:r w:rsidRPr="0047462D">
        <w:rPr>
          <w:b/>
          <w:noProof/>
          <w:szCs w:val="22"/>
        </w:rPr>
        <w:t>ΤΡΟΠΟΣ ΧΟΡΗΓΗΣΗΣ</w:t>
      </w:r>
    </w:p>
    <w:p w14:paraId="7007710A" w14:textId="77777777" w:rsidR="001C01B6" w:rsidRPr="0047462D" w:rsidRDefault="001C01B6" w:rsidP="001C01B6">
      <w:pPr>
        <w:rPr>
          <w:szCs w:val="22"/>
          <w:lang w:eastAsia="en-US"/>
        </w:rPr>
      </w:pPr>
    </w:p>
    <w:p w14:paraId="68887DD9" w14:textId="77777777" w:rsidR="001C01B6" w:rsidRPr="0047462D" w:rsidRDefault="001C01B6" w:rsidP="001C01B6">
      <w:pPr>
        <w:rPr>
          <w:szCs w:val="22"/>
          <w:lang w:eastAsia="en-US"/>
        </w:rPr>
      </w:pPr>
    </w:p>
    <w:p w14:paraId="5750D95A"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3.</w:t>
      </w:r>
      <w:r w:rsidRPr="0047462D">
        <w:rPr>
          <w:b/>
          <w:bCs/>
          <w:noProof/>
          <w:szCs w:val="22"/>
          <w:lang w:eastAsia="en-US"/>
        </w:rPr>
        <w:tab/>
        <w:t>ΗΜΕΡΟΜΗΝΙΑ ΛΗΞΗΣ</w:t>
      </w:r>
    </w:p>
    <w:p w14:paraId="53AF44A2" w14:textId="77777777" w:rsidR="001C01B6" w:rsidRPr="0047462D" w:rsidRDefault="001C01B6" w:rsidP="001C01B6">
      <w:pPr>
        <w:rPr>
          <w:szCs w:val="22"/>
          <w:lang w:eastAsia="en-US"/>
        </w:rPr>
      </w:pPr>
    </w:p>
    <w:p w14:paraId="05E8ED1F" w14:textId="77777777" w:rsidR="001C01B6" w:rsidRPr="0047462D" w:rsidRDefault="001C01B6" w:rsidP="001C01B6">
      <w:pPr>
        <w:rPr>
          <w:szCs w:val="22"/>
          <w:lang w:eastAsia="en-US"/>
        </w:rPr>
      </w:pPr>
      <w:r w:rsidRPr="0047462D">
        <w:rPr>
          <w:rFonts w:eastAsia="Times New Roman"/>
          <w:szCs w:val="22"/>
        </w:rPr>
        <w:t>ΛΗΞΗ</w:t>
      </w:r>
    </w:p>
    <w:p w14:paraId="53DD71D0" w14:textId="77777777" w:rsidR="001C01B6" w:rsidRPr="0047462D" w:rsidRDefault="001C01B6" w:rsidP="001C01B6">
      <w:pPr>
        <w:rPr>
          <w:szCs w:val="22"/>
          <w:lang w:eastAsia="en-US"/>
        </w:rPr>
      </w:pPr>
    </w:p>
    <w:p w14:paraId="71641133" w14:textId="77777777" w:rsidR="001C01B6" w:rsidRPr="0047462D" w:rsidRDefault="001C01B6" w:rsidP="001C01B6">
      <w:pPr>
        <w:rPr>
          <w:szCs w:val="22"/>
          <w:lang w:eastAsia="en-US"/>
        </w:rPr>
      </w:pPr>
    </w:p>
    <w:p w14:paraId="26F4CD29"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4.</w:t>
      </w:r>
      <w:r w:rsidRPr="0047462D">
        <w:rPr>
          <w:b/>
          <w:bCs/>
          <w:noProof/>
          <w:szCs w:val="22"/>
          <w:lang w:eastAsia="en-US"/>
        </w:rPr>
        <w:tab/>
        <w:t>ΑΡΙΘΜΟΣ ΠΑΡΤΙΔΑΣ</w:t>
      </w:r>
    </w:p>
    <w:p w14:paraId="186F6CA6" w14:textId="77777777" w:rsidR="001C01B6" w:rsidRPr="0047462D" w:rsidRDefault="001C01B6" w:rsidP="001C01B6">
      <w:pPr>
        <w:rPr>
          <w:szCs w:val="22"/>
          <w:lang w:eastAsia="en-US"/>
        </w:rPr>
      </w:pPr>
    </w:p>
    <w:p w14:paraId="05A7CC1D" w14:textId="77777777" w:rsidR="001C01B6" w:rsidRPr="0047462D" w:rsidRDefault="00745AD2" w:rsidP="001C01B6">
      <w:pPr>
        <w:rPr>
          <w:szCs w:val="22"/>
          <w:lang w:eastAsia="en-US"/>
        </w:rPr>
      </w:pPr>
      <w:r w:rsidRPr="0047462D">
        <w:rPr>
          <w:rFonts w:eastAsia="Times New Roman"/>
          <w:szCs w:val="22"/>
        </w:rPr>
        <w:t>Παρτίδα</w:t>
      </w:r>
    </w:p>
    <w:p w14:paraId="114E23AB" w14:textId="77777777" w:rsidR="001C01B6" w:rsidRPr="0047462D" w:rsidRDefault="001C01B6" w:rsidP="001C01B6">
      <w:pPr>
        <w:rPr>
          <w:szCs w:val="22"/>
          <w:lang w:eastAsia="en-US"/>
        </w:rPr>
      </w:pPr>
    </w:p>
    <w:p w14:paraId="7DBB1442" w14:textId="77777777" w:rsidR="001C01B6" w:rsidRPr="0047462D" w:rsidRDefault="001C01B6" w:rsidP="001C01B6">
      <w:pPr>
        <w:rPr>
          <w:szCs w:val="22"/>
          <w:lang w:eastAsia="en-US"/>
        </w:rPr>
      </w:pPr>
    </w:p>
    <w:p w14:paraId="0D053093"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5.</w:t>
      </w:r>
      <w:r w:rsidRPr="0047462D">
        <w:rPr>
          <w:b/>
          <w:bCs/>
          <w:noProof/>
          <w:szCs w:val="22"/>
          <w:lang w:eastAsia="en-US"/>
        </w:rPr>
        <w:tab/>
      </w:r>
      <w:r w:rsidRPr="0047462D">
        <w:rPr>
          <w:b/>
        </w:rPr>
        <w:t>ΠΕΡΙΕΧΟΜΕΝΟ ΚΑΤΑ ΒΑΡΟΣ, ΚΑΤ' ΟΓΚΟ Ή ΚΑΤΑ ΜΟΝΑΔΑ</w:t>
      </w:r>
    </w:p>
    <w:p w14:paraId="1B252FFA" w14:textId="77777777" w:rsidR="001C01B6" w:rsidRPr="0047462D" w:rsidRDefault="001C01B6" w:rsidP="001C01B6"/>
    <w:p w14:paraId="7CAE429D" w14:textId="77777777" w:rsidR="001C01B6" w:rsidRPr="0047462D" w:rsidRDefault="001C01B6" w:rsidP="001C01B6"/>
    <w:p w14:paraId="443E7519" w14:textId="77777777" w:rsidR="001C01B6" w:rsidRPr="0047462D" w:rsidRDefault="001C01B6" w:rsidP="009A2EEC">
      <w:pPr>
        <w:pBdr>
          <w:top w:val="single" w:sz="4" w:space="1" w:color="auto"/>
          <w:left w:val="single" w:sz="4" w:space="4" w:color="auto"/>
          <w:bottom w:val="single" w:sz="4" w:space="1" w:color="auto"/>
          <w:right w:val="single" w:sz="4" w:space="4" w:color="auto"/>
        </w:pBdr>
        <w:tabs>
          <w:tab w:val="left" w:pos="567"/>
        </w:tabs>
        <w:rPr>
          <w:b/>
          <w:lang w:val="fr-FR"/>
        </w:rPr>
      </w:pPr>
      <w:r w:rsidRPr="0047462D">
        <w:rPr>
          <w:b/>
          <w:lang w:val="fr-FR"/>
        </w:rPr>
        <w:t>6.</w:t>
      </w:r>
      <w:r w:rsidRPr="0047462D">
        <w:rPr>
          <w:b/>
          <w:lang w:val="fr-FR"/>
        </w:rPr>
        <w:tab/>
      </w:r>
      <w:r w:rsidRPr="0047462D">
        <w:rPr>
          <w:b/>
        </w:rPr>
        <w:t>ΑΛΛΑ</w:t>
      </w:r>
      <w:r w:rsidRPr="0047462D">
        <w:rPr>
          <w:b/>
          <w:lang w:val="fr-FR"/>
        </w:rPr>
        <w:t xml:space="preserve"> </w:t>
      </w:r>
      <w:r w:rsidRPr="0047462D">
        <w:rPr>
          <w:b/>
        </w:rPr>
        <w:t>ΣΤΟΙΧΕΙΑ</w:t>
      </w:r>
    </w:p>
    <w:p w14:paraId="2B1F27DC" w14:textId="77777777" w:rsidR="001C01B6" w:rsidRPr="0047462D" w:rsidRDefault="001C01B6" w:rsidP="001C01B6">
      <w:pPr>
        <w:rPr>
          <w:b/>
          <w:lang w:val="fr-FR"/>
        </w:rPr>
      </w:pPr>
    </w:p>
    <w:p w14:paraId="6548EC5A" w14:textId="77777777" w:rsidR="00AE0285" w:rsidRPr="0047462D" w:rsidRDefault="00AE0285" w:rsidP="00AE0285">
      <w:pPr>
        <w:rPr>
          <w:iCs/>
          <w:lang w:val="en-GB"/>
        </w:rPr>
      </w:pPr>
      <w:r w:rsidRPr="0047462D">
        <w:rPr>
          <w:iCs/>
          <w:lang w:val="en-GB"/>
        </w:rPr>
        <w:t>Vertex Pharmaceuticals (Ireland) Limited</w:t>
      </w:r>
    </w:p>
    <w:p w14:paraId="39A012D6" w14:textId="77777777" w:rsidR="001C01B6" w:rsidRPr="0047462D" w:rsidRDefault="001C01B6" w:rsidP="001C01B6">
      <w:pPr>
        <w:rPr>
          <w:szCs w:val="22"/>
          <w:lang w:val="fr-FR" w:eastAsia="en-US"/>
        </w:rPr>
      </w:pPr>
    </w:p>
    <w:p w14:paraId="4CFF62EC" w14:textId="77777777" w:rsidR="00A67D3A" w:rsidRPr="0047462D" w:rsidRDefault="00A67D3A" w:rsidP="002331FF">
      <w:pPr>
        <w:rPr>
          <w:szCs w:val="22"/>
          <w:lang w:val="fr-FR" w:eastAsia="en-US"/>
        </w:rPr>
      </w:pPr>
    </w:p>
    <w:p w14:paraId="7C82E700" w14:textId="77777777" w:rsidR="00A67D3A" w:rsidRPr="0047462D" w:rsidRDefault="00A67D3A" w:rsidP="002331FF">
      <w:pPr>
        <w:pageBreakBefore/>
        <w:rPr>
          <w:szCs w:val="22"/>
          <w:lang w:val="fr-FR" w:eastAsia="en-US"/>
        </w:rPr>
      </w:pPr>
    </w:p>
    <w:p w14:paraId="44E4E116" w14:textId="77777777" w:rsidR="00A67D3A" w:rsidRPr="0047462D" w:rsidRDefault="00A67D3A" w:rsidP="002331FF">
      <w:pPr>
        <w:jc w:val="center"/>
        <w:rPr>
          <w:b/>
          <w:bCs/>
          <w:szCs w:val="22"/>
          <w:lang w:val="fr-FR" w:eastAsia="en-US"/>
        </w:rPr>
      </w:pPr>
    </w:p>
    <w:p w14:paraId="1B9BED06" w14:textId="77777777" w:rsidR="00A67D3A" w:rsidRPr="0047462D" w:rsidRDefault="00A67D3A">
      <w:pPr>
        <w:jc w:val="center"/>
        <w:rPr>
          <w:b/>
          <w:bCs/>
          <w:szCs w:val="22"/>
          <w:lang w:val="fr-FR" w:eastAsia="en-US"/>
        </w:rPr>
      </w:pPr>
    </w:p>
    <w:p w14:paraId="47E0C576" w14:textId="77777777" w:rsidR="00A67D3A" w:rsidRPr="0047462D" w:rsidRDefault="00A67D3A">
      <w:pPr>
        <w:jc w:val="center"/>
        <w:rPr>
          <w:b/>
          <w:bCs/>
          <w:szCs w:val="22"/>
          <w:lang w:val="fr-FR" w:eastAsia="en-US"/>
        </w:rPr>
      </w:pPr>
    </w:p>
    <w:p w14:paraId="1504283F" w14:textId="77777777" w:rsidR="00A67D3A" w:rsidRPr="0047462D" w:rsidRDefault="00A67D3A">
      <w:pPr>
        <w:jc w:val="center"/>
        <w:rPr>
          <w:b/>
          <w:bCs/>
          <w:szCs w:val="22"/>
          <w:lang w:val="fr-FR" w:eastAsia="en-US"/>
        </w:rPr>
      </w:pPr>
    </w:p>
    <w:p w14:paraId="5B88AD56" w14:textId="77777777" w:rsidR="00A67D3A" w:rsidRPr="0047462D" w:rsidRDefault="00A67D3A">
      <w:pPr>
        <w:jc w:val="center"/>
        <w:rPr>
          <w:b/>
          <w:bCs/>
          <w:szCs w:val="22"/>
          <w:lang w:val="fr-FR" w:eastAsia="en-US"/>
        </w:rPr>
      </w:pPr>
    </w:p>
    <w:p w14:paraId="256E9BC7" w14:textId="77777777" w:rsidR="00A67D3A" w:rsidRPr="0047462D" w:rsidRDefault="00A67D3A">
      <w:pPr>
        <w:jc w:val="center"/>
        <w:rPr>
          <w:b/>
          <w:bCs/>
          <w:szCs w:val="22"/>
          <w:lang w:val="fr-FR" w:eastAsia="en-US"/>
        </w:rPr>
      </w:pPr>
    </w:p>
    <w:p w14:paraId="1F5AEB79" w14:textId="77777777" w:rsidR="00A67D3A" w:rsidRPr="0047462D" w:rsidRDefault="00A67D3A">
      <w:pPr>
        <w:jc w:val="center"/>
        <w:rPr>
          <w:b/>
          <w:bCs/>
          <w:szCs w:val="22"/>
          <w:lang w:val="fr-FR" w:eastAsia="en-US"/>
        </w:rPr>
      </w:pPr>
    </w:p>
    <w:p w14:paraId="7E08540D" w14:textId="77777777" w:rsidR="00A67D3A" w:rsidRPr="0047462D" w:rsidRDefault="00A67D3A">
      <w:pPr>
        <w:jc w:val="center"/>
        <w:rPr>
          <w:b/>
          <w:bCs/>
          <w:szCs w:val="22"/>
          <w:lang w:val="fr-FR" w:eastAsia="en-US"/>
        </w:rPr>
      </w:pPr>
    </w:p>
    <w:p w14:paraId="208D616C" w14:textId="77777777" w:rsidR="00A67D3A" w:rsidRPr="0047462D" w:rsidRDefault="00A67D3A">
      <w:pPr>
        <w:jc w:val="center"/>
        <w:rPr>
          <w:b/>
          <w:bCs/>
          <w:szCs w:val="22"/>
          <w:lang w:val="fr-FR" w:eastAsia="en-US"/>
        </w:rPr>
      </w:pPr>
    </w:p>
    <w:p w14:paraId="6ADF38E2" w14:textId="77777777" w:rsidR="00A67D3A" w:rsidRPr="0047462D" w:rsidRDefault="00A67D3A">
      <w:pPr>
        <w:jc w:val="center"/>
        <w:rPr>
          <w:b/>
          <w:bCs/>
          <w:szCs w:val="22"/>
          <w:lang w:val="fr-FR" w:eastAsia="en-US"/>
        </w:rPr>
      </w:pPr>
    </w:p>
    <w:p w14:paraId="10962F57" w14:textId="77777777" w:rsidR="00A67D3A" w:rsidRPr="0047462D" w:rsidRDefault="00A67D3A">
      <w:pPr>
        <w:jc w:val="center"/>
        <w:rPr>
          <w:b/>
          <w:bCs/>
          <w:szCs w:val="22"/>
          <w:lang w:val="fr-FR" w:eastAsia="en-US"/>
        </w:rPr>
      </w:pPr>
    </w:p>
    <w:p w14:paraId="6CA2CC2F" w14:textId="77777777" w:rsidR="00A67D3A" w:rsidRPr="0047462D" w:rsidRDefault="00A67D3A">
      <w:pPr>
        <w:jc w:val="center"/>
        <w:rPr>
          <w:b/>
          <w:bCs/>
          <w:szCs w:val="22"/>
          <w:lang w:val="fr-FR" w:eastAsia="en-US"/>
        </w:rPr>
      </w:pPr>
    </w:p>
    <w:p w14:paraId="3C800E07" w14:textId="77777777" w:rsidR="00A67D3A" w:rsidRPr="0047462D" w:rsidRDefault="00A67D3A">
      <w:pPr>
        <w:jc w:val="center"/>
        <w:rPr>
          <w:b/>
          <w:bCs/>
          <w:szCs w:val="22"/>
          <w:lang w:val="fr-FR" w:eastAsia="en-US"/>
        </w:rPr>
      </w:pPr>
    </w:p>
    <w:p w14:paraId="17A6EC33" w14:textId="77777777" w:rsidR="00A67D3A" w:rsidRPr="0047462D" w:rsidRDefault="00A67D3A">
      <w:pPr>
        <w:jc w:val="center"/>
        <w:rPr>
          <w:b/>
          <w:bCs/>
          <w:szCs w:val="22"/>
          <w:lang w:val="fr-FR" w:eastAsia="en-US"/>
        </w:rPr>
      </w:pPr>
    </w:p>
    <w:p w14:paraId="79C02934" w14:textId="77777777" w:rsidR="00A67D3A" w:rsidRPr="0047462D" w:rsidRDefault="00A67D3A">
      <w:pPr>
        <w:jc w:val="center"/>
        <w:rPr>
          <w:b/>
          <w:bCs/>
          <w:szCs w:val="22"/>
          <w:lang w:val="fr-FR" w:eastAsia="en-US"/>
        </w:rPr>
      </w:pPr>
    </w:p>
    <w:p w14:paraId="5BF9B76F" w14:textId="77777777" w:rsidR="00A67D3A" w:rsidRPr="0047462D" w:rsidRDefault="00A67D3A">
      <w:pPr>
        <w:jc w:val="center"/>
        <w:rPr>
          <w:b/>
          <w:bCs/>
          <w:szCs w:val="22"/>
          <w:lang w:val="fr-FR" w:eastAsia="en-US"/>
        </w:rPr>
      </w:pPr>
    </w:p>
    <w:p w14:paraId="15FF0DCB" w14:textId="77777777" w:rsidR="00A67D3A" w:rsidRPr="0047462D" w:rsidRDefault="00A67D3A">
      <w:pPr>
        <w:jc w:val="center"/>
        <w:rPr>
          <w:b/>
          <w:bCs/>
          <w:szCs w:val="22"/>
          <w:lang w:val="fr-FR" w:eastAsia="en-US"/>
        </w:rPr>
      </w:pPr>
    </w:p>
    <w:p w14:paraId="74C0F0DF" w14:textId="77777777" w:rsidR="00A67D3A" w:rsidRPr="0047462D" w:rsidRDefault="00A67D3A">
      <w:pPr>
        <w:jc w:val="center"/>
        <w:rPr>
          <w:b/>
          <w:bCs/>
          <w:szCs w:val="22"/>
          <w:lang w:val="fr-FR" w:eastAsia="en-US"/>
        </w:rPr>
      </w:pPr>
    </w:p>
    <w:p w14:paraId="28E589D5" w14:textId="77777777" w:rsidR="00A67D3A" w:rsidRPr="0047462D" w:rsidRDefault="00A67D3A">
      <w:pPr>
        <w:jc w:val="center"/>
        <w:rPr>
          <w:b/>
          <w:bCs/>
          <w:szCs w:val="22"/>
          <w:lang w:val="fr-FR" w:eastAsia="en-US"/>
        </w:rPr>
      </w:pPr>
    </w:p>
    <w:p w14:paraId="08E57CBC" w14:textId="77777777" w:rsidR="00A67D3A" w:rsidRPr="0047462D" w:rsidRDefault="00A67D3A">
      <w:pPr>
        <w:jc w:val="center"/>
        <w:rPr>
          <w:b/>
          <w:bCs/>
          <w:szCs w:val="22"/>
          <w:lang w:val="fr-FR" w:eastAsia="en-US"/>
        </w:rPr>
      </w:pPr>
    </w:p>
    <w:p w14:paraId="66EEEF4B" w14:textId="77777777" w:rsidR="00A67D3A" w:rsidRPr="0047462D" w:rsidRDefault="00A67D3A">
      <w:pPr>
        <w:jc w:val="center"/>
        <w:rPr>
          <w:b/>
          <w:bCs/>
          <w:szCs w:val="22"/>
          <w:lang w:val="fr-FR" w:eastAsia="en-US"/>
        </w:rPr>
      </w:pPr>
    </w:p>
    <w:p w14:paraId="775EF685" w14:textId="77777777" w:rsidR="00A67D3A" w:rsidRPr="0047462D" w:rsidRDefault="00A67D3A">
      <w:pPr>
        <w:jc w:val="center"/>
        <w:rPr>
          <w:b/>
          <w:bCs/>
          <w:szCs w:val="22"/>
          <w:lang w:val="fr-FR" w:eastAsia="en-US"/>
        </w:rPr>
      </w:pPr>
    </w:p>
    <w:p w14:paraId="11244A33" w14:textId="77777777" w:rsidR="00A67D3A" w:rsidRPr="0047462D" w:rsidRDefault="00A67D3A" w:rsidP="007E5203">
      <w:pPr>
        <w:pStyle w:val="TitleA"/>
        <w:rPr>
          <w:lang w:val="el-GR"/>
        </w:rPr>
      </w:pPr>
      <w:r w:rsidRPr="0047462D">
        <w:rPr>
          <w:lang w:val="fr-FR"/>
        </w:rPr>
        <w:t>B</w:t>
      </w:r>
      <w:r w:rsidRPr="0047462D">
        <w:rPr>
          <w:lang w:val="el-GR"/>
        </w:rPr>
        <w:t>. ΦΥΛΛΟ ΟΔΗΓΙΩΝ ΧΡΗΣΗΣ</w:t>
      </w:r>
    </w:p>
    <w:p w14:paraId="383F4000" w14:textId="77777777" w:rsidR="00A67D3A" w:rsidRPr="0047462D" w:rsidRDefault="00A67D3A">
      <w:pPr>
        <w:pageBreakBefore/>
        <w:jc w:val="center"/>
        <w:rPr>
          <w:szCs w:val="22"/>
          <w:lang w:eastAsia="en-US"/>
        </w:rPr>
      </w:pPr>
      <w:r w:rsidRPr="0047462D">
        <w:rPr>
          <w:rFonts w:eastAsia="Times New Roman"/>
          <w:b/>
          <w:bCs/>
          <w:szCs w:val="22"/>
        </w:rPr>
        <w:t>Φύλλο οδηγιών χρήσης:</w:t>
      </w:r>
      <w:r w:rsidRPr="0047462D">
        <w:rPr>
          <w:rFonts w:eastAsia="Times New Roman"/>
          <w:b/>
          <w:bCs/>
          <w:szCs w:val="22"/>
          <w:lang w:eastAsia="en-US"/>
        </w:rPr>
        <w:t xml:space="preserve"> </w:t>
      </w:r>
      <w:r w:rsidRPr="0047462D">
        <w:rPr>
          <w:rFonts w:eastAsia="Times New Roman"/>
          <w:b/>
          <w:bCs/>
          <w:szCs w:val="22"/>
        </w:rPr>
        <w:t>Πληροφορίες για τον ασθενή</w:t>
      </w:r>
    </w:p>
    <w:p w14:paraId="6D86FFB0" w14:textId="4AA14F69" w:rsidR="00A67D3A" w:rsidRDefault="00A67D3A">
      <w:pPr>
        <w:shd w:val="clear" w:color="auto" w:fill="FFFFFF"/>
        <w:jc w:val="center"/>
        <w:rPr>
          <w:szCs w:val="22"/>
          <w:lang w:eastAsia="en-US"/>
        </w:rPr>
      </w:pPr>
    </w:p>
    <w:p w14:paraId="5336E285" w14:textId="3E758C6F" w:rsidR="00D04346" w:rsidRPr="0047462D" w:rsidRDefault="00D04346" w:rsidP="00D04346">
      <w:pPr>
        <w:jc w:val="center"/>
        <w:rPr>
          <w:rFonts w:eastAsia="Times New Roman"/>
          <w:szCs w:val="22"/>
        </w:rPr>
      </w:pPr>
      <w:r w:rsidRPr="0047462D">
        <w:rPr>
          <w:rFonts w:eastAsia="Times New Roman"/>
          <w:b/>
          <w:bCs/>
          <w:szCs w:val="22"/>
        </w:rPr>
        <w:t xml:space="preserve">Kalydeco </w:t>
      </w:r>
      <w:r>
        <w:rPr>
          <w:rFonts w:eastAsia="Times New Roman"/>
          <w:b/>
          <w:bCs/>
          <w:szCs w:val="22"/>
        </w:rPr>
        <w:t>75</w:t>
      </w:r>
      <w:r w:rsidRPr="0047462D">
        <w:rPr>
          <w:rFonts w:eastAsia="Times New Roman"/>
          <w:b/>
          <w:bCs/>
          <w:szCs w:val="22"/>
        </w:rPr>
        <w:t xml:space="preserve"> mg </w:t>
      </w:r>
      <w:r w:rsidRPr="0047462D">
        <w:rPr>
          <w:rFonts w:eastAsia="Times New Roman"/>
          <w:b/>
          <w:bCs/>
          <w:spacing w:val="4"/>
          <w:szCs w:val="22"/>
        </w:rPr>
        <w:t>επικαλυμμένα με λεπτό υμένιο δισκία</w:t>
      </w:r>
    </w:p>
    <w:p w14:paraId="6F0BEBE9" w14:textId="77777777" w:rsidR="00A67D3A" w:rsidRPr="0047462D" w:rsidRDefault="00A67D3A">
      <w:pPr>
        <w:jc w:val="center"/>
        <w:rPr>
          <w:rFonts w:eastAsia="Times New Roman"/>
          <w:szCs w:val="22"/>
        </w:rPr>
      </w:pPr>
      <w:r w:rsidRPr="0047462D">
        <w:rPr>
          <w:rFonts w:eastAsia="Times New Roman"/>
          <w:b/>
          <w:bCs/>
          <w:szCs w:val="22"/>
        </w:rPr>
        <w:t xml:space="preserve">Kalydeco 150 mg </w:t>
      </w:r>
      <w:r w:rsidRPr="0047462D">
        <w:rPr>
          <w:rFonts w:eastAsia="Times New Roman"/>
          <w:b/>
          <w:bCs/>
          <w:spacing w:val="4"/>
          <w:szCs w:val="22"/>
        </w:rPr>
        <w:t>επικαλυμμένα με λεπτό υμένιο δισκία</w:t>
      </w:r>
    </w:p>
    <w:p w14:paraId="376635EB" w14:textId="77777777" w:rsidR="00A67D3A" w:rsidRPr="0047462D" w:rsidRDefault="00004A6E">
      <w:pPr>
        <w:keepNext/>
        <w:jc w:val="center"/>
        <w:rPr>
          <w:bCs/>
          <w:szCs w:val="22"/>
          <w:lang w:eastAsia="en-US"/>
        </w:rPr>
      </w:pPr>
      <w:r w:rsidRPr="0047462D">
        <w:rPr>
          <w:bCs/>
          <w:noProof/>
          <w:lang w:val="en-US"/>
        </w:rPr>
        <w:t>i</w:t>
      </w:r>
      <w:r w:rsidR="00A67D3A" w:rsidRPr="0047462D">
        <w:rPr>
          <w:bCs/>
        </w:rPr>
        <w:t>vacaftor</w:t>
      </w:r>
      <w:r w:rsidR="003F64AD" w:rsidRPr="0047462D">
        <w:rPr>
          <w:bCs/>
        </w:rPr>
        <w:t xml:space="preserve"> </w:t>
      </w:r>
    </w:p>
    <w:p w14:paraId="1A699636" w14:textId="372F806D" w:rsidR="00A67D3A" w:rsidRPr="0047462D" w:rsidRDefault="00A67D3A" w:rsidP="00141E57">
      <w:pPr>
        <w:tabs>
          <w:tab w:val="left" w:pos="3899"/>
        </w:tabs>
        <w:suppressAutoHyphens w:val="0"/>
      </w:pPr>
    </w:p>
    <w:p w14:paraId="5FB448CB" w14:textId="77777777" w:rsidR="00A67D3A" w:rsidRPr="0047462D" w:rsidRDefault="00A67D3A" w:rsidP="002331FF">
      <w:pPr>
        <w:rPr>
          <w:szCs w:val="22"/>
          <w:lang w:eastAsia="en-US"/>
        </w:rPr>
      </w:pPr>
    </w:p>
    <w:p w14:paraId="22596FE9" w14:textId="1E2614D8" w:rsidR="00A67D3A" w:rsidRPr="0047462D" w:rsidRDefault="00A67D3A">
      <w:pPr>
        <w:rPr>
          <w:rFonts w:eastAsia="Times New Roman"/>
          <w:b/>
          <w:bCs/>
          <w:szCs w:val="22"/>
        </w:rPr>
      </w:pPr>
      <w:r w:rsidRPr="0047462D">
        <w:rPr>
          <w:rFonts w:eastAsia="Times New Roman"/>
          <w:b/>
          <w:bCs/>
          <w:szCs w:val="22"/>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14:paraId="35FA5EDD" w14:textId="77777777" w:rsidR="001A137E" w:rsidRPr="0047462D" w:rsidRDefault="001A137E">
      <w:pPr>
        <w:rPr>
          <w:rFonts w:eastAsia="Times New Roman"/>
          <w:szCs w:val="22"/>
        </w:rPr>
      </w:pPr>
    </w:p>
    <w:p w14:paraId="5C270127"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Φυλάξτε αυτό το φύλλο οδηγιών χρήσης. Ίσως χρειαστεί να το διαβάσετε ξανά.</w:t>
      </w:r>
    </w:p>
    <w:p w14:paraId="5F642842"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Εάν έχετε περαιτέρω απορίες, ρωτήστε τον γιατρό ή τον φαρμακοποιό σας.</w:t>
      </w:r>
    </w:p>
    <w:p w14:paraId="206945D1"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Η συνταγή γι</w:t>
      </w:r>
      <w:r w:rsidR="004E717C" w:rsidRPr="0047462D">
        <w:rPr>
          <w:noProof/>
          <w:szCs w:val="22"/>
          <w:lang w:eastAsia="en-US"/>
        </w:rPr>
        <w:t>α</w:t>
      </w:r>
      <w:r w:rsidRPr="0047462D">
        <w:rPr>
          <w:noProof/>
          <w:szCs w:val="22"/>
          <w:lang w:eastAsia="en-US"/>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4E717C" w:rsidRPr="0047462D">
        <w:t xml:space="preserve">συμπτώματα </w:t>
      </w:r>
      <w:r w:rsidRPr="0047462D">
        <w:rPr>
          <w:noProof/>
          <w:szCs w:val="22"/>
          <w:lang w:eastAsia="en-US"/>
        </w:rPr>
        <w:t>της ασθένειάς τους είναι ίδια με τα δικά σας.</w:t>
      </w:r>
    </w:p>
    <w:p w14:paraId="01A8349A"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sidRPr="0047462D">
        <w:rPr>
          <w:noProof/>
          <w:szCs w:val="22"/>
        </w:rPr>
        <w:t>Βλέπε παράγραφο 4</w:t>
      </w:r>
      <w:r w:rsidRPr="0047462D">
        <w:t>.</w:t>
      </w:r>
    </w:p>
    <w:p w14:paraId="2CF6AAF9" w14:textId="77777777" w:rsidR="00A67D3A" w:rsidRPr="0047462D" w:rsidRDefault="00A67D3A">
      <w:pPr>
        <w:ind w:right="-2"/>
        <w:rPr>
          <w:szCs w:val="22"/>
          <w:lang w:eastAsia="en-US"/>
        </w:rPr>
      </w:pPr>
    </w:p>
    <w:p w14:paraId="0E09E0B0" w14:textId="77777777" w:rsidR="00A67D3A" w:rsidRPr="0047462D" w:rsidRDefault="00A67D3A">
      <w:pPr>
        <w:keepNext/>
        <w:ind w:right="-2"/>
        <w:rPr>
          <w:b/>
        </w:rPr>
      </w:pPr>
      <w:r w:rsidRPr="0047462D">
        <w:rPr>
          <w:rFonts w:eastAsia="Times New Roman"/>
          <w:b/>
          <w:bCs/>
          <w:szCs w:val="22"/>
        </w:rPr>
        <w:t>Τι περιέχει το παρόν φύλλο οδηγιών</w:t>
      </w:r>
      <w:r w:rsidR="00CC011B" w:rsidRPr="0047462D">
        <w:rPr>
          <w:rFonts w:eastAsia="Times New Roman"/>
          <w:b/>
          <w:bCs/>
          <w:szCs w:val="22"/>
        </w:rPr>
        <w:t>:</w:t>
      </w:r>
    </w:p>
    <w:p w14:paraId="2BFD70D4" w14:textId="77777777" w:rsidR="00A67D3A" w:rsidRPr="0047462D" w:rsidRDefault="00A67D3A">
      <w:pPr>
        <w:keepNext/>
        <w:ind w:right="-2"/>
      </w:pPr>
    </w:p>
    <w:p w14:paraId="34DE4FA4"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1.</w:t>
      </w:r>
      <w:r w:rsidRPr="0047462D">
        <w:rPr>
          <w:noProof/>
          <w:szCs w:val="22"/>
          <w:lang w:eastAsia="en-US"/>
        </w:rPr>
        <w:tab/>
        <w:t>Τι είναι το Kalydeco και ποια είναι η χρήση του</w:t>
      </w:r>
    </w:p>
    <w:p w14:paraId="4FA227DF"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2.</w:t>
      </w:r>
      <w:r w:rsidRPr="0047462D">
        <w:rPr>
          <w:noProof/>
          <w:szCs w:val="22"/>
          <w:lang w:eastAsia="en-US"/>
        </w:rPr>
        <w:tab/>
        <w:t xml:space="preserve">Τι πρέπει να γνωρίζετε </w:t>
      </w:r>
      <w:r w:rsidR="005037FD" w:rsidRPr="0047462D">
        <w:rPr>
          <w:noProof/>
          <w:szCs w:val="22"/>
          <w:lang w:eastAsia="en-US"/>
        </w:rPr>
        <w:t xml:space="preserve">πριν </w:t>
      </w:r>
      <w:r w:rsidRPr="0047462D">
        <w:rPr>
          <w:noProof/>
          <w:szCs w:val="22"/>
          <w:lang w:eastAsia="en-US"/>
        </w:rPr>
        <w:t>πάρετε το Kalydeco</w:t>
      </w:r>
    </w:p>
    <w:p w14:paraId="1AE07DAD"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3.</w:t>
      </w:r>
      <w:r w:rsidRPr="0047462D">
        <w:rPr>
          <w:noProof/>
          <w:szCs w:val="22"/>
          <w:lang w:eastAsia="en-US"/>
        </w:rPr>
        <w:tab/>
        <w:t>Πώς να πάρετε το Kalydeco</w:t>
      </w:r>
    </w:p>
    <w:p w14:paraId="314227F8"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4.</w:t>
      </w:r>
      <w:r w:rsidRPr="0047462D">
        <w:rPr>
          <w:noProof/>
          <w:szCs w:val="22"/>
          <w:lang w:eastAsia="en-US"/>
        </w:rPr>
        <w:tab/>
        <w:t>Πιθανές ανεπιθύμητες ενέργειες</w:t>
      </w:r>
    </w:p>
    <w:p w14:paraId="520431EE"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5.</w:t>
      </w:r>
      <w:r w:rsidRPr="0047462D">
        <w:rPr>
          <w:noProof/>
          <w:szCs w:val="22"/>
          <w:lang w:eastAsia="en-US"/>
        </w:rPr>
        <w:tab/>
        <w:t>Πώς να φυλάσσετ</w:t>
      </w:r>
      <w:r w:rsidR="002F402D" w:rsidRPr="0047462D">
        <w:rPr>
          <w:noProof/>
          <w:szCs w:val="22"/>
          <w:lang w:eastAsia="en-US"/>
        </w:rPr>
        <w:t>ε</w:t>
      </w:r>
      <w:r w:rsidRPr="0047462D">
        <w:rPr>
          <w:noProof/>
          <w:szCs w:val="22"/>
          <w:lang w:eastAsia="en-US"/>
        </w:rPr>
        <w:t xml:space="preserve"> το Kalydeco</w:t>
      </w:r>
    </w:p>
    <w:p w14:paraId="05FC5354" w14:textId="582E4ADC"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6.</w:t>
      </w:r>
      <w:r w:rsidRPr="0047462D">
        <w:rPr>
          <w:noProof/>
          <w:szCs w:val="22"/>
          <w:lang w:eastAsia="en-US"/>
        </w:rPr>
        <w:tab/>
      </w:r>
      <w:r w:rsidR="00CC011B" w:rsidRPr="0047462D">
        <w:rPr>
          <w:noProof/>
          <w:szCs w:val="22"/>
          <w:lang w:eastAsia="en-US"/>
        </w:rPr>
        <w:t xml:space="preserve">Περιεχόμενα </w:t>
      </w:r>
      <w:r w:rsidRPr="0047462D">
        <w:rPr>
          <w:noProof/>
          <w:szCs w:val="22"/>
          <w:lang w:eastAsia="en-US"/>
        </w:rPr>
        <w:t>της συσκευασίας και λοιπές πληροφορίες</w:t>
      </w:r>
    </w:p>
    <w:p w14:paraId="3C156527" w14:textId="77777777" w:rsidR="00A67D3A" w:rsidRPr="0047462D" w:rsidRDefault="00A67D3A">
      <w:pPr>
        <w:rPr>
          <w:szCs w:val="22"/>
          <w:lang w:eastAsia="en-US"/>
        </w:rPr>
      </w:pPr>
    </w:p>
    <w:p w14:paraId="1BD66662" w14:textId="77777777" w:rsidR="00A67D3A" w:rsidRPr="0047462D" w:rsidRDefault="00A67D3A">
      <w:pPr>
        <w:rPr>
          <w:szCs w:val="22"/>
          <w:lang w:eastAsia="en-US"/>
        </w:rPr>
      </w:pPr>
    </w:p>
    <w:p w14:paraId="0B226F95" w14:textId="77777777" w:rsidR="00A67D3A" w:rsidRPr="0047462D" w:rsidRDefault="00A67D3A">
      <w:pPr>
        <w:keepNext/>
        <w:ind w:left="567" w:right="-2"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b/>
          <w:bCs/>
          <w:noProof/>
          <w:szCs w:val="22"/>
          <w:lang w:eastAsia="en-US"/>
        </w:rPr>
        <w:t>Τι είναι το Kalydeco και ποια είναι η χρήση του</w:t>
      </w:r>
    </w:p>
    <w:p w14:paraId="431F6086" w14:textId="77777777" w:rsidR="00A67D3A" w:rsidRPr="0047462D" w:rsidRDefault="00A67D3A" w:rsidP="00141E57">
      <w:pPr>
        <w:keepNext/>
        <w:widowControl w:val="0"/>
        <w:autoSpaceDE w:val="0"/>
        <w:rPr>
          <w:szCs w:val="22"/>
          <w:lang w:eastAsia="en-US"/>
        </w:rPr>
      </w:pPr>
    </w:p>
    <w:p w14:paraId="25C6D3C4" w14:textId="77777777" w:rsidR="00F86BB9" w:rsidRPr="0047462D" w:rsidRDefault="00F86BB9" w:rsidP="002331FF">
      <w:pPr>
        <w:pStyle w:val="labeltext"/>
        <w:rPr>
          <w:bCs/>
          <w:sz w:val="22"/>
          <w:szCs w:val="22"/>
          <w:lang w:val="el-GR"/>
        </w:rPr>
      </w:pPr>
      <w:r w:rsidRPr="0047462D">
        <w:rPr>
          <w:bCs/>
          <w:sz w:val="22"/>
          <w:szCs w:val="22"/>
          <w:lang w:val="el-GR"/>
        </w:rPr>
        <w:t xml:space="preserve">Το </w:t>
      </w:r>
      <w:r w:rsidRPr="0047462D">
        <w:rPr>
          <w:bCs/>
          <w:sz w:val="22"/>
          <w:szCs w:val="22"/>
        </w:rPr>
        <w:t>Kalydeco</w:t>
      </w:r>
      <w:r w:rsidRPr="0047462D">
        <w:rPr>
          <w:bCs/>
          <w:sz w:val="22"/>
          <w:szCs w:val="22"/>
          <w:lang w:val="el-GR"/>
        </w:rPr>
        <w:t xml:space="preserve"> περιέχει το δραστικό συστατικό ivacaftor</w:t>
      </w:r>
      <w:r w:rsidR="003A4AFF" w:rsidRPr="0047462D">
        <w:rPr>
          <w:bCs/>
          <w:sz w:val="22"/>
          <w:szCs w:val="22"/>
          <w:lang w:val="el-GR"/>
        </w:rPr>
        <w:t>.</w:t>
      </w:r>
      <w:r w:rsidRPr="0047462D">
        <w:rPr>
          <w:bCs/>
          <w:sz w:val="22"/>
          <w:szCs w:val="22"/>
          <w:lang w:val="el-GR"/>
        </w:rPr>
        <w:t xml:space="preserve"> </w:t>
      </w:r>
      <w:r w:rsidR="003A4AFF" w:rsidRPr="0047462D">
        <w:rPr>
          <w:bCs/>
          <w:sz w:val="22"/>
          <w:szCs w:val="22"/>
          <w:lang w:val="el-GR"/>
        </w:rPr>
        <w:t xml:space="preserve">Το </w:t>
      </w:r>
      <w:r w:rsidR="003A4AFF" w:rsidRPr="0047462D">
        <w:rPr>
          <w:sz w:val="22"/>
          <w:szCs w:val="22"/>
        </w:rPr>
        <w:t>ivacaftor</w:t>
      </w:r>
      <w:r w:rsidR="003A4AFF" w:rsidRPr="0047462D">
        <w:rPr>
          <w:bCs/>
          <w:sz w:val="22"/>
          <w:szCs w:val="22"/>
          <w:lang w:val="el-GR"/>
        </w:rPr>
        <w:t xml:space="preserve"> δρα στο επίπεδο </w:t>
      </w:r>
      <w:r w:rsidRPr="0047462D">
        <w:rPr>
          <w:bCs/>
          <w:sz w:val="22"/>
          <w:szCs w:val="22"/>
          <w:lang w:val="el-GR"/>
        </w:rPr>
        <w:t>του ρυθμιστή της διαμεμβρανικής αγωγιμότητας της κυστικής ίνωσης (</w:t>
      </w:r>
      <w:r w:rsidRPr="0047462D">
        <w:rPr>
          <w:bCs/>
          <w:iCs/>
          <w:sz w:val="22"/>
          <w:szCs w:val="22"/>
          <w:lang w:val="el-GR"/>
        </w:rPr>
        <w:t>CFTR</w:t>
      </w:r>
      <w:r w:rsidRPr="0047462D">
        <w:rPr>
          <w:bCs/>
          <w:sz w:val="22"/>
          <w:szCs w:val="22"/>
          <w:lang w:val="el-GR"/>
        </w:rPr>
        <w:t>)</w:t>
      </w:r>
      <w:r w:rsidR="003A4AFF" w:rsidRPr="0047462D">
        <w:rPr>
          <w:bCs/>
          <w:sz w:val="22"/>
          <w:szCs w:val="22"/>
          <w:lang w:val="el-GR"/>
        </w:rPr>
        <w:t>,</w:t>
      </w:r>
      <w:r w:rsidRPr="0047462D">
        <w:rPr>
          <w:bCs/>
          <w:sz w:val="22"/>
          <w:szCs w:val="22"/>
          <w:lang w:val="el-GR"/>
        </w:rPr>
        <w:t xml:space="preserve"> μια</w:t>
      </w:r>
      <w:r w:rsidR="003A4AFF" w:rsidRPr="0047462D">
        <w:rPr>
          <w:bCs/>
          <w:sz w:val="22"/>
          <w:szCs w:val="22"/>
          <w:lang w:val="el-GR"/>
        </w:rPr>
        <w:t>ς</w:t>
      </w:r>
      <w:r w:rsidRPr="0047462D">
        <w:rPr>
          <w:bCs/>
          <w:sz w:val="22"/>
          <w:szCs w:val="22"/>
          <w:lang w:val="el-GR"/>
        </w:rPr>
        <w:t xml:space="preserve"> πρωτεΐνη</w:t>
      </w:r>
      <w:r w:rsidR="003A4AFF" w:rsidRPr="0047462D">
        <w:rPr>
          <w:bCs/>
          <w:sz w:val="22"/>
          <w:szCs w:val="22"/>
          <w:lang w:val="el-GR"/>
        </w:rPr>
        <w:t>ς</w:t>
      </w:r>
      <w:r w:rsidRPr="0047462D">
        <w:rPr>
          <w:bCs/>
          <w:sz w:val="22"/>
          <w:szCs w:val="22"/>
          <w:lang w:val="el-GR"/>
        </w:rPr>
        <w:t xml:space="preserve"> </w:t>
      </w:r>
      <w:r w:rsidR="00C139B0" w:rsidRPr="0047462D">
        <w:rPr>
          <w:bCs/>
          <w:sz w:val="22"/>
          <w:szCs w:val="22"/>
          <w:lang w:val="el-GR"/>
        </w:rPr>
        <w:t>που</w:t>
      </w:r>
      <w:r w:rsidRPr="0047462D">
        <w:rPr>
          <w:bCs/>
          <w:sz w:val="22"/>
          <w:szCs w:val="22"/>
          <w:lang w:val="el-GR"/>
        </w:rPr>
        <w:t xml:space="preserve"> </w:t>
      </w:r>
      <w:r w:rsidR="005E2A58" w:rsidRPr="0047462D">
        <w:rPr>
          <w:bCs/>
          <w:sz w:val="22"/>
          <w:szCs w:val="22"/>
          <w:lang w:val="el-GR"/>
        </w:rPr>
        <w:t>σχηματίζει</w:t>
      </w:r>
      <w:r w:rsidRPr="0047462D">
        <w:rPr>
          <w:bCs/>
          <w:sz w:val="22"/>
          <w:szCs w:val="22"/>
          <w:lang w:val="el-GR"/>
        </w:rPr>
        <w:t xml:space="preserve"> </w:t>
      </w:r>
      <w:r w:rsidR="005E2A58" w:rsidRPr="0047462D">
        <w:rPr>
          <w:bCs/>
          <w:sz w:val="22"/>
          <w:szCs w:val="22"/>
          <w:lang w:val="el-GR"/>
        </w:rPr>
        <w:t xml:space="preserve">έναν δίαυλο </w:t>
      </w:r>
      <w:r w:rsidRPr="0047462D">
        <w:rPr>
          <w:bCs/>
          <w:sz w:val="22"/>
          <w:szCs w:val="22"/>
          <w:lang w:val="el-GR"/>
        </w:rPr>
        <w:t xml:space="preserve">στην </w:t>
      </w:r>
      <w:r w:rsidR="008D4F98" w:rsidRPr="0047462D">
        <w:rPr>
          <w:bCs/>
          <w:sz w:val="22"/>
          <w:szCs w:val="22"/>
          <w:lang w:val="el-GR"/>
        </w:rPr>
        <w:t xml:space="preserve">κυτταρική </w:t>
      </w:r>
      <w:r w:rsidRPr="0047462D">
        <w:rPr>
          <w:bCs/>
          <w:sz w:val="22"/>
          <w:szCs w:val="22"/>
          <w:lang w:val="el-GR"/>
        </w:rPr>
        <w:t>επιφάνεια</w:t>
      </w:r>
      <w:r w:rsidR="00C139B0" w:rsidRPr="0047462D">
        <w:rPr>
          <w:bCs/>
          <w:sz w:val="22"/>
          <w:szCs w:val="22"/>
          <w:lang w:val="el-GR"/>
        </w:rPr>
        <w:t xml:space="preserve"> </w:t>
      </w:r>
      <w:r w:rsidR="00D9508D" w:rsidRPr="0047462D">
        <w:rPr>
          <w:bCs/>
          <w:sz w:val="22"/>
          <w:szCs w:val="22"/>
          <w:lang w:val="el-GR"/>
        </w:rPr>
        <w:t>ο οποίος</w:t>
      </w:r>
      <w:r w:rsidR="00C139B0" w:rsidRPr="0047462D">
        <w:rPr>
          <w:bCs/>
          <w:sz w:val="22"/>
          <w:szCs w:val="22"/>
          <w:lang w:val="el-GR"/>
        </w:rPr>
        <w:t xml:space="preserve"> επιτρέπει τη μετα</w:t>
      </w:r>
      <w:r w:rsidR="008D4F98" w:rsidRPr="0047462D">
        <w:rPr>
          <w:bCs/>
          <w:sz w:val="22"/>
          <w:szCs w:val="22"/>
          <w:lang w:val="el-GR"/>
        </w:rPr>
        <w:t xml:space="preserve">κίνηση </w:t>
      </w:r>
      <w:r w:rsidRPr="0047462D">
        <w:rPr>
          <w:bCs/>
          <w:sz w:val="22"/>
          <w:szCs w:val="22"/>
          <w:lang w:val="el-GR"/>
        </w:rPr>
        <w:t xml:space="preserve">σωματιδίων όπως </w:t>
      </w:r>
      <w:r w:rsidR="008D4F98" w:rsidRPr="0047462D">
        <w:rPr>
          <w:bCs/>
          <w:sz w:val="22"/>
          <w:szCs w:val="22"/>
          <w:lang w:val="el-GR"/>
        </w:rPr>
        <w:t>το χλώριο</w:t>
      </w:r>
      <w:r w:rsidRPr="0047462D">
        <w:rPr>
          <w:bCs/>
          <w:sz w:val="22"/>
          <w:szCs w:val="22"/>
          <w:lang w:val="el-GR"/>
        </w:rPr>
        <w:t xml:space="preserve"> </w:t>
      </w:r>
      <w:r w:rsidR="008D4F98" w:rsidRPr="0047462D">
        <w:rPr>
          <w:bCs/>
          <w:sz w:val="22"/>
          <w:szCs w:val="22"/>
          <w:lang w:val="el-GR"/>
        </w:rPr>
        <w:t>εντός</w:t>
      </w:r>
      <w:r w:rsidRPr="0047462D">
        <w:rPr>
          <w:bCs/>
          <w:sz w:val="22"/>
          <w:szCs w:val="22"/>
          <w:lang w:val="el-GR"/>
        </w:rPr>
        <w:t xml:space="preserve"> και </w:t>
      </w:r>
      <w:r w:rsidR="008D4F98" w:rsidRPr="0047462D">
        <w:rPr>
          <w:bCs/>
          <w:sz w:val="22"/>
          <w:szCs w:val="22"/>
          <w:lang w:val="el-GR"/>
        </w:rPr>
        <w:t xml:space="preserve">εκτός </w:t>
      </w:r>
      <w:r w:rsidR="004F043F" w:rsidRPr="0047462D">
        <w:rPr>
          <w:bCs/>
          <w:sz w:val="22"/>
          <w:szCs w:val="22"/>
          <w:lang w:val="el-GR"/>
        </w:rPr>
        <w:t xml:space="preserve">του </w:t>
      </w:r>
      <w:r w:rsidR="008D4F98" w:rsidRPr="0047462D">
        <w:rPr>
          <w:bCs/>
          <w:sz w:val="22"/>
          <w:szCs w:val="22"/>
          <w:lang w:val="el-GR"/>
        </w:rPr>
        <w:t>κυττάρου</w:t>
      </w:r>
      <w:r w:rsidRPr="0047462D">
        <w:rPr>
          <w:bCs/>
          <w:sz w:val="22"/>
          <w:szCs w:val="22"/>
          <w:lang w:val="el-GR"/>
        </w:rPr>
        <w:t>.</w:t>
      </w:r>
      <w:r w:rsidR="00C139B0" w:rsidRPr="0047462D">
        <w:rPr>
          <w:bCs/>
          <w:sz w:val="22"/>
          <w:szCs w:val="22"/>
          <w:lang w:val="el-GR"/>
        </w:rPr>
        <w:t xml:space="preserve"> Λόγω μεταλλάξεων στ</w:t>
      </w:r>
      <w:r w:rsidR="003A4AFF" w:rsidRPr="0047462D">
        <w:rPr>
          <w:bCs/>
          <w:sz w:val="22"/>
          <w:szCs w:val="22"/>
          <w:lang w:val="el-GR"/>
        </w:rPr>
        <w:t>ο</w:t>
      </w:r>
      <w:r w:rsidR="00C139B0" w:rsidRPr="0047462D">
        <w:rPr>
          <w:bCs/>
          <w:sz w:val="22"/>
          <w:szCs w:val="22"/>
          <w:lang w:val="el-GR"/>
        </w:rPr>
        <w:t xml:space="preserve"> </w:t>
      </w:r>
      <w:r w:rsidR="003A4AFF" w:rsidRPr="0047462D">
        <w:rPr>
          <w:bCs/>
          <w:sz w:val="22"/>
          <w:szCs w:val="22"/>
          <w:lang w:val="el-GR"/>
        </w:rPr>
        <w:t>γονίδιο</w:t>
      </w:r>
      <w:r w:rsidR="00C139B0" w:rsidRPr="0047462D">
        <w:rPr>
          <w:bCs/>
          <w:sz w:val="22"/>
          <w:szCs w:val="22"/>
          <w:lang w:val="el-GR"/>
        </w:rPr>
        <w:t xml:space="preserve"> </w:t>
      </w:r>
      <w:r w:rsidR="00C139B0" w:rsidRPr="0047462D">
        <w:rPr>
          <w:bCs/>
          <w:i/>
          <w:sz w:val="22"/>
          <w:szCs w:val="22"/>
          <w:lang w:val="el-GR"/>
        </w:rPr>
        <w:t>CFTR</w:t>
      </w:r>
      <w:r w:rsidR="00366A44" w:rsidRPr="0047462D">
        <w:rPr>
          <w:bCs/>
          <w:sz w:val="22"/>
          <w:szCs w:val="22"/>
          <w:lang w:val="el-GR"/>
        </w:rPr>
        <w:t xml:space="preserve"> (βλ. παρακάτω)</w:t>
      </w:r>
      <w:r w:rsidR="00C139B0" w:rsidRPr="0047462D">
        <w:rPr>
          <w:bCs/>
          <w:sz w:val="22"/>
          <w:szCs w:val="22"/>
          <w:lang w:val="el-GR"/>
        </w:rPr>
        <w:t>, η μετακίνηση του χλωρίου μειώνεται σε άτομα με κυστική ίνωση (</w:t>
      </w:r>
      <w:r w:rsidR="00373F44" w:rsidRPr="0047462D">
        <w:rPr>
          <w:bCs/>
          <w:sz w:val="22"/>
          <w:szCs w:val="22"/>
          <w:lang w:val="el-GR"/>
        </w:rPr>
        <w:t>ΚΙ</w:t>
      </w:r>
      <w:r w:rsidR="00C139B0" w:rsidRPr="0047462D">
        <w:rPr>
          <w:bCs/>
          <w:sz w:val="22"/>
          <w:szCs w:val="22"/>
          <w:lang w:val="el-GR"/>
        </w:rPr>
        <w:t xml:space="preserve">). Το ivacaftor βοηθά </w:t>
      </w:r>
      <w:r w:rsidR="003A4AFF" w:rsidRPr="0047462D">
        <w:rPr>
          <w:bCs/>
          <w:sz w:val="22"/>
          <w:szCs w:val="22"/>
          <w:lang w:val="el-GR"/>
        </w:rPr>
        <w:t>ορισμένες μη φυσιολογικές</w:t>
      </w:r>
      <w:r w:rsidR="00C139B0" w:rsidRPr="0047462D">
        <w:rPr>
          <w:bCs/>
          <w:sz w:val="22"/>
          <w:szCs w:val="22"/>
          <w:lang w:val="el-GR"/>
        </w:rPr>
        <w:t xml:space="preserve"> πρωτεΐνες CFTR να ανοίγουν πιο συχνά για τη βελτίωση της μετακίνησης του χλωρίου εντός και εκτός </w:t>
      </w:r>
      <w:r w:rsidR="004F043F" w:rsidRPr="0047462D">
        <w:rPr>
          <w:bCs/>
          <w:sz w:val="22"/>
          <w:szCs w:val="22"/>
          <w:lang w:val="el-GR"/>
        </w:rPr>
        <w:t xml:space="preserve">του </w:t>
      </w:r>
      <w:r w:rsidR="00C139B0" w:rsidRPr="0047462D">
        <w:rPr>
          <w:bCs/>
          <w:sz w:val="22"/>
          <w:szCs w:val="22"/>
          <w:lang w:val="el-GR"/>
        </w:rPr>
        <w:t>κυττάρου.</w:t>
      </w:r>
    </w:p>
    <w:p w14:paraId="57B6CCEF" w14:textId="77777777" w:rsidR="00F86BB9" w:rsidRPr="0047462D" w:rsidRDefault="00F86BB9">
      <w:pPr>
        <w:pStyle w:val="labeltext"/>
        <w:rPr>
          <w:bCs/>
          <w:sz w:val="22"/>
          <w:szCs w:val="22"/>
          <w:lang w:val="el-GR"/>
        </w:rPr>
      </w:pPr>
    </w:p>
    <w:p w14:paraId="2C4F03AC" w14:textId="77777777" w:rsidR="00EA028D" w:rsidRPr="0047462D" w:rsidRDefault="00A67D3A" w:rsidP="001A137E">
      <w:pPr>
        <w:pStyle w:val="labeltext"/>
        <w:rPr>
          <w:rFonts w:eastAsia="Times New Roman"/>
          <w:sz w:val="22"/>
          <w:szCs w:val="22"/>
          <w:lang w:val="el-GR"/>
        </w:rPr>
      </w:pPr>
      <w:r w:rsidRPr="0047462D">
        <w:rPr>
          <w:rFonts w:eastAsia="Times New Roman"/>
          <w:sz w:val="22"/>
          <w:szCs w:val="22"/>
          <w:lang w:val="el-GR"/>
        </w:rPr>
        <w:t>Τα δισκία Kalydeco ενδείκνυνται</w:t>
      </w:r>
      <w:r w:rsidR="00EA028D" w:rsidRPr="0047462D">
        <w:rPr>
          <w:rFonts w:eastAsia="Times New Roman"/>
          <w:sz w:val="22"/>
          <w:szCs w:val="22"/>
          <w:lang w:val="el-GR"/>
        </w:rPr>
        <w:t>:</w:t>
      </w:r>
    </w:p>
    <w:p w14:paraId="1AE0D8A6" w14:textId="0AD40D7E" w:rsidR="00A67D3A" w:rsidRPr="0047462D" w:rsidRDefault="00EA028D" w:rsidP="00EA028D">
      <w:pPr>
        <w:pStyle w:val="labeltext"/>
        <w:numPr>
          <w:ilvl w:val="0"/>
          <w:numId w:val="65"/>
        </w:numPr>
        <w:ind w:left="562"/>
        <w:rPr>
          <w:rFonts w:eastAsia="Times New Roman"/>
          <w:sz w:val="22"/>
          <w:szCs w:val="22"/>
          <w:lang w:val="el-GR"/>
        </w:rPr>
      </w:pPr>
      <w:r w:rsidRPr="0047462D">
        <w:rPr>
          <w:rFonts w:eastAsia="Times New Roman"/>
          <w:sz w:val="22"/>
          <w:szCs w:val="22"/>
          <w:lang w:val="el-GR"/>
        </w:rPr>
        <w:t xml:space="preserve">ως μονοθεραπεία </w:t>
      </w:r>
      <w:r w:rsidR="00A67D3A" w:rsidRPr="0047462D">
        <w:rPr>
          <w:rFonts w:eastAsia="Times New Roman"/>
          <w:sz w:val="22"/>
          <w:szCs w:val="22"/>
          <w:lang w:val="el-GR"/>
        </w:rPr>
        <w:t xml:space="preserve">για </w:t>
      </w:r>
      <w:r w:rsidR="005919C3" w:rsidRPr="0047462D">
        <w:rPr>
          <w:rFonts w:eastAsia="Times New Roman"/>
          <w:sz w:val="22"/>
          <w:szCs w:val="22"/>
          <w:lang w:val="el-GR"/>
        </w:rPr>
        <w:t xml:space="preserve">ασθενείς </w:t>
      </w:r>
      <w:r w:rsidR="00A67D3A" w:rsidRPr="0047462D">
        <w:rPr>
          <w:rFonts w:eastAsia="Times New Roman"/>
          <w:sz w:val="22"/>
          <w:szCs w:val="22"/>
          <w:lang w:val="el-GR"/>
        </w:rPr>
        <w:t>ηλικίας 6 ετών και άνω και με σωματικό βάρος 25</w:t>
      </w:r>
      <w:r w:rsidR="00A67D3A" w:rsidRPr="0047462D">
        <w:rPr>
          <w:sz w:val="22"/>
          <w:szCs w:val="22"/>
          <w:lang w:val="en-GB"/>
        </w:rPr>
        <w:t> </w:t>
      </w:r>
      <w:r w:rsidR="00A67D3A" w:rsidRPr="0047462D">
        <w:rPr>
          <w:sz w:val="22"/>
          <w:szCs w:val="22"/>
        </w:rPr>
        <w:t>kg</w:t>
      </w:r>
      <w:r w:rsidR="00A67D3A" w:rsidRPr="0047462D">
        <w:rPr>
          <w:sz w:val="22"/>
          <w:szCs w:val="22"/>
          <w:lang w:val="el-GR"/>
        </w:rPr>
        <w:t xml:space="preserve"> ή άνω</w:t>
      </w:r>
      <w:r w:rsidR="00C4428D" w:rsidRPr="0047462D">
        <w:rPr>
          <w:sz w:val="22"/>
          <w:szCs w:val="22"/>
          <w:lang w:val="el-GR"/>
        </w:rPr>
        <w:t xml:space="preserve"> </w:t>
      </w:r>
      <w:r w:rsidR="00C4428D" w:rsidRPr="0047462D">
        <w:rPr>
          <w:rFonts w:eastAsia="Times New Roman"/>
          <w:sz w:val="22"/>
          <w:szCs w:val="22"/>
          <w:lang w:val="el-GR"/>
        </w:rPr>
        <w:t>με κυστική ίνωση (ΚΙ)</w:t>
      </w:r>
      <w:r w:rsidR="00A67D3A" w:rsidRPr="0047462D">
        <w:rPr>
          <w:rFonts w:eastAsia="Times New Roman"/>
          <w:sz w:val="22"/>
          <w:szCs w:val="22"/>
          <w:lang w:val="el-GR"/>
        </w:rPr>
        <w:t xml:space="preserve">, </w:t>
      </w:r>
      <w:r w:rsidR="00C4428D" w:rsidRPr="0047462D">
        <w:rPr>
          <w:rFonts w:eastAsia="Times New Roman"/>
          <w:sz w:val="22"/>
          <w:szCs w:val="22"/>
          <w:lang w:val="el-GR"/>
        </w:rPr>
        <w:t>που</w:t>
      </w:r>
      <w:r w:rsidR="00A67D3A" w:rsidRPr="0047462D">
        <w:rPr>
          <w:rFonts w:eastAsia="Times New Roman"/>
          <w:sz w:val="22"/>
          <w:szCs w:val="22"/>
          <w:lang w:val="el-GR"/>
        </w:rPr>
        <w:t xml:space="preserve"> έχουν </w:t>
      </w:r>
      <w:r w:rsidR="001A137E" w:rsidRPr="0047462D">
        <w:rPr>
          <w:rFonts w:eastAsia="Times New Roman"/>
          <w:sz w:val="22"/>
          <w:szCs w:val="22"/>
          <w:lang w:val="el-GR"/>
        </w:rPr>
        <w:t xml:space="preserve">μια </w:t>
      </w:r>
      <w:r w:rsidR="00493CB2" w:rsidRPr="0047462D">
        <w:rPr>
          <w:rFonts w:eastAsia="Times New Roman"/>
          <w:i/>
          <w:iCs/>
          <w:sz w:val="22"/>
          <w:szCs w:val="22"/>
        </w:rPr>
        <w:t>CFTR</w:t>
      </w:r>
      <w:r w:rsidR="00493CB2" w:rsidRPr="00F93ECE">
        <w:rPr>
          <w:rFonts w:eastAsia="Times New Roman"/>
          <w:sz w:val="22"/>
          <w:szCs w:val="22"/>
          <w:lang w:val="el-GR"/>
        </w:rPr>
        <w:t xml:space="preserve"> </w:t>
      </w:r>
      <w:r w:rsidR="001A137E" w:rsidRPr="0047462D">
        <w:rPr>
          <w:rFonts w:eastAsia="Times New Roman"/>
          <w:sz w:val="22"/>
          <w:szCs w:val="22"/>
          <w:lang w:val="el-GR"/>
        </w:rPr>
        <w:t xml:space="preserve">μετάλλαξη </w:t>
      </w:r>
      <w:r w:rsidRPr="0047462D">
        <w:rPr>
          <w:i/>
          <w:iCs/>
          <w:sz w:val="22"/>
          <w:szCs w:val="22"/>
          <w:lang w:val="en-GB"/>
        </w:rPr>
        <w:t>R</w:t>
      </w:r>
      <w:r w:rsidRPr="00F93ECE">
        <w:rPr>
          <w:i/>
          <w:iCs/>
          <w:sz w:val="22"/>
          <w:szCs w:val="22"/>
          <w:lang w:val="el-GR"/>
        </w:rPr>
        <w:t>117</w:t>
      </w:r>
      <w:r w:rsidRPr="0047462D">
        <w:rPr>
          <w:i/>
          <w:iCs/>
          <w:sz w:val="22"/>
          <w:szCs w:val="22"/>
          <w:lang w:val="en-GB"/>
        </w:rPr>
        <w:t>H</w:t>
      </w:r>
      <w:r w:rsidR="001A137E" w:rsidRPr="0047462D">
        <w:rPr>
          <w:rFonts w:eastAsia="Times New Roman"/>
          <w:sz w:val="22"/>
          <w:szCs w:val="22"/>
          <w:lang w:val="el-GR"/>
        </w:rPr>
        <w:t xml:space="preserve"> ή </w:t>
      </w:r>
      <w:r w:rsidR="00A67D3A" w:rsidRPr="0047462D">
        <w:rPr>
          <w:rFonts w:eastAsia="Times New Roman"/>
          <w:sz w:val="22"/>
          <w:szCs w:val="22"/>
          <w:lang w:val="el-GR"/>
        </w:rPr>
        <w:t xml:space="preserve">μία από τις ακόλουθες </w:t>
      </w:r>
      <w:r w:rsidR="002E5DA8" w:rsidRPr="0047462D">
        <w:rPr>
          <w:sz w:val="22"/>
          <w:szCs w:val="22"/>
          <w:lang w:val="el-GR"/>
        </w:rPr>
        <w:t>«</w:t>
      </w:r>
      <w:r w:rsidR="00A67D3A" w:rsidRPr="0047462D">
        <w:rPr>
          <w:sz w:val="22"/>
          <w:szCs w:val="22"/>
        </w:rPr>
        <w:t>gating</w:t>
      </w:r>
      <w:r w:rsidR="002E5DA8" w:rsidRPr="0047462D">
        <w:rPr>
          <w:sz w:val="22"/>
          <w:szCs w:val="22"/>
          <w:lang w:val="el-GR"/>
        </w:rPr>
        <w:t>»</w:t>
      </w:r>
      <w:r w:rsidR="00A67D3A" w:rsidRPr="0047462D">
        <w:rPr>
          <w:sz w:val="22"/>
          <w:szCs w:val="22"/>
          <w:lang w:val="el-GR"/>
        </w:rPr>
        <w:t xml:space="preserve"> μεταλλάξεις </w:t>
      </w:r>
      <w:r w:rsidR="00A67D3A" w:rsidRPr="0047462D">
        <w:rPr>
          <w:rFonts w:eastAsia="Times New Roman"/>
          <w:sz w:val="22"/>
          <w:szCs w:val="22"/>
          <w:lang w:val="el-GR"/>
        </w:rPr>
        <w:t xml:space="preserve">στο γονίδιο </w:t>
      </w:r>
      <w:r w:rsidR="00A67D3A" w:rsidRPr="0047462D">
        <w:rPr>
          <w:rFonts w:eastAsia="Times New Roman"/>
          <w:i/>
          <w:iCs/>
          <w:sz w:val="22"/>
          <w:szCs w:val="22"/>
          <w:lang w:val="el-GR"/>
        </w:rPr>
        <w:t>CFTR</w:t>
      </w:r>
      <w:r w:rsidR="00A67D3A" w:rsidRPr="0047462D">
        <w:rPr>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1244</w:t>
      </w:r>
      <w:r w:rsidR="00A67D3A" w:rsidRPr="0047462D">
        <w:rPr>
          <w:i/>
          <w:sz w:val="22"/>
          <w:szCs w:val="22"/>
        </w:rPr>
        <w:t>E</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1349</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178</w:t>
      </w:r>
      <w:r w:rsidR="00A67D3A" w:rsidRPr="0047462D">
        <w:rPr>
          <w:i/>
          <w:sz w:val="22"/>
          <w:szCs w:val="22"/>
        </w:rPr>
        <w:t>R</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S</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1251</w:t>
      </w:r>
      <w:r w:rsidR="00A67D3A" w:rsidRPr="0047462D">
        <w:rPr>
          <w:i/>
          <w:sz w:val="22"/>
          <w:szCs w:val="22"/>
        </w:rPr>
        <w:t>N</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1255</w:t>
      </w:r>
      <w:r w:rsidR="00A67D3A" w:rsidRPr="0047462D">
        <w:rPr>
          <w:i/>
          <w:sz w:val="22"/>
          <w:szCs w:val="22"/>
        </w:rPr>
        <w:t>P</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N</w:t>
      </w:r>
      <w:r w:rsidR="00A67D3A" w:rsidRPr="0047462D">
        <w:rPr>
          <w:i/>
          <w:sz w:val="22"/>
          <w:szCs w:val="22"/>
          <w:lang w:val="el-GR"/>
        </w:rPr>
        <w:t xml:space="preserve"> </w:t>
      </w:r>
      <w:r w:rsidR="00A67D3A" w:rsidRPr="0047462D">
        <w:rPr>
          <w:iCs/>
          <w:sz w:val="22"/>
          <w:szCs w:val="22"/>
          <w:lang w:val="el-GR"/>
        </w:rPr>
        <w:t>ή</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R</w:t>
      </w:r>
      <w:r w:rsidR="00A67D3A" w:rsidRPr="0047462D">
        <w:rPr>
          <w:rFonts w:eastAsia="Times New Roman"/>
          <w:sz w:val="22"/>
          <w:szCs w:val="22"/>
          <w:lang w:val="el-GR"/>
        </w:rPr>
        <w:t xml:space="preserve">. </w:t>
      </w:r>
    </w:p>
    <w:p w14:paraId="296E546F" w14:textId="77777777" w:rsidR="00EA028D" w:rsidRPr="0047462D" w:rsidRDefault="00EA028D" w:rsidP="002877EB">
      <w:pPr>
        <w:pStyle w:val="labeltext"/>
        <w:ind w:left="562"/>
        <w:rPr>
          <w:rFonts w:eastAsia="Times New Roman"/>
          <w:sz w:val="22"/>
          <w:szCs w:val="22"/>
          <w:lang w:val="el-GR"/>
        </w:rPr>
      </w:pPr>
    </w:p>
    <w:p w14:paraId="52CECE0C" w14:textId="7416E906" w:rsidR="008746DE" w:rsidRPr="0047462D" w:rsidRDefault="008746DE" w:rsidP="00EA028D">
      <w:pPr>
        <w:pStyle w:val="ListParagraph"/>
        <w:numPr>
          <w:ilvl w:val="0"/>
          <w:numId w:val="66"/>
        </w:numPr>
        <w:ind w:left="562"/>
      </w:pPr>
      <w:r w:rsidRPr="0047462D">
        <w:t xml:space="preserve">σε συνδυασμό με τα δισκία tezacaftor/ivacaftor για </w:t>
      </w:r>
      <w:r w:rsidR="005919C3" w:rsidRPr="0047462D">
        <w:t xml:space="preserve">ασθενείς </w:t>
      </w:r>
      <w:r w:rsidRPr="0047462D">
        <w:t xml:space="preserve">ηλικίας </w:t>
      </w:r>
      <w:r w:rsidR="00D04346">
        <w:t>6</w:t>
      </w:r>
      <w:r w:rsidRPr="0047462D">
        <w:t xml:space="preserve"> ετών και άνω </w:t>
      </w:r>
      <w:r w:rsidR="00D94EC8" w:rsidRPr="0047462D">
        <w:t>με</w:t>
      </w:r>
      <w:r w:rsidRPr="0047462D">
        <w:t xml:space="preserve"> ΚΙ </w:t>
      </w:r>
      <w:r w:rsidR="00D94EC8" w:rsidRPr="0047462D">
        <w:t xml:space="preserve">οι οποίοι έχουν δύο μεταλλάξεις </w:t>
      </w:r>
      <w:r w:rsidR="00D94EC8" w:rsidRPr="0047462D">
        <w:rPr>
          <w:i/>
          <w:iCs/>
        </w:rPr>
        <w:t xml:space="preserve">F508del </w:t>
      </w:r>
      <w:r w:rsidR="00D94EC8" w:rsidRPr="0047462D">
        <w:t xml:space="preserve">στο γονίδιο </w:t>
      </w:r>
      <w:r w:rsidR="00D94EC8" w:rsidRPr="0047462D">
        <w:rPr>
          <w:i/>
          <w:iCs/>
        </w:rPr>
        <w:t xml:space="preserve">CFTR </w:t>
      </w:r>
      <w:r w:rsidR="00D94EC8" w:rsidRPr="0047462D">
        <w:t xml:space="preserve">(ομόζυγοι για τη μετάλλαξη </w:t>
      </w:r>
      <w:r w:rsidR="00D94EC8" w:rsidRPr="0047462D">
        <w:rPr>
          <w:i/>
          <w:iCs/>
        </w:rPr>
        <w:t>F508del</w:t>
      </w:r>
      <w:r w:rsidR="00D94EC8" w:rsidRPr="0047462D">
        <w:t xml:space="preserve">) ή έχουν μια μετάλλαξη </w:t>
      </w:r>
      <w:r w:rsidR="00D94EC8" w:rsidRPr="0047462D">
        <w:rPr>
          <w:i/>
          <w:iCs/>
        </w:rPr>
        <w:t xml:space="preserve">F508del </w:t>
      </w:r>
      <w:r w:rsidR="00D94EC8" w:rsidRPr="0047462D">
        <w:t xml:space="preserve">και </w:t>
      </w:r>
      <w:r w:rsidR="009E6F10" w:rsidRPr="0047462D">
        <w:t>συγκεκριμένες</w:t>
      </w:r>
      <w:r w:rsidR="00D94EC8" w:rsidRPr="0047462D">
        <w:t xml:space="preserve"> δεύτερες μεταλλάξεις </w:t>
      </w:r>
      <w:r w:rsidR="00437DFD" w:rsidRPr="00437DFD">
        <w:t xml:space="preserve">οι οποίες οδηγούν σε μειωμένη ποσότητα ή/και λειτουργία της πρωτεΐνης CFTR </w:t>
      </w:r>
      <w:r w:rsidR="00D94EC8" w:rsidRPr="0047462D">
        <w:t xml:space="preserve">(ετερόζυγοι για τη μετάλλαξη </w:t>
      </w:r>
      <w:r w:rsidR="00D94EC8" w:rsidRPr="0047462D">
        <w:rPr>
          <w:i/>
        </w:rPr>
        <w:t>F508del</w:t>
      </w:r>
      <w:r w:rsidR="00437DFD">
        <w:rPr>
          <w:iCs/>
        </w:rPr>
        <w:t xml:space="preserve"> με μια μετάλλαξη υπολειπόμενης λειτουργίας [</w:t>
      </w:r>
      <w:r w:rsidR="00437DFD">
        <w:rPr>
          <w:iCs/>
          <w:lang w:val="en-US"/>
        </w:rPr>
        <w:t>RF</w:t>
      </w:r>
      <w:r w:rsidR="00437DFD">
        <w:rPr>
          <w:iCs/>
        </w:rPr>
        <w:t>]</w:t>
      </w:r>
      <w:r w:rsidR="00437DFD">
        <w:t>).</w:t>
      </w:r>
      <w:r w:rsidRPr="0047462D">
        <w:t xml:space="preserve"> </w:t>
      </w:r>
      <w:r w:rsidR="00C806ED" w:rsidRPr="0047462D">
        <w:t xml:space="preserve">Εάν σας έχει συνταγογραφηθεί </w:t>
      </w:r>
      <w:r w:rsidRPr="0047462D">
        <w:t xml:space="preserve">Kalydeco </w:t>
      </w:r>
      <w:r w:rsidR="00C806ED" w:rsidRPr="0047462D">
        <w:t xml:space="preserve">για λήψη μαζί με </w:t>
      </w:r>
      <w:r w:rsidRPr="0047462D">
        <w:t xml:space="preserve">tezacaftor/ivacaftor, </w:t>
      </w:r>
      <w:r w:rsidR="00C806ED" w:rsidRPr="0047462D">
        <w:t xml:space="preserve">διαβάστε το φύλλο οδηγιών χρήσης του </w:t>
      </w:r>
      <w:r w:rsidR="00437DFD">
        <w:t>τελευταίου</w:t>
      </w:r>
      <w:r w:rsidRPr="0047462D">
        <w:t xml:space="preserve">. </w:t>
      </w:r>
      <w:r w:rsidR="00C806ED" w:rsidRPr="0047462D">
        <w:t>Περιέχει σημαντικές πληροφορίες για το πώς να παίρνετε αυτά τα δύο φάρμακα</w:t>
      </w:r>
      <w:r w:rsidRPr="0047462D">
        <w:t>.</w:t>
      </w:r>
    </w:p>
    <w:p w14:paraId="1836ED25" w14:textId="77777777" w:rsidR="00EA028D" w:rsidRPr="0047462D" w:rsidRDefault="00EA028D" w:rsidP="002877EB">
      <w:pPr>
        <w:pStyle w:val="ListParagraph"/>
        <w:ind w:left="562"/>
      </w:pPr>
    </w:p>
    <w:p w14:paraId="029888B4" w14:textId="66B57BB1" w:rsidR="00CB3D30" w:rsidRPr="0047462D" w:rsidRDefault="00EA028D" w:rsidP="002877EB">
      <w:pPr>
        <w:pStyle w:val="Body"/>
        <w:numPr>
          <w:ilvl w:val="0"/>
          <w:numId w:val="67"/>
        </w:numPr>
        <w:ind w:left="562"/>
        <w:rPr>
          <w:rStyle w:val="hps"/>
          <w:rFonts w:eastAsia="SimSun" w:cs="Times New Roman"/>
          <w:color w:val="auto"/>
          <w:szCs w:val="20"/>
          <w:bdr w:val="none" w:sz="0" w:space="0" w:color="auto"/>
          <w:lang w:eastAsia="zh-CN"/>
          <w14:textOutline w14:w="0" w14:cap="rnd" w14:cmpd="sng" w14:algn="ctr">
            <w14:noFill/>
            <w14:prstDash w14:val="solid"/>
            <w14:bevel/>
          </w14:textOutline>
        </w:rPr>
      </w:pPr>
      <w:r w:rsidRPr="0047462D">
        <w:t>σε συνδυασμό με δισκία ivacaftor/tezacaftor/elexacaftor για ασθενείς ηλικίας 12 ετών και άνω</w:t>
      </w:r>
      <w:r w:rsidR="003B5221" w:rsidRPr="0047462D">
        <w:t xml:space="preserve"> με ΚΙ</w:t>
      </w:r>
      <w:r w:rsidRPr="0047462D">
        <w:t xml:space="preserve"> οι οποίοι είναι ομόζυγοι για τη μετάλλαξη </w:t>
      </w:r>
      <w:r w:rsidRPr="0047462D">
        <w:rPr>
          <w:i/>
          <w:iCs/>
        </w:rPr>
        <w:t>F508del</w:t>
      </w:r>
      <w:r w:rsidRPr="0047462D">
        <w:t xml:space="preserve"> στο γονίδιο </w:t>
      </w:r>
      <w:r w:rsidRPr="0047462D">
        <w:rPr>
          <w:i/>
          <w:iCs/>
        </w:rPr>
        <w:t>CFTR</w:t>
      </w:r>
      <w:r w:rsidRPr="0047462D">
        <w:t xml:space="preserve"> ή ετερόζυγοι για τη μετάλλαξη </w:t>
      </w:r>
      <w:r w:rsidRPr="0047462D">
        <w:rPr>
          <w:i/>
          <w:iCs/>
        </w:rPr>
        <w:t>F508del</w:t>
      </w:r>
      <w:r w:rsidRPr="0047462D">
        <w:t xml:space="preserve"> στο γονίδιο </w:t>
      </w:r>
      <w:r w:rsidRPr="0047462D">
        <w:rPr>
          <w:i/>
          <w:iCs/>
        </w:rPr>
        <w:t>CFTR</w:t>
      </w:r>
      <w:r w:rsidRPr="0047462D">
        <w:t xml:space="preserve"> </w:t>
      </w:r>
      <w:r w:rsidRPr="0047462D">
        <w:rPr>
          <w:rStyle w:val="hps"/>
        </w:rPr>
        <w:t>με μια μετάλλαξη ελάχιστης λειτουργίας (</w:t>
      </w:r>
      <w:r w:rsidRPr="0047462D">
        <w:rPr>
          <w:lang w:val="en-US"/>
        </w:rPr>
        <w:t>MF</w:t>
      </w:r>
      <w:r w:rsidRPr="0047462D">
        <w:rPr>
          <w:rStyle w:val="hps"/>
        </w:rPr>
        <w:t>)</w:t>
      </w:r>
      <w:r w:rsidRPr="0047462D">
        <w:t xml:space="preserve">. </w:t>
      </w:r>
      <w:r w:rsidR="00CB3D30" w:rsidRPr="0047462D">
        <w:rPr>
          <w:rStyle w:val="hps"/>
        </w:rPr>
        <w:t xml:space="preserve">Ως μετάλλαξη ελάχιστης λειτουργίας ορίζεται μια μετάλλαξη που οδηγεί είτε σε καθόλου παραγωγή πρωτεΐνης </w:t>
      </w:r>
      <w:r w:rsidR="00CB3D30" w:rsidRPr="0047462D">
        <w:rPr>
          <w:rStyle w:val="hps"/>
          <w:lang w:val="fr-FR"/>
        </w:rPr>
        <w:t xml:space="preserve">CFTR </w:t>
      </w:r>
      <w:r w:rsidR="00CB3D30" w:rsidRPr="0047462D">
        <w:rPr>
          <w:rStyle w:val="hps"/>
        </w:rPr>
        <w:t xml:space="preserve">είτε σε πρωτεΐνη </w:t>
      </w:r>
      <w:r w:rsidR="00CB3D30" w:rsidRPr="0047462D">
        <w:rPr>
          <w:rStyle w:val="hps"/>
          <w:lang w:val="fr-FR"/>
        </w:rPr>
        <w:t xml:space="preserve">CFTR </w:t>
      </w:r>
      <w:r w:rsidR="00CB3D30" w:rsidRPr="0047462D">
        <w:rPr>
          <w:rStyle w:val="hps"/>
        </w:rPr>
        <w:t xml:space="preserve">που δεν λειτουργεί και η οποία δεν είναι πιθανό να ανταποκριθεί </w:t>
      </w:r>
      <w:r w:rsidR="00196C31" w:rsidRPr="0047462D">
        <w:rPr>
          <w:rStyle w:val="hps"/>
        </w:rPr>
        <w:t xml:space="preserve">στο </w:t>
      </w:r>
      <w:r w:rsidR="00CB3D30" w:rsidRPr="0047462D">
        <w:rPr>
          <w:rStyle w:val="hps"/>
          <w:lang w:val="en-US"/>
        </w:rPr>
        <w:t>ivacaftor</w:t>
      </w:r>
      <w:r w:rsidR="00CB3D30" w:rsidRPr="00F93ECE">
        <w:rPr>
          <w:rStyle w:val="hps"/>
        </w:rPr>
        <w:t xml:space="preserve"> </w:t>
      </w:r>
      <w:r w:rsidR="00196C31" w:rsidRPr="0047462D">
        <w:rPr>
          <w:rStyle w:val="hps"/>
        </w:rPr>
        <w:t xml:space="preserve">μόνο, </w:t>
      </w:r>
      <w:r w:rsidR="00CB3D30" w:rsidRPr="0047462D">
        <w:rPr>
          <w:rStyle w:val="hps"/>
        </w:rPr>
        <w:t xml:space="preserve">και </w:t>
      </w:r>
      <w:r w:rsidR="00DA7E4F" w:rsidRPr="0047462D">
        <w:rPr>
          <w:rStyle w:val="hps"/>
        </w:rPr>
        <w:t xml:space="preserve">στο </w:t>
      </w:r>
      <w:r w:rsidR="00CB3D30" w:rsidRPr="0047462D">
        <w:rPr>
          <w:rStyle w:val="hps"/>
        </w:rPr>
        <w:t xml:space="preserve">tezacaftor/ivacaftor. </w:t>
      </w:r>
      <w:r w:rsidR="00CB3D30" w:rsidRPr="0047462D">
        <w:t xml:space="preserve">Εάν σας έχει συνταγογραφηθεί Kalydeco για λήψη μαζί με ivacaftor/tezacaftor/elexacaftor, διαβάστε το φύλλο οδηγιών χρήσης του </w:t>
      </w:r>
      <w:r w:rsidR="00437DFD">
        <w:t>τελευταίου</w:t>
      </w:r>
      <w:r w:rsidR="00CB3D30" w:rsidRPr="0047462D">
        <w:t>. Περιέχει σημαντικές πληροφορίες για το πώς να παίρνετε αυτά τα δύο φάρμακα</w:t>
      </w:r>
      <w:r w:rsidR="00CB3D30" w:rsidRPr="0047462D">
        <w:rPr>
          <w:rStyle w:val="hps"/>
        </w:rPr>
        <w:t>.</w:t>
      </w:r>
    </w:p>
    <w:p w14:paraId="62C371EE" w14:textId="77777777" w:rsidR="00DD0E87" w:rsidRPr="0047462D" w:rsidRDefault="00DD0E87" w:rsidP="002877EB">
      <w:pPr>
        <w:pStyle w:val="Body"/>
        <w:ind w:left="562" w:hanging="360"/>
      </w:pPr>
    </w:p>
    <w:p w14:paraId="7EF6B3EA" w14:textId="77777777" w:rsidR="00341CCE" w:rsidRPr="0047462D" w:rsidRDefault="00341CCE">
      <w:pPr>
        <w:rPr>
          <w:szCs w:val="22"/>
          <w:lang w:eastAsia="en-US"/>
        </w:rPr>
      </w:pPr>
    </w:p>
    <w:p w14:paraId="59610CE5" w14:textId="77777777" w:rsidR="00A67D3A" w:rsidRPr="0047462D" w:rsidRDefault="00A67D3A">
      <w:pPr>
        <w:keepNext/>
        <w:ind w:left="567" w:right="-2"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b/>
          <w:bCs/>
          <w:noProof/>
          <w:szCs w:val="22"/>
          <w:lang w:eastAsia="en-US"/>
        </w:rPr>
        <w:t>Τι πρέπει να γνωρίζετε πριν πάρετε το Kalydeco</w:t>
      </w:r>
    </w:p>
    <w:p w14:paraId="7B3894D0" w14:textId="77777777" w:rsidR="00A67D3A" w:rsidRPr="0047462D" w:rsidRDefault="00A67D3A" w:rsidP="00141E57">
      <w:pPr>
        <w:keepNext/>
        <w:rPr>
          <w:szCs w:val="22"/>
          <w:lang w:eastAsia="en-US"/>
        </w:rPr>
      </w:pPr>
    </w:p>
    <w:p w14:paraId="44B1F7C8" w14:textId="60B07CBC" w:rsidR="00A67D3A" w:rsidRPr="0047462D" w:rsidRDefault="00A67D3A" w:rsidP="00141E57">
      <w:pPr>
        <w:keepNext/>
        <w:rPr>
          <w:rFonts w:eastAsia="Times New Roman"/>
          <w:b/>
          <w:bCs/>
          <w:szCs w:val="22"/>
        </w:rPr>
      </w:pPr>
      <w:r w:rsidRPr="0047462D">
        <w:rPr>
          <w:rFonts w:eastAsia="Times New Roman"/>
          <w:b/>
          <w:bCs/>
          <w:szCs w:val="22"/>
        </w:rPr>
        <w:t>Μην πάρετε το Kalydeco</w:t>
      </w:r>
    </w:p>
    <w:p w14:paraId="6DAE34D3" w14:textId="77777777" w:rsidR="001A137E" w:rsidRPr="0047462D" w:rsidRDefault="001A137E" w:rsidP="00141E57">
      <w:pPr>
        <w:keepNext/>
        <w:rPr>
          <w:rFonts w:eastAsia="Times New Roman"/>
          <w:b/>
          <w:bCs/>
          <w:szCs w:val="22"/>
        </w:rPr>
      </w:pPr>
    </w:p>
    <w:p w14:paraId="7A7B962F"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σε περίπτωση αλλεργίας στο ivacaftor ή σε οποιοδήποτε άλλο από τα συστατικά αυτού του φαρμάκου (αναφέρονται στην παράγραφο 6).</w:t>
      </w:r>
    </w:p>
    <w:p w14:paraId="723D83CE" w14:textId="77777777" w:rsidR="002331FF" w:rsidRPr="0047462D" w:rsidRDefault="002331FF" w:rsidP="007307BE">
      <w:pPr>
        <w:suppressAutoHyphens w:val="0"/>
        <w:rPr>
          <w:noProof/>
          <w:szCs w:val="22"/>
          <w:lang w:eastAsia="en-US"/>
        </w:rPr>
      </w:pPr>
    </w:p>
    <w:p w14:paraId="3CF6640E" w14:textId="4F2D7E82" w:rsidR="00A67D3A" w:rsidRPr="0047462D" w:rsidRDefault="00A67D3A" w:rsidP="00141E57">
      <w:pPr>
        <w:keepNext/>
        <w:rPr>
          <w:rFonts w:eastAsia="Times New Roman"/>
          <w:b/>
          <w:bCs/>
          <w:szCs w:val="22"/>
        </w:rPr>
      </w:pPr>
      <w:r w:rsidRPr="0047462D">
        <w:rPr>
          <w:rFonts w:eastAsia="Times New Roman"/>
          <w:b/>
          <w:bCs/>
          <w:szCs w:val="22"/>
        </w:rPr>
        <w:t>Προειδοποιήσεις και προφυλάξεις</w:t>
      </w:r>
    </w:p>
    <w:p w14:paraId="1F5B24CF" w14:textId="77777777" w:rsidR="001A137E" w:rsidRPr="0047462D" w:rsidRDefault="001A137E" w:rsidP="00141E57">
      <w:pPr>
        <w:keepNext/>
        <w:rPr>
          <w:rFonts w:eastAsia="Times New Roman"/>
          <w:b/>
          <w:bCs/>
          <w:szCs w:val="22"/>
          <w:lang w:eastAsia="en-US"/>
        </w:rPr>
      </w:pPr>
    </w:p>
    <w:p w14:paraId="53694E6B" w14:textId="77777777" w:rsidR="008645B2" w:rsidRPr="0047462D" w:rsidRDefault="00791793" w:rsidP="009A2EEC">
      <w:pPr>
        <w:pStyle w:val="ListParagraph"/>
        <w:keepNext/>
        <w:numPr>
          <w:ilvl w:val="0"/>
          <w:numId w:val="52"/>
        </w:numPr>
        <w:ind w:left="270"/>
        <w:rPr>
          <w:rFonts w:eastAsia="Times New Roman"/>
          <w:szCs w:val="22"/>
        </w:rPr>
      </w:pPr>
      <w:r w:rsidRPr="0047462D">
        <w:t xml:space="preserve">Απευθυνθείτε στον γιατρό </w:t>
      </w:r>
      <w:r w:rsidR="00607FE1" w:rsidRPr="0047462D">
        <w:t>σας, εάν έχετε ηπατικά προβλήματα ή είχατε στο παρελθόν</w:t>
      </w:r>
      <w:r w:rsidRPr="0047462D">
        <w:rPr>
          <w:bCs/>
        </w:rPr>
        <w:t>.</w:t>
      </w:r>
      <w:r w:rsidR="00607FE1" w:rsidRPr="0047462D">
        <w:rPr>
          <w:bCs/>
        </w:rPr>
        <w:t xml:space="preserve"> Ο γιατρός σας μπορεί να χρειαστεί να προσαρμόσει τη δόση σας.</w:t>
      </w:r>
    </w:p>
    <w:p w14:paraId="09F236D7" w14:textId="6957F532" w:rsidR="00A67D3A" w:rsidRPr="0047462D" w:rsidRDefault="00D00DDE" w:rsidP="009A2EEC">
      <w:pPr>
        <w:keepNext/>
        <w:numPr>
          <w:ilvl w:val="0"/>
          <w:numId w:val="19"/>
        </w:numPr>
        <w:autoSpaceDE w:val="0"/>
        <w:ind w:left="270"/>
        <w:rPr>
          <w:rFonts w:eastAsia="Times New Roman"/>
          <w:szCs w:val="22"/>
        </w:rPr>
      </w:pPr>
      <w:r w:rsidRPr="0047462D">
        <w:rPr>
          <w:rFonts w:eastAsia="Times New Roman"/>
          <w:szCs w:val="22"/>
        </w:rPr>
        <w:t>Αυξημένα ηπατικά ένζυμα στο αίμα</w:t>
      </w:r>
      <w:r w:rsidR="00A67D3A" w:rsidRPr="0047462D">
        <w:rPr>
          <w:rFonts w:eastAsia="Times New Roman"/>
          <w:szCs w:val="22"/>
        </w:rPr>
        <w:t xml:space="preserve"> έχουν παρατηρηθεί σε ορισμένους ανθρώπους που παίρνουν το </w:t>
      </w:r>
      <w:r w:rsidR="00425566" w:rsidRPr="0047462D">
        <w:t>Kalydeco</w:t>
      </w:r>
      <w:r w:rsidR="00607FE1" w:rsidRPr="0047462D">
        <w:t xml:space="preserve"> (μόνο του ή σε συνδυασμό με tezacaftor/ivacaftor</w:t>
      </w:r>
      <w:r w:rsidR="00CB3D30" w:rsidRPr="0047462D">
        <w:t xml:space="preserve"> ή ivacaftor/tezacaftor/elexacaftor</w:t>
      </w:r>
      <w:r w:rsidR="00607FE1" w:rsidRPr="0047462D">
        <w:t>)</w:t>
      </w:r>
      <w:r w:rsidR="00A67D3A" w:rsidRPr="0047462D">
        <w:rPr>
          <w:rFonts w:eastAsia="Times New Roman"/>
          <w:szCs w:val="22"/>
        </w:rPr>
        <w:t>. Ενημερώστε τον γιατρό σας αμέσως εάν εμφανίσετε οποιοδήποτε από αυτά τα συμπτώματα, που μπορεί να αποτελούν σημείο ηπατικών προβλημάτων:</w:t>
      </w:r>
    </w:p>
    <w:p w14:paraId="2C2E9306" w14:textId="77777777" w:rsidR="00A67D3A" w:rsidRPr="0047462D" w:rsidRDefault="00A67D3A" w:rsidP="009A2EEC">
      <w:pPr>
        <w:numPr>
          <w:ilvl w:val="0"/>
          <w:numId w:val="38"/>
        </w:numPr>
        <w:autoSpaceDE w:val="0"/>
        <w:ind w:left="1080"/>
        <w:rPr>
          <w:rFonts w:eastAsia="Times New Roman"/>
          <w:szCs w:val="22"/>
        </w:rPr>
      </w:pPr>
      <w:r w:rsidRPr="0047462D">
        <w:rPr>
          <w:rFonts w:eastAsia="Times New Roman"/>
          <w:szCs w:val="22"/>
        </w:rPr>
        <w:t>Πόνο ή ενόχληση στην άνω δεξιά στομαχική (κοιλιακή) χώρα</w:t>
      </w:r>
    </w:p>
    <w:p w14:paraId="11CB1A82" w14:textId="77777777" w:rsidR="00A67D3A" w:rsidRPr="0047462D" w:rsidRDefault="00A67D3A" w:rsidP="009A2EEC">
      <w:pPr>
        <w:numPr>
          <w:ilvl w:val="0"/>
          <w:numId w:val="38"/>
        </w:numPr>
        <w:tabs>
          <w:tab w:val="left" w:pos="630"/>
        </w:tabs>
        <w:autoSpaceDE w:val="0"/>
        <w:ind w:left="1080"/>
        <w:rPr>
          <w:rFonts w:eastAsia="Times New Roman"/>
          <w:color w:val="000000"/>
          <w:szCs w:val="22"/>
        </w:rPr>
      </w:pPr>
      <w:r w:rsidRPr="0047462D">
        <w:rPr>
          <w:rFonts w:eastAsia="Times New Roman"/>
          <w:szCs w:val="22"/>
        </w:rPr>
        <w:t>Κιτρίνισμα του δέρματος ή του λευκού μέρους των ματιών</w:t>
      </w:r>
    </w:p>
    <w:p w14:paraId="37C4B216" w14:textId="77777777" w:rsidR="00A67D3A" w:rsidRPr="0047462D" w:rsidRDefault="00A67D3A" w:rsidP="009A2EEC">
      <w:pPr>
        <w:numPr>
          <w:ilvl w:val="0"/>
          <w:numId w:val="38"/>
        </w:numPr>
        <w:autoSpaceDE w:val="0"/>
        <w:ind w:left="1080"/>
        <w:rPr>
          <w:rFonts w:eastAsia="Times New Roman"/>
          <w:szCs w:val="22"/>
        </w:rPr>
      </w:pPr>
      <w:r w:rsidRPr="0047462D">
        <w:rPr>
          <w:rFonts w:eastAsia="Times New Roman"/>
          <w:color w:val="000000"/>
          <w:szCs w:val="22"/>
        </w:rPr>
        <w:t>Απώλεια όρεξης</w:t>
      </w:r>
      <w:r w:rsidRPr="0047462D">
        <w:rPr>
          <w:rStyle w:val="tw4winMark"/>
          <w:rFonts w:cs="Times New Roman"/>
          <w:szCs w:val="22"/>
        </w:rPr>
        <w:t xml:space="preserve"> </w:t>
      </w:r>
    </w:p>
    <w:p w14:paraId="0FF0CD10" w14:textId="77777777" w:rsidR="00A67D3A" w:rsidRPr="0047462D" w:rsidRDefault="00A67D3A" w:rsidP="009A2EEC">
      <w:pPr>
        <w:numPr>
          <w:ilvl w:val="0"/>
          <w:numId w:val="38"/>
        </w:numPr>
        <w:autoSpaceDE w:val="0"/>
        <w:ind w:left="1080"/>
        <w:rPr>
          <w:rFonts w:eastAsia="Times New Roman"/>
          <w:szCs w:val="22"/>
        </w:rPr>
      </w:pPr>
      <w:r w:rsidRPr="0047462D">
        <w:rPr>
          <w:rFonts w:eastAsia="Times New Roman"/>
          <w:szCs w:val="22"/>
        </w:rPr>
        <w:t>Ναυτία ή έμετος</w:t>
      </w:r>
    </w:p>
    <w:p w14:paraId="23F794D6" w14:textId="77777777" w:rsidR="00A67D3A" w:rsidRPr="0047462D" w:rsidRDefault="00A67D3A" w:rsidP="009A2EEC">
      <w:pPr>
        <w:numPr>
          <w:ilvl w:val="0"/>
          <w:numId w:val="38"/>
        </w:numPr>
        <w:autoSpaceDE w:val="0"/>
        <w:ind w:left="1080"/>
        <w:rPr>
          <w:rFonts w:eastAsia="MS Mincho"/>
          <w:szCs w:val="22"/>
          <w:lang w:eastAsia="ja-JP"/>
        </w:rPr>
      </w:pPr>
      <w:r w:rsidRPr="0047462D">
        <w:rPr>
          <w:rFonts w:eastAsia="Times New Roman"/>
          <w:szCs w:val="22"/>
        </w:rPr>
        <w:t xml:space="preserve">Σκούρα ούρα </w:t>
      </w:r>
    </w:p>
    <w:p w14:paraId="6C15AE28" w14:textId="77777777" w:rsidR="00A67D3A" w:rsidRPr="0047462D" w:rsidRDefault="00A67D3A" w:rsidP="00141E57">
      <w:pPr>
        <w:suppressAutoHyphens w:val="0"/>
        <w:ind w:left="357" w:right="-2"/>
        <w:rPr>
          <w:szCs w:val="22"/>
          <w:lang w:eastAsia="en-US"/>
        </w:rPr>
      </w:pPr>
      <w:r w:rsidRPr="0047462D">
        <w:rPr>
          <w:rFonts w:eastAsia="Times New Roman"/>
          <w:szCs w:val="22"/>
        </w:rPr>
        <w:t xml:space="preserve">Ο γιατρός σας θα κάνει μερικές εξετάσεις αίματος για τον έλεγχο του ήπατός σας πριν από και </w:t>
      </w:r>
      <w:r w:rsidR="00812A3D" w:rsidRPr="0047462D">
        <w:rPr>
          <w:rFonts w:eastAsia="Times New Roman"/>
          <w:szCs w:val="22"/>
        </w:rPr>
        <w:t>κατά τη διάρκεια της θεραπείας</w:t>
      </w:r>
      <w:r w:rsidRPr="0047462D">
        <w:rPr>
          <w:rFonts w:eastAsia="Times New Roman"/>
          <w:szCs w:val="22"/>
        </w:rPr>
        <w:t xml:space="preserve">, ιδιαιτέρως κατά το πρώτο έτος και ειδικά εάν </w:t>
      </w:r>
      <w:r w:rsidR="00812A3D" w:rsidRPr="0047462D">
        <w:rPr>
          <w:rFonts w:eastAsia="Times New Roman"/>
          <w:szCs w:val="22"/>
        </w:rPr>
        <w:t xml:space="preserve">οι εξετάσεις αίματός σας έδειξαν </w:t>
      </w:r>
      <w:r w:rsidRPr="0047462D">
        <w:rPr>
          <w:rFonts w:eastAsia="Times New Roman"/>
          <w:szCs w:val="22"/>
        </w:rPr>
        <w:t>υψηλά ηπατικά ένζυμα στο παρελθόν.</w:t>
      </w:r>
    </w:p>
    <w:p w14:paraId="16C71B43" w14:textId="77777777" w:rsidR="003B4BFC" w:rsidRPr="0047462D" w:rsidRDefault="003B4BFC" w:rsidP="003B4BFC">
      <w:pPr>
        <w:tabs>
          <w:tab w:val="left" w:pos="0"/>
          <w:tab w:val="left" w:pos="360"/>
        </w:tabs>
        <w:ind w:left="426"/>
        <w:rPr>
          <w:rFonts w:eastAsia="Times New Roman"/>
          <w:szCs w:val="22"/>
        </w:rPr>
      </w:pPr>
    </w:p>
    <w:p w14:paraId="6F6D8E03" w14:textId="77777777" w:rsidR="003B4BFC" w:rsidRPr="0047462D" w:rsidRDefault="003B4BFC" w:rsidP="009A2EEC">
      <w:pPr>
        <w:numPr>
          <w:ilvl w:val="0"/>
          <w:numId w:val="17"/>
        </w:numPr>
        <w:spacing w:line="260" w:lineRule="exact"/>
        <w:ind w:left="284" w:hanging="374"/>
        <w:rPr>
          <w:bCs/>
        </w:rPr>
      </w:pPr>
      <w:r w:rsidRPr="0047462D">
        <w:rPr>
          <w:szCs w:val="22"/>
          <w:lang w:eastAsia="en-US"/>
        </w:rPr>
        <w:t xml:space="preserve">Απευθυνθείτε στον γιατρό σας εάν έχετε </w:t>
      </w:r>
      <w:r w:rsidRPr="0047462D">
        <w:rPr>
          <w:rFonts w:eastAsia="MS Mincho"/>
          <w:lang w:eastAsia="ja-JP"/>
        </w:rPr>
        <w:t>προβλήματα</w:t>
      </w:r>
      <w:r w:rsidR="00553652" w:rsidRPr="0047462D">
        <w:rPr>
          <w:rFonts w:eastAsia="MS Mincho"/>
          <w:lang w:eastAsia="ja-JP"/>
        </w:rPr>
        <w:t xml:space="preserve"> με τα νεφρά σας</w:t>
      </w:r>
      <w:r w:rsidRPr="0047462D">
        <w:rPr>
          <w:rFonts w:eastAsia="MS Mincho"/>
          <w:lang w:eastAsia="ja-JP"/>
        </w:rPr>
        <w:t xml:space="preserve"> </w:t>
      </w:r>
      <w:r w:rsidR="00812A3D" w:rsidRPr="0047462D">
        <w:rPr>
          <w:rFonts w:eastAsia="MS Mincho"/>
          <w:lang w:eastAsia="ja-JP"/>
        </w:rPr>
        <w:t>ή είχατε στο παρελθόν</w:t>
      </w:r>
      <w:r w:rsidRPr="0047462D">
        <w:rPr>
          <w:rFonts w:eastAsia="MS Mincho"/>
          <w:lang w:eastAsia="ja-JP"/>
        </w:rPr>
        <w:t>.</w:t>
      </w:r>
    </w:p>
    <w:p w14:paraId="58EDFD87" w14:textId="77777777" w:rsidR="003B4BFC" w:rsidRPr="0047462D" w:rsidRDefault="003B4BFC" w:rsidP="009A2EEC">
      <w:pPr>
        <w:tabs>
          <w:tab w:val="left" w:pos="0"/>
          <w:tab w:val="left" w:pos="360"/>
        </w:tabs>
        <w:ind w:left="284" w:hanging="374"/>
        <w:rPr>
          <w:szCs w:val="22"/>
          <w:lang w:eastAsia="en-US"/>
        </w:rPr>
      </w:pPr>
    </w:p>
    <w:p w14:paraId="3D24085F" w14:textId="775A9F0B" w:rsidR="003B4BFC" w:rsidRPr="0047462D" w:rsidRDefault="003B4BFC" w:rsidP="009A2EEC">
      <w:pPr>
        <w:numPr>
          <w:ilvl w:val="0"/>
          <w:numId w:val="17"/>
        </w:numPr>
        <w:spacing w:line="260" w:lineRule="exact"/>
        <w:ind w:left="284" w:right="-2" w:hanging="374"/>
        <w:rPr>
          <w:szCs w:val="22"/>
          <w:lang w:eastAsia="en-US"/>
        </w:rPr>
      </w:pPr>
      <w:r w:rsidRPr="0047462D">
        <w:rPr>
          <w:bCs/>
        </w:rPr>
        <w:t xml:space="preserve">Το </w:t>
      </w:r>
      <w:r w:rsidRPr="0047462D">
        <w:rPr>
          <w:rFonts w:eastAsia="MS Mincho"/>
          <w:lang w:eastAsia="ja-JP"/>
        </w:rPr>
        <w:t xml:space="preserve">Kalydeco </w:t>
      </w:r>
      <w:r w:rsidR="00812A3D" w:rsidRPr="0047462D">
        <w:rPr>
          <w:rFonts w:eastAsia="MS Mincho"/>
          <w:lang w:eastAsia="ja-JP"/>
        </w:rPr>
        <w:t>(</w:t>
      </w:r>
      <w:r w:rsidR="00EF0B12" w:rsidRPr="0047462D">
        <w:rPr>
          <w:rFonts w:eastAsia="MS Mincho"/>
          <w:lang w:eastAsia="ja-JP"/>
        </w:rPr>
        <w:t xml:space="preserve">μόνο του ή σε συνδυασμό με </w:t>
      </w:r>
      <w:r w:rsidR="00EF0B12" w:rsidRPr="0047462D">
        <w:t>tezacaftor</w:t>
      </w:r>
      <w:r w:rsidR="00812A3D" w:rsidRPr="0047462D">
        <w:t>/ivacaftor</w:t>
      </w:r>
      <w:r w:rsidR="00CB3D30" w:rsidRPr="0047462D">
        <w:t xml:space="preserve"> ή ivacaftor/tezacaftor/elexacaftor</w:t>
      </w:r>
      <w:r w:rsidR="00812A3D" w:rsidRPr="0047462D">
        <w:t>)</w:t>
      </w:r>
      <w:r w:rsidR="00EF0B12" w:rsidRPr="0047462D">
        <w:t xml:space="preserve"> </w:t>
      </w:r>
      <w:r w:rsidRPr="0047462D">
        <w:rPr>
          <w:rFonts w:eastAsia="MS Mincho"/>
          <w:lang w:eastAsia="ja-JP"/>
        </w:rPr>
        <w:t xml:space="preserve">δεν </w:t>
      </w:r>
      <w:r w:rsidR="00812A3D" w:rsidRPr="0047462D">
        <w:rPr>
          <w:rFonts w:eastAsia="MS Mincho"/>
          <w:lang w:eastAsia="ja-JP"/>
        </w:rPr>
        <w:t xml:space="preserve">συνιστάται </w:t>
      </w:r>
      <w:r w:rsidR="00EF0B12" w:rsidRPr="0047462D">
        <w:rPr>
          <w:rFonts w:eastAsia="MS Mincho"/>
          <w:lang w:eastAsia="ja-JP"/>
        </w:rPr>
        <w:t xml:space="preserve">εάν έχετε </w:t>
      </w:r>
      <w:r w:rsidRPr="0047462D">
        <w:rPr>
          <w:rFonts w:eastAsia="MS Mincho"/>
          <w:lang w:eastAsia="ja-JP"/>
        </w:rPr>
        <w:t>υποβληθεί σε μεταμόσχευση οργάνου.</w:t>
      </w:r>
      <w:r w:rsidRPr="0047462D">
        <w:rPr>
          <w:bCs/>
        </w:rPr>
        <w:t xml:space="preserve"> </w:t>
      </w:r>
    </w:p>
    <w:p w14:paraId="5907F8A9" w14:textId="77777777" w:rsidR="00CB3D30" w:rsidRPr="0047462D" w:rsidRDefault="00CB3D30" w:rsidP="002877EB">
      <w:pPr>
        <w:pStyle w:val="ListParagraph"/>
        <w:rPr>
          <w:szCs w:val="22"/>
          <w:lang w:eastAsia="en-US"/>
        </w:rPr>
      </w:pPr>
    </w:p>
    <w:p w14:paraId="6A945EDB" w14:textId="3AF57FFD" w:rsidR="00CB3D30" w:rsidRPr="0047462D" w:rsidRDefault="00CB3D30" w:rsidP="009A2EEC">
      <w:pPr>
        <w:numPr>
          <w:ilvl w:val="0"/>
          <w:numId w:val="17"/>
        </w:numPr>
        <w:spacing w:line="260" w:lineRule="exact"/>
        <w:ind w:left="284" w:right="-2" w:hanging="374"/>
        <w:rPr>
          <w:rFonts w:eastAsia="MS Mincho"/>
          <w:lang w:eastAsia="ja-JP"/>
        </w:rPr>
      </w:pPr>
      <w:r w:rsidRPr="0047462D">
        <w:rPr>
          <w:rFonts w:eastAsia="MS Mincho"/>
          <w:lang w:eastAsia="ja-JP"/>
        </w:rPr>
        <w:t xml:space="preserve">Απευθυνθείτε στον γιατρό σας εάν χρησιμοποιείτε ορμονικά αντισυλληπτικά – για παράδειγμα, γυναίκες που χρησιμοποιούν αντισυλληπτικό χάπι. Η χρήση τους μπορεί να σημαίνει ότι έχετε περισσότερες πιθανότητες να παρουσιάσετε εξάνθημα ενώ λαμβάνετε το </w:t>
      </w:r>
      <w:r w:rsidRPr="0047462D">
        <w:t>Kalydeco σε συνδυασμό με ivacaftor/tezacaftor/elexacaftor.</w:t>
      </w:r>
    </w:p>
    <w:p w14:paraId="2A6206AB" w14:textId="77777777" w:rsidR="00A67D3A" w:rsidRPr="0047462D" w:rsidRDefault="00A67D3A" w:rsidP="002331FF">
      <w:pPr>
        <w:ind w:right="-2"/>
        <w:rPr>
          <w:szCs w:val="22"/>
          <w:lang w:eastAsia="en-US"/>
        </w:rPr>
      </w:pPr>
    </w:p>
    <w:p w14:paraId="4D3B9D67" w14:textId="7E197757" w:rsidR="00F76F5B" w:rsidRPr="0047462D" w:rsidRDefault="00A67D3A" w:rsidP="002877EB">
      <w:pPr>
        <w:keepNext/>
        <w:numPr>
          <w:ilvl w:val="0"/>
          <w:numId w:val="19"/>
        </w:numPr>
        <w:autoSpaceDE w:val="0"/>
        <w:ind w:left="284" w:hanging="374"/>
        <w:rPr>
          <w:bCs/>
        </w:rPr>
      </w:pPr>
      <w:r w:rsidRPr="0047462D">
        <w:rPr>
          <w:bCs/>
        </w:rPr>
        <w:t xml:space="preserve">Έχει παρατηρηθεί ανωμαλία του φακού του οφθαλμού (καταρράκτης) χωρίς καμία επίδραση στην όραση σε ορισμένα παιδιά </w:t>
      </w:r>
      <w:r w:rsidR="000375A7" w:rsidRPr="0047462D">
        <w:rPr>
          <w:bCs/>
        </w:rPr>
        <w:t xml:space="preserve">και εφήβους </w:t>
      </w:r>
      <w:r w:rsidRPr="0047462D">
        <w:rPr>
          <w:bCs/>
        </w:rPr>
        <w:t xml:space="preserve">που </w:t>
      </w:r>
      <w:r w:rsidR="00812A3D" w:rsidRPr="0047462D">
        <w:rPr>
          <w:bCs/>
        </w:rPr>
        <w:t xml:space="preserve">έλαβαν </w:t>
      </w:r>
      <w:r w:rsidR="00AB1D14" w:rsidRPr="0047462D">
        <w:rPr>
          <w:bCs/>
        </w:rPr>
        <w:t xml:space="preserve">θεραπεία με </w:t>
      </w:r>
      <w:r w:rsidR="00812A3D" w:rsidRPr="0047462D">
        <w:rPr>
          <w:bCs/>
          <w:lang w:val="en-US"/>
        </w:rPr>
        <w:t>Kalydeco</w:t>
      </w:r>
      <w:r w:rsidR="00812A3D" w:rsidRPr="0047462D">
        <w:t xml:space="preserve"> </w:t>
      </w:r>
      <w:r w:rsidR="00812A3D" w:rsidRPr="0047462D">
        <w:rPr>
          <w:rFonts w:eastAsia="MS Mincho"/>
          <w:lang w:eastAsia="ja-JP"/>
        </w:rPr>
        <w:t xml:space="preserve">(μόνο του ή σε συνδυασμό με </w:t>
      </w:r>
      <w:r w:rsidR="00812A3D" w:rsidRPr="0047462D">
        <w:t>tezacaftor/ivacaftor</w:t>
      </w:r>
      <w:r w:rsidR="00914012" w:rsidRPr="0047462D">
        <w:t xml:space="preserve"> ή ivacaftor/tezacaftor/elexacaftor</w:t>
      </w:r>
      <w:r w:rsidR="00812A3D" w:rsidRPr="0047462D">
        <w:t>)</w:t>
      </w:r>
      <w:r w:rsidRPr="0047462D">
        <w:rPr>
          <w:bCs/>
        </w:rPr>
        <w:t>.</w:t>
      </w:r>
      <w:r w:rsidR="007A472D" w:rsidRPr="00F93ECE">
        <w:rPr>
          <w:bCs/>
        </w:rPr>
        <w:t xml:space="preserve"> </w:t>
      </w:r>
      <w:r w:rsidRPr="0047462D">
        <w:rPr>
          <w:bCs/>
        </w:rPr>
        <w:t>Ο γιατρός σας μπορεί να πραγματοποιήσει μερικές οφθαλμολογικές εξετάσεις πριν και κατά τη διάρκεια της θεραπείας</w:t>
      </w:r>
      <w:r w:rsidR="00F76F5B" w:rsidRPr="0047462D">
        <w:rPr>
          <w:bCs/>
        </w:rPr>
        <w:t>.</w:t>
      </w:r>
    </w:p>
    <w:p w14:paraId="031249DE" w14:textId="77777777" w:rsidR="00D37B69" w:rsidRPr="0047462D" w:rsidRDefault="00D37B69" w:rsidP="00F76F5B">
      <w:pPr>
        <w:autoSpaceDE w:val="0"/>
        <w:ind w:left="284"/>
        <w:rPr>
          <w:bCs/>
        </w:rPr>
      </w:pPr>
    </w:p>
    <w:p w14:paraId="6FA88E21" w14:textId="444F4D15" w:rsidR="005D5499" w:rsidRPr="0047462D" w:rsidRDefault="00F76F5B" w:rsidP="009A2EEC">
      <w:pPr>
        <w:pStyle w:val="ListParagraph"/>
        <w:numPr>
          <w:ilvl w:val="0"/>
          <w:numId w:val="19"/>
        </w:numPr>
        <w:autoSpaceDE w:val="0"/>
        <w:ind w:left="270"/>
        <w:rPr>
          <w:bCs/>
        </w:rPr>
      </w:pPr>
      <w:r w:rsidRPr="0047462D">
        <w:rPr>
          <w:bCs/>
        </w:rPr>
        <w:t xml:space="preserve">Το </w:t>
      </w:r>
      <w:r w:rsidRPr="0047462D">
        <w:rPr>
          <w:bCs/>
          <w:lang w:val="en-US"/>
        </w:rPr>
        <w:t>Kalydeco</w:t>
      </w:r>
      <w:r w:rsidRPr="0047462D">
        <w:rPr>
          <w:bCs/>
        </w:rPr>
        <w:t xml:space="preserve"> (</w:t>
      </w:r>
      <w:r w:rsidRPr="0047462D">
        <w:rPr>
          <w:rFonts w:eastAsia="MS Mincho"/>
          <w:lang w:eastAsia="ja-JP"/>
        </w:rPr>
        <w:t xml:space="preserve">μόνο του ή σε συνδυασμό </w:t>
      </w:r>
      <w:r w:rsidR="00A67D3A" w:rsidRPr="0047462D">
        <w:rPr>
          <w:bCs/>
        </w:rPr>
        <w:t xml:space="preserve">με </w:t>
      </w:r>
      <w:r w:rsidRPr="0047462D">
        <w:rPr>
          <w:bCs/>
        </w:rPr>
        <w:t>tezacaftor</w:t>
      </w:r>
      <w:r w:rsidRPr="0047462D">
        <w:t>/</w:t>
      </w:r>
      <w:r w:rsidR="00EF0B12" w:rsidRPr="0047462D">
        <w:t>ivacaftor</w:t>
      </w:r>
      <w:r w:rsidR="00914012" w:rsidRPr="0047462D">
        <w:t xml:space="preserve"> ή ivacaftor/tezacaftor/elexacaftor</w:t>
      </w:r>
      <w:r w:rsidRPr="0047462D">
        <w:t xml:space="preserve">) θα πρέπει να χρησιμοποιείται μόνο </w:t>
      </w:r>
      <w:r w:rsidR="000B626B" w:rsidRPr="0047462D">
        <w:t>εάν έχετε</w:t>
      </w:r>
      <w:r w:rsidRPr="0047462D">
        <w:t xml:space="preserve"> μία από τις μεταλλάξεις στο γονίδιο </w:t>
      </w:r>
      <w:r w:rsidRPr="0047462D">
        <w:rPr>
          <w:i/>
          <w:lang w:val="en-US"/>
        </w:rPr>
        <w:t>CFTR</w:t>
      </w:r>
      <w:r w:rsidRPr="0047462D">
        <w:t xml:space="preserve"> που υποδεικνύονται στην παράγραφο</w:t>
      </w:r>
      <w:r w:rsidR="000B626B" w:rsidRPr="0047462D">
        <w:t> </w:t>
      </w:r>
      <w:r w:rsidRPr="0047462D">
        <w:t xml:space="preserve">1 (Τι είναι το </w:t>
      </w:r>
      <w:r w:rsidRPr="0047462D">
        <w:rPr>
          <w:lang w:val="en-US"/>
        </w:rPr>
        <w:t>Kalydeco</w:t>
      </w:r>
      <w:r w:rsidRPr="0047462D">
        <w:t xml:space="preserve"> και ποια είναι η χρήση του).</w:t>
      </w:r>
    </w:p>
    <w:p w14:paraId="306188F2" w14:textId="77777777" w:rsidR="00A67D3A" w:rsidRPr="0047462D" w:rsidRDefault="00A67D3A" w:rsidP="00141E57">
      <w:pPr>
        <w:rPr>
          <w:rFonts w:eastAsia="Times New Roman"/>
          <w:bCs/>
          <w:szCs w:val="22"/>
        </w:rPr>
      </w:pPr>
    </w:p>
    <w:p w14:paraId="28CF672F" w14:textId="273CA571" w:rsidR="00A67D3A" w:rsidRPr="0047462D" w:rsidRDefault="00A67D3A" w:rsidP="002331FF">
      <w:pPr>
        <w:keepNext/>
        <w:rPr>
          <w:rFonts w:eastAsia="Times New Roman"/>
          <w:b/>
          <w:bCs/>
          <w:szCs w:val="22"/>
          <w:lang w:eastAsia="en-US"/>
        </w:rPr>
      </w:pPr>
      <w:r w:rsidRPr="0047462D">
        <w:rPr>
          <w:rFonts w:eastAsia="Times New Roman"/>
          <w:b/>
          <w:bCs/>
          <w:szCs w:val="22"/>
        </w:rPr>
        <w:t>Παιδιά</w:t>
      </w:r>
      <w:r w:rsidRPr="0047462D">
        <w:rPr>
          <w:rFonts w:eastAsia="Times New Roman"/>
          <w:b/>
          <w:bCs/>
          <w:szCs w:val="22"/>
          <w:lang w:eastAsia="en-US"/>
        </w:rPr>
        <w:t xml:space="preserve"> </w:t>
      </w:r>
      <w:r w:rsidR="000B626B" w:rsidRPr="0047462D">
        <w:rPr>
          <w:rFonts w:eastAsia="Times New Roman"/>
          <w:b/>
          <w:bCs/>
          <w:szCs w:val="22"/>
          <w:lang w:eastAsia="en-US"/>
        </w:rPr>
        <w:t>και έφηβοι</w:t>
      </w:r>
    </w:p>
    <w:p w14:paraId="5CA3B7A4" w14:textId="77777777" w:rsidR="001A137E" w:rsidRPr="0047462D" w:rsidRDefault="001A137E" w:rsidP="002331FF">
      <w:pPr>
        <w:keepNext/>
        <w:rPr>
          <w:rFonts w:eastAsia="Times New Roman"/>
          <w:szCs w:val="22"/>
        </w:rPr>
      </w:pPr>
    </w:p>
    <w:p w14:paraId="37B6438D" w14:textId="5B571AC1" w:rsidR="00442E6C" w:rsidRPr="0047462D" w:rsidRDefault="000E633C">
      <w:pPr>
        <w:ind w:right="-2"/>
      </w:pPr>
      <w:bookmarkStart w:id="7" w:name="_Hlk38291210"/>
      <w:r w:rsidRPr="0047462D">
        <w:rPr>
          <w:rFonts w:eastAsia="Times New Roman"/>
          <w:szCs w:val="22"/>
        </w:rPr>
        <w:t xml:space="preserve">Μη δώσετε αυτό το φάρμακο </w:t>
      </w:r>
      <w:r w:rsidR="002F2042" w:rsidRPr="0047462D">
        <w:rPr>
          <w:rFonts w:eastAsia="Times New Roman"/>
          <w:szCs w:val="22"/>
        </w:rPr>
        <w:t xml:space="preserve">σε παιδιά ηλικίας κάτω των </w:t>
      </w:r>
      <w:r w:rsidR="00EB5D0D" w:rsidRPr="00F93ECE">
        <w:rPr>
          <w:rFonts w:eastAsia="Times New Roman"/>
          <w:szCs w:val="22"/>
        </w:rPr>
        <w:t>4</w:t>
      </w:r>
      <w:r w:rsidR="001B7AA6" w:rsidRPr="0047462D">
        <w:rPr>
          <w:rFonts w:eastAsia="Times New Roman"/>
          <w:szCs w:val="22"/>
        </w:rPr>
        <w:t> μηνών</w:t>
      </w:r>
      <w:r w:rsidR="002F2042" w:rsidRPr="0047462D">
        <w:rPr>
          <w:rFonts w:eastAsia="Times New Roman"/>
          <w:szCs w:val="22"/>
        </w:rPr>
        <w:t xml:space="preserve"> καθώς δεν </w:t>
      </w:r>
      <w:r w:rsidR="00A67D3A" w:rsidRPr="0047462D">
        <w:rPr>
          <w:rFonts w:eastAsia="Times New Roman"/>
          <w:szCs w:val="22"/>
        </w:rPr>
        <w:t xml:space="preserve">είναι γνωστό εάν το </w:t>
      </w:r>
      <w:r w:rsidR="00EF0B12" w:rsidRPr="0047462D">
        <w:rPr>
          <w:bCs/>
        </w:rPr>
        <w:t xml:space="preserve">ivacaftor </w:t>
      </w:r>
      <w:r w:rsidR="00A67D3A" w:rsidRPr="0047462D">
        <w:rPr>
          <w:rFonts w:eastAsia="Times New Roman"/>
          <w:szCs w:val="22"/>
        </w:rPr>
        <w:t xml:space="preserve">είναι ασφαλές και αποτελεσματικό σε </w:t>
      </w:r>
      <w:r w:rsidR="002F2042" w:rsidRPr="0047462D">
        <w:rPr>
          <w:rFonts w:eastAsia="Times New Roman"/>
          <w:szCs w:val="22"/>
        </w:rPr>
        <w:t xml:space="preserve">αυτά τα </w:t>
      </w:r>
      <w:r w:rsidR="00A67D3A" w:rsidRPr="0047462D">
        <w:rPr>
          <w:rFonts w:eastAsia="Times New Roman"/>
          <w:szCs w:val="22"/>
        </w:rPr>
        <w:t>παιδιά.</w:t>
      </w:r>
      <w:r w:rsidR="002F2042" w:rsidRPr="0047462D" w:rsidDel="002F2042">
        <w:rPr>
          <w:rFonts w:eastAsia="Times New Roman"/>
          <w:szCs w:val="22"/>
        </w:rPr>
        <w:t xml:space="preserve"> </w:t>
      </w:r>
    </w:p>
    <w:bookmarkEnd w:id="7"/>
    <w:p w14:paraId="664A4B04" w14:textId="77777777" w:rsidR="004C73DB" w:rsidRPr="0047462D" w:rsidRDefault="004C73DB">
      <w:pPr>
        <w:ind w:right="-2"/>
        <w:rPr>
          <w:rFonts w:eastAsia="Times New Roman"/>
          <w:szCs w:val="22"/>
        </w:rPr>
      </w:pPr>
    </w:p>
    <w:p w14:paraId="4B2CCDA4" w14:textId="42CD6074" w:rsidR="00EF0B12" w:rsidRPr="0047462D" w:rsidRDefault="000E633C" w:rsidP="00EF0B12">
      <w:pPr>
        <w:numPr>
          <w:ilvl w:val="12"/>
          <w:numId w:val="0"/>
        </w:numPr>
        <w:rPr>
          <w:bCs/>
          <w:noProof/>
        </w:rPr>
      </w:pPr>
      <w:r w:rsidRPr="0047462D">
        <w:rPr>
          <w:rFonts w:eastAsia="Times New Roman"/>
          <w:szCs w:val="22"/>
        </w:rPr>
        <w:t xml:space="preserve">Μη δώσετε αυτό το φάρμακο </w:t>
      </w:r>
      <w:r w:rsidR="00EF0B12" w:rsidRPr="0047462D">
        <w:t xml:space="preserve">σε συνδυασμό με </w:t>
      </w:r>
      <w:r w:rsidR="00EF0B12" w:rsidRPr="0047462D">
        <w:rPr>
          <w:bCs/>
          <w:noProof/>
        </w:rPr>
        <w:t>tezacaftor/ivacaftor</w:t>
      </w:r>
      <w:r w:rsidR="00914012" w:rsidRPr="0047462D">
        <w:rPr>
          <w:bCs/>
          <w:noProof/>
        </w:rPr>
        <w:t xml:space="preserve"> </w:t>
      </w:r>
      <w:r w:rsidR="00B828FA">
        <w:rPr>
          <w:bCs/>
          <w:noProof/>
        </w:rPr>
        <w:t xml:space="preserve">σε παιδιά ηλικίας κάτω των 6 ετών </w:t>
      </w:r>
      <w:r w:rsidR="00914012" w:rsidRPr="0047462D">
        <w:rPr>
          <w:bCs/>
          <w:noProof/>
        </w:rPr>
        <w:t xml:space="preserve">ή </w:t>
      </w:r>
      <w:r w:rsidR="00B828FA">
        <w:rPr>
          <w:bCs/>
          <w:noProof/>
        </w:rPr>
        <w:t xml:space="preserve">σε συνδυασμό </w:t>
      </w:r>
      <w:r w:rsidR="00DA7E4F" w:rsidRPr="0047462D">
        <w:rPr>
          <w:bCs/>
          <w:noProof/>
        </w:rPr>
        <w:t xml:space="preserve">με </w:t>
      </w:r>
      <w:r w:rsidR="00914012" w:rsidRPr="0047462D">
        <w:t>ivacaftor/tezacaftor/elexacaftor</w:t>
      </w:r>
      <w:r w:rsidR="00EF0B12" w:rsidRPr="0047462D">
        <w:rPr>
          <w:bCs/>
          <w:noProof/>
        </w:rPr>
        <w:t xml:space="preserve"> </w:t>
      </w:r>
      <w:r w:rsidR="00EF0B12" w:rsidRPr="0047462D">
        <w:rPr>
          <w:rFonts w:eastAsia="Times New Roman"/>
          <w:szCs w:val="22"/>
        </w:rPr>
        <w:t xml:space="preserve">σε παιδιά ηλικίας κάτω των </w:t>
      </w:r>
      <w:r w:rsidR="00EF0B12" w:rsidRPr="0047462D">
        <w:rPr>
          <w:bCs/>
          <w:noProof/>
        </w:rPr>
        <w:t>12</w:t>
      </w:r>
      <w:r w:rsidR="00A93F21" w:rsidRPr="0047462D">
        <w:rPr>
          <w:bCs/>
          <w:noProof/>
          <w:lang w:val="en-GB"/>
        </w:rPr>
        <w:t> </w:t>
      </w:r>
      <w:r w:rsidR="00EF0B12" w:rsidRPr="0047462D">
        <w:rPr>
          <w:bCs/>
          <w:noProof/>
        </w:rPr>
        <w:t xml:space="preserve">ετών καθώς δεν είναι γνωστό εάν αυτά </w:t>
      </w:r>
      <w:r w:rsidR="00916141" w:rsidRPr="0047462D">
        <w:rPr>
          <w:bCs/>
          <w:noProof/>
        </w:rPr>
        <w:t>τα φάρμακα είναι ασφαλή και αποτελεσματικά για αυτά τα παιδιά.</w:t>
      </w:r>
    </w:p>
    <w:p w14:paraId="10D9E9B8" w14:textId="77777777" w:rsidR="00EF0B12" w:rsidRPr="0047462D" w:rsidRDefault="00EF0B12">
      <w:pPr>
        <w:ind w:right="-2"/>
        <w:rPr>
          <w:rFonts w:eastAsia="Times New Roman"/>
          <w:szCs w:val="22"/>
        </w:rPr>
      </w:pPr>
    </w:p>
    <w:p w14:paraId="12E7E2DB" w14:textId="0FC8F562" w:rsidR="00A67D3A" w:rsidRPr="0047462D" w:rsidRDefault="00A67D3A" w:rsidP="00141E57">
      <w:pPr>
        <w:keepNext/>
        <w:rPr>
          <w:rFonts w:eastAsia="Times New Roman"/>
          <w:b/>
          <w:bCs/>
          <w:szCs w:val="22"/>
        </w:rPr>
      </w:pPr>
      <w:r w:rsidRPr="0047462D">
        <w:rPr>
          <w:rFonts w:eastAsia="Times New Roman"/>
          <w:b/>
          <w:bCs/>
          <w:szCs w:val="22"/>
        </w:rPr>
        <w:t>Άλλα φάρμακα και Kalydeco</w:t>
      </w:r>
    </w:p>
    <w:p w14:paraId="2B7A6C2C" w14:textId="77777777" w:rsidR="001A137E" w:rsidRPr="0047462D" w:rsidRDefault="001A137E" w:rsidP="00141E57">
      <w:pPr>
        <w:keepNext/>
        <w:rPr>
          <w:rFonts w:eastAsia="Times New Roman"/>
          <w:szCs w:val="22"/>
        </w:rPr>
      </w:pPr>
    </w:p>
    <w:p w14:paraId="64F6A913" w14:textId="77777777" w:rsidR="00A67D3A" w:rsidRPr="0047462D" w:rsidRDefault="00A67D3A" w:rsidP="009A2EEC">
      <w:pPr>
        <w:numPr>
          <w:ilvl w:val="12"/>
          <w:numId w:val="0"/>
        </w:numPr>
        <w:ind w:right="-2"/>
        <w:rPr>
          <w:szCs w:val="22"/>
          <w:lang w:eastAsia="en-US"/>
        </w:rPr>
      </w:pPr>
      <w:r w:rsidRPr="0047462D">
        <w:rPr>
          <w:rFonts w:eastAsia="Times New Roman"/>
          <w:szCs w:val="22"/>
        </w:rPr>
        <w:t xml:space="preserve">Ενημερώστε τον γιατρό ή τον φαρμακοποιό σας εάν </w:t>
      </w:r>
      <w:r w:rsidR="00EE7475" w:rsidRPr="0047462D">
        <w:rPr>
          <w:rFonts w:eastAsia="Times New Roman"/>
          <w:szCs w:val="22"/>
        </w:rPr>
        <w:t>χρησιμοποιείτε</w:t>
      </w:r>
      <w:r w:rsidRPr="0047462D">
        <w:rPr>
          <w:rFonts w:eastAsia="Times New Roman"/>
          <w:szCs w:val="22"/>
        </w:rPr>
        <w:t xml:space="preserve">, έχετε πρόσφατα </w:t>
      </w:r>
      <w:r w:rsidR="00EE7475" w:rsidRPr="0047462D">
        <w:t>χρησιμοποιήσει</w:t>
      </w:r>
      <w:r w:rsidRPr="0047462D">
        <w:rPr>
          <w:rFonts w:eastAsia="Times New Roman"/>
          <w:szCs w:val="22"/>
        </w:rPr>
        <w:t xml:space="preserve"> </w:t>
      </w:r>
      <w:r w:rsidRPr="0047462D">
        <w:t xml:space="preserve">ή μπορεί να </w:t>
      </w:r>
      <w:r w:rsidR="00EE7475" w:rsidRPr="0047462D">
        <w:t>χρησιμοποιήσετε</w:t>
      </w:r>
      <w:r w:rsidRPr="0047462D">
        <w:rPr>
          <w:rFonts w:eastAsia="Times New Roman"/>
          <w:szCs w:val="22"/>
        </w:rPr>
        <w:t xml:space="preserve"> άλλα φάρμακα.</w:t>
      </w:r>
      <w:r w:rsidR="00FD4970" w:rsidRPr="0047462D">
        <w:rPr>
          <w:rFonts w:eastAsia="Times New Roman"/>
          <w:szCs w:val="22"/>
        </w:rPr>
        <w:t xml:space="preserve"> </w:t>
      </w:r>
      <w:r w:rsidR="00673280" w:rsidRPr="0047462D">
        <w:rPr>
          <w:bCs/>
        </w:rPr>
        <w:t>Ορισμένα φάρμακα μπορούν να επηρεάσουν τον τρόπο δράσης του Kalydeco ή να αυξήσουν την πιθανότητα εμφάνισης ανεπιθύμητων ενεργειών</w:t>
      </w:r>
      <w:r w:rsidR="00673280" w:rsidRPr="0047462D">
        <w:t xml:space="preserve">. </w:t>
      </w:r>
      <w:r w:rsidR="00FD4970" w:rsidRPr="0047462D">
        <w:t>Συγκεκριμένα, ενημερώστε τον γιατρό σας εάν παίρνετε κάποιο από τα φάρμακα που αναφέρονται παρακάτω. Ο γιατρός σας μπορεί να αποφασίσει να προσαρμόσει τη δόση σας ή ότι χρειάζεστε επιπλέον εξετάσεις.</w:t>
      </w:r>
    </w:p>
    <w:p w14:paraId="65C11C9C" w14:textId="77777777" w:rsidR="00A67D3A" w:rsidRPr="0047462D" w:rsidRDefault="00A67D3A" w:rsidP="00141E57">
      <w:pPr>
        <w:keepNext/>
        <w:rPr>
          <w:rFonts w:eastAsia="Times New Roman"/>
          <w:i/>
          <w:iCs/>
          <w:szCs w:val="22"/>
        </w:rPr>
      </w:pPr>
    </w:p>
    <w:p w14:paraId="3C737D4A" w14:textId="764B779D" w:rsidR="00A67D3A" w:rsidRPr="0047462D" w:rsidRDefault="00B21141" w:rsidP="009A2EEC">
      <w:pPr>
        <w:numPr>
          <w:ilvl w:val="0"/>
          <w:numId w:val="17"/>
        </w:numPr>
        <w:tabs>
          <w:tab w:val="left" w:pos="630"/>
        </w:tabs>
        <w:ind w:left="450" w:hanging="450"/>
        <w:rPr>
          <w:rFonts w:eastAsia="MS Mincho"/>
          <w:szCs w:val="22"/>
          <w:lang w:eastAsia="en-US"/>
        </w:rPr>
      </w:pPr>
      <w:r w:rsidRPr="0047462D">
        <w:rPr>
          <w:rFonts w:eastAsia="Times New Roman"/>
          <w:b/>
          <w:bCs/>
          <w:szCs w:val="22"/>
        </w:rPr>
        <w:t>Αντιμυκητιασικά φάρμακα</w:t>
      </w:r>
      <w:r w:rsidR="0069654B" w:rsidRPr="0047462D">
        <w:rPr>
          <w:rFonts w:eastAsia="Times New Roman"/>
          <w:szCs w:val="22"/>
        </w:rPr>
        <w:t xml:space="preserve"> </w:t>
      </w:r>
      <w:r w:rsidR="0069654B" w:rsidRPr="0047462D">
        <w:rPr>
          <w:rStyle w:val="hps"/>
        </w:rPr>
        <w:t>(χρησιμοποιούνται για τη θεραπεία των μυκητιασικών λοιμώξεων). Σε αυτά περιλαμβάνονται</w:t>
      </w:r>
      <w:r w:rsidR="0069654B" w:rsidRPr="0047462D" w:rsidDel="0069654B">
        <w:rPr>
          <w:rFonts w:eastAsia="Times New Roman"/>
          <w:szCs w:val="22"/>
        </w:rPr>
        <w:t xml:space="preserve"> </w:t>
      </w:r>
      <w:r w:rsidR="00942712" w:rsidRPr="0047462D">
        <w:rPr>
          <w:rFonts w:eastAsia="Times New Roman"/>
          <w:szCs w:val="22"/>
        </w:rPr>
        <w:t xml:space="preserve">η </w:t>
      </w:r>
      <w:r w:rsidR="00DA7E4F" w:rsidRPr="0047462D">
        <w:rPr>
          <w:rFonts w:eastAsia="Times New Roman"/>
          <w:szCs w:val="22"/>
        </w:rPr>
        <w:t xml:space="preserve">φλουκοναζόλη, </w:t>
      </w:r>
      <w:r w:rsidR="00942712" w:rsidRPr="0047462D">
        <w:rPr>
          <w:rFonts w:eastAsia="Times New Roman"/>
          <w:szCs w:val="22"/>
        </w:rPr>
        <w:t xml:space="preserve">η </w:t>
      </w:r>
      <w:r w:rsidR="00DA7E4F" w:rsidRPr="0047462D">
        <w:rPr>
          <w:rFonts w:eastAsia="Times New Roman"/>
          <w:szCs w:val="22"/>
        </w:rPr>
        <w:t xml:space="preserve">ιτρακοναζόλη, </w:t>
      </w:r>
      <w:r w:rsidR="006E74C7" w:rsidRPr="0047462D">
        <w:rPr>
          <w:rFonts w:eastAsia="Times New Roman"/>
          <w:szCs w:val="22"/>
        </w:rPr>
        <w:t xml:space="preserve">η </w:t>
      </w:r>
      <w:r w:rsidRPr="0047462D">
        <w:rPr>
          <w:rFonts w:eastAsia="Times New Roman"/>
          <w:szCs w:val="22"/>
        </w:rPr>
        <w:t>κ</w:t>
      </w:r>
      <w:r w:rsidR="00D12841" w:rsidRPr="0047462D">
        <w:rPr>
          <w:rFonts w:eastAsia="Times New Roman"/>
          <w:szCs w:val="22"/>
        </w:rPr>
        <w:t>ετοκοναζόλη</w:t>
      </w:r>
      <w:r w:rsidR="00A67D3A" w:rsidRPr="0047462D">
        <w:rPr>
          <w:rFonts w:eastAsia="Times New Roman"/>
          <w:szCs w:val="22"/>
        </w:rPr>
        <w:t xml:space="preserve">, </w:t>
      </w:r>
      <w:r w:rsidR="00942712" w:rsidRPr="0047462D">
        <w:rPr>
          <w:rFonts w:eastAsia="Times New Roman"/>
          <w:szCs w:val="22"/>
        </w:rPr>
        <w:t xml:space="preserve">η </w:t>
      </w:r>
      <w:r w:rsidR="00A67D3A" w:rsidRPr="0047462D">
        <w:rPr>
          <w:rFonts w:eastAsia="Times New Roman"/>
          <w:szCs w:val="22"/>
        </w:rPr>
        <w:t>ποσακοναζόλη</w:t>
      </w:r>
      <w:r w:rsidR="00DA7E4F" w:rsidRPr="0047462D">
        <w:rPr>
          <w:rFonts w:eastAsia="Times New Roman"/>
          <w:szCs w:val="22"/>
        </w:rPr>
        <w:t xml:space="preserve"> και</w:t>
      </w:r>
      <w:r w:rsidR="00A67D3A" w:rsidRPr="0047462D">
        <w:rPr>
          <w:rFonts w:eastAsia="Times New Roman"/>
          <w:szCs w:val="22"/>
        </w:rPr>
        <w:t xml:space="preserve"> </w:t>
      </w:r>
      <w:r w:rsidR="00942712" w:rsidRPr="0047462D">
        <w:rPr>
          <w:rFonts w:eastAsia="Times New Roman"/>
          <w:szCs w:val="22"/>
        </w:rPr>
        <w:t xml:space="preserve">η </w:t>
      </w:r>
      <w:r w:rsidR="00A67D3A" w:rsidRPr="0047462D">
        <w:rPr>
          <w:rFonts w:eastAsia="Times New Roman"/>
          <w:szCs w:val="22"/>
        </w:rPr>
        <w:t>βορικοναζόλη</w:t>
      </w:r>
      <w:r w:rsidR="0069654B" w:rsidRPr="00F93ECE">
        <w:rPr>
          <w:rFonts w:eastAsia="Times New Roman"/>
          <w:szCs w:val="22"/>
        </w:rPr>
        <w:t>.</w:t>
      </w:r>
    </w:p>
    <w:p w14:paraId="359A59F3" w14:textId="4A426D1B" w:rsidR="00A67D3A" w:rsidRPr="0047462D" w:rsidRDefault="0069654B" w:rsidP="00141E57">
      <w:pPr>
        <w:numPr>
          <w:ilvl w:val="0"/>
          <w:numId w:val="17"/>
        </w:numPr>
        <w:tabs>
          <w:tab w:val="left" w:pos="426"/>
        </w:tabs>
        <w:ind w:left="426" w:hanging="426"/>
        <w:rPr>
          <w:rFonts w:eastAsia="MS Mincho"/>
          <w:szCs w:val="22"/>
          <w:lang w:eastAsia="en-US"/>
        </w:rPr>
      </w:pPr>
      <w:r w:rsidRPr="0047462D">
        <w:rPr>
          <w:rStyle w:val="Strong"/>
        </w:rPr>
        <w:t>Αντιβιοτικά φάρμακα</w:t>
      </w:r>
      <w:r w:rsidRPr="0047462D">
        <w:rPr>
          <w:rStyle w:val="hps"/>
        </w:rPr>
        <w:t xml:space="preserve"> (χρησιμοποιούνται για τη θεραπεία των βακτηριακών λοιμώξεων). Σε αυτά περιλαμβάνονται</w:t>
      </w:r>
      <w:r w:rsidR="00A67D3A" w:rsidRPr="0047462D">
        <w:rPr>
          <w:rFonts w:eastAsia="Times New Roman"/>
          <w:szCs w:val="22"/>
        </w:rPr>
        <w:t xml:space="preserve"> </w:t>
      </w:r>
      <w:r w:rsidR="00942712" w:rsidRPr="0047462D">
        <w:rPr>
          <w:rFonts w:eastAsia="Times New Roman"/>
          <w:szCs w:val="22"/>
        </w:rPr>
        <w:t xml:space="preserve">η </w:t>
      </w:r>
      <w:r w:rsidR="00A67D3A" w:rsidRPr="0047462D">
        <w:rPr>
          <w:rFonts w:eastAsia="Times New Roman"/>
          <w:szCs w:val="22"/>
        </w:rPr>
        <w:t xml:space="preserve">κλαριθρομυκίνη, </w:t>
      </w:r>
      <w:r w:rsidR="00942712" w:rsidRPr="0047462D">
        <w:rPr>
          <w:rFonts w:eastAsia="Times New Roman"/>
          <w:szCs w:val="22"/>
        </w:rPr>
        <w:t xml:space="preserve">η </w:t>
      </w:r>
      <w:r w:rsidR="00A67D3A" w:rsidRPr="0047462D">
        <w:rPr>
          <w:rFonts w:eastAsia="Times New Roman"/>
          <w:szCs w:val="22"/>
        </w:rPr>
        <w:t xml:space="preserve">ερυθρομυκίνη, </w:t>
      </w:r>
      <w:r w:rsidR="00942712" w:rsidRPr="0047462D">
        <w:rPr>
          <w:rFonts w:eastAsia="Times New Roman"/>
          <w:szCs w:val="22"/>
        </w:rPr>
        <w:t xml:space="preserve">η </w:t>
      </w:r>
      <w:r w:rsidR="00DA7E4F" w:rsidRPr="0047462D">
        <w:rPr>
          <w:rFonts w:eastAsia="Times New Roman"/>
          <w:szCs w:val="22"/>
        </w:rPr>
        <w:t xml:space="preserve">ριφαμπουτίνη, </w:t>
      </w:r>
      <w:r w:rsidR="00942712" w:rsidRPr="0047462D">
        <w:rPr>
          <w:rFonts w:eastAsia="Times New Roman"/>
          <w:szCs w:val="22"/>
        </w:rPr>
        <w:t xml:space="preserve">η </w:t>
      </w:r>
      <w:r w:rsidR="00A67D3A" w:rsidRPr="0047462D">
        <w:rPr>
          <w:rFonts w:eastAsia="Times New Roman"/>
          <w:szCs w:val="22"/>
        </w:rPr>
        <w:t xml:space="preserve">ριφαμπικίνη </w:t>
      </w:r>
      <w:r w:rsidR="00B21141" w:rsidRPr="0047462D">
        <w:rPr>
          <w:rFonts w:eastAsia="Times New Roman"/>
          <w:szCs w:val="22"/>
        </w:rPr>
        <w:t xml:space="preserve">και </w:t>
      </w:r>
      <w:r w:rsidR="00942712" w:rsidRPr="0047462D">
        <w:rPr>
          <w:rFonts w:eastAsia="Times New Roman"/>
          <w:szCs w:val="22"/>
        </w:rPr>
        <w:t xml:space="preserve">η </w:t>
      </w:r>
      <w:r w:rsidR="00DA7E4F" w:rsidRPr="0047462D">
        <w:rPr>
          <w:rFonts w:eastAsia="Times New Roman"/>
          <w:szCs w:val="22"/>
        </w:rPr>
        <w:t>τελιθρομυκίνη</w:t>
      </w:r>
      <w:r w:rsidRPr="00F93ECE">
        <w:t>.</w:t>
      </w:r>
    </w:p>
    <w:p w14:paraId="7D797F7D" w14:textId="20D3F1F9" w:rsidR="00A67D3A" w:rsidRPr="0047462D" w:rsidRDefault="00B21141" w:rsidP="00141E57">
      <w:pPr>
        <w:numPr>
          <w:ilvl w:val="0"/>
          <w:numId w:val="17"/>
        </w:numPr>
        <w:tabs>
          <w:tab w:val="left" w:pos="426"/>
        </w:tabs>
        <w:ind w:left="426" w:hanging="426"/>
        <w:rPr>
          <w:rFonts w:eastAsia="Times New Roman"/>
          <w:szCs w:val="22"/>
        </w:rPr>
      </w:pPr>
      <w:r w:rsidRPr="0047462D">
        <w:rPr>
          <w:rFonts w:eastAsia="Times New Roman"/>
          <w:b/>
          <w:bCs/>
          <w:iCs/>
          <w:szCs w:val="22"/>
        </w:rPr>
        <w:t>Αντιεπιληπτικά</w:t>
      </w:r>
      <w:r w:rsidRPr="0047462D">
        <w:rPr>
          <w:b/>
          <w:bCs/>
        </w:rPr>
        <w:t xml:space="preserve"> φάρμακα</w:t>
      </w:r>
      <w:r w:rsidR="0069654B" w:rsidRPr="00F93ECE">
        <w:t xml:space="preserve"> (</w:t>
      </w:r>
      <w:r w:rsidR="0069654B" w:rsidRPr="0047462D">
        <w:rPr>
          <w:rStyle w:val="hps"/>
        </w:rPr>
        <w:t>χρησιμοποιούνται για τη θεραπεία των επιληπτικών κρίσεων</w:t>
      </w:r>
      <w:r w:rsidR="00D04346">
        <w:rPr>
          <w:rStyle w:val="hps"/>
        </w:rPr>
        <w:t xml:space="preserve"> ή σπασμών</w:t>
      </w:r>
      <w:r w:rsidR="0069654B" w:rsidRPr="0047462D">
        <w:rPr>
          <w:rStyle w:val="hps"/>
        </w:rPr>
        <w:t>). Σε αυτά περιλαμβάνονται</w:t>
      </w:r>
      <w:r w:rsidRPr="0047462D">
        <w:t xml:space="preserve"> </w:t>
      </w:r>
      <w:r w:rsidR="00942712" w:rsidRPr="0047462D">
        <w:t xml:space="preserve">η </w:t>
      </w:r>
      <w:r w:rsidR="00DA7E4F" w:rsidRPr="0047462D">
        <w:rPr>
          <w:rFonts w:eastAsia="Times New Roman"/>
          <w:szCs w:val="22"/>
        </w:rPr>
        <w:t xml:space="preserve">καρβαμαζεπίνη, </w:t>
      </w:r>
      <w:r w:rsidR="00942712" w:rsidRPr="0047462D">
        <w:rPr>
          <w:rFonts w:eastAsia="Times New Roman"/>
          <w:szCs w:val="22"/>
        </w:rPr>
        <w:t xml:space="preserve">η </w:t>
      </w:r>
      <w:r w:rsidRPr="0047462D">
        <w:rPr>
          <w:rFonts w:eastAsia="Times New Roman"/>
          <w:szCs w:val="22"/>
        </w:rPr>
        <w:t>φ</w:t>
      </w:r>
      <w:r w:rsidR="00AC4158" w:rsidRPr="0047462D">
        <w:rPr>
          <w:rFonts w:eastAsia="Times New Roman"/>
          <w:szCs w:val="22"/>
        </w:rPr>
        <w:t xml:space="preserve">αινοβαρβιτάλη </w:t>
      </w:r>
      <w:r w:rsidRPr="0047462D">
        <w:rPr>
          <w:rFonts w:eastAsia="Times New Roman"/>
          <w:szCs w:val="22"/>
        </w:rPr>
        <w:t>και</w:t>
      </w:r>
      <w:r w:rsidR="00AC4158" w:rsidRPr="0047462D">
        <w:rPr>
          <w:rFonts w:eastAsia="Times New Roman"/>
          <w:szCs w:val="22"/>
        </w:rPr>
        <w:t xml:space="preserve"> </w:t>
      </w:r>
      <w:r w:rsidR="00942712" w:rsidRPr="0047462D">
        <w:rPr>
          <w:rFonts w:eastAsia="Times New Roman"/>
          <w:szCs w:val="22"/>
        </w:rPr>
        <w:t xml:space="preserve">η </w:t>
      </w:r>
      <w:r w:rsidR="00AC4158" w:rsidRPr="0047462D">
        <w:rPr>
          <w:rFonts w:eastAsia="Times New Roman"/>
          <w:szCs w:val="22"/>
        </w:rPr>
        <w:t>φαινυτοΐνη</w:t>
      </w:r>
      <w:r w:rsidR="0058466E" w:rsidRPr="00F93ECE">
        <w:rPr>
          <w:rFonts w:eastAsia="Times New Roman"/>
          <w:szCs w:val="22"/>
        </w:rPr>
        <w:t>.</w:t>
      </w:r>
    </w:p>
    <w:p w14:paraId="391CD1CD" w14:textId="734C4F2B" w:rsidR="00A67D3A" w:rsidRPr="0047462D" w:rsidRDefault="00A67D3A" w:rsidP="00141E57">
      <w:pPr>
        <w:numPr>
          <w:ilvl w:val="0"/>
          <w:numId w:val="17"/>
        </w:numPr>
        <w:tabs>
          <w:tab w:val="left" w:pos="426"/>
        </w:tabs>
        <w:ind w:left="426" w:hanging="426"/>
        <w:rPr>
          <w:rFonts w:eastAsia="Times New Roman"/>
          <w:szCs w:val="22"/>
        </w:rPr>
      </w:pPr>
      <w:r w:rsidRPr="0047462D">
        <w:rPr>
          <w:b/>
          <w:bCs/>
        </w:rPr>
        <w:t>Φυτικά φάρμακα</w:t>
      </w:r>
      <w:r w:rsidR="00134FD1" w:rsidRPr="00F93ECE">
        <w:t>.</w:t>
      </w:r>
      <w:r w:rsidR="00AC4158" w:rsidRPr="0047462D">
        <w:rPr>
          <w:rFonts w:eastAsia="Times New Roman"/>
          <w:iCs/>
          <w:szCs w:val="22"/>
        </w:rPr>
        <w:t xml:space="preserve"> </w:t>
      </w:r>
      <w:r w:rsidR="00134FD1" w:rsidRPr="0047462D">
        <w:rPr>
          <w:rStyle w:val="hps"/>
        </w:rPr>
        <w:t xml:space="preserve">Σε αυτά περιλαμβάνεται το </w:t>
      </w:r>
      <w:r w:rsidR="00AC4158" w:rsidRPr="0047462D">
        <w:rPr>
          <w:rFonts w:eastAsia="Times New Roman"/>
          <w:szCs w:val="22"/>
          <w:lang w:val="en-US"/>
        </w:rPr>
        <w:t>St</w:t>
      </w:r>
      <w:r w:rsidR="00AC4158" w:rsidRPr="0047462D">
        <w:rPr>
          <w:rFonts w:eastAsia="Times New Roman"/>
          <w:szCs w:val="22"/>
        </w:rPr>
        <w:t xml:space="preserve"> </w:t>
      </w:r>
      <w:r w:rsidR="00AC4158" w:rsidRPr="0047462D">
        <w:rPr>
          <w:rFonts w:eastAsia="Times New Roman"/>
          <w:szCs w:val="22"/>
          <w:lang w:val="en-US"/>
        </w:rPr>
        <w:t>John</w:t>
      </w:r>
      <w:r w:rsidR="00AC4158" w:rsidRPr="0047462D">
        <w:rPr>
          <w:rFonts w:eastAsia="Arial Unicode MS"/>
          <w:szCs w:val="22"/>
        </w:rPr>
        <w:t>’</w:t>
      </w:r>
      <w:r w:rsidR="00AC4158" w:rsidRPr="0047462D">
        <w:rPr>
          <w:rFonts w:eastAsia="Times New Roman"/>
          <w:szCs w:val="22"/>
          <w:lang w:val="en-US"/>
        </w:rPr>
        <w:t>s</w:t>
      </w:r>
      <w:r w:rsidR="00AC4158" w:rsidRPr="0047462D">
        <w:rPr>
          <w:rFonts w:eastAsia="Times New Roman"/>
          <w:szCs w:val="22"/>
        </w:rPr>
        <w:t xml:space="preserve"> </w:t>
      </w:r>
      <w:r w:rsidR="00AC4158" w:rsidRPr="0047462D">
        <w:rPr>
          <w:rFonts w:eastAsia="Times New Roman"/>
          <w:szCs w:val="22"/>
          <w:lang w:val="en-US"/>
        </w:rPr>
        <w:t>wort</w:t>
      </w:r>
      <w:r w:rsidR="00AC4158" w:rsidRPr="0047462D">
        <w:rPr>
          <w:rFonts w:eastAsia="Times New Roman"/>
          <w:szCs w:val="22"/>
        </w:rPr>
        <w:t xml:space="preserve"> </w:t>
      </w:r>
      <w:r w:rsidR="00AC4158" w:rsidRPr="0047462D">
        <w:rPr>
          <w:szCs w:val="22"/>
        </w:rPr>
        <w:t>(</w:t>
      </w:r>
      <w:r w:rsidR="00AC4158" w:rsidRPr="0047462D">
        <w:rPr>
          <w:rStyle w:val="Emphasis"/>
          <w:i w:val="0"/>
          <w:szCs w:val="22"/>
        </w:rPr>
        <w:t>Υπερικόν το διάτρητον</w:t>
      </w:r>
      <w:r w:rsidR="00AC4158" w:rsidRPr="0047462D">
        <w:rPr>
          <w:rStyle w:val="Emphasis"/>
          <w:szCs w:val="22"/>
        </w:rPr>
        <w:t xml:space="preserve">, </w:t>
      </w:r>
      <w:r w:rsidR="00AC4158" w:rsidRPr="0047462D">
        <w:rPr>
          <w:i/>
          <w:szCs w:val="22"/>
        </w:rPr>
        <w:t>Hypericum perforatum</w:t>
      </w:r>
      <w:r w:rsidR="00AC4158" w:rsidRPr="0047462D">
        <w:rPr>
          <w:szCs w:val="22"/>
        </w:rPr>
        <w:t>)</w:t>
      </w:r>
      <w:r w:rsidR="00134FD1" w:rsidRPr="00F93ECE">
        <w:rPr>
          <w:szCs w:val="22"/>
        </w:rPr>
        <w:t>.</w:t>
      </w:r>
    </w:p>
    <w:p w14:paraId="21A974D3" w14:textId="52DC14FB" w:rsidR="00A67D3A" w:rsidRPr="0047462D" w:rsidRDefault="003E6F29" w:rsidP="003E6F29">
      <w:pPr>
        <w:numPr>
          <w:ilvl w:val="0"/>
          <w:numId w:val="17"/>
        </w:numPr>
        <w:tabs>
          <w:tab w:val="left" w:pos="426"/>
        </w:tabs>
        <w:ind w:left="426" w:hanging="426"/>
        <w:rPr>
          <w:rFonts w:eastAsia="Times New Roman"/>
          <w:szCs w:val="22"/>
        </w:rPr>
      </w:pPr>
      <w:r w:rsidRPr="0047462D">
        <w:rPr>
          <w:rFonts w:eastAsia="Times New Roman"/>
          <w:b/>
          <w:bCs/>
          <w:szCs w:val="22"/>
        </w:rPr>
        <w:t>Ανοσοκατασταλτικά</w:t>
      </w:r>
      <w:r w:rsidR="00134FD1" w:rsidRPr="00F93ECE">
        <w:rPr>
          <w:rFonts w:eastAsia="Times New Roman"/>
          <w:szCs w:val="22"/>
        </w:rPr>
        <w:t xml:space="preserve"> (</w:t>
      </w:r>
      <w:r w:rsidR="00134FD1" w:rsidRPr="0047462D">
        <w:rPr>
          <w:rStyle w:val="hps"/>
        </w:rPr>
        <w:t>χρησιμοποιούνται μετά από μια μεταμόσχευση οργάνου</w:t>
      </w:r>
      <w:r w:rsidR="00134FD1" w:rsidRPr="00F93ECE">
        <w:rPr>
          <w:rStyle w:val="hps"/>
        </w:rPr>
        <w:t xml:space="preserve">). </w:t>
      </w:r>
      <w:r w:rsidR="00134FD1" w:rsidRPr="0047462D">
        <w:rPr>
          <w:rStyle w:val="hps"/>
        </w:rPr>
        <w:t>Σε αυτά περιλαμβάνονται</w:t>
      </w:r>
      <w:r w:rsidRPr="0047462D">
        <w:rPr>
          <w:rFonts w:eastAsia="Times New Roman"/>
          <w:szCs w:val="22"/>
        </w:rPr>
        <w:t xml:space="preserve"> </w:t>
      </w:r>
      <w:r w:rsidR="00942712" w:rsidRPr="0047462D">
        <w:rPr>
          <w:rFonts w:eastAsia="Times New Roman"/>
          <w:szCs w:val="22"/>
        </w:rPr>
        <w:t xml:space="preserve">η </w:t>
      </w:r>
      <w:r w:rsidRPr="0047462D">
        <w:rPr>
          <w:rFonts w:eastAsia="Times New Roman"/>
          <w:szCs w:val="22"/>
        </w:rPr>
        <w:t>κ</w:t>
      </w:r>
      <w:r w:rsidR="00AC4516" w:rsidRPr="0047462D">
        <w:rPr>
          <w:rFonts w:eastAsia="Times New Roman"/>
          <w:szCs w:val="22"/>
        </w:rPr>
        <w:t xml:space="preserve">υκλοσπορίνη, </w:t>
      </w:r>
      <w:r w:rsidR="00942712" w:rsidRPr="0047462D">
        <w:rPr>
          <w:rFonts w:eastAsia="Times New Roman"/>
          <w:iCs/>
          <w:szCs w:val="22"/>
        </w:rPr>
        <w:t xml:space="preserve">το </w:t>
      </w:r>
      <w:r w:rsidRPr="0047462D">
        <w:rPr>
          <w:rFonts w:eastAsia="Times New Roman"/>
          <w:iCs/>
          <w:szCs w:val="22"/>
        </w:rPr>
        <w:t>εβερόλιμους</w:t>
      </w:r>
      <w:r w:rsidR="00DA7E4F" w:rsidRPr="0047462D">
        <w:rPr>
          <w:rFonts w:eastAsia="Times New Roman"/>
          <w:iCs/>
          <w:szCs w:val="22"/>
        </w:rPr>
        <w:t xml:space="preserve">, </w:t>
      </w:r>
      <w:r w:rsidR="00942712" w:rsidRPr="0047462D">
        <w:rPr>
          <w:rFonts w:eastAsia="Times New Roman"/>
          <w:iCs/>
          <w:szCs w:val="22"/>
        </w:rPr>
        <w:t xml:space="preserve">το </w:t>
      </w:r>
      <w:r w:rsidRPr="0047462D">
        <w:rPr>
          <w:rFonts w:eastAsia="Times New Roman"/>
          <w:iCs/>
          <w:szCs w:val="22"/>
        </w:rPr>
        <w:t>σιρόλιμους</w:t>
      </w:r>
      <w:r w:rsidR="00DA7E4F" w:rsidRPr="0047462D">
        <w:rPr>
          <w:rFonts w:eastAsia="Times New Roman"/>
          <w:iCs/>
          <w:szCs w:val="22"/>
        </w:rPr>
        <w:t xml:space="preserve"> και </w:t>
      </w:r>
      <w:r w:rsidR="00942712" w:rsidRPr="0047462D">
        <w:rPr>
          <w:rFonts w:eastAsia="Times New Roman"/>
          <w:iCs/>
          <w:szCs w:val="22"/>
        </w:rPr>
        <w:t xml:space="preserve">το </w:t>
      </w:r>
      <w:r w:rsidR="00DA7E4F" w:rsidRPr="0047462D">
        <w:rPr>
          <w:rFonts w:eastAsia="Times New Roman"/>
          <w:szCs w:val="22"/>
        </w:rPr>
        <w:t>τακρόλιμους</w:t>
      </w:r>
      <w:r w:rsidR="00134FD1" w:rsidRPr="00F93ECE">
        <w:rPr>
          <w:rFonts w:eastAsia="Times New Roman"/>
          <w:iCs/>
          <w:szCs w:val="22"/>
        </w:rPr>
        <w:t>.</w:t>
      </w:r>
    </w:p>
    <w:p w14:paraId="7CF383D6" w14:textId="635D52BC" w:rsidR="00A67D3A" w:rsidRPr="0047462D" w:rsidRDefault="003E6F29" w:rsidP="00141E57">
      <w:pPr>
        <w:numPr>
          <w:ilvl w:val="0"/>
          <w:numId w:val="17"/>
        </w:numPr>
        <w:tabs>
          <w:tab w:val="left" w:pos="426"/>
        </w:tabs>
        <w:ind w:left="426" w:hanging="426"/>
        <w:rPr>
          <w:rFonts w:eastAsia="Times New Roman"/>
          <w:szCs w:val="22"/>
        </w:rPr>
      </w:pPr>
      <w:r w:rsidRPr="0047462D">
        <w:rPr>
          <w:rFonts w:eastAsia="Times New Roman"/>
          <w:b/>
          <w:bCs/>
          <w:iCs/>
          <w:szCs w:val="22"/>
        </w:rPr>
        <w:t>Κ</w:t>
      </w:r>
      <w:r w:rsidR="00CF19D1" w:rsidRPr="0047462D">
        <w:rPr>
          <w:rFonts w:eastAsia="Times New Roman"/>
          <w:b/>
          <w:bCs/>
          <w:iCs/>
          <w:szCs w:val="22"/>
        </w:rPr>
        <w:t>αρδιακές</w:t>
      </w:r>
      <w:r w:rsidR="00CF19D1" w:rsidRPr="0047462D">
        <w:rPr>
          <w:b/>
          <w:bCs/>
        </w:rPr>
        <w:t xml:space="preserve"> </w:t>
      </w:r>
      <w:r w:rsidR="00A67D3A" w:rsidRPr="0047462D">
        <w:rPr>
          <w:b/>
          <w:bCs/>
        </w:rPr>
        <w:t>γλυκοσίδες</w:t>
      </w:r>
      <w:r w:rsidRPr="0047462D">
        <w:t xml:space="preserve"> </w:t>
      </w:r>
      <w:r w:rsidR="00134FD1" w:rsidRPr="00F93ECE">
        <w:t>(</w:t>
      </w:r>
      <w:r w:rsidR="00134FD1" w:rsidRPr="0047462D">
        <w:rPr>
          <w:rStyle w:val="hps"/>
        </w:rPr>
        <w:t>χρησιμοποιούνται για τη θεραπεία κάποιων καρδιακών παθήσεων). Σε αυτά περιλαμβάνεται η</w:t>
      </w:r>
      <w:r w:rsidRPr="0047462D">
        <w:t xml:space="preserve"> </w:t>
      </w:r>
      <w:r w:rsidRPr="0047462D">
        <w:rPr>
          <w:rFonts w:eastAsia="Times New Roman"/>
          <w:szCs w:val="22"/>
        </w:rPr>
        <w:t>διγοξίνη</w:t>
      </w:r>
      <w:r w:rsidR="00134FD1" w:rsidRPr="0047462D">
        <w:rPr>
          <w:lang w:val="en-US"/>
        </w:rPr>
        <w:t>.</w:t>
      </w:r>
    </w:p>
    <w:p w14:paraId="2515A9FF" w14:textId="0F3A0C07" w:rsidR="004437B5" w:rsidRPr="0047462D" w:rsidRDefault="003E6F29" w:rsidP="00141E57">
      <w:pPr>
        <w:numPr>
          <w:ilvl w:val="0"/>
          <w:numId w:val="17"/>
        </w:numPr>
        <w:tabs>
          <w:tab w:val="left" w:pos="426"/>
        </w:tabs>
        <w:ind w:left="426" w:hanging="426"/>
        <w:rPr>
          <w:rFonts w:eastAsia="Times New Roman"/>
          <w:szCs w:val="22"/>
        </w:rPr>
      </w:pPr>
      <w:r w:rsidRPr="0047462D">
        <w:rPr>
          <w:rFonts w:eastAsia="Times New Roman"/>
          <w:b/>
          <w:bCs/>
          <w:iCs/>
          <w:szCs w:val="22"/>
        </w:rPr>
        <w:t>Αντιπηκτικά φάρμακα</w:t>
      </w:r>
      <w:r w:rsidRPr="0047462D">
        <w:rPr>
          <w:rFonts w:eastAsia="Times New Roman"/>
          <w:iCs/>
          <w:szCs w:val="22"/>
        </w:rPr>
        <w:t xml:space="preserve"> </w:t>
      </w:r>
      <w:r w:rsidR="00134FD1" w:rsidRPr="0047462D">
        <w:rPr>
          <w:rStyle w:val="hps"/>
        </w:rPr>
        <w:t>(χρησιμοποιούνται για την πρόληψη των θρόμβων στο αίμα). Σε αυτά περιλαμβάνεται η</w:t>
      </w:r>
      <w:r w:rsidR="00134FD1" w:rsidRPr="0047462D" w:rsidDel="00134FD1">
        <w:rPr>
          <w:rFonts w:eastAsia="Times New Roman"/>
          <w:iCs/>
          <w:szCs w:val="22"/>
        </w:rPr>
        <w:t xml:space="preserve"> </w:t>
      </w:r>
      <w:r w:rsidRPr="0047462D">
        <w:rPr>
          <w:rFonts w:eastAsia="Times New Roman"/>
          <w:iCs/>
          <w:szCs w:val="22"/>
        </w:rPr>
        <w:t>β</w:t>
      </w:r>
      <w:r w:rsidR="007805A5" w:rsidRPr="0047462D">
        <w:rPr>
          <w:rFonts w:eastAsia="Times New Roman"/>
          <w:iCs/>
          <w:szCs w:val="22"/>
        </w:rPr>
        <w:t>αρφαρίνη</w:t>
      </w:r>
      <w:r w:rsidR="00134FD1" w:rsidRPr="0047462D">
        <w:rPr>
          <w:lang w:val="en-US"/>
        </w:rPr>
        <w:t>.</w:t>
      </w:r>
    </w:p>
    <w:p w14:paraId="4B275BDA" w14:textId="199122D0" w:rsidR="004A157E" w:rsidRPr="0047462D" w:rsidRDefault="004A157E" w:rsidP="009A2EEC">
      <w:pPr>
        <w:numPr>
          <w:ilvl w:val="0"/>
          <w:numId w:val="17"/>
        </w:numPr>
        <w:tabs>
          <w:tab w:val="left" w:pos="426"/>
        </w:tabs>
        <w:ind w:left="426" w:hanging="426"/>
        <w:rPr>
          <w:rFonts w:eastAsia="Times New Roman"/>
          <w:szCs w:val="22"/>
        </w:rPr>
      </w:pPr>
      <w:r w:rsidRPr="0047462D">
        <w:rPr>
          <w:rFonts w:eastAsia="MS Mincho"/>
          <w:b/>
          <w:bCs/>
        </w:rPr>
        <w:t>Φάρμακα για τον διαβήτη</w:t>
      </w:r>
      <w:r w:rsidR="00134FD1" w:rsidRPr="00F93ECE">
        <w:rPr>
          <w:rFonts w:eastAsia="MS Mincho"/>
          <w:b/>
          <w:bCs/>
        </w:rPr>
        <w:t>.</w:t>
      </w:r>
      <w:r w:rsidRPr="0047462D">
        <w:rPr>
          <w:rFonts w:eastAsia="MS Mincho"/>
        </w:rPr>
        <w:t xml:space="preserve"> </w:t>
      </w:r>
      <w:r w:rsidR="00134FD1" w:rsidRPr="0047462D">
        <w:rPr>
          <w:rStyle w:val="hps"/>
        </w:rPr>
        <w:t xml:space="preserve">Σε αυτά περιλαμβάνονται </w:t>
      </w:r>
      <w:r w:rsidR="00BF0604" w:rsidRPr="0047462D">
        <w:rPr>
          <w:rStyle w:val="hps"/>
        </w:rPr>
        <w:t xml:space="preserve">η </w:t>
      </w:r>
      <w:r w:rsidRPr="0047462D">
        <w:rPr>
          <w:rFonts w:eastAsia="MS Mincho"/>
        </w:rPr>
        <w:t xml:space="preserve">γλιµεπιρίδη και </w:t>
      </w:r>
      <w:r w:rsidR="00BF0604" w:rsidRPr="0047462D">
        <w:rPr>
          <w:rFonts w:eastAsia="MS Mincho"/>
        </w:rPr>
        <w:t xml:space="preserve">η </w:t>
      </w:r>
      <w:r w:rsidRPr="0047462D">
        <w:rPr>
          <w:rFonts w:eastAsia="MS Mincho"/>
        </w:rPr>
        <w:t>γλιπιζίδη</w:t>
      </w:r>
      <w:r w:rsidR="00134FD1" w:rsidRPr="00F93ECE">
        <w:rPr>
          <w:rFonts w:eastAsia="MS Mincho"/>
        </w:rPr>
        <w:t>.</w:t>
      </w:r>
    </w:p>
    <w:p w14:paraId="29D63249" w14:textId="1756A24A" w:rsidR="00134FD1" w:rsidRPr="0047462D" w:rsidRDefault="00134FD1" w:rsidP="009A2EEC">
      <w:pPr>
        <w:numPr>
          <w:ilvl w:val="0"/>
          <w:numId w:val="17"/>
        </w:numPr>
        <w:tabs>
          <w:tab w:val="left" w:pos="426"/>
        </w:tabs>
        <w:ind w:left="426" w:hanging="426"/>
        <w:rPr>
          <w:rFonts w:eastAsia="Times New Roman"/>
          <w:szCs w:val="22"/>
        </w:rPr>
      </w:pPr>
      <w:r w:rsidRPr="0047462D">
        <w:rPr>
          <w:rStyle w:val="Strong"/>
        </w:rPr>
        <w:t>Φάρμακα για τη μείωση της αρτηριακής πίεσης.</w:t>
      </w:r>
      <w:r w:rsidRPr="0047462D">
        <w:rPr>
          <w:rStyle w:val="hps"/>
        </w:rPr>
        <w:t xml:space="preserve"> Σε αυτά περιλαμβάνεται η βεραπαμίλη</w:t>
      </w:r>
      <w:r w:rsidRPr="00F93ECE">
        <w:rPr>
          <w:rStyle w:val="hps"/>
        </w:rPr>
        <w:t>.</w:t>
      </w:r>
    </w:p>
    <w:p w14:paraId="3FFB8739" w14:textId="77777777" w:rsidR="00A67D3A" w:rsidRPr="0047462D" w:rsidRDefault="00A67D3A" w:rsidP="002331FF">
      <w:pPr>
        <w:ind w:right="-2"/>
        <w:rPr>
          <w:szCs w:val="22"/>
          <w:lang w:eastAsia="en-US"/>
        </w:rPr>
      </w:pPr>
    </w:p>
    <w:p w14:paraId="2F7F650F" w14:textId="1E6EA5E4" w:rsidR="00A67D3A" w:rsidRPr="0047462D" w:rsidRDefault="00A67D3A" w:rsidP="00141E57">
      <w:pPr>
        <w:keepNext/>
        <w:suppressAutoHyphens w:val="0"/>
        <w:rPr>
          <w:b/>
          <w:bCs/>
          <w:szCs w:val="22"/>
          <w:lang w:eastAsia="en-US"/>
        </w:rPr>
      </w:pPr>
      <w:r w:rsidRPr="0047462D">
        <w:rPr>
          <w:b/>
          <w:bCs/>
          <w:szCs w:val="22"/>
          <w:lang w:eastAsia="en-US"/>
        </w:rPr>
        <w:t xml:space="preserve">Το </w:t>
      </w:r>
      <w:r w:rsidRPr="0047462D">
        <w:rPr>
          <w:b/>
        </w:rPr>
        <w:t>Kalydeco</w:t>
      </w:r>
      <w:r w:rsidRPr="0047462D">
        <w:rPr>
          <w:b/>
          <w:bCs/>
          <w:szCs w:val="22"/>
          <w:lang w:eastAsia="en-US"/>
        </w:rPr>
        <w:t xml:space="preserve"> με </w:t>
      </w:r>
      <w:r w:rsidR="002F402D" w:rsidRPr="0047462D">
        <w:rPr>
          <w:b/>
          <w:bCs/>
          <w:szCs w:val="22"/>
          <w:lang w:eastAsia="en-US"/>
        </w:rPr>
        <w:t xml:space="preserve">τροφή </w:t>
      </w:r>
      <w:r w:rsidRPr="0047462D">
        <w:rPr>
          <w:b/>
          <w:bCs/>
          <w:szCs w:val="22"/>
          <w:lang w:eastAsia="en-US"/>
        </w:rPr>
        <w:t>και ποτ</w:t>
      </w:r>
      <w:r w:rsidR="002F402D" w:rsidRPr="0047462D">
        <w:rPr>
          <w:b/>
          <w:bCs/>
          <w:szCs w:val="22"/>
          <w:lang w:eastAsia="en-US"/>
        </w:rPr>
        <w:t>ό</w:t>
      </w:r>
    </w:p>
    <w:p w14:paraId="15DEEAE1" w14:textId="77777777" w:rsidR="001A137E" w:rsidRPr="0047462D" w:rsidRDefault="001A137E" w:rsidP="00141E57">
      <w:pPr>
        <w:keepNext/>
        <w:suppressAutoHyphens w:val="0"/>
        <w:rPr>
          <w:b/>
        </w:rPr>
      </w:pPr>
    </w:p>
    <w:p w14:paraId="4554B1A3" w14:textId="13618D49" w:rsidR="00A67D3A" w:rsidRPr="0047462D" w:rsidRDefault="00A67D3A" w:rsidP="002331FF">
      <w:pPr>
        <w:pStyle w:val="labeltext"/>
        <w:rPr>
          <w:szCs w:val="22"/>
          <w:lang w:val="el-GR" w:eastAsia="en-US"/>
        </w:rPr>
      </w:pPr>
      <w:r w:rsidRPr="0047462D">
        <w:rPr>
          <w:rFonts w:eastAsia="Times New Roman"/>
          <w:sz w:val="22"/>
          <w:szCs w:val="22"/>
          <w:lang w:val="el-GR"/>
        </w:rPr>
        <w:t>Να αποφεύγετε τροφές</w:t>
      </w:r>
      <w:r w:rsidR="00425566" w:rsidRPr="0047462D">
        <w:rPr>
          <w:rFonts w:eastAsia="Times New Roman"/>
          <w:sz w:val="22"/>
          <w:szCs w:val="22"/>
          <w:lang w:val="el-GR"/>
        </w:rPr>
        <w:t xml:space="preserve"> ή ποτά</w:t>
      </w:r>
      <w:r w:rsidRPr="0047462D">
        <w:rPr>
          <w:rFonts w:eastAsia="Times New Roman"/>
          <w:sz w:val="22"/>
          <w:szCs w:val="22"/>
          <w:lang w:val="el-GR"/>
        </w:rPr>
        <w:t xml:space="preserve"> που περιέχουν γκρέιπφρουτ κατά τη θεραπεία με Kalydeco καθώς αυτά μπορεί να αυξήσουν </w:t>
      </w:r>
      <w:r w:rsidR="00673280" w:rsidRPr="0047462D">
        <w:rPr>
          <w:rFonts w:eastAsia="Times New Roman"/>
          <w:sz w:val="22"/>
          <w:szCs w:val="22"/>
          <w:lang w:val="el-GR"/>
        </w:rPr>
        <w:t xml:space="preserve">τις ανεπιθύμητες ενέργειες του </w:t>
      </w:r>
      <w:r w:rsidR="00673280" w:rsidRPr="0047462D">
        <w:rPr>
          <w:rFonts w:eastAsia="Times New Roman"/>
          <w:sz w:val="22"/>
          <w:szCs w:val="22"/>
        </w:rPr>
        <w:t>Kalydeco</w:t>
      </w:r>
      <w:r w:rsidR="00673280" w:rsidRPr="0047462D">
        <w:rPr>
          <w:rFonts w:eastAsia="Times New Roman"/>
          <w:sz w:val="22"/>
          <w:szCs w:val="22"/>
          <w:lang w:val="el-GR"/>
        </w:rPr>
        <w:t xml:space="preserve"> αυξάνοντας την ποσότητα του </w:t>
      </w:r>
      <w:r w:rsidR="00677D05" w:rsidRPr="0047462D">
        <w:rPr>
          <w:rFonts w:eastAsia="MS Mincho"/>
          <w:sz w:val="22"/>
          <w:szCs w:val="22"/>
          <w:lang w:val="en-GB" w:eastAsia="ja-JP"/>
        </w:rPr>
        <w:t>ivacaftor</w:t>
      </w:r>
      <w:r w:rsidR="00677D05" w:rsidRPr="0047462D">
        <w:rPr>
          <w:rFonts w:eastAsia="MS Mincho"/>
          <w:sz w:val="22"/>
          <w:szCs w:val="22"/>
          <w:lang w:val="el-GR" w:eastAsia="ja-JP"/>
        </w:rPr>
        <w:t xml:space="preserve"> </w:t>
      </w:r>
      <w:r w:rsidRPr="0047462D">
        <w:rPr>
          <w:rFonts w:eastAsia="Times New Roman"/>
          <w:sz w:val="22"/>
          <w:szCs w:val="22"/>
          <w:lang w:val="el-GR"/>
        </w:rPr>
        <w:t>στο</w:t>
      </w:r>
      <w:r w:rsidR="00AE7D23" w:rsidRPr="0047462D">
        <w:rPr>
          <w:rFonts w:eastAsia="Times New Roman"/>
          <w:sz w:val="22"/>
          <w:szCs w:val="22"/>
          <w:lang w:val="el-GR"/>
        </w:rPr>
        <w:t>ν</w:t>
      </w:r>
      <w:r w:rsidRPr="0047462D">
        <w:rPr>
          <w:rFonts w:eastAsia="Times New Roman"/>
          <w:sz w:val="22"/>
          <w:szCs w:val="22"/>
          <w:lang w:val="el-GR"/>
        </w:rPr>
        <w:t xml:space="preserve"> </w:t>
      </w:r>
      <w:r w:rsidR="00AE7D23" w:rsidRPr="0047462D">
        <w:rPr>
          <w:rFonts w:eastAsia="Times New Roman"/>
          <w:sz w:val="22"/>
          <w:szCs w:val="22"/>
          <w:lang w:val="el-GR"/>
        </w:rPr>
        <w:t xml:space="preserve">οργανισμό </w:t>
      </w:r>
      <w:r w:rsidRPr="0047462D">
        <w:rPr>
          <w:rFonts w:eastAsia="Times New Roman"/>
          <w:sz w:val="22"/>
          <w:szCs w:val="22"/>
          <w:lang w:val="el-GR"/>
        </w:rPr>
        <w:t>σας.</w:t>
      </w:r>
    </w:p>
    <w:p w14:paraId="5D2F951A" w14:textId="77777777" w:rsidR="00A67D3A" w:rsidRPr="0047462D" w:rsidRDefault="00A67D3A" w:rsidP="002331FF">
      <w:pPr>
        <w:tabs>
          <w:tab w:val="left" w:pos="1290"/>
        </w:tabs>
        <w:ind w:right="-2"/>
        <w:rPr>
          <w:szCs w:val="22"/>
          <w:lang w:eastAsia="en-US"/>
        </w:rPr>
      </w:pPr>
    </w:p>
    <w:p w14:paraId="0577ECF3" w14:textId="23E5856B" w:rsidR="00A67D3A" w:rsidRPr="0047462D" w:rsidRDefault="00A67D3A" w:rsidP="00141E57">
      <w:pPr>
        <w:keepNext/>
        <w:rPr>
          <w:rFonts w:eastAsia="Times New Roman"/>
          <w:b/>
          <w:bCs/>
          <w:szCs w:val="22"/>
        </w:rPr>
      </w:pPr>
      <w:r w:rsidRPr="0047462D">
        <w:rPr>
          <w:rFonts w:eastAsia="Times New Roman"/>
          <w:b/>
          <w:bCs/>
          <w:szCs w:val="22"/>
        </w:rPr>
        <w:t>Κύηση και θηλασμός</w:t>
      </w:r>
    </w:p>
    <w:p w14:paraId="373C1EE2" w14:textId="77777777" w:rsidR="001A137E" w:rsidRPr="0047462D" w:rsidRDefault="001A137E" w:rsidP="00141E57">
      <w:pPr>
        <w:keepNext/>
        <w:rPr>
          <w:rFonts w:eastAsia="Times New Roman"/>
          <w:szCs w:val="22"/>
        </w:rPr>
      </w:pPr>
    </w:p>
    <w:p w14:paraId="64C9EC55" w14:textId="77777777" w:rsidR="00A67D3A" w:rsidRPr="0047462D" w:rsidRDefault="00A67D3A" w:rsidP="002331FF">
      <w:pPr>
        <w:ind w:right="-2"/>
        <w:rPr>
          <w:szCs w:val="22"/>
        </w:rPr>
      </w:pPr>
      <w:r w:rsidRPr="0047462D">
        <w:rPr>
          <w:rFonts w:eastAsia="Times New Roman"/>
          <w:szCs w:val="22"/>
        </w:rPr>
        <w:t>Εάν είσ</w:t>
      </w:r>
      <w:r w:rsidR="002F402D" w:rsidRPr="0047462D">
        <w:rPr>
          <w:rFonts w:eastAsia="Times New Roman"/>
          <w:szCs w:val="22"/>
        </w:rPr>
        <w:t>τ</w:t>
      </w:r>
      <w:r w:rsidRPr="0047462D">
        <w:rPr>
          <w:rFonts w:eastAsia="Times New Roman"/>
          <w:szCs w:val="22"/>
        </w:rPr>
        <w:t>ε έγκυος ή θηλάζετε, νομίζετε ότι μπορεί να είσ</w:t>
      </w:r>
      <w:r w:rsidR="002F402D" w:rsidRPr="0047462D">
        <w:rPr>
          <w:rFonts w:eastAsia="Times New Roman"/>
          <w:szCs w:val="22"/>
        </w:rPr>
        <w:t>τ</w:t>
      </w:r>
      <w:r w:rsidRPr="0047462D">
        <w:rPr>
          <w:rFonts w:eastAsia="Times New Roman"/>
          <w:szCs w:val="22"/>
        </w:rPr>
        <w:t xml:space="preserve">ε έγκυος ή σχεδιάζετε να αποκτήσετε παιδί, ζητήστε τη συμβουλή του γιατρού σας </w:t>
      </w:r>
      <w:r w:rsidR="002F402D" w:rsidRPr="0047462D">
        <w:rPr>
          <w:rFonts w:eastAsia="Times New Roman"/>
          <w:szCs w:val="22"/>
        </w:rPr>
        <w:t xml:space="preserve">πριν </w:t>
      </w:r>
      <w:r w:rsidRPr="0047462D">
        <w:rPr>
          <w:rFonts w:eastAsia="Times New Roman"/>
          <w:szCs w:val="22"/>
        </w:rPr>
        <w:t>πάρετε αυτό το φάρμακο.</w:t>
      </w:r>
      <w:r w:rsidRPr="0047462D">
        <w:rPr>
          <w:rFonts w:eastAsia="Times New Roman"/>
          <w:szCs w:val="22"/>
          <w:lang w:eastAsia="en-US"/>
        </w:rPr>
        <w:t xml:space="preserve"> </w:t>
      </w:r>
      <w:r w:rsidR="00373D0F" w:rsidRPr="0047462D">
        <w:rPr>
          <w:rFonts w:eastAsia="Times New Roman"/>
          <w:szCs w:val="22"/>
          <w:lang w:eastAsia="en-US"/>
        </w:rPr>
        <w:t xml:space="preserve">Εάν είναι δυνατόν, ίσως είναι καλύτερα να αποφεύγετε τη χρήση του </w:t>
      </w:r>
      <w:r w:rsidR="00373D0F" w:rsidRPr="0047462D">
        <w:rPr>
          <w:lang w:val="en-US"/>
        </w:rPr>
        <w:t>Kalydeco</w:t>
      </w:r>
      <w:r w:rsidR="00373D0F" w:rsidRPr="0047462D">
        <w:rPr>
          <w:rFonts w:eastAsia="Times New Roman"/>
          <w:szCs w:val="22"/>
        </w:rPr>
        <w:t xml:space="preserve"> κατά τη διάρκεια της εγκυμοσύνης, και ο </w:t>
      </w:r>
      <w:r w:rsidRPr="0047462D">
        <w:rPr>
          <w:rFonts w:eastAsia="Times New Roman"/>
          <w:szCs w:val="22"/>
        </w:rPr>
        <w:t>γιατρός σας θα σας βοηθήσει να αποφασίσετε τι είναι καλύτερο για εσάς και το παιδί σας.</w:t>
      </w:r>
    </w:p>
    <w:p w14:paraId="317C72B7" w14:textId="77777777" w:rsidR="00A67D3A" w:rsidRPr="0047462D" w:rsidRDefault="00A67D3A" w:rsidP="002331FF">
      <w:pPr>
        <w:ind w:right="-2"/>
        <w:rPr>
          <w:szCs w:val="22"/>
        </w:rPr>
      </w:pPr>
    </w:p>
    <w:p w14:paraId="0E49974C" w14:textId="77777777" w:rsidR="00A67D3A" w:rsidRPr="0047462D" w:rsidRDefault="00A67D3A">
      <w:pPr>
        <w:ind w:right="-2"/>
        <w:rPr>
          <w:szCs w:val="22"/>
        </w:rPr>
      </w:pPr>
      <w:r w:rsidRPr="0047462D">
        <w:rPr>
          <w:rFonts w:eastAsia="Times New Roman"/>
          <w:szCs w:val="22"/>
        </w:rPr>
        <w:t xml:space="preserve">Δεν είναι γνωστό εάν το </w:t>
      </w:r>
      <w:r w:rsidRPr="0047462D">
        <w:rPr>
          <w:rFonts w:eastAsia="MS Mincho"/>
          <w:lang w:eastAsia="ja-JP"/>
        </w:rPr>
        <w:t>ivacaftor</w:t>
      </w:r>
      <w:r w:rsidRPr="0047462D">
        <w:rPr>
          <w:rFonts w:eastAsia="Times New Roman"/>
          <w:szCs w:val="22"/>
        </w:rPr>
        <w:t xml:space="preserve"> απεκκρίνεται στο ανθρώπινο μητρικό γάλα. Εάν σχεδιάζετε να θηλάσετε, ζητήστε τη συμβουλή του γιατρού σας πριν να πάρετε το Kalydeco.</w:t>
      </w:r>
      <w:r w:rsidR="00615664" w:rsidRPr="0047462D">
        <w:rPr>
          <w:rFonts w:eastAsia="Times New Roman"/>
          <w:szCs w:val="22"/>
        </w:rPr>
        <w:t xml:space="preserve"> </w:t>
      </w:r>
      <w:r w:rsidR="00615664" w:rsidRPr="0047462D">
        <w:rPr>
          <w:bCs/>
        </w:rPr>
        <w:t xml:space="preserve">Ο γιατρός σας θα αποφασίσει εάν </w:t>
      </w:r>
      <w:r w:rsidR="009A0E83" w:rsidRPr="0047462D">
        <w:rPr>
          <w:bCs/>
        </w:rPr>
        <w:t>θα σας</w:t>
      </w:r>
      <w:r w:rsidR="00615664" w:rsidRPr="0047462D">
        <w:rPr>
          <w:bCs/>
        </w:rPr>
        <w:t xml:space="preserve"> προτείν</w:t>
      </w:r>
      <w:r w:rsidR="009A0E83" w:rsidRPr="0047462D">
        <w:rPr>
          <w:bCs/>
        </w:rPr>
        <w:t>ει</w:t>
      </w:r>
      <w:r w:rsidR="00615664" w:rsidRPr="0047462D">
        <w:rPr>
          <w:bCs/>
        </w:rPr>
        <w:t xml:space="preserve"> να σταματήσετε </w:t>
      </w:r>
      <w:r w:rsidR="009A0E83" w:rsidRPr="0047462D">
        <w:rPr>
          <w:bCs/>
        </w:rPr>
        <w:t>τον θηλασμό</w:t>
      </w:r>
      <w:r w:rsidR="00615664" w:rsidRPr="0047462D">
        <w:rPr>
          <w:bCs/>
        </w:rPr>
        <w:t xml:space="preserve"> ή να σταματήσετε τη θεραπεία</w:t>
      </w:r>
      <w:r w:rsidR="009A0E83" w:rsidRPr="0047462D">
        <w:rPr>
          <w:bCs/>
        </w:rPr>
        <w:t xml:space="preserve"> σας με</w:t>
      </w:r>
      <w:r w:rsidR="00615664" w:rsidRPr="0047462D">
        <w:rPr>
          <w:bCs/>
        </w:rPr>
        <w:t xml:space="preserve"> </w:t>
      </w:r>
      <w:r w:rsidR="00D1483B" w:rsidRPr="0047462D">
        <w:rPr>
          <w:lang w:val="en-US"/>
        </w:rPr>
        <w:t>ivacaftor</w:t>
      </w:r>
      <w:r w:rsidR="00615664" w:rsidRPr="0047462D">
        <w:rPr>
          <w:bCs/>
        </w:rPr>
        <w:t xml:space="preserve">. Ο γιατρός σας θα </w:t>
      </w:r>
      <w:r w:rsidR="00AD067A" w:rsidRPr="0047462D">
        <w:rPr>
          <w:bCs/>
        </w:rPr>
        <w:t>εξετάσει</w:t>
      </w:r>
      <w:r w:rsidR="00615664" w:rsidRPr="0047462D">
        <w:rPr>
          <w:bCs/>
        </w:rPr>
        <w:t xml:space="preserve"> το όφελος του θηλασμού για το παιδί και το όφελος της θεραπείας για εσάς.</w:t>
      </w:r>
    </w:p>
    <w:p w14:paraId="383DF6A8" w14:textId="77777777" w:rsidR="00A67D3A" w:rsidRPr="0047462D" w:rsidRDefault="00A67D3A">
      <w:pPr>
        <w:ind w:right="-2"/>
        <w:rPr>
          <w:szCs w:val="22"/>
        </w:rPr>
      </w:pPr>
    </w:p>
    <w:p w14:paraId="3C2C5FC7" w14:textId="187982BF" w:rsidR="00A67D3A" w:rsidRPr="0047462D" w:rsidRDefault="00A67D3A" w:rsidP="00141E57">
      <w:pPr>
        <w:keepNext/>
        <w:rPr>
          <w:rFonts w:eastAsia="Times New Roman"/>
          <w:b/>
          <w:bCs/>
          <w:szCs w:val="22"/>
        </w:rPr>
      </w:pPr>
      <w:r w:rsidRPr="0047462D">
        <w:rPr>
          <w:rFonts w:eastAsia="Times New Roman"/>
          <w:b/>
          <w:bCs/>
          <w:szCs w:val="22"/>
        </w:rPr>
        <w:t>Οδήγηση και χειρισμός μηχανημάτων</w:t>
      </w:r>
    </w:p>
    <w:p w14:paraId="0899872C" w14:textId="77777777" w:rsidR="001A137E" w:rsidRPr="0047462D" w:rsidRDefault="001A137E" w:rsidP="00141E57">
      <w:pPr>
        <w:keepNext/>
        <w:rPr>
          <w:rFonts w:eastAsia="Times New Roman"/>
          <w:szCs w:val="22"/>
        </w:rPr>
      </w:pPr>
    </w:p>
    <w:p w14:paraId="0D63197B" w14:textId="77777777" w:rsidR="00A67D3A" w:rsidRPr="0047462D" w:rsidRDefault="00A03F57" w:rsidP="00141E57">
      <w:pPr>
        <w:pStyle w:val="NormalIndent"/>
        <w:spacing w:after="0"/>
        <w:ind w:left="0"/>
        <w:rPr>
          <w:lang w:eastAsia="ja-JP"/>
        </w:rPr>
      </w:pPr>
      <w:r w:rsidRPr="0047462D">
        <w:rPr>
          <w:rFonts w:eastAsia="Times New Roman"/>
        </w:rPr>
        <w:t xml:space="preserve">Το </w:t>
      </w:r>
      <w:r w:rsidRPr="0047462D">
        <w:t xml:space="preserve">Kalydeco μπορεί να σας προκαλέσει ζάλη. </w:t>
      </w:r>
      <w:r w:rsidR="00673280" w:rsidRPr="0047462D">
        <w:t>Εάν αισθάνεστ</w:t>
      </w:r>
      <w:r w:rsidR="00366B55" w:rsidRPr="0047462D">
        <w:t>ε ζάλη, μ</w:t>
      </w:r>
      <w:r w:rsidRPr="0047462D">
        <w:t>ην οδηγείτε</w:t>
      </w:r>
      <w:r w:rsidR="00366B55" w:rsidRPr="0047462D">
        <w:t>, μην κάνετε ποδήλα</w:t>
      </w:r>
      <w:r w:rsidR="0077348F" w:rsidRPr="0047462D">
        <w:t>τ</w:t>
      </w:r>
      <w:r w:rsidR="00366B55" w:rsidRPr="0047462D">
        <w:t>ο</w:t>
      </w:r>
      <w:r w:rsidRPr="0047462D">
        <w:t xml:space="preserve"> </w:t>
      </w:r>
      <w:r w:rsidR="00366B55" w:rsidRPr="0047462D">
        <w:t xml:space="preserve">και μη </w:t>
      </w:r>
      <w:r w:rsidRPr="0047462D">
        <w:t>χειρίζεστε μηχανήματα.</w:t>
      </w:r>
    </w:p>
    <w:p w14:paraId="2DD54266" w14:textId="77777777" w:rsidR="00A67D3A" w:rsidRPr="0047462D" w:rsidRDefault="00A67D3A">
      <w:pPr>
        <w:pStyle w:val="1"/>
        <w:spacing w:after="0"/>
        <w:ind w:left="0"/>
        <w:rPr>
          <w:szCs w:val="22"/>
          <w:lang w:eastAsia="ja-JP"/>
        </w:rPr>
      </w:pPr>
    </w:p>
    <w:p w14:paraId="69611E2A" w14:textId="04E355CA" w:rsidR="001F66C8" w:rsidRPr="0047462D" w:rsidRDefault="001F66C8" w:rsidP="009A2EEC">
      <w:pPr>
        <w:pStyle w:val="NormalIndent"/>
        <w:keepNext/>
        <w:spacing w:after="0"/>
        <w:ind w:left="0"/>
        <w:rPr>
          <w:b/>
          <w:lang w:eastAsia="ja-JP"/>
        </w:rPr>
      </w:pPr>
      <w:r w:rsidRPr="0047462D">
        <w:rPr>
          <w:b/>
          <w:lang w:eastAsia="ja-JP"/>
        </w:rPr>
        <w:t>Σημαντικές πληροφορίες για το περιεχόμενο του Kalydeco</w:t>
      </w:r>
    </w:p>
    <w:p w14:paraId="205EDFB5" w14:textId="77777777" w:rsidR="001A137E" w:rsidRPr="0047462D" w:rsidRDefault="001A137E" w:rsidP="009A2EEC">
      <w:pPr>
        <w:pStyle w:val="NormalIndent"/>
        <w:keepNext/>
        <w:spacing w:after="0"/>
        <w:ind w:left="0"/>
        <w:rPr>
          <w:b/>
          <w:lang w:eastAsia="ja-JP"/>
        </w:rPr>
      </w:pPr>
    </w:p>
    <w:p w14:paraId="4DCF2CAA" w14:textId="34DA4EF7" w:rsidR="00A67D3A" w:rsidRPr="0047462D" w:rsidRDefault="00A67D3A" w:rsidP="009A2EEC">
      <w:pPr>
        <w:pStyle w:val="1"/>
        <w:spacing w:after="0"/>
        <w:ind w:left="0"/>
      </w:pPr>
      <w:r w:rsidRPr="0047462D">
        <w:rPr>
          <w:rFonts w:eastAsia="Times New Roman"/>
          <w:b/>
          <w:bCs/>
          <w:szCs w:val="22"/>
        </w:rPr>
        <w:t>Το Kalydeco περιέχει λακτόζη</w:t>
      </w:r>
      <w:r w:rsidR="001F66C8" w:rsidRPr="0047462D">
        <w:rPr>
          <w:szCs w:val="22"/>
        </w:rPr>
        <w:t xml:space="preserve">. </w:t>
      </w:r>
      <w:r w:rsidR="00CC011B" w:rsidRPr="0047462D">
        <w:rPr>
          <w:rFonts w:eastAsia="Times New Roman"/>
          <w:szCs w:val="22"/>
        </w:rPr>
        <w:t>Αν ο</w:t>
      </w:r>
      <w:r w:rsidR="00A17486" w:rsidRPr="0047462D">
        <w:rPr>
          <w:rFonts w:eastAsia="Times New Roman"/>
          <w:szCs w:val="22"/>
        </w:rPr>
        <w:t xml:space="preserve"> γιατρό</w:t>
      </w:r>
      <w:r w:rsidR="00CC011B" w:rsidRPr="0047462D">
        <w:rPr>
          <w:rFonts w:eastAsia="Times New Roman"/>
          <w:szCs w:val="22"/>
        </w:rPr>
        <w:t>ς</w:t>
      </w:r>
      <w:r w:rsidR="00A17486" w:rsidRPr="0047462D">
        <w:rPr>
          <w:rFonts w:eastAsia="Times New Roman"/>
          <w:szCs w:val="22"/>
        </w:rPr>
        <w:t xml:space="preserve"> σας </w:t>
      </w:r>
      <w:r w:rsidR="00013F78" w:rsidRPr="0047462D">
        <w:rPr>
          <w:rFonts w:eastAsia="Times New Roman"/>
          <w:szCs w:val="22"/>
        </w:rPr>
        <w:t xml:space="preserve">σας </w:t>
      </w:r>
      <w:r w:rsidR="00CC011B" w:rsidRPr="0047462D">
        <w:rPr>
          <w:rFonts w:eastAsia="Times New Roman"/>
          <w:szCs w:val="22"/>
        </w:rPr>
        <w:t xml:space="preserve">ενημέρωσε </w:t>
      </w:r>
      <w:r w:rsidRPr="0047462D">
        <w:rPr>
          <w:szCs w:val="22"/>
        </w:rPr>
        <w:t xml:space="preserve">ότι έχετε δυσανεξία σε </w:t>
      </w:r>
      <w:r w:rsidR="00A17486" w:rsidRPr="0047462D">
        <w:rPr>
          <w:szCs w:val="22"/>
        </w:rPr>
        <w:t xml:space="preserve">ορισμένα </w:t>
      </w:r>
      <w:r w:rsidRPr="0047462D">
        <w:rPr>
          <w:szCs w:val="22"/>
        </w:rPr>
        <w:t>σάκχαρα, επικοινωνήστε με τον γιατρό σας πριν πάρετε αυτό το φάρμακο</w:t>
      </w:r>
      <w:r w:rsidRPr="0047462D">
        <w:t>.</w:t>
      </w:r>
    </w:p>
    <w:p w14:paraId="27827789" w14:textId="77777777" w:rsidR="0089434D" w:rsidRPr="0047462D" w:rsidRDefault="0089434D" w:rsidP="009A2EEC">
      <w:pPr>
        <w:pStyle w:val="1"/>
        <w:spacing w:after="0"/>
        <w:ind w:left="0"/>
      </w:pPr>
    </w:p>
    <w:p w14:paraId="1FF155D1" w14:textId="77777777" w:rsidR="00F804B2" w:rsidRPr="0047462D" w:rsidRDefault="00F804B2" w:rsidP="009A2EEC">
      <w:pPr>
        <w:suppressAutoHyphens w:val="0"/>
        <w:autoSpaceDE w:val="0"/>
        <w:autoSpaceDN w:val="0"/>
        <w:adjustRightInd w:val="0"/>
      </w:pPr>
      <w:r w:rsidRPr="0047462D">
        <w:rPr>
          <w:b/>
          <w:lang w:eastAsia="ja-JP"/>
        </w:rPr>
        <w:t>Το Kalydeco</w:t>
      </w:r>
      <w:r w:rsidRPr="0047462D">
        <w:rPr>
          <w:b/>
        </w:rPr>
        <w:t xml:space="preserve"> περιέχει</w:t>
      </w:r>
      <w:r w:rsidRPr="0047462D">
        <w:t xml:space="preserve"> </w:t>
      </w:r>
      <w:r w:rsidRPr="0047462D">
        <w:rPr>
          <w:b/>
          <w:bCs/>
        </w:rPr>
        <w:t>λιγότερο από 1 mmol νατρίου</w:t>
      </w:r>
      <w:r w:rsidRPr="0047462D">
        <w:t xml:space="preserve"> (23 mg) ανά δόση, </w:t>
      </w:r>
      <w:r w:rsidR="00366B55" w:rsidRPr="0047462D">
        <w:t>είναι αυτό που ονομάζουμε «ελεύθερο νατρίου»</w:t>
      </w:r>
      <w:r w:rsidRPr="0047462D">
        <w:t>.</w:t>
      </w:r>
    </w:p>
    <w:p w14:paraId="08760786" w14:textId="77777777" w:rsidR="00A67D3A" w:rsidRPr="0047462D" w:rsidRDefault="00A67D3A" w:rsidP="002331FF">
      <w:pPr>
        <w:pStyle w:val="1"/>
        <w:spacing w:after="0"/>
        <w:ind w:left="0"/>
        <w:rPr>
          <w:szCs w:val="22"/>
        </w:rPr>
      </w:pPr>
    </w:p>
    <w:p w14:paraId="330B55EE" w14:textId="77777777" w:rsidR="00A67D3A" w:rsidRPr="0047462D" w:rsidRDefault="00A67D3A">
      <w:pPr>
        <w:pStyle w:val="1"/>
        <w:spacing w:after="0"/>
        <w:ind w:left="0"/>
        <w:rPr>
          <w:szCs w:val="22"/>
          <w:lang w:eastAsia="ja-JP"/>
        </w:rPr>
      </w:pPr>
    </w:p>
    <w:p w14:paraId="54EC526B" w14:textId="77777777" w:rsidR="00A67D3A" w:rsidRPr="0047462D" w:rsidRDefault="00A67D3A">
      <w:pPr>
        <w:keepNext/>
        <w:ind w:left="567" w:right="-2" w:hanging="567"/>
        <w:rPr>
          <w:b/>
          <w:bCs/>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b/>
          <w:bCs/>
          <w:noProof/>
          <w:szCs w:val="22"/>
          <w:lang w:eastAsia="en-US"/>
        </w:rPr>
        <w:t>Πώς να πάρετε το Kalydeco</w:t>
      </w:r>
    </w:p>
    <w:p w14:paraId="0922AD3D" w14:textId="77777777" w:rsidR="00A67D3A" w:rsidRPr="0047462D" w:rsidRDefault="00A67D3A" w:rsidP="00141E57">
      <w:pPr>
        <w:keepNext/>
        <w:rPr>
          <w:bCs/>
          <w:szCs w:val="22"/>
          <w:lang w:eastAsia="en-US"/>
        </w:rPr>
      </w:pPr>
    </w:p>
    <w:p w14:paraId="125CB2E3" w14:textId="77777777" w:rsidR="00A67D3A" w:rsidRPr="0047462D" w:rsidRDefault="00A67D3A" w:rsidP="002331FF">
      <w:pPr>
        <w:ind w:right="-2"/>
        <w:rPr>
          <w:szCs w:val="22"/>
          <w:lang w:eastAsia="en-US"/>
        </w:rPr>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rPr>
          <w:rFonts w:eastAsia="Times New Roman"/>
          <w:color w:val="000000"/>
          <w:szCs w:val="22"/>
        </w:rPr>
        <w:t>.</w:t>
      </w:r>
      <w:r w:rsidRPr="0047462D">
        <w:rPr>
          <w:rFonts w:eastAsia="Times New Roman"/>
          <w:szCs w:val="22"/>
          <w:lang w:eastAsia="en-US"/>
        </w:rPr>
        <w:t xml:space="preserve"> </w:t>
      </w:r>
      <w:r w:rsidRPr="0047462D">
        <w:rPr>
          <w:rFonts w:eastAsia="Times New Roman"/>
          <w:szCs w:val="22"/>
        </w:rPr>
        <w:t>Εάν έχετε αμφιβολίες, ρωτήστε τον γιατρό σας.</w:t>
      </w:r>
      <w:r w:rsidRPr="0047462D">
        <w:rPr>
          <w:rFonts w:eastAsia="Times New Roman"/>
          <w:szCs w:val="22"/>
          <w:lang w:eastAsia="en-US"/>
        </w:rPr>
        <w:t xml:space="preserve"> </w:t>
      </w:r>
    </w:p>
    <w:p w14:paraId="09476B03" w14:textId="41ACD2C4" w:rsidR="001301E8" w:rsidRPr="0047462D" w:rsidRDefault="001301E8">
      <w:pPr>
        <w:ind w:right="-2"/>
        <w:rPr>
          <w:rFonts w:eastAsia="Times New Roman"/>
          <w:szCs w:val="22"/>
        </w:rPr>
      </w:pPr>
    </w:p>
    <w:p w14:paraId="251093C7" w14:textId="23C94BD0" w:rsidR="007F17E2" w:rsidRPr="0047462D" w:rsidRDefault="007F17E2" w:rsidP="007F17E2">
      <w:pPr>
        <w:numPr>
          <w:ilvl w:val="12"/>
          <w:numId w:val="0"/>
        </w:numPr>
      </w:pPr>
      <w:r w:rsidRPr="0047462D">
        <w:t>Ο γιατρός σας θα καθορίσει ποιο φάρμακο και ποια δόση είναι κατάλληλα για σας.</w:t>
      </w:r>
    </w:p>
    <w:p w14:paraId="0801F11E" w14:textId="77777777" w:rsidR="007F17E2" w:rsidRPr="0047462D" w:rsidRDefault="007F17E2" w:rsidP="007F17E2">
      <w:pPr>
        <w:numPr>
          <w:ilvl w:val="12"/>
          <w:numId w:val="0"/>
        </w:numPr>
      </w:pPr>
    </w:p>
    <w:p w14:paraId="4D8BCBBD" w14:textId="7141B954" w:rsidR="007F17E2" w:rsidRPr="0047462D" w:rsidRDefault="007F17E2" w:rsidP="007F17E2">
      <w:pPr>
        <w:numPr>
          <w:ilvl w:val="12"/>
          <w:numId w:val="0"/>
        </w:numPr>
      </w:pPr>
      <w:r w:rsidRPr="0047462D">
        <w:t>Συστάσεις δοσολογίας για το Kalydeco παρατίθενται στον Πίνακα 1.</w:t>
      </w:r>
    </w:p>
    <w:p w14:paraId="0713E236" w14:textId="77777777" w:rsidR="007F17E2" w:rsidRPr="0047462D" w:rsidRDefault="007F17E2" w:rsidP="007F17E2">
      <w:pPr>
        <w:numPr>
          <w:ilvl w:val="12"/>
          <w:numId w:val="0"/>
        </w:numPr>
      </w:pPr>
    </w:p>
    <w:p w14:paraId="20D9EF36" w14:textId="4873FDC7" w:rsidR="007F17E2" w:rsidRPr="0047462D" w:rsidRDefault="00A91046" w:rsidP="007F17E2">
      <w:pPr>
        <w:keepNext/>
        <w:keepLines/>
        <w:numPr>
          <w:ilvl w:val="12"/>
          <w:numId w:val="0"/>
        </w:numPr>
        <w:spacing w:after="120"/>
      </w:pPr>
      <w:r w:rsidRPr="0047462D">
        <w:rPr>
          <w:b/>
        </w:rPr>
        <w:t>Πίνακας</w:t>
      </w:r>
      <w:r w:rsidR="007F17E2" w:rsidRPr="0047462D">
        <w:rPr>
          <w:b/>
        </w:rPr>
        <w:t xml:space="preserve"> 1: </w:t>
      </w:r>
      <w:r w:rsidRPr="0047462D">
        <w:rPr>
          <w:b/>
        </w:rPr>
        <w:t>Συστάσεις δοσολογίας</w:t>
      </w:r>
    </w:p>
    <w:tbl>
      <w:tblPr>
        <w:tblStyle w:val="TableGrid"/>
        <w:tblW w:w="9392" w:type="dxa"/>
        <w:tblLayout w:type="fixed"/>
        <w:tblLook w:val="04A0" w:firstRow="1" w:lastRow="0" w:firstColumn="1" w:lastColumn="0" w:noHBand="0" w:noVBand="1"/>
      </w:tblPr>
      <w:tblGrid>
        <w:gridCol w:w="2964"/>
        <w:gridCol w:w="3847"/>
        <w:gridCol w:w="2581"/>
      </w:tblGrid>
      <w:tr w:rsidR="007F17E2" w:rsidRPr="0047462D" w14:paraId="0B36921C" w14:textId="77777777" w:rsidTr="00892E8D">
        <w:trPr>
          <w:cantSplit/>
          <w:trHeight w:val="325"/>
        </w:trPr>
        <w:tc>
          <w:tcPr>
            <w:tcW w:w="2964" w:type="dxa"/>
            <w:vAlign w:val="center"/>
          </w:tcPr>
          <w:p w14:paraId="63BAA9EE" w14:textId="77777777" w:rsidR="007F17E2" w:rsidRPr="0047462D" w:rsidRDefault="007F17E2" w:rsidP="00892E8D">
            <w:pPr>
              <w:pStyle w:val="labeltext"/>
              <w:keepNext/>
              <w:keepLines/>
              <w:rPr>
                <w:b/>
                <w:bCs/>
                <w:iCs/>
                <w:sz w:val="22"/>
                <w:szCs w:val="22"/>
              </w:rPr>
            </w:pPr>
          </w:p>
        </w:tc>
        <w:tc>
          <w:tcPr>
            <w:tcW w:w="3847" w:type="dxa"/>
            <w:vAlign w:val="center"/>
          </w:tcPr>
          <w:p w14:paraId="0B15FBF6" w14:textId="7D10BF28" w:rsidR="007F17E2" w:rsidRPr="0047462D" w:rsidRDefault="00A91046" w:rsidP="00892E8D">
            <w:pPr>
              <w:pStyle w:val="labeltext"/>
              <w:keepNext/>
              <w:keepLines/>
              <w:jc w:val="center"/>
              <w:rPr>
                <w:b/>
                <w:bCs/>
                <w:iCs/>
                <w:sz w:val="22"/>
                <w:szCs w:val="22"/>
                <w:lang w:val="el-GR"/>
              </w:rPr>
            </w:pPr>
            <w:r w:rsidRPr="0047462D">
              <w:rPr>
                <w:b/>
                <w:bCs/>
                <w:iCs/>
                <w:sz w:val="22"/>
                <w:szCs w:val="22"/>
                <w:lang w:val="el-GR"/>
              </w:rPr>
              <w:t>Πρωί</w:t>
            </w:r>
          </w:p>
        </w:tc>
        <w:tc>
          <w:tcPr>
            <w:tcW w:w="2581" w:type="dxa"/>
            <w:vAlign w:val="center"/>
          </w:tcPr>
          <w:p w14:paraId="656FC071" w14:textId="11BC86BF" w:rsidR="007F17E2" w:rsidRPr="0047462D" w:rsidRDefault="00A91046" w:rsidP="00892E8D">
            <w:pPr>
              <w:pStyle w:val="labeltext"/>
              <w:keepNext/>
              <w:keepLines/>
              <w:jc w:val="center"/>
              <w:rPr>
                <w:b/>
                <w:bCs/>
                <w:iCs/>
                <w:sz w:val="22"/>
                <w:szCs w:val="22"/>
                <w:lang w:val="el-GR"/>
              </w:rPr>
            </w:pPr>
            <w:r w:rsidRPr="0047462D">
              <w:rPr>
                <w:b/>
                <w:bCs/>
                <w:iCs/>
                <w:sz w:val="22"/>
                <w:szCs w:val="22"/>
                <w:lang w:val="el-GR"/>
              </w:rPr>
              <w:t>Βράδυ</w:t>
            </w:r>
          </w:p>
        </w:tc>
      </w:tr>
      <w:tr w:rsidR="007F17E2" w:rsidRPr="0047462D" w14:paraId="78A73C70" w14:textId="77777777" w:rsidTr="00892E8D">
        <w:trPr>
          <w:cantSplit/>
          <w:trHeight w:val="306"/>
        </w:trPr>
        <w:tc>
          <w:tcPr>
            <w:tcW w:w="9392" w:type="dxa"/>
            <w:gridSpan w:val="3"/>
            <w:vAlign w:val="center"/>
          </w:tcPr>
          <w:p w14:paraId="478FF498" w14:textId="15DAAA33" w:rsidR="007F17E2" w:rsidRPr="0047462D" w:rsidRDefault="007F17E2" w:rsidP="00892E8D">
            <w:pPr>
              <w:pStyle w:val="labeltext"/>
              <w:keepNext/>
              <w:keepLines/>
              <w:rPr>
                <w:b/>
                <w:bCs/>
                <w:iCs/>
                <w:sz w:val="22"/>
                <w:szCs w:val="22"/>
                <w:lang w:val="el-GR"/>
              </w:rPr>
            </w:pPr>
            <w:r w:rsidRPr="0047462D">
              <w:rPr>
                <w:b/>
                <w:bCs/>
                <w:iCs/>
                <w:sz w:val="22"/>
                <w:szCs w:val="22"/>
              </w:rPr>
              <w:t xml:space="preserve">Kalydeco </w:t>
            </w:r>
            <w:r w:rsidR="00E043B2" w:rsidRPr="0047462D">
              <w:rPr>
                <w:b/>
                <w:bCs/>
                <w:iCs/>
                <w:sz w:val="22"/>
                <w:szCs w:val="22"/>
                <w:lang w:val="el-GR"/>
              </w:rPr>
              <w:t>ως μονοθεραπεία</w:t>
            </w:r>
          </w:p>
        </w:tc>
      </w:tr>
      <w:tr w:rsidR="007F17E2" w:rsidRPr="0047462D" w14:paraId="73126366" w14:textId="77777777" w:rsidTr="00892E8D">
        <w:trPr>
          <w:cantSplit/>
          <w:trHeight w:val="325"/>
        </w:trPr>
        <w:tc>
          <w:tcPr>
            <w:tcW w:w="2964" w:type="dxa"/>
            <w:vAlign w:val="center"/>
          </w:tcPr>
          <w:p w14:paraId="42C690FE" w14:textId="2C34980E" w:rsidR="007F17E2" w:rsidRPr="0047462D" w:rsidRDefault="007F17E2" w:rsidP="00892E8D">
            <w:pPr>
              <w:pStyle w:val="labeltext"/>
              <w:keepNext/>
              <w:keepLines/>
              <w:rPr>
                <w:iCs/>
                <w:sz w:val="22"/>
                <w:szCs w:val="22"/>
              </w:rPr>
            </w:pPr>
            <w:r w:rsidRPr="0047462D">
              <w:rPr>
                <w:iCs/>
                <w:sz w:val="22"/>
                <w:szCs w:val="22"/>
              </w:rPr>
              <w:t>6 </w:t>
            </w:r>
            <w:r w:rsidR="00E043B2" w:rsidRPr="0047462D">
              <w:rPr>
                <w:iCs/>
                <w:sz w:val="22"/>
                <w:szCs w:val="22"/>
                <w:lang w:val="el-GR"/>
              </w:rPr>
              <w:t>ετών και άνω</w:t>
            </w:r>
            <w:r w:rsidRPr="0047462D">
              <w:rPr>
                <w:iCs/>
                <w:sz w:val="22"/>
                <w:szCs w:val="22"/>
              </w:rPr>
              <w:t>, ≥</w:t>
            </w:r>
            <w:r w:rsidR="00E043B2" w:rsidRPr="0047462D">
              <w:rPr>
                <w:iCs/>
                <w:sz w:val="22"/>
                <w:szCs w:val="22"/>
                <w:lang w:val="el-GR"/>
              </w:rPr>
              <w:t> </w:t>
            </w:r>
            <w:r w:rsidRPr="0047462D">
              <w:rPr>
                <w:iCs/>
                <w:sz w:val="22"/>
                <w:szCs w:val="22"/>
              </w:rPr>
              <w:t>25 kg</w:t>
            </w:r>
          </w:p>
        </w:tc>
        <w:tc>
          <w:tcPr>
            <w:tcW w:w="3847" w:type="dxa"/>
            <w:vAlign w:val="center"/>
          </w:tcPr>
          <w:p w14:paraId="56B5474C" w14:textId="4AA67B92" w:rsidR="007F17E2" w:rsidRPr="0047462D" w:rsidRDefault="00E043B2" w:rsidP="00892E8D">
            <w:pPr>
              <w:pStyle w:val="labeltext"/>
              <w:keepNext/>
              <w:keepLines/>
              <w:rPr>
                <w:iCs/>
                <w:sz w:val="22"/>
                <w:szCs w:val="22"/>
              </w:rPr>
            </w:pPr>
            <w:r w:rsidRPr="0047462D">
              <w:rPr>
                <w:iCs/>
                <w:sz w:val="22"/>
                <w:szCs w:val="22"/>
                <w:lang w:val="el-GR"/>
              </w:rPr>
              <w:t xml:space="preserve">Ένα δισκίο </w:t>
            </w:r>
            <w:r w:rsidR="00DA7E4F" w:rsidRPr="0047462D">
              <w:rPr>
                <w:iCs/>
                <w:sz w:val="22"/>
                <w:szCs w:val="22"/>
              </w:rPr>
              <w:t xml:space="preserve">Kalydeco </w:t>
            </w:r>
            <w:r w:rsidR="007F17E2" w:rsidRPr="0047462D">
              <w:rPr>
                <w:iCs/>
                <w:sz w:val="22"/>
                <w:szCs w:val="22"/>
              </w:rPr>
              <w:t>150 mg</w:t>
            </w:r>
          </w:p>
        </w:tc>
        <w:tc>
          <w:tcPr>
            <w:tcW w:w="2581" w:type="dxa"/>
            <w:vAlign w:val="center"/>
          </w:tcPr>
          <w:p w14:paraId="037D2573" w14:textId="40E84D9D" w:rsidR="007F17E2" w:rsidRPr="0047462D" w:rsidRDefault="00E043B2" w:rsidP="00892E8D">
            <w:pPr>
              <w:pStyle w:val="labeltext"/>
              <w:keepNext/>
              <w:keepLines/>
              <w:rPr>
                <w:iCs/>
                <w:sz w:val="22"/>
                <w:szCs w:val="22"/>
              </w:rPr>
            </w:pPr>
            <w:r w:rsidRPr="0047462D">
              <w:rPr>
                <w:iCs/>
                <w:sz w:val="22"/>
                <w:szCs w:val="22"/>
                <w:lang w:val="el-GR"/>
              </w:rPr>
              <w:t>Ένα δισκίο</w:t>
            </w:r>
            <w:r w:rsidR="007F17E2" w:rsidRPr="0047462D">
              <w:rPr>
                <w:iCs/>
                <w:sz w:val="22"/>
                <w:szCs w:val="22"/>
              </w:rPr>
              <w:t xml:space="preserve"> Kalydeco 150 mg</w:t>
            </w:r>
          </w:p>
        </w:tc>
      </w:tr>
      <w:tr w:rsidR="007F17E2" w:rsidRPr="0047462D" w14:paraId="6D5E7C50" w14:textId="77777777" w:rsidTr="00892E8D">
        <w:trPr>
          <w:cantSplit/>
          <w:trHeight w:val="306"/>
        </w:trPr>
        <w:tc>
          <w:tcPr>
            <w:tcW w:w="9392" w:type="dxa"/>
            <w:gridSpan w:val="3"/>
            <w:vAlign w:val="center"/>
          </w:tcPr>
          <w:p w14:paraId="237C29DB" w14:textId="518FDFBC" w:rsidR="007F17E2" w:rsidRPr="00F93ECE" w:rsidRDefault="007F17E2" w:rsidP="00892E8D">
            <w:pPr>
              <w:pStyle w:val="labeltext"/>
              <w:keepNext/>
              <w:keepLines/>
              <w:rPr>
                <w:b/>
                <w:bCs/>
                <w:iCs/>
                <w:sz w:val="22"/>
                <w:szCs w:val="22"/>
                <w:lang w:val="el-GR"/>
              </w:rPr>
            </w:pPr>
            <w:r w:rsidRPr="0047462D">
              <w:rPr>
                <w:b/>
                <w:bCs/>
                <w:iCs/>
                <w:sz w:val="22"/>
                <w:szCs w:val="22"/>
              </w:rPr>
              <w:t>Kalydeco</w:t>
            </w:r>
            <w:r w:rsidRPr="00F93ECE">
              <w:rPr>
                <w:b/>
                <w:bCs/>
                <w:iCs/>
                <w:sz w:val="22"/>
                <w:szCs w:val="22"/>
                <w:lang w:val="el-GR"/>
              </w:rPr>
              <w:t xml:space="preserve"> </w:t>
            </w:r>
            <w:r w:rsidR="00E043B2" w:rsidRPr="0047462D">
              <w:rPr>
                <w:b/>
                <w:bCs/>
                <w:iCs/>
                <w:sz w:val="22"/>
                <w:szCs w:val="22"/>
                <w:lang w:val="el-GR"/>
              </w:rPr>
              <w:t>σε συνδυασμό με</w:t>
            </w:r>
            <w:r w:rsidRPr="00F93ECE">
              <w:rPr>
                <w:b/>
                <w:bCs/>
                <w:iCs/>
                <w:sz w:val="22"/>
                <w:szCs w:val="22"/>
                <w:lang w:val="el-GR"/>
              </w:rPr>
              <w:t xml:space="preserve"> </w:t>
            </w:r>
            <w:r w:rsidRPr="0047462D">
              <w:rPr>
                <w:b/>
                <w:bCs/>
                <w:iCs/>
                <w:sz w:val="22"/>
                <w:szCs w:val="22"/>
              </w:rPr>
              <w:t>tezacaftor</w:t>
            </w:r>
            <w:r w:rsidRPr="00F93ECE">
              <w:rPr>
                <w:b/>
                <w:bCs/>
                <w:iCs/>
                <w:sz w:val="22"/>
                <w:szCs w:val="22"/>
                <w:lang w:val="el-GR"/>
              </w:rPr>
              <w:t>/</w:t>
            </w:r>
            <w:r w:rsidRPr="0047462D">
              <w:rPr>
                <w:b/>
                <w:bCs/>
                <w:iCs/>
                <w:sz w:val="22"/>
                <w:szCs w:val="22"/>
              </w:rPr>
              <w:t>ivacaftor</w:t>
            </w:r>
          </w:p>
        </w:tc>
      </w:tr>
      <w:tr w:rsidR="00A019F7" w:rsidRPr="0047462D" w14:paraId="1AC1AA6E" w14:textId="77777777" w:rsidTr="00892E8D">
        <w:trPr>
          <w:cantSplit/>
          <w:trHeight w:val="306"/>
        </w:trPr>
        <w:tc>
          <w:tcPr>
            <w:tcW w:w="2964" w:type="dxa"/>
            <w:vAlign w:val="center"/>
          </w:tcPr>
          <w:p w14:paraId="3E495FAF" w14:textId="1DFE239F" w:rsidR="00A019F7" w:rsidRPr="00F93ECE" w:rsidRDefault="00A019F7" w:rsidP="00A019F7">
            <w:pPr>
              <w:pStyle w:val="labeltext"/>
              <w:keepNext/>
              <w:keepLines/>
              <w:rPr>
                <w:sz w:val="22"/>
                <w:szCs w:val="22"/>
                <w:lang w:val="el-GR"/>
              </w:rPr>
            </w:pPr>
            <w:r w:rsidRPr="00F93ECE">
              <w:rPr>
                <w:sz w:val="22"/>
                <w:szCs w:val="22"/>
                <w:lang w:val="el-GR"/>
              </w:rPr>
              <w:t>6</w:t>
            </w:r>
            <w:r>
              <w:rPr>
                <w:sz w:val="22"/>
                <w:szCs w:val="22"/>
              </w:rPr>
              <w:t> </w:t>
            </w:r>
            <w:r>
              <w:rPr>
                <w:sz w:val="22"/>
                <w:szCs w:val="22"/>
                <w:lang w:val="el-GR"/>
              </w:rPr>
              <w:t xml:space="preserve">ετών έως κάτω των </w:t>
            </w:r>
            <w:r w:rsidRPr="00F93ECE">
              <w:rPr>
                <w:sz w:val="22"/>
                <w:szCs w:val="22"/>
                <w:lang w:val="el-GR"/>
              </w:rPr>
              <w:t>12</w:t>
            </w:r>
            <w:r>
              <w:rPr>
                <w:sz w:val="22"/>
                <w:szCs w:val="22"/>
              </w:rPr>
              <w:t> </w:t>
            </w:r>
            <w:r>
              <w:rPr>
                <w:sz w:val="22"/>
                <w:szCs w:val="22"/>
                <w:lang w:val="el-GR"/>
              </w:rPr>
              <w:t>ετών</w:t>
            </w:r>
            <w:r w:rsidRPr="00F93ECE">
              <w:rPr>
                <w:sz w:val="22"/>
                <w:szCs w:val="22"/>
                <w:lang w:val="el-GR"/>
              </w:rPr>
              <w:t>, &lt;</w:t>
            </w:r>
            <w:r>
              <w:rPr>
                <w:sz w:val="22"/>
                <w:szCs w:val="22"/>
                <w:lang w:val="el-GR"/>
              </w:rPr>
              <w:t> </w:t>
            </w:r>
            <w:r w:rsidRPr="00F93ECE">
              <w:rPr>
                <w:sz w:val="22"/>
                <w:szCs w:val="22"/>
                <w:lang w:val="el-GR"/>
              </w:rPr>
              <w:t>30</w:t>
            </w:r>
            <w:r>
              <w:rPr>
                <w:sz w:val="22"/>
                <w:szCs w:val="22"/>
              </w:rPr>
              <w:t> </w:t>
            </w:r>
            <w:r w:rsidRPr="00475296">
              <w:rPr>
                <w:sz w:val="22"/>
                <w:szCs w:val="22"/>
              </w:rPr>
              <w:t>kg</w:t>
            </w:r>
          </w:p>
        </w:tc>
        <w:tc>
          <w:tcPr>
            <w:tcW w:w="3847" w:type="dxa"/>
            <w:vAlign w:val="center"/>
          </w:tcPr>
          <w:p w14:paraId="1FE89631" w14:textId="3F420E3F" w:rsidR="00A019F7" w:rsidRPr="0047462D" w:rsidRDefault="00A019F7" w:rsidP="00A019F7">
            <w:pPr>
              <w:pStyle w:val="labeltext"/>
              <w:keepNext/>
              <w:keepLines/>
              <w:rPr>
                <w:iCs/>
                <w:sz w:val="22"/>
                <w:szCs w:val="22"/>
                <w:lang w:val="el-GR"/>
              </w:rPr>
            </w:pPr>
            <w:r>
              <w:rPr>
                <w:iCs/>
                <w:sz w:val="22"/>
                <w:szCs w:val="22"/>
                <w:lang w:val="el-GR"/>
              </w:rPr>
              <w:t>Ένα δισκίο</w:t>
            </w:r>
            <w:r w:rsidRPr="00F93ECE">
              <w:rPr>
                <w:iCs/>
                <w:sz w:val="22"/>
                <w:szCs w:val="22"/>
                <w:lang w:val="el-GR"/>
              </w:rPr>
              <w:t xml:space="preserve"> </w:t>
            </w:r>
            <w:r w:rsidRPr="00475296">
              <w:rPr>
                <w:iCs/>
                <w:sz w:val="22"/>
                <w:szCs w:val="22"/>
              </w:rPr>
              <w:t>tezacaftor</w:t>
            </w:r>
            <w:r w:rsidRPr="00F93ECE">
              <w:rPr>
                <w:iCs/>
                <w:sz w:val="22"/>
                <w:szCs w:val="22"/>
                <w:lang w:val="el-GR"/>
              </w:rPr>
              <w:t xml:space="preserve"> 50</w:t>
            </w:r>
            <w:r>
              <w:rPr>
                <w:iCs/>
                <w:sz w:val="22"/>
                <w:szCs w:val="22"/>
              </w:rPr>
              <w:t> </w:t>
            </w:r>
            <w:r w:rsidRPr="00475296">
              <w:rPr>
                <w:iCs/>
                <w:sz w:val="22"/>
                <w:szCs w:val="22"/>
              </w:rPr>
              <w:t>mg</w:t>
            </w:r>
            <w:r w:rsidRPr="00F93ECE">
              <w:rPr>
                <w:iCs/>
                <w:sz w:val="22"/>
                <w:szCs w:val="22"/>
                <w:lang w:val="el-GR"/>
              </w:rPr>
              <w:t>/</w:t>
            </w:r>
            <w:r w:rsidRPr="00475296">
              <w:rPr>
                <w:iCs/>
                <w:sz w:val="22"/>
                <w:szCs w:val="22"/>
              </w:rPr>
              <w:t>ivacaftor</w:t>
            </w:r>
            <w:r w:rsidRPr="00F93ECE">
              <w:rPr>
                <w:iCs/>
                <w:sz w:val="22"/>
                <w:szCs w:val="22"/>
                <w:lang w:val="el-GR"/>
              </w:rPr>
              <w:t xml:space="preserve"> 75</w:t>
            </w:r>
            <w:r>
              <w:rPr>
                <w:iCs/>
                <w:sz w:val="22"/>
                <w:szCs w:val="22"/>
              </w:rPr>
              <w:t> </w:t>
            </w:r>
            <w:r w:rsidRPr="00475296">
              <w:rPr>
                <w:iCs/>
                <w:sz w:val="22"/>
                <w:szCs w:val="22"/>
              </w:rPr>
              <w:t>mg</w:t>
            </w:r>
          </w:p>
        </w:tc>
        <w:tc>
          <w:tcPr>
            <w:tcW w:w="2581" w:type="dxa"/>
            <w:vAlign w:val="center"/>
          </w:tcPr>
          <w:p w14:paraId="38D69292" w14:textId="56C7EB8D" w:rsidR="00A019F7" w:rsidRPr="0047462D" w:rsidRDefault="00A019F7" w:rsidP="00A019F7">
            <w:pPr>
              <w:pStyle w:val="labeltext"/>
              <w:keepNext/>
              <w:keepLines/>
              <w:rPr>
                <w:iCs/>
                <w:sz w:val="22"/>
                <w:szCs w:val="22"/>
                <w:lang w:val="el-GR"/>
              </w:rPr>
            </w:pPr>
            <w:r>
              <w:rPr>
                <w:iCs/>
                <w:sz w:val="22"/>
                <w:szCs w:val="22"/>
                <w:lang w:val="el-GR"/>
              </w:rPr>
              <w:t>Ένα δισκίο</w:t>
            </w:r>
            <w:r w:rsidRPr="00475296">
              <w:rPr>
                <w:iCs/>
                <w:sz w:val="22"/>
                <w:szCs w:val="22"/>
              </w:rPr>
              <w:t xml:space="preserve"> </w:t>
            </w:r>
            <w:r>
              <w:rPr>
                <w:iCs/>
                <w:sz w:val="22"/>
                <w:szCs w:val="22"/>
              </w:rPr>
              <w:t>Kalydeco</w:t>
            </w:r>
            <w:r w:rsidRPr="00475296">
              <w:rPr>
                <w:iCs/>
                <w:sz w:val="22"/>
                <w:szCs w:val="22"/>
              </w:rPr>
              <w:t xml:space="preserve"> 75</w:t>
            </w:r>
            <w:r>
              <w:rPr>
                <w:iCs/>
                <w:sz w:val="22"/>
                <w:szCs w:val="22"/>
              </w:rPr>
              <w:t> </w:t>
            </w:r>
            <w:r w:rsidRPr="00475296">
              <w:rPr>
                <w:iCs/>
                <w:sz w:val="22"/>
                <w:szCs w:val="22"/>
              </w:rPr>
              <w:t>mg</w:t>
            </w:r>
          </w:p>
        </w:tc>
      </w:tr>
      <w:tr w:rsidR="00A019F7" w:rsidRPr="0047462D" w14:paraId="756E3928" w14:textId="77777777" w:rsidTr="00892E8D">
        <w:trPr>
          <w:cantSplit/>
          <w:trHeight w:val="306"/>
        </w:trPr>
        <w:tc>
          <w:tcPr>
            <w:tcW w:w="2964" w:type="dxa"/>
            <w:vAlign w:val="center"/>
          </w:tcPr>
          <w:p w14:paraId="7618A36D" w14:textId="46331C29" w:rsidR="00A019F7" w:rsidRPr="00F93ECE" w:rsidRDefault="00A019F7" w:rsidP="00A019F7">
            <w:pPr>
              <w:pStyle w:val="labeltext"/>
              <w:keepNext/>
              <w:keepLines/>
              <w:rPr>
                <w:sz w:val="22"/>
                <w:szCs w:val="22"/>
                <w:lang w:val="el-GR"/>
              </w:rPr>
            </w:pPr>
            <w:r w:rsidRPr="00F93ECE">
              <w:rPr>
                <w:sz w:val="22"/>
                <w:szCs w:val="22"/>
                <w:lang w:val="el-GR"/>
              </w:rPr>
              <w:t>6</w:t>
            </w:r>
            <w:r>
              <w:rPr>
                <w:sz w:val="22"/>
                <w:szCs w:val="22"/>
              </w:rPr>
              <w:t> </w:t>
            </w:r>
            <w:r>
              <w:rPr>
                <w:sz w:val="22"/>
                <w:szCs w:val="22"/>
                <w:lang w:val="el-GR"/>
              </w:rPr>
              <w:t xml:space="preserve">ετών έως κάτω των </w:t>
            </w:r>
            <w:r w:rsidRPr="00F93ECE">
              <w:rPr>
                <w:sz w:val="22"/>
                <w:szCs w:val="22"/>
                <w:lang w:val="el-GR"/>
              </w:rPr>
              <w:t>12</w:t>
            </w:r>
            <w:r>
              <w:rPr>
                <w:sz w:val="22"/>
                <w:szCs w:val="22"/>
              </w:rPr>
              <w:t> </w:t>
            </w:r>
            <w:r>
              <w:rPr>
                <w:sz w:val="22"/>
                <w:szCs w:val="22"/>
                <w:lang w:val="el-GR"/>
              </w:rPr>
              <w:t>ετών</w:t>
            </w:r>
            <w:r w:rsidRPr="00F93ECE">
              <w:rPr>
                <w:sz w:val="22"/>
                <w:szCs w:val="22"/>
                <w:lang w:val="el-GR"/>
              </w:rPr>
              <w:t xml:space="preserve">, </w:t>
            </w:r>
            <w:r w:rsidRPr="00F93ECE">
              <w:rPr>
                <w:rFonts w:hint="eastAsia"/>
                <w:sz w:val="22"/>
                <w:szCs w:val="22"/>
                <w:lang w:val="el-GR"/>
              </w:rPr>
              <w:t>≥</w:t>
            </w:r>
            <w:r>
              <w:rPr>
                <w:sz w:val="22"/>
                <w:szCs w:val="22"/>
                <w:lang w:val="el-GR"/>
              </w:rPr>
              <w:t> </w:t>
            </w:r>
            <w:r w:rsidRPr="00F93ECE">
              <w:rPr>
                <w:sz w:val="22"/>
                <w:szCs w:val="22"/>
                <w:lang w:val="el-GR"/>
              </w:rPr>
              <w:t>30</w:t>
            </w:r>
            <w:r>
              <w:rPr>
                <w:sz w:val="22"/>
                <w:szCs w:val="22"/>
              </w:rPr>
              <w:t> </w:t>
            </w:r>
            <w:r w:rsidRPr="00475296">
              <w:rPr>
                <w:sz w:val="22"/>
                <w:szCs w:val="22"/>
              </w:rPr>
              <w:t>kg</w:t>
            </w:r>
          </w:p>
        </w:tc>
        <w:tc>
          <w:tcPr>
            <w:tcW w:w="3847" w:type="dxa"/>
            <w:vAlign w:val="center"/>
          </w:tcPr>
          <w:p w14:paraId="2A427AAB" w14:textId="3AE0E9D4" w:rsidR="00A019F7" w:rsidRPr="0047462D" w:rsidRDefault="00A019F7" w:rsidP="00A019F7">
            <w:pPr>
              <w:pStyle w:val="labeltext"/>
              <w:keepNext/>
              <w:keepLines/>
              <w:rPr>
                <w:iCs/>
                <w:sz w:val="22"/>
                <w:szCs w:val="22"/>
                <w:lang w:val="el-GR"/>
              </w:rPr>
            </w:pPr>
            <w:r>
              <w:rPr>
                <w:iCs/>
                <w:sz w:val="22"/>
                <w:szCs w:val="22"/>
                <w:lang w:val="el-GR"/>
              </w:rPr>
              <w:t>Ένα δισκίο</w:t>
            </w:r>
            <w:r w:rsidRPr="00F93ECE">
              <w:rPr>
                <w:iCs/>
                <w:sz w:val="22"/>
                <w:szCs w:val="22"/>
                <w:lang w:val="el-GR"/>
              </w:rPr>
              <w:t xml:space="preserve"> </w:t>
            </w:r>
            <w:r w:rsidRPr="00475296">
              <w:rPr>
                <w:iCs/>
                <w:sz w:val="22"/>
                <w:szCs w:val="22"/>
              </w:rPr>
              <w:t>tezacaftor</w:t>
            </w:r>
            <w:r w:rsidRPr="00F93ECE">
              <w:rPr>
                <w:iCs/>
                <w:sz w:val="22"/>
                <w:szCs w:val="22"/>
                <w:lang w:val="el-GR"/>
              </w:rPr>
              <w:t xml:space="preserve"> 100</w:t>
            </w:r>
            <w:r>
              <w:rPr>
                <w:iCs/>
                <w:sz w:val="22"/>
                <w:szCs w:val="22"/>
              </w:rPr>
              <w:t> </w:t>
            </w:r>
            <w:r w:rsidRPr="00475296">
              <w:rPr>
                <w:iCs/>
                <w:sz w:val="22"/>
                <w:szCs w:val="22"/>
              </w:rPr>
              <w:t>mg</w:t>
            </w:r>
            <w:r w:rsidRPr="00F93ECE">
              <w:rPr>
                <w:iCs/>
                <w:sz w:val="22"/>
                <w:szCs w:val="22"/>
                <w:lang w:val="el-GR"/>
              </w:rPr>
              <w:t>/</w:t>
            </w:r>
            <w:r w:rsidRPr="00475296">
              <w:rPr>
                <w:iCs/>
                <w:sz w:val="22"/>
                <w:szCs w:val="22"/>
              </w:rPr>
              <w:t>ivacaftor</w:t>
            </w:r>
            <w:r w:rsidRPr="00F93ECE">
              <w:rPr>
                <w:iCs/>
                <w:sz w:val="22"/>
                <w:szCs w:val="22"/>
                <w:lang w:val="el-GR"/>
              </w:rPr>
              <w:t xml:space="preserve"> 150</w:t>
            </w:r>
            <w:r>
              <w:rPr>
                <w:iCs/>
                <w:sz w:val="22"/>
                <w:szCs w:val="22"/>
              </w:rPr>
              <w:t> </w:t>
            </w:r>
            <w:r w:rsidRPr="00475296">
              <w:rPr>
                <w:iCs/>
                <w:sz w:val="22"/>
                <w:szCs w:val="22"/>
              </w:rPr>
              <w:t>mg</w:t>
            </w:r>
          </w:p>
        </w:tc>
        <w:tc>
          <w:tcPr>
            <w:tcW w:w="2581" w:type="dxa"/>
            <w:vAlign w:val="center"/>
          </w:tcPr>
          <w:p w14:paraId="5368C584" w14:textId="07D2AEB4" w:rsidR="00A019F7" w:rsidRPr="0047462D" w:rsidRDefault="00A019F7" w:rsidP="00A019F7">
            <w:pPr>
              <w:pStyle w:val="labeltext"/>
              <w:keepNext/>
              <w:keepLines/>
              <w:rPr>
                <w:iCs/>
                <w:sz w:val="22"/>
                <w:szCs w:val="22"/>
                <w:lang w:val="el-GR"/>
              </w:rPr>
            </w:pPr>
            <w:r>
              <w:rPr>
                <w:iCs/>
                <w:sz w:val="22"/>
                <w:szCs w:val="22"/>
                <w:lang w:val="el-GR"/>
              </w:rPr>
              <w:t>Ένα δισκίο</w:t>
            </w:r>
            <w:r w:rsidRPr="00475296">
              <w:rPr>
                <w:iCs/>
                <w:sz w:val="22"/>
                <w:szCs w:val="22"/>
              </w:rPr>
              <w:t xml:space="preserve"> </w:t>
            </w:r>
            <w:r>
              <w:rPr>
                <w:iCs/>
                <w:sz w:val="22"/>
                <w:szCs w:val="22"/>
              </w:rPr>
              <w:t xml:space="preserve">Kalydeco </w:t>
            </w:r>
            <w:r w:rsidRPr="00475296">
              <w:rPr>
                <w:iCs/>
                <w:sz w:val="22"/>
                <w:szCs w:val="22"/>
              </w:rPr>
              <w:t>150</w:t>
            </w:r>
            <w:r>
              <w:rPr>
                <w:iCs/>
                <w:sz w:val="22"/>
                <w:szCs w:val="22"/>
              </w:rPr>
              <w:t> </w:t>
            </w:r>
            <w:r w:rsidRPr="00475296">
              <w:rPr>
                <w:iCs/>
                <w:sz w:val="22"/>
                <w:szCs w:val="22"/>
              </w:rPr>
              <w:t>mg</w:t>
            </w:r>
          </w:p>
        </w:tc>
      </w:tr>
      <w:tr w:rsidR="007F17E2" w:rsidRPr="0047462D" w14:paraId="328C98DD" w14:textId="77777777" w:rsidTr="00892E8D">
        <w:trPr>
          <w:cantSplit/>
          <w:trHeight w:val="306"/>
        </w:trPr>
        <w:tc>
          <w:tcPr>
            <w:tcW w:w="2964" w:type="dxa"/>
            <w:vAlign w:val="center"/>
          </w:tcPr>
          <w:p w14:paraId="5CD40D62" w14:textId="2284B323" w:rsidR="007F17E2" w:rsidRPr="0047462D" w:rsidRDefault="007F17E2" w:rsidP="00892E8D">
            <w:pPr>
              <w:pStyle w:val="labeltext"/>
              <w:keepNext/>
              <w:keepLines/>
              <w:rPr>
                <w:iCs/>
                <w:sz w:val="22"/>
                <w:szCs w:val="22"/>
              </w:rPr>
            </w:pPr>
            <w:r w:rsidRPr="0047462D">
              <w:rPr>
                <w:sz w:val="22"/>
                <w:szCs w:val="22"/>
              </w:rPr>
              <w:t>12 </w:t>
            </w:r>
            <w:r w:rsidR="00E043B2" w:rsidRPr="0047462D">
              <w:rPr>
                <w:sz w:val="22"/>
                <w:szCs w:val="22"/>
                <w:lang w:val="el-GR"/>
              </w:rPr>
              <w:t>ετών και άνω</w:t>
            </w:r>
          </w:p>
        </w:tc>
        <w:tc>
          <w:tcPr>
            <w:tcW w:w="3847" w:type="dxa"/>
            <w:vAlign w:val="center"/>
          </w:tcPr>
          <w:p w14:paraId="4E126069" w14:textId="339FA180" w:rsidR="007F17E2" w:rsidRPr="0047462D" w:rsidRDefault="00E043B2" w:rsidP="00892E8D">
            <w:pPr>
              <w:pStyle w:val="labeltext"/>
              <w:keepNext/>
              <w:keepLines/>
              <w:rPr>
                <w:iCs/>
                <w:sz w:val="22"/>
                <w:szCs w:val="22"/>
              </w:rPr>
            </w:pPr>
            <w:r w:rsidRPr="0047462D">
              <w:rPr>
                <w:iCs/>
                <w:sz w:val="22"/>
                <w:szCs w:val="22"/>
                <w:lang w:val="el-GR"/>
              </w:rPr>
              <w:t>Ένα</w:t>
            </w:r>
            <w:r w:rsidRPr="00F93ECE">
              <w:rPr>
                <w:iCs/>
                <w:sz w:val="22"/>
                <w:szCs w:val="22"/>
              </w:rPr>
              <w:t xml:space="preserve"> </w:t>
            </w:r>
            <w:r w:rsidRPr="0047462D">
              <w:rPr>
                <w:iCs/>
                <w:sz w:val="22"/>
                <w:szCs w:val="22"/>
                <w:lang w:val="el-GR"/>
              </w:rPr>
              <w:t>δισκίο</w:t>
            </w:r>
            <w:r w:rsidR="007F17E2" w:rsidRPr="0047462D">
              <w:rPr>
                <w:iCs/>
                <w:sz w:val="22"/>
                <w:szCs w:val="22"/>
              </w:rPr>
              <w:t xml:space="preserve"> tezacaftor 100 mg/ivacaftor 150 mg</w:t>
            </w:r>
          </w:p>
        </w:tc>
        <w:tc>
          <w:tcPr>
            <w:tcW w:w="2581" w:type="dxa"/>
            <w:vAlign w:val="center"/>
          </w:tcPr>
          <w:p w14:paraId="320986FE" w14:textId="423B58C1" w:rsidR="007F17E2" w:rsidRPr="0047462D" w:rsidRDefault="00E043B2" w:rsidP="00892E8D">
            <w:pPr>
              <w:pStyle w:val="labeltext"/>
              <w:keepNext/>
              <w:keepLines/>
              <w:rPr>
                <w:iCs/>
                <w:sz w:val="22"/>
                <w:szCs w:val="22"/>
              </w:rPr>
            </w:pPr>
            <w:r w:rsidRPr="0047462D">
              <w:rPr>
                <w:iCs/>
                <w:sz w:val="22"/>
                <w:szCs w:val="22"/>
                <w:lang w:val="el-GR"/>
              </w:rPr>
              <w:t>Ένα δισκίο</w:t>
            </w:r>
            <w:r w:rsidR="007F17E2" w:rsidRPr="0047462D">
              <w:rPr>
                <w:iCs/>
                <w:sz w:val="22"/>
                <w:szCs w:val="22"/>
              </w:rPr>
              <w:t xml:space="preserve"> Kalydeco 150 mg</w:t>
            </w:r>
          </w:p>
        </w:tc>
      </w:tr>
      <w:tr w:rsidR="007F17E2" w:rsidRPr="0047462D" w14:paraId="2FE8878D" w14:textId="77777777" w:rsidTr="00892E8D">
        <w:trPr>
          <w:cantSplit/>
          <w:trHeight w:val="306"/>
        </w:trPr>
        <w:tc>
          <w:tcPr>
            <w:tcW w:w="9392" w:type="dxa"/>
            <w:gridSpan w:val="3"/>
            <w:vAlign w:val="center"/>
          </w:tcPr>
          <w:p w14:paraId="56D120EA" w14:textId="2BDE7BD1" w:rsidR="007F17E2" w:rsidRPr="00F93ECE" w:rsidRDefault="007F17E2" w:rsidP="00892E8D">
            <w:pPr>
              <w:pStyle w:val="labeltext"/>
              <w:keepNext/>
              <w:keepLines/>
              <w:rPr>
                <w:b/>
                <w:bCs/>
                <w:iCs/>
                <w:sz w:val="22"/>
                <w:szCs w:val="22"/>
                <w:lang w:val="el-GR"/>
              </w:rPr>
            </w:pPr>
            <w:r w:rsidRPr="0047462D">
              <w:rPr>
                <w:b/>
                <w:bCs/>
                <w:sz w:val="22"/>
                <w:szCs w:val="22"/>
              </w:rPr>
              <w:t>Kalydeco</w:t>
            </w:r>
            <w:r w:rsidRPr="00F93ECE">
              <w:rPr>
                <w:b/>
                <w:bCs/>
                <w:sz w:val="22"/>
                <w:szCs w:val="22"/>
                <w:lang w:val="el-GR"/>
              </w:rPr>
              <w:t xml:space="preserve"> </w:t>
            </w:r>
            <w:r w:rsidR="00E043B2" w:rsidRPr="0047462D">
              <w:rPr>
                <w:b/>
                <w:bCs/>
                <w:iCs/>
                <w:sz w:val="22"/>
                <w:szCs w:val="22"/>
                <w:lang w:val="el-GR"/>
              </w:rPr>
              <w:t>σε συνδυασμό με</w:t>
            </w:r>
            <w:r w:rsidRPr="00F93ECE">
              <w:rPr>
                <w:b/>
                <w:bCs/>
                <w:sz w:val="22"/>
                <w:szCs w:val="22"/>
                <w:lang w:val="el-GR"/>
              </w:rPr>
              <w:t xml:space="preserve"> </w:t>
            </w:r>
            <w:r w:rsidRPr="0047462D">
              <w:rPr>
                <w:b/>
                <w:bCs/>
                <w:sz w:val="22"/>
                <w:szCs w:val="22"/>
              </w:rPr>
              <w:t>ivacaftor</w:t>
            </w:r>
            <w:r w:rsidRPr="00F93ECE">
              <w:rPr>
                <w:b/>
                <w:bCs/>
                <w:sz w:val="22"/>
                <w:szCs w:val="22"/>
                <w:lang w:val="el-GR"/>
              </w:rPr>
              <w:t>/</w:t>
            </w:r>
            <w:r w:rsidRPr="0047462D">
              <w:rPr>
                <w:b/>
                <w:bCs/>
                <w:sz w:val="22"/>
                <w:szCs w:val="22"/>
              </w:rPr>
              <w:t>tezacaftor</w:t>
            </w:r>
            <w:r w:rsidRPr="00F93ECE">
              <w:rPr>
                <w:b/>
                <w:bCs/>
                <w:sz w:val="22"/>
                <w:szCs w:val="22"/>
                <w:lang w:val="el-GR"/>
              </w:rPr>
              <w:t>/</w:t>
            </w:r>
            <w:r w:rsidRPr="0047462D">
              <w:rPr>
                <w:b/>
                <w:bCs/>
                <w:sz w:val="22"/>
                <w:szCs w:val="22"/>
              </w:rPr>
              <w:t>elexacaftor</w:t>
            </w:r>
          </w:p>
        </w:tc>
      </w:tr>
      <w:tr w:rsidR="007F17E2" w:rsidRPr="0047462D" w14:paraId="4905F4A0" w14:textId="77777777" w:rsidTr="00892E8D">
        <w:trPr>
          <w:cantSplit/>
          <w:trHeight w:val="306"/>
        </w:trPr>
        <w:tc>
          <w:tcPr>
            <w:tcW w:w="2964" w:type="dxa"/>
            <w:vAlign w:val="center"/>
          </w:tcPr>
          <w:p w14:paraId="06A4FE33" w14:textId="2B8E9619" w:rsidR="007F17E2" w:rsidRPr="0047462D" w:rsidRDefault="007F17E2" w:rsidP="00892E8D">
            <w:pPr>
              <w:pStyle w:val="labeltext"/>
              <w:rPr>
                <w:sz w:val="22"/>
                <w:szCs w:val="22"/>
              </w:rPr>
            </w:pPr>
            <w:r w:rsidRPr="0047462D">
              <w:rPr>
                <w:sz w:val="22"/>
                <w:szCs w:val="22"/>
              </w:rPr>
              <w:t>12 </w:t>
            </w:r>
            <w:r w:rsidR="00E043B2" w:rsidRPr="0047462D">
              <w:rPr>
                <w:sz w:val="22"/>
                <w:szCs w:val="22"/>
                <w:lang w:val="el-GR"/>
              </w:rPr>
              <w:t>ετών και άνω</w:t>
            </w:r>
          </w:p>
        </w:tc>
        <w:tc>
          <w:tcPr>
            <w:tcW w:w="3847" w:type="dxa"/>
            <w:vAlign w:val="center"/>
          </w:tcPr>
          <w:p w14:paraId="02B89311" w14:textId="5EE85042" w:rsidR="007F17E2" w:rsidRPr="0047462D" w:rsidRDefault="00E043B2" w:rsidP="00892E8D">
            <w:pPr>
              <w:pStyle w:val="labeltext"/>
              <w:rPr>
                <w:iCs/>
                <w:sz w:val="22"/>
                <w:szCs w:val="22"/>
              </w:rPr>
            </w:pPr>
            <w:r w:rsidRPr="0047462D">
              <w:rPr>
                <w:iCs/>
                <w:sz w:val="22"/>
                <w:szCs w:val="22"/>
                <w:lang w:val="el-GR"/>
              </w:rPr>
              <w:t>Δύο</w:t>
            </w:r>
            <w:r w:rsidRPr="00F93ECE">
              <w:rPr>
                <w:iCs/>
                <w:sz w:val="22"/>
                <w:szCs w:val="22"/>
              </w:rPr>
              <w:t xml:space="preserve"> </w:t>
            </w:r>
            <w:r w:rsidRPr="0047462D">
              <w:rPr>
                <w:iCs/>
                <w:sz w:val="22"/>
                <w:szCs w:val="22"/>
                <w:lang w:val="el-GR"/>
              </w:rPr>
              <w:t>δισκία</w:t>
            </w:r>
            <w:r w:rsidRPr="00F93ECE">
              <w:rPr>
                <w:iCs/>
                <w:sz w:val="22"/>
                <w:szCs w:val="22"/>
              </w:rPr>
              <w:t xml:space="preserve"> </w:t>
            </w:r>
            <w:r w:rsidR="007F17E2" w:rsidRPr="0047462D">
              <w:rPr>
                <w:iCs/>
                <w:sz w:val="22"/>
                <w:szCs w:val="22"/>
              </w:rPr>
              <w:t>ivacaftor 75 mg/tezacaftor 50 mg/elexacaftor 100 mg</w:t>
            </w:r>
          </w:p>
        </w:tc>
        <w:tc>
          <w:tcPr>
            <w:tcW w:w="2581" w:type="dxa"/>
            <w:vAlign w:val="center"/>
          </w:tcPr>
          <w:p w14:paraId="7DEEB0EA" w14:textId="6CDF7731" w:rsidR="007F17E2" w:rsidRPr="0047462D" w:rsidRDefault="00E043B2" w:rsidP="00892E8D">
            <w:pPr>
              <w:pStyle w:val="labeltext"/>
              <w:rPr>
                <w:iCs/>
                <w:sz w:val="22"/>
                <w:szCs w:val="22"/>
              </w:rPr>
            </w:pPr>
            <w:r w:rsidRPr="0047462D">
              <w:rPr>
                <w:iCs/>
                <w:sz w:val="22"/>
                <w:szCs w:val="22"/>
                <w:lang w:val="el-GR"/>
              </w:rPr>
              <w:t>Ένα δισκίο</w:t>
            </w:r>
            <w:r w:rsidR="007F17E2" w:rsidRPr="0047462D">
              <w:rPr>
                <w:iCs/>
                <w:sz w:val="22"/>
                <w:szCs w:val="22"/>
              </w:rPr>
              <w:t xml:space="preserve"> Kalydeco 150 mg</w:t>
            </w:r>
          </w:p>
        </w:tc>
      </w:tr>
    </w:tbl>
    <w:p w14:paraId="1E1E82E5" w14:textId="77777777" w:rsidR="007F17E2" w:rsidRPr="0047462D" w:rsidRDefault="007F17E2">
      <w:pPr>
        <w:ind w:right="-2"/>
        <w:rPr>
          <w:rFonts w:eastAsia="Times New Roman"/>
          <w:szCs w:val="22"/>
        </w:rPr>
      </w:pPr>
    </w:p>
    <w:p w14:paraId="5DCB55D7" w14:textId="66E51AB3" w:rsidR="004A7164" w:rsidRPr="0047462D" w:rsidRDefault="004A7164" w:rsidP="009A2EEC">
      <w:pPr>
        <w:numPr>
          <w:ilvl w:val="12"/>
          <w:numId w:val="0"/>
        </w:numPr>
        <w:ind w:right="-2"/>
        <w:rPr>
          <w:rFonts w:eastAsia="Times New Roman"/>
          <w:szCs w:val="22"/>
          <w:lang w:eastAsia="en-US"/>
        </w:rPr>
      </w:pPr>
      <w:r w:rsidRPr="0047462D">
        <w:t xml:space="preserve">Πάρτε </w:t>
      </w:r>
      <w:r w:rsidR="00692641" w:rsidRPr="0047462D">
        <w:t xml:space="preserve">τις δόσεις </w:t>
      </w:r>
      <w:r w:rsidR="00495C8E" w:rsidRPr="0047462D">
        <w:t xml:space="preserve">πρωί και βράδυ </w:t>
      </w:r>
      <w:r w:rsidRPr="0047462D">
        <w:t xml:space="preserve">με χρονική απόσταση περίπου 12 ωρών </w:t>
      </w:r>
      <w:r w:rsidR="00BC7AE3" w:rsidRPr="0047462D">
        <w:t>τη μία</w:t>
      </w:r>
      <w:r w:rsidRPr="0047462D">
        <w:t xml:space="preserve"> από </w:t>
      </w:r>
      <w:r w:rsidR="00BC7AE3" w:rsidRPr="0047462D">
        <w:t>την άλλη,</w:t>
      </w:r>
      <w:r w:rsidR="00495C8E" w:rsidRPr="0047462D">
        <w:t xml:space="preserve"> μαζί με τροφή που περιέχει λίπος</w:t>
      </w:r>
      <w:r w:rsidRPr="0047462D">
        <w:t>.</w:t>
      </w:r>
    </w:p>
    <w:p w14:paraId="5CA90719" w14:textId="5E0ED46B" w:rsidR="00366B55" w:rsidRPr="0047462D" w:rsidRDefault="00366B55">
      <w:pPr>
        <w:ind w:right="-2"/>
        <w:rPr>
          <w:rFonts w:eastAsia="Times New Roman"/>
          <w:szCs w:val="22"/>
          <w:lang w:eastAsia="en-US"/>
        </w:rPr>
      </w:pPr>
    </w:p>
    <w:p w14:paraId="5B823CCC" w14:textId="77777777" w:rsidR="00D751FD" w:rsidRPr="0047462D" w:rsidRDefault="00366B55">
      <w:pPr>
        <w:ind w:right="-2"/>
        <w:rPr>
          <w:rFonts w:eastAsia="Times New Roman"/>
          <w:szCs w:val="22"/>
          <w:lang w:eastAsia="en-US"/>
        </w:rPr>
      </w:pPr>
      <w:r w:rsidRPr="0047462D">
        <w:rPr>
          <w:rFonts w:eastAsia="Times New Roman"/>
          <w:szCs w:val="22"/>
          <w:lang w:eastAsia="en-US"/>
        </w:rPr>
        <w:t>Πρέπει να συνεχίσετε να χρησιμοποιείτε όλα τα άλλα φάρμακα που χρησιμοποιείτε, εκτός εάν ο γιατρός σας σάς ενημερώσει να σταματήσετε να χρησιμοποιείτε το οποιοδήποτε φάρμακο.</w:t>
      </w:r>
    </w:p>
    <w:p w14:paraId="2E633B79" w14:textId="77777777" w:rsidR="00366B55" w:rsidRPr="0047462D" w:rsidRDefault="00366B55">
      <w:pPr>
        <w:ind w:right="-2"/>
        <w:rPr>
          <w:rFonts w:eastAsia="Times New Roman"/>
          <w:szCs w:val="22"/>
          <w:lang w:eastAsia="en-US"/>
        </w:rPr>
      </w:pPr>
    </w:p>
    <w:p w14:paraId="2FED50DF" w14:textId="77777777" w:rsidR="00001E17" w:rsidRPr="0047462D" w:rsidRDefault="00A67D3A" w:rsidP="002C3259">
      <w:pPr>
        <w:ind w:right="-2"/>
        <w:rPr>
          <w:szCs w:val="22"/>
          <w:lang w:eastAsia="en-US"/>
        </w:rPr>
      </w:pPr>
      <w:r w:rsidRPr="0047462D">
        <w:rPr>
          <w:rFonts w:eastAsia="Times New Roman"/>
          <w:szCs w:val="22"/>
        </w:rPr>
        <w:t xml:space="preserve">Εάν έχετε </w:t>
      </w:r>
      <w:r w:rsidR="00D1483B" w:rsidRPr="0047462D">
        <w:rPr>
          <w:rFonts w:eastAsia="Times New Roman"/>
          <w:szCs w:val="22"/>
        </w:rPr>
        <w:t xml:space="preserve">προβλήματα με την ηπατική λειτουργία, </w:t>
      </w:r>
      <w:r w:rsidR="00D751FD" w:rsidRPr="0047462D">
        <w:rPr>
          <w:rFonts w:eastAsia="Times New Roman"/>
          <w:szCs w:val="22"/>
        </w:rPr>
        <w:t>μέτρια ή σοβαρά</w:t>
      </w:r>
      <w:r w:rsidRPr="0047462D">
        <w:rPr>
          <w:rFonts w:eastAsia="Times New Roman"/>
          <w:szCs w:val="22"/>
        </w:rPr>
        <w:t xml:space="preserve">, ο γιατρός σας μπορεί να χρειάζεται να μειώσει τη δόση </w:t>
      </w:r>
      <w:r w:rsidR="00D1483B" w:rsidRPr="0047462D">
        <w:rPr>
          <w:rFonts w:eastAsia="Times New Roman"/>
          <w:szCs w:val="22"/>
        </w:rPr>
        <w:t>των δισκίων σας</w:t>
      </w:r>
      <w:r w:rsidR="00D751FD" w:rsidRPr="0047462D">
        <w:t xml:space="preserve">, </w:t>
      </w:r>
      <w:r w:rsidR="00D1483B" w:rsidRPr="0047462D">
        <w:rPr>
          <w:rFonts w:eastAsia="Times New Roman"/>
          <w:szCs w:val="22"/>
        </w:rPr>
        <w:t xml:space="preserve">επειδή </w:t>
      </w:r>
      <w:r w:rsidRPr="0047462D">
        <w:rPr>
          <w:rFonts w:eastAsia="Times New Roman"/>
          <w:szCs w:val="22"/>
        </w:rPr>
        <w:t xml:space="preserve">το ήπαρ σας δεν </w:t>
      </w:r>
      <w:r w:rsidR="00D1483B" w:rsidRPr="0047462D">
        <w:rPr>
          <w:rFonts w:eastAsia="Times New Roman"/>
          <w:szCs w:val="22"/>
        </w:rPr>
        <w:t xml:space="preserve">θα </w:t>
      </w:r>
      <w:r w:rsidR="00366B55" w:rsidRPr="0047462D">
        <w:rPr>
          <w:rFonts w:eastAsia="Times New Roman"/>
          <w:szCs w:val="22"/>
        </w:rPr>
        <w:t>αποβά</w:t>
      </w:r>
      <w:r w:rsidR="0086610B" w:rsidRPr="0047462D">
        <w:rPr>
          <w:rFonts w:eastAsia="Times New Roman"/>
          <w:szCs w:val="22"/>
        </w:rPr>
        <w:t>λ</w:t>
      </w:r>
      <w:r w:rsidR="00366B55" w:rsidRPr="0047462D">
        <w:rPr>
          <w:rFonts w:eastAsia="Times New Roman"/>
          <w:szCs w:val="22"/>
        </w:rPr>
        <w:t>λει</w:t>
      </w:r>
      <w:r w:rsidR="00D1483B" w:rsidRPr="0047462D">
        <w:rPr>
          <w:rFonts w:eastAsia="Times New Roman"/>
          <w:szCs w:val="22"/>
        </w:rPr>
        <w:t xml:space="preserve"> </w:t>
      </w:r>
      <w:r w:rsidRPr="0047462D">
        <w:rPr>
          <w:rFonts w:eastAsia="Times New Roman"/>
          <w:szCs w:val="22"/>
        </w:rPr>
        <w:t xml:space="preserve">το </w:t>
      </w:r>
      <w:r w:rsidR="00D1483B" w:rsidRPr="0047462D">
        <w:rPr>
          <w:noProof/>
        </w:rPr>
        <w:t xml:space="preserve">φάρμακο </w:t>
      </w:r>
      <w:r w:rsidRPr="0047462D">
        <w:rPr>
          <w:rFonts w:eastAsia="Times New Roman"/>
          <w:szCs w:val="22"/>
        </w:rPr>
        <w:t xml:space="preserve">τόσο γρήγορα όσο </w:t>
      </w:r>
      <w:r w:rsidR="00366B55" w:rsidRPr="0047462D">
        <w:t>στα άτομα με φυσιολογική ηπατική λειτουργία</w:t>
      </w:r>
      <w:r w:rsidRPr="0047462D">
        <w:rPr>
          <w:rFonts w:eastAsia="Times New Roman"/>
          <w:szCs w:val="22"/>
        </w:rPr>
        <w:t>.</w:t>
      </w:r>
    </w:p>
    <w:p w14:paraId="3E445287" w14:textId="77777777" w:rsidR="00366B55" w:rsidRPr="0047462D" w:rsidRDefault="00366B55" w:rsidP="0086610B">
      <w:pPr>
        <w:ind w:right="-2"/>
        <w:rPr>
          <w:rFonts w:eastAsia="MS Mincho"/>
        </w:rPr>
      </w:pPr>
    </w:p>
    <w:p w14:paraId="5E1EE4E0" w14:textId="72B8D481" w:rsidR="00366B55" w:rsidRPr="0047462D" w:rsidRDefault="00366B55" w:rsidP="00BB1AF3">
      <w:pPr>
        <w:keepNext/>
        <w:rPr>
          <w:b/>
        </w:rPr>
      </w:pPr>
      <w:r w:rsidRPr="0047462D">
        <w:rPr>
          <w:b/>
        </w:rPr>
        <w:t>Χρήση σε παιδιά</w:t>
      </w:r>
    </w:p>
    <w:p w14:paraId="37BD4A15" w14:textId="77777777" w:rsidR="001A137E" w:rsidRPr="0047462D" w:rsidRDefault="001A137E" w:rsidP="00BB1AF3">
      <w:pPr>
        <w:keepNext/>
        <w:rPr>
          <w:b/>
          <w:u w:val="single"/>
        </w:rPr>
      </w:pPr>
    </w:p>
    <w:p w14:paraId="1F07363D" w14:textId="6191C955" w:rsidR="00427FD4" w:rsidRPr="0047462D" w:rsidRDefault="00BD3681" w:rsidP="009A2EEC">
      <w:pPr>
        <w:pStyle w:val="labeltext"/>
        <w:rPr>
          <w:rFonts w:eastAsia="Times New Roman"/>
          <w:sz w:val="22"/>
          <w:szCs w:val="22"/>
          <w:lang w:val="el-GR"/>
        </w:rPr>
      </w:pPr>
      <w:r w:rsidRPr="0047462D">
        <w:rPr>
          <w:rFonts w:eastAsia="Times New Roman"/>
          <w:sz w:val="22"/>
          <w:szCs w:val="22"/>
          <w:lang w:val="el-GR"/>
        </w:rPr>
        <w:t>Αυτό το φάρμακο</w:t>
      </w:r>
      <w:r w:rsidR="00A67D3A" w:rsidRPr="0047462D">
        <w:rPr>
          <w:sz w:val="22"/>
          <w:lang w:val="el-GR"/>
        </w:rPr>
        <w:t xml:space="preserve"> </w:t>
      </w:r>
      <w:r w:rsidR="00A67D3A" w:rsidRPr="0047462D">
        <w:rPr>
          <w:rFonts w:eastAsia="Times New Roman"/>
          <w:sz w:val="22"/>
          <w:szCs w:val="22"/>
          <w:lang w:val="el-GR"/>
        </w:rPr>
        <w:t xml:space="preserve">προορίζεται για </w:t>
      </w:r>
      <w:r w:rsidR="00A67D3A" w:rsidRPr="0047462D">
        <w:rPr>
          <w:sz w:val="22"/>
          <w:lang w:val="el-GR"/>
        </w:rPr>
        <w:t xml:space="preserve">από στόματος </w:t>
      </w:r>
      <w:r w:rsidR="00A67D3A" w:rsidRPr="0047462D">
        <w:rPr>
          <w:rFonts w:eastAsia="Times New Roman"/>
          <w:sz w:val="22"/>
          <w:szCs w:val="22"/>
          <w:lang w:val="el-GR"/>
        </w:rPr>
        <w:t>χρήση.</w:t>
      </w:r>
    </w:p>
    <w:p w14:paraId="72B880B9" w14:textId="77777777" w:rsidR="00427FD4" w:rsidRPr="0047462D" w:rsidRDefault="00427FD4" w:rsidP="009A2EEC">
      <w:pPr>
        <w:pStyle w:val="labeltext"/>
        <w:rPr>
          <w:rFonts w:eastAsia="Times New Roman"/>
          <w:sz w:val="22"/>
          <w:szCs w:val="22"/>
          <w:lang w:val="el-GR"/>
        </w:rPr>
      </w:pPr>
    </w:p>
    <w:p w14:paraId="2B2F2CC0" w14:textId="3614313F" w:rsidR="00D751FD" w:rsidRPr="0047462D" w:rsidRDefault="00D751FD" w:rsidP="009A2EEC">
      <w:pPr>
        <w:pStyle w:val="labeltext"/>
        <w:rPr>
          <w:sz w:val="22"/>
          <w:szCs w:val="22"/>
          <w:lang w:val="el-GR"/>
        </w:rPr>
      </w:pPr>
      <w:r w:rsidRPr="0047462D">
        <w:rPr>
          <w:sz w:val="22"/>
          <w:szCs w:val="22"/>
          <w:lang w:val="el-GR"/>
        </w:rPr>
        <w:t>Να καταπίνετε το δισκίο ολόκληρο. Μη</w:t>
      </w:r>
      <w:r w:rsidR="002E18E3" w:rsidRPr="0047462D">
        <w:rPr>
          <w:sz w:val="22"/>
          <w:szCs w:val="22"/>
          <w:lang w:val="el-GR"/>
        </w:rPr>
        <w:t>ν</w:t>
      </w:r>
      <w:r w:rsidRPr="0047462D">
        <w:rPr>
          <w:sz w:val="22"/>
          <w:szCs w:val="22"/>
          <w:lang w:val="el-GR"/>
        </w:rPr>
        <w:t xml:space="preserve"> σπάτε, μασάτε ή διαλύετε τα δισκία.</w:t>
      </w:r>
      <w:r w:rsidR="00B51D61" w:rsidRPr="0047462D">
        <w:rPr>
          <w:sz w:val="22"/>
          <w:szCs w:val="22"/>
          <w:lang w:val="el-GR"/>
        </w:rPr>
        <w:t xml:space="preserve"> Να παίρνετε τα δισκία του </w:t>
      </w:r>
      <w:r w:rsidR="00B51D61" w:rsidRPr="0047462D">
        <w:rPr>
          <w:sz w:val="22"/>
          <w:szCs w:val="22"/>
        </w:rPr>
        <w:t>Kalydeco</w:t>
      </w:r>
      <w:r w:rsidR="00B51D61" w:rsidRPr="0047462D">
        <w:rPr>
          <w:sz w:val="22"/>
          <w:szCs w:val="22"/>
          <w:lang w:val="el-GR"/>
        </w:rPr>
        <w:t xml:space="preserve"> με τροφή που περιέχει λίπος.</w:t>
      </w:r>
    </w:p>
    <w:p w14:paraId="4BD478D2" w14:textId="77777777" w:rsidR="00D751FD" w:rsidRPr="0047462D" w:rsidRDefault="00D751FD" w:rsidP="00BB1AF3">
      <w:pPr>
        <w:pStyle w:val="labeltext"/>
        <w:rPr>
          <w:sz w:val="22"/>
          <w:szCs w:val="22"/>
          <w:lang w:val="el-GR"/>
        </w:rPr>
      </w:pPr>
    </w:p>
    <w:p w14:paraId="312BFD89" w14:textId="77777777" w:rsidR="00A67D3A" w:rsidRPr="0047462D" w:rsidRDefault="00C64505" w:rsidP="002331FF">
      <w:pPr>
        <w:pStyle w:val="labeltext"/>
        <w:keepNext/>
        <w:rPr>
          <w:rFonts w:eastAsia="Times New Roman"/>
          <w:sz w:val="22"/>
          <w:szCs w:val="22"/>
          <w:lang w:val="el-GR"/>
        </w:rPr>
      </w:pPr>
      <w:r w:rsidRPr="0047462D">
        <w:rPr>
          <w:sz w:val="22"/>
          <w:lang w:val="el-GR"/>
        </w:rPr>
        <w:t>Στα κανονικά</w:t>
      </w:r>
      <w:r w:rsidR="00A67D3A" w:rsidRPr="0047462D">
        <w:rPr>
          <w:rFonts w:eastAsia="Times New Roman"/>
          <w:sz w:val="22"/>
          <w:szCs w:val="22"/>
          <w:lang w:val="el-GR"/>
        </w:rPr>
        <w:t xml:space="preserve"> ή πρόχειρ</w:t>
      </w:r>
      <w:r w:rsidRPr="0047462D">
        <w:rPr>
          <w:rFonts w:eastAsia="Times New Roman"/>
          <w:sz w:val="22"/>
          <w:szCs w:val="22"/>
          <w:lang w:val="el-GR"/>
        </w:rPr>
        <w:t>α</w:t>
      </w:r>
      <w:r w:rsidR="00A67D3A" w:rsidRPr="0047462D">
        <w:rPr>
          <w:rFonts w:eastAsia="Times New Roman"/>
          <w:sz w:val="22"/>
          <w:szCs w:val="22"/>
          <w:lang w:val="el-GR"/>
        </w:rPr>
        <w:t xml:space="preserve"> </w:t>
      </w:r>
      <w:r w:rsidRPr="0047462D">
        <w:rPr>
          <w:sz w:val="22"/>
          <w:lang w:val="el-GR"/>
        </w:rPr>
        <w:t xml:space="preserve">γεύματα </w:t>
      </w:r>
      <w:r w:rsidR="00A67D3A" w:rsidRPr="0047462D">
        <w:rPr>
          <w:sz w:val="22"/>
          <w:lang w:val="el-GR"/>
        </w:rPr>
        <w:t xml:space="preserve">που περιέχουν λίπος </w:t>
      </w:r>
      <w:r w:rsidRPr="0047462D">
        <w:rPr>
          <w:sz w:val="22"/>
          <w:lang w:val="el-GR"/>
        </w:rPr>
        <w:t xml:space="preserve">περιλαμβάνονται </w:t>
      </w:r>
      <w:r w:rsidR="00A67D3A" w:rsidRPr="0047462D">
        <w:rPr>
          <w:sz w:val="22"/>
          <w:lang w:val="el-GR"/>
        </w:rPr>
        <w:t>εκείνα που παρασκευάζονται με βούτυρο ή έλαια ή εκείνα που περιέχουν αυγά</w:t>
      </w:r>
      <w:r w:rsidR="00A67D3A" w:rsidRPr="0047462D">
        <w:rPr>
          <w:rFonts w:eastAsia="Times New Roman"/>
          <w:sz w:val="22"/>
          <w:szCs w:val="22"/>
          <w:lang w:val="el-GR"/>
        </w:rPr>
        <w:t xml:space="preserve">. </w:t>
      </w:r>
      <w:r w:rsidR="00483481" w:rsidRPr="0047462D">
        <w:rPr>
          <w:rFonts w:eastAsia="Times New Roman"/>
          <w:sz w:val="22"/>
          <w:szCs w:val="22"/>
          <w:lang w:val="el-GR"/>
        </w:rPr>
        <w:t>Άλλες</w:t>
      </w:r>
      <w:r w:rsidR="00A67D3A" w:rsidRPr="0047462D">
        <w:rPr>
          <w:rFonts w:eastAsia="Times New Roman"/>
          <w:sz w:val="22"/>
          <w:szCs w:val="22"/>
          <w:lang w:val="el-GR"/>
        </w:rPr>
        <w:t xml:space="preserve"> τροφ</w:t>
      </w:r>
      <w:r w:rsidR="00483481" w:rsidRPr="0047462D">
        <w:rPr>
          <w:rFonts w:eastAsia="Times New Roman"/>
          <w:sz w:val="22"/>
          <w:szCs w:val="22"/>
          <w:lang w:val="el-GR"/>
        </w:rPr>
        <w:t>ές</w:t>
      </w:r>
      <w:r w:rsidR="00A67D3A" w:rsidRPr="0047462D">
        <w:rPr>
          <w:rFonts w:eastAsia="Times New Roman"/>
          <w:sz w:val="22"/>
          <w:szCs w:val="22"/>
          <w:lang w:val="el-GR"/>
        </w:rPr>
        <w:t xml:space="preserve"> που περιέχουν λίπος</w:t>
      </w:r>
      <w:r w:rsidR="00483481" w:rsidRPr="0047462D">
        <w:rPr>
          <w:rFonts w:eastAsia="Times New Roman"/>
          <w:sz w:val="22"/>
          <w:szCs w:val="22"/>
          <w:lang w:val="el-GR"/>
        </w:rPr>
        <w:t xml:space="preserve"> είναι</w:t>
      </w:r>
      <w:r w:rsidR="00A67D3A" w:rsidRPr="0047462D">
        <w:rPr>
          <w:rFonts w:eastAsia="Times New Roman"/>
          <w:sz w:val="22"/>
          <w:szCs w:val="22"/>
          <w:lang w:val="el-GR"/>
        </w:rPr>
        <w:t>:</w:t>
      </w:r>
    </w:p>
    <w:p w14:paraId="7FAA4429" w14:textId="05581275" w:rsidR="00A67D3A" w:rsidRPr="0047462D" w:rsidRDefault="00A67D3A" w:rsidP="00EB5A36">
      <w:pPr>
        <w:pStyle w:val="17"/>
        <w:numPr>
          <w:ilvl w:val="0"/>
          <w:numId w:val="16"/>
        </w:numPr>
        <w:tabs>
          <w:tab w:val="num" w:pos="284"/>
        </w:tabs>
        <w:ind w:left="270" w:right="-2" w:hanging="270"/>
        <w:rPr>
          <w:lang w:val="el-GR"/>
        </w:rPr>
      </w:pPr>
      <w:r w:rsidRPr="0047462D">
        <w:rPr>
          <w:lang w:val="el-GR"/>
        </w:rPr>
        <w:t>Τυρί, πλήρες γάλα, γαλακτοκομικά προϊόντα</w:t>
      </w:r>
      <w:r w:rsidR="00947078" w:rsidRPr="0047462D">
        <w:rPr>
          <w:lang w:val="el-GR"/>
        </w:rPr>
        <w:t xml:space="preserve"> πλήρους γάλακτος</w:t>
      </w:r>
      <w:r w:rsidRPr="0047462D">
        <w:rPr>
          <w:lang w:val="el-GR"/>
        </w:rPr>
        <w:t>, γιαούρτι, σοκολάτα</w:t>
      </w:r>
    </w:p>
    <w:p w14:paraId="4205DF77" w14:textId="77777777" w:rsidR="00A67D3A" w:rsidRPr="0047462D" w:rsidRDefault="00A67D3A" w:rsidP="006F11D8">
      <w:pPr>
        <w:pStyle w:val="17"/>
        <w:numPr>
          <w:ilvl w:val="0"/>
          <w:numId w:val="16"/>
        </w:numPr>
        <w:ind w:left="284" w:right="-2" w:hanging="284"/>
      </w:pPr>
      <w:r w:rsidRPr="0047462D">
        <w:rPr>
          <w:lang w:val="el-GR"/>
        </w:rPr>
        <w:t>Κρέατα</w:t>
      </w:r>
      <w:r w:rsidRPr="0047462D">
        <w:t xml:space="preserve">, </w:t>
      </w:r>
      <w:r w:rsidRPr="0047462D">
        <w:rPr>
          <w:lang w:val="el-GR"/>
        </w:rPr>
        <w:t>λιπαρά ψάρια</w:t>
      </w:r>
    </w:p>
    <w:p w14:paraId="765ABAC2" w14:textId="77777777" w:rsidR="00A67D3A" w:rsidRPr="0047462D" w:rsidRDefault="00A67D3A" w:rsidP="006F11D8">
      <w:pPr>
        <w:pStyle w:val="17"/>
        <w:numPr>
          <w:ilvl w:val="0"/>
          <w:numId w:val="16"/>
        </w:numPr>
        <w:ind w:left="284" w:right="-2" w:hanging="284"/>
        <w:rPr>
          <w:lang w:val="el-GR"/>
        </w:rPr>
      </w:pPr>
      <w:r w:rsidRPr="0047462D">
        <w:rPr>
          <w:lang w:val="el-GR"/>
        </w:rPr>
        <w:t>Αβοκάντο, χούμους, προϊόν</w:t>
      </w:r>
      <w:r w:rsidR="00D56898" w:rsidRPr="0047462D">
        <w:rPr>
          <w:lang w:val="el-GR"/>
        </w:rPr>
        <w:t>τα</w:t>
      </w:r>
      <w:r w:rsidRPr="0047462D">
        <w:rPr>
          <w:lang w:val="el-GR"/>
        </w:rPr>
        <w:t xml:space="preserve"> με βάση τη σόγια (τόφου)</w:t>
      </w:r>
    </w:p>
    <w:p w14:paraId="11BB9F36" w14:textId="77777777" w:rsidR="00A67D3A" w:rsidRPr="0047462D" w:rsidRDefault="00A67D3A" w:rsidP="006F11D8">
      <w:pPr>
        <w:numPr>
          <w:ilvl w:val="0"/>
          <w:numId w:val="16"/>
        </w:numPr>
        <w:tabs>
          <w:tab w:val="left" w:pos="284"/>
        </w:tabs>
        <w:suppressAutoHyphens w:val="0"/>
        <w:ind w:left="284" w:hanging="284"/>
        <w:outlineLvl w:val="0"/>
        <w:rPr>
          <w:rFonts w:eastAsia="Times New Roman"/>
          <w:szCs w:val="22"/>
        </w:rPr>
      </w:pPr>
      <w:r w:rsidRPr="0047462D">
        <w:rPr>
          <w:szCs w:val="22"/>
        </w:rPr>
        <w:t>Ξηροί καρποί, θρεπτικές μπάρες ή ποτά που περιέχουν λίπος</w:t>
      </w:r>
    </w:p>
    <w:p w14:paraId="65D7A279" w14:textId="77777777" w:rsidR="00A67D3A" w:rsidRPr="0047462D" w:rsidRDefault="00A67D3A" w:rsidP="00141E57">
      <w:pPr>
        <w:rPr>
          <w:rFonts w:eastAsia="Times New Roman"/>
          <w:szCs w:val="22"/>
        </w:rPr>
      </w:pPr>
    </w:p>
    <w:p w14:paraId="1C80DD37" w14:textId="73CFCCC9" w:rsidR="00A67D3A" w:rsidRPr="0047462D" w:rsidRDefault="00A67D3A" w:rsidP="00141E57">
      <w:pPr>
        <w:keepNext/>
        <w:rPr>
          <w:rFonts w:eastAsia="Times New Roman"/>
          <w:b/>
          <w:bCs/>
          <w:szCs w:val="22"/>
        </w:rPr>
      </w:pPr>
      <w:r w:rsidRPr="0047462D">
        <w:rPr>
          <w:rFonts w:eastAsia="Times New Roman"/>
          <w:b/>
          <w:bCs/>
          <w:szCs w:val="22"/>
        </w:rPr>
        <w:t>Εάν πάρετε μεγαλύτερη δόση Kalydeco από την κανονική</w:t>
      </w:r>
    </w:p>
    <w:p w14:paraId="05F02DF7" w14:textId="77777777" w:rsidR="001A137E" w:rsidRPr="0047462D" w:rsidRDefault="001A137E" w:rsidP="00141E57">
      <w:pPr>
        <w:keepNext/>
        <w:rPr>
          <w:rFonts w:eastAsia="Times New Roman"/>
          <w:szCs w:val="22"/>
        </w:rPr>
      </w:pPr>
    </w:p>
    <w:p w14:paraId="16B357FB" w14:textId="77777777" w:rsidR="00A67D3A" w:rsidRPr="0047462D" w:rsidRDefault="00A67D3A" w:rsidP="002331FF">
      <w:pPr>
        <w:ind w:right="-2"/>
        <w:rPr>
          <w:i/>
          <w:iCs/>
          <w:szCs w:val="22"/>
          <w:lang w:eastAsia="en-US"/>
        </w:rPr>
      </w:pPr>
      <w:r w:rsidRPr="0047462D">
        <w:rPr>
          <w:rFonts w:eastAsia="Times New Roman"/>
          <w:szCs w:val="22"/>
        </w:rPr>
        <w:t>Ενδέχεται να εμφανίσετε ανεπιθύμητες ενέργειες, συμπεριλαμβανομένων εκείνων που αναγράφονται στην παράγραφο 4 παρακάτω. Εάν συμβεί αυτό, επικοινωνήστε με τον γιατρό ή τον φαρμακοποιό σας για συμβουλή. Εάν είναι δυνατόν, έχετε μαζί σας το φάρμακο και αυτό το φύλλο οδηγιών χρήσης.</w:t>
      </w:r>
    </w:p>
    <w:p w14:paraId="7942F938" w14:textId="77777777" w:rsidR="00A67D3A" w:rsidRPr="0047462D" w:rsidRDefault="00A67D3A" w:rsidP="002331FF">
      <w:pPr>
        <w:ind w:right="-2"/>
      </w:pPr>
    </w:p>
    <w:p w14:paraId="195FCCA9" w14:textId="6A20026B" w:rsidR="00A67D3A" w:rsidRPr="0047462D" w:rsidRDefault="00A67D3A" w:rsidP="00141E57">
      <w:pPr>
        <w:keepNext/>
        <w:rPr>
          <w:rFonts w:eastAsia="Times New Roman"/>
          <w:b/>
          <w:bCs/>
          <w:szCs w:val="22"/>
        </w:rPr>
      </w:pPr>
      <w:r w:rsidRPr="0047462D">
        <w:rPr>
          <w:rFonts w:eastAsia="Times New Roman"/>
          <w:b/>
          <w:bCs/>
          <w:szCs w:val="22"/>
        </w:rPr>
        <w:t>Εάν ξεχάσετε να πάρετε το Kalydeco</w:t>
      </w:r>
    </w:p>
    <w:p w14:paraId="6909AAB8" w14:textId="77777777" w:rsidR="001A137E" w:rsidRPr="0047462D" w:rsidRDefault="001A137E" w:rsidP="00141E57">
      <w:pPr>
        <w:keepNext/>
        <w:rPr>
          <w:rFonts w:eastAsia="Times New Roman"/>
          <w:szCs w:val="22"/>
        </w:rPr>
      </w:pPr>
    </w:p>
    <w:p w14:paraId="0B3B37DB" w14:textId="77777777" w:rsidR="00A67D3A" w:rsidRPr="0047462D" w:rsidRDefault="00A67D3A" w:rsidP="002331FF">
      <w:pPr>
        <w:rPr>
          <w:szCs w:val="22"/>
          <w:lang w:eastAsia="en-US"/>
        </w:rPr>
      </w:pPr>
      <w:r w:rsidRPr="0047462D">
        <w:rPr>
          <w:rFonts w:eastAsia="Times New Roman"/>
          <w:szCs w:val="22"/>
        </w:rPr>
        <w:t>Πάρτε την δόση που ξεχάσατε εάν έχουν περάσει λιγότερες από 6 ώρες από τη στιγμή που παραλείψατε τη δόση. Διαφορετικά, περιμένετε έως την επόμενη προγραμματισμένη δόση σας όπως κανονικά θα κάνατε. Μην πάρετε διπλή δόση για να αναπληρώσετε τη δόση που ξεχάσατε.</w:t>
      </w:r>
    </w:p>
    <w:p w14:paraId="79DA7278" w14:textId="77777777" w:rsidR="00A67D3A" w:rsidRPr="0047462D" w:rsidRDefault="00A67D3A" w:rsidP="002331FF">
      <w:pPr>
        <w:ind w:right="-2"/>
        <w:rPr>
          <w:szCs w:val="22"/>
          <w:lang w:eastAsia="en-US"/>
        </w:rPr>
      </w:pPr>
    </w:p>
    <w:p w14:paraId="4C666259" w14:textId="32E74B9B" w:rsidR="00A67D3A" w:rsidRPr="0047462D" w:rsidRDefault="00A67D3A" w:rsidP="00141E57">
      <w:pPr>
        <w:keepNext/>
        <w:rPr>
          <w:rFonts w:eastAsia="Times New Roman"/>
          <w:b/>
          <w:bCs/>
          <w:szCs w:val="22"/>
          <w:lang w:eastAsia="en-US"/>
        </w:rPr>
      </w:pPr>
      <w:r w:rsidRPr="0047462D">
        <w:rPr>
          <w:rFonts w:eastAsia="Times New Roman"/>
          <w:b/>
          <w:bCs/>
          <w:szCs w:val="22"/>
        </w:rPr>
        <w:t>Εάν σταματήσετε να παίρνετε το Kalydeco</w:t>
      </w:r>
      <w:r w:rsidRPr="0047462D">
        <w:rPr>
          <w:rFonts w:eastAsia="Times New Roman"/>
          <w:b/>
          <w:bCs/>
          <w:szCs w:val="22"/>
          <w:lang w:eastAsia="en-US"/>
        </w:rPr>
        <w:t xml:space="preserve"> </w:t>
      </w:r>
    </w:p>
    <w:p w14:paraId="6E4C4F53" w14:textId="77777777" w:rsidR="001A137E" w:rsidRPr="0047462D" w:rsidRDefault="001A137E" w:rsidP="00141E57">
      <w:pPr>
        <w:keepNext/>
        <w:rPr>
          <w:rFonts w:eastAsia="Times New Roman"/>
          <w:szCs w:val="22"/>
        </w:rPr>
      </w:pPr>
    </w:p>
    <w:p w14:paraId="0ED7DACF" w14:textId="77777777" w:rsidR="00A67D3A" w:rsidRPr="0047462D" w:rsidRDefault="00376A46" w:rsidP="002331FF">
      <w:pPr>
        <w:ind w:right="-2"/>
        <w:rPr>
          <w:szCs w:val="22"/>
          <w:lang w:eastAsia="en-US"/>
        </w:rPr>
      </w:pPr>
      <w:r w:rsidRPr="0047462D">
        <w:rPr>
          <w:bCs/>
        </w:rPr>
        <w:t>Να παίρνετε το Kalydeco για όσο διάστημα σας το συστή</w:t>
      </w:r>
      <w:r w:rsidR="00483481" w:rsidRPr="0047462D">
        <w:rPr>
          <w:bCs/>
        </w:rPr>
        <w:t>σ</w:t>
      </w:r>
      <w:r w:rsidRPr="0047462D">
        <w:rPr>
          <w:bCs/>
        </w:rPr>
        <w:t>ει ο γιατρός σας. Μην το σταματήσετε, εκτός εάν σας το ζητήσει ο γιατρός σας.</w:t>
      </w:r>
      <w:r w:rsidR="00A67D3A" w:rsidRPr="0047462D">
        <w:rPr>
          <w:rFonts w:eastAsia="Times New Roman"/>
          <w:szCs w:val="22"/>
          <w:lang w:eastAsia="en-US"/>
        </w:rPr>
        <w:t xml:space="preserve"> </w:t>
      </w:r>
      <w:r w:rsidR="00A67D3A" w:rsidRPr="0047462D">
        <w:rPr>
          <w:rFonts w:eastAsia="Times New Roman"/>
          <w:szCs w:val="22"/>
        </w:rPr>
        <w:t>Εάν έχετε περισσότερες ερωτήσεις σχετικά με τη χρήση αυτού του φαρμάκου, ρωτήστε τον γιατρό ή τον φαρμακοποιό σας.</w:t>
      </w:r>
    </w:p>
    <w:p w14:paraId="09F1EEF3" w14:textId="77777777" w:rsidR="00A67D3A" w:rsidRPr="0047462D" w:rsidRDefault="00A67D3A" w:rsidP="002331FF">
      <w:pPr>
        <w:ind w:right="-2"/>
        <w:rPr>
          <w:szCs w:val="22"/>
          <w:lang w:eastAsia="en-US"/>
        </w:rPr>
      </w:pPr>
    </w:p>
    <w:p w14:paraId="21689926" w14:textId="77777777" w:rsidR="00A67D3A" w:rsidRPr="0047462D" w:rsidRDefault="00A67D3A">
      <w:pPr>
        <w:ind w:right="-2"/>
        <w:rPr>
          <w:szCs w:val="22"/>
          <w:lang w:eastAsia="en-US"/>
        </w:rPr>
      </w:pPr>
    </w:p>
    <w:p w14:paraId="44C81B79" w14:textId="77777777" w:rsidR="00A67D3A" w:rsidRPr="0047462D" w:rsidRDefault="00A67D3A" w:rsidP="00141E57">
      <w:pPr>
        <w:keepNext/>
        <w:ind w:left="567" w:right="-2"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Πιθανές ανεπιθύμητες ενέργειες</w:t>
      </w:r>
    </w:p>
    <w:p w14:paraId="4BD2D489" w14:textId="77777777" w:rsidR="00A67D3A" w:rsidRPr="0047462D" w:rsidRDefault="00A67D3A" w:rsidP="00141E57">
      <w:pPr>
        <w:keepNext/>
        <w:rPr>
          <w:szCs w:val="22"/>
          <w:lang w:eastAsia="en-US"/>
        </w:rPr>
      </w:pPr>
    </w:p>
    <w:p w14:paraId="723074F7" w14:textId="77777777" w:rsidR="00A67D3A" w:rsidRPr="0047462D" w:rsidRDefault="00A67D3A" w:rsidP="002331FF">
      <w:pPr>
        <w:ind w:right="-29"/>
        <w:rPr>
          <w:szCs w:val="22"/>
          <w:lang w:eastAsia="en-US"/>
        </w:rPr>
      </w:pPr>
      <w:r w:rsidRPr="0047462D">
        <w:rPr>
          <w:rFonts w:eastAsia="Times New Roman"/>
          <w:szCs w:val="22"/>
        </w:rPr>
        <w:t>Όπως όλα τα φάρμακα, έτσι και αυτό το φάρμακο μπορεί να προκαλέσει ανεπιθύμητες ενέργειες</w:t>
      </w:r>
      <w:r w:rsidR="00F85D96" w:rsidRPr="0047462D">
        <w:rPr>
          <w:rFonts w:eastAsia="Times New Roman"/>
          <w:szCs w:val="22"/>
        </w:rPr>
        <w:t>,</w:t>
      </w:r>
      <w:r w:rsidRPr="0047462D">
        <w:rPr>
          <w:rFonts w:eastAsia="Times New Roman"/>
          <w:szCs w:val="22"/>
        </w:rPr>
        <w:t xml:space="preserve"> αν και δεν παρουσιάζονται σε όλους τους ανθρώπους.</w:t>
      </w:r>
    </w:p>
    <w:p w14:paraId="480428D5" w14:textId="77777777" w:rsidR="00A67D3A" w:rsidRPr="0047462D" w:rsidRDefault="00A67D3A" w:rsidP="002331FF">
      <w:pPr>
        <w:ind w:right="-29"/>
        <w:rPr>
          <w:szCs w:val="22"/>
          <w:lang w:eastAsia="en-US"/>
        </w:rPr>
      </w:pPr>
    </w:p>
    <w:p w14:paraId="0F886054" w14:textId="30E59C05" w:rsidR="00571603" w:rsidRPr="0047462D" w:rsidRDefault="00571603" w:rsidP="00141E57">
      <w:pPr>
        <w:rPr>
          <w:rFonts w:eastAsia="Times New Roman"/>
          <w:szCs w:val="22"/>
        </w:rPr>
      </w:pPr>
      <w:r w:rsidRPr="0047462D">
        <w:rPr>
          <w:rFonts w:eastAsia="Times New Roman"/>
          <w:b/>
          <w:szCs w:val="22"/>
        </w:rPr>
        <w:t>Σ</w:t>
      </w:r>
      <w:r w:rsidR="00A67D3A" w:rsidRPr="0047462D">
        <w:rPr>
          <w:rFonts w:eastAsia="Times New Roman"/>
          <w:b/>
          <w:szCs w:val="22"/>
        </w:rPr>
        <w:t>οβαρές ανεπιθύμητες ενέργειες</w:t>
      </w:r>
      <w:r w:rsidR="00A67D3A" w:rsidRPr="0047462D">
        <w:rPr>
          <w:rFonts w:eastAsia="Times New Roman"/>
          <w:szCs w:val="22"/>
        </w:rPr>
        <w:t xml:space="preserve"> </w:t>
      </w:r>
    </w:p>
    <w:p w14:paraId="53B79405" w14:textId="77777777" w:rsidR="00571603" w:rsidRPr="0047462D" w:rsidRDefault="00571603" w:rsidP="00141E57">
      <w:pPr>
        <w:rPr>
          <w:rFonts w:eastAsia="Times New Roman"/>
          <w:szCs w:val="22"/>
        </w:rPr>
      </w:pPr>
    </w:p>
    <w:p w14:paraId="7D3E5D46" w14:textId="3D744FE8" w:rsidR="00571603" w:rsidRPr="0047462D" w:rsidRDefault="00571603" w:rsidP="00141E57">
      <w:pPr>
        <w:rPr>
          <w:rFonts w:eastAsia="Times New Roman"/>
          <w:szCs w:val="22"/>
        </w:rPr>
      </w:pPr>
      <w:r w:rsidRPr="0047462D">
        <w:rPr>
          <w:rFonts w:eastAsia="Times New Roman"/>
          <w:szCs w:val="22"/>
        </w:rPr>
        <w:t>Σ</w:t>
      </w:r>
      <w:r w:rsidR="00A67D3A" w:rsidRPr="0047462D">
        <w:rPr>
          <w:rFonts w:eastAsia="Times New Roman"/>
          <w:szCs w:val="22"/>
        </w:rPr>
        <w:t xml:space="preserve">τομαχικός (κοιλιακός) πόνος και </w:t>
      </w:r>
      <w:r w:rsidR="00941B49" w:rsidRPr="0047462D">
        <w:rPr>
          <w:rFonts w:eastAsia="Times New Roman"/>
          <w:szCs w:val="22"/>
        </w:rPr>
        <w:t>αυξημένα ηπατικά ένζυμα στο αίμα</w:t>
      </w:r>
      <w:r w:rsidR="00A67D3A" w:rsidRPr="0047462D">
        <w:rPr>
          <w:rFonts w:eastAsia="Times New Roman"/>
          <w:szCs w:val="22"/>
        </w:rPr>
        <w:t>.</w:t>
      </w:r>
    </w:p>
    <w:p w14:paraId="28CA19CC" w14:textId="77777777" w:rsidR="00571603" w:rsidRPr="0047462D" w:rsidRDefault="00571603" w:rsidP="00571603">
      <w:pPr>
        <w:numPr>
          <w:ilvl w:val="12"/>
          <w:numId w:val="0"/>
        </w:numPr>
        <w:ind w:right="-29"/>
      </w:pPr>
    </w:p>
    <w:p w14:paraId="6C4C7E53" w14:textId="68283947" w:rsidR="00571603" w:rsidRPr="0047462D" w:rsidRDefault="00DE11A4" w:rsidP="00571603">
      <w:pPr>
        <w:keepNext/>
        <w:numPr>
          <w:ilvl w:val="12"/>
          <w:numId w:val="0"/>
        </w:numPr>
        <w:ind w:right="-29"/>
        <w:rPr>
          <w:b/>
          <w:bCs/>
        </w:rPr>
      </w:pPr>
      <w:r w:rsidRPr="0047462D">
        <w:rPr>
          <w:rStyle w:val="Strong"/>
        </w:rPr>
        <w:t>Πιθανές ενδείξεις ηπατικών προβλημάτων</w:t>
      </w:r>
    </w:p>
    <w:p w14:paraId="005958AB" w14:textId="72E2F68E" w:rsidR="00DE11A4" w:rsidRPr="0047462D" w:rsidRDefault="00DE11A4" w:rsidP="00DE11A4">
      <w:pPr>
        <w:pStyle w:val="Body"/>
        <w:keepNext/>
        <w:tabs>
          <w:tab w:val="clear" w:pos="567"/>
          <w:tab w:val="left" w:pos="6819"/>
        </w:tabs>
        <w:rPr>
          <w:rStyle w:val="hps"/>
        </w:rPr>
      </w:pPr>
      <w:r w:rsidRPr="0047462D">
        <w:rPr>
          <w:rStyle w:val="hps"/>
        </w:rPr>
        <w:t>Τα αυξημένα ηπατικά ένζυμα στο αίμα είναι συχνά σε ασθενείς με ΚΙ. Τα ακόλουθα μπορεί να αποτελούν ενδείξεις ηπατικών προβλημάτων:</w:t>
      </w:r>
    </w:p>
    <w:p w14:paraId="347BBB66" w14:textId="78D3FEB6" w:rsidR="00DE11A4" w:rsidRPr="0047462D" w:rsidRDefault="00DE11A4" w:rsidP="00DE11A4">
      <w:pPr>
        <w:numPr>
          <w:ilvl w:val="0"/>
          <w:numId w:val="68"/>
        </w:numPr>
        <w:suppressLineNumbers/>
        <w:tabs>
          <w:tab w:val="clear" w:pos="360"/>
        </w:tabs>
        <w:suppressAutoHyphens w:val="0"/>
        <w:ind w:left="567"/>
      </w:pPr>
      <w:r w:rsidRPr="0047462D">
        <w:rPr>
          <w:rStyle w:val="hps"/>
        </w:rPr>
        <w:t>Πόνος ή δυσφορία στο επάνω δεξιό τμήμα της στομαχικής (κοιλιακής) περιοχής</w:t>
      </w:r>
    </w:p>
    <w:p w14:paraId="09D10F6D" w14:textId="66C8B368" w:rsidR="00DE11A4" w:rsidRPr="0047462D" w:rsidRDefault="00DE11A4" w:rsidP="00DE11A4">
      <w:pPr>
        <w:numPr>
          <w:ilvl w:val="0"/>
          <w:numId w:val="68"/>
        </w:numPr>
        <w:suppressLineNumbers/>
        <w:tabs>
          <w:tab w:val="clear" w:pos="360"/>
        </w:tabs>
        <w:suppressAutoHyphens w:val="0"/>
        <w:ind w:left="567"/>
      </w:pPr>
      <w:r w:rsidRPr="0047462D">
        <w:rPr>
          <w:rStyle w:val="hps"/>
        </w:rPr>
        <w:t>Κιτρίνισμα του δέρματος ή του λευκού μέρους των ματιών</w:t>
      </w:r>
    </w:p>
    <w:p w14:paraId="34497422" w14:textId="0A3A368A" w:rsidR="00DE11A4" w:rsidRPr="0047462D" w:rsidRDefault="00DE11A4" w:rsidP="00DE11A4">
      <w:pPr>
        <w:numPr>
          <w:ilvl w:val="0"/>
          <w:numId w:val="68"/>
        </w:numPr>
        <w:suppressLineNumbers/>
        <w:tabs>
          <w:tab w:val="clear" w:pos="360"/>
        </w:tabs>
        <w:suppressAutoHyphens w:val="0"/>
        <w:ind w:left="567"/>
      </w:pPr>
      <w:r w:rsidRPr="0047462D">
        <w:rPr>
          <w:rStyle w:val="hps"/>
        </w:rPr>
        <w:t>Απώλεια της όρεξης</w:t>
      </w:r>
    </w:p>
    <w:p w14:paraId="00F90449" w14:textId="05F2B473" w:rsidR="00DE11A4" w:rsidRPr="0047462D" w:rsidRDefault="00DE11A4" w:rsidP="00DE11A4">
      <w:pPr>
        <w:numPr>
          <w:ilvl w:val="0"/>
          <w:numId w:val="68"/>
        </w:numPr>
        <w:suppressLineNumbers/>
        <w:tabs>
          <w:tab w:val="clear" w:pos="360"/>
        </w:tabs>
        <w:suppressAutoHyphens w:val="0"/>
        <w:ind w:left="567"/>
      </w:pPr>
      <w:r w:rsidRPr="0047462D">
        <w:rPr>
          <w:rStyle w:val="hps"/>
        </w:rPr>
        <w:t>Ναυτία ή εμετός</w:t>
      </w:r>
    </w:p>
    <w:p w14:paraId="6C262661" w14:textId="6C22BF7B" w:rsidR="00DE11A4" w:rsidRPr="0047462D" w:rsidRDefault="00DE11A4" w:rsidP="00DE11A4">
      <w:pPr>
        <w:numPr>
          <w:ilvl w:val="0"/>
          <w:numId w:val="68"/>
        </w:numPr>
        <w:suppressLineNumbers/>
        <w:tabs>
          <w:tab w:val="clear" w:pos="360"/>
        </w:tabs>
        <w:suppressAutoHyphens w:val="0"/>
        <w:ind w:left="567"/>
      </w:pPr>
      <w:r w:rsidRPr="0047462D">
        <w:rPr>
          <w:rStyle w:val="hps"/>
        </w:rPr>
        <w:t>Σκούρα ούρα</w:t>
      </w:r>
    </w:p>
    <w:p w14:paraId="0819984E" w14:textId="77777777" w:rsidR="00DE11A4" w:rsidRPr="0047462D" w:rsidRDefault="00DE11A4" w:rsidP="00DE11A4">
      <w:pPr>
        <w:pStyle w:val="Body"/>
        <w:keepNext/>
        <w:tabs>
          <w:tab w:val="clear" w:pos="567"/>
          <w:tab w:val="left" w:pos="6819"/>
        </w:tabs>
      </w:pPr>
    </w:p>
    <w:p w14:paraId="629F4C04" w14:textId="3EB34690" w:rsidR="00A67D3A" w:rsidRPr="0047462D" w:rsidRDefault="00571603" w:rsidP="00141E57">
      <w:pPr>
        <w:rPr>
          <w:szCs w:val="22"/>
          <w:lang w:eastAsia="en-US"/>
        </w:rPr>
      </w:pPr>
      <w:r w:rsidRPr="0047462D">
        <w:rPr>
          <w:rFonts w:eastAsia="Times New Roman"/>
          <w:b/>
          <w:bCs/>
          <w:szCs w:val="22"/>
        </w:rPr>
        <w:t>Ενημερώστε</w:t>
      </w:r>
      <w:r w:rsidR="0088628B" w:rsidRPr="0047462D">
        <w:rPr>
          <w:rFonts w:eastAsia="Times New Roman"/>
          <w:b/>
          <w:bCs/>
          <w:szCs w:val="22"/>
        </w:rPr>
        <w:t xml:space="preserve"> </w:t>
      </w:r>
      <w:r w:rsidR="00DE11A4" w:rsidRPr="0047462D">
        <w:rPr>
          <w:rFonts w:eastAsia="Times New Roman"/>
          <w:b/>
          <w:bCs/>
          <w:szCs w:val="22"/>
        </w:rPr>
        <w:t xml:space="preserve">αμέσως </w:t>
      </w:r>
      <w:r w:rsidR="0088628B" w:rsidRPr="0047462D">
        <w:rPr>
          <w:rFonts w:eastAsia="Times New Roman"/>
          <w:b/>
          <w:bCs/>
          <w:szCs w:val="22"/>
        </w:rPr>
        <w:t>τον γιατρό σας</w:t>
      </w:r>
      <w:r w:rsidR="00D751FD" w:rsidRPr="0047462D">
        <w:rPr>
          <w:rFonts w:eastAsia="Times New Roman"/>
          <w:szCs w:val="22"/>
        </w:rPr>
        <w:t xml:space="preserve"> </w:t>
      </w:r>
      <w:r w:rsidR="0088628B" w:rsidRPr="0047462D">
        <w:rPr>
          <w:rFonts w:eastAsia="Times New Roman"/>
          <w:szCs w:val="22"/>
        </w:rPr>
        <w:t xml:space="preserve">εάν </w:t>
      </w:r>
      <w:r w:rsidR="00941B49" w:rsidRPr="0047462D">
        <w:rPr>
          <w:rFonts w:eastAsia="Times New Roman"/>
          <w:szCs w:val="22"/>
        </w:rPr>
        <w:t>παρουσιάσετε οποιαδήποτε</w:t>
      </w:r>
      <w:r w:rsidR="00941B49" w:rsidRPr="0047462D">
        <w:t xml:space="preserve"> από </w:t>
      </w:r>
      <w:r w:rsidR="00941B49" w:rsidRPr="0047462D">
        <w:rPr>
          <w:rFonts w:eastAsia="Times New Roman"/>
          <w:szCs w:val="22"/>
        </w:rPr>
        <w:t>αυτές</w:t>
      </w:r>
      <w:r w:rsidR="0088628B" w:rsidRPr="0047462D">
        <w:t>.</w:t>
      </w:r>
    </w:p>
    <w:p w14:paraId="14343116" w14:textId="77777777" w:rsidR="00A67D3A" w:rsidRPr="0047462D" w:rsidRDefault="00A67D3A" w:rsidP="002331FF">
      <w:pPr>
        <w:ind w:right="-29"/>
        <w:rPr>
          <w:szCs w:val="22"/>
          <w:lang w:eastAsia="en-US"/>
        </w:rPr>
      </w:pPr>
    </w:p>
    <w:p w14:paraId="314BE798" w14:textId="77777777" w:rsidR="00A67D3A" w:rsidRPr="0047462D" w:rsidRDefault="00A67D3A" w:rsidP="00141E57">
      <w:pPr>
        <w:keepNext/>
        <w:rPr>
          <w:rFonts w:eastAsia="Times New Roman"/>
          <w:szCs w:val="22"/>
        </w:rPr>
      </w:pPr>
      <w:r w:rsidRPr="0047462D">
        <w:rPr>
          <w:rFonts w:eastAsia="Times New Roman"/>
          <w:b/>
          <w:bCs/>
          <w:szCs w:val="22"/>
        </w:rPr>
        <w:t>Πολύ συχνές</w:t>
      </w:r>
      <w:r w:rsidRPr="0047462D">
        <w:rPr>
          <w:rFonts w:eastAsia="Times New Roman"/>
          <w:szCs w:val="22"/>
        </w:rPr>
        <w:t xml:space="preserve"> ανεπιθύμητες ενέργειες (ενδέχεται να επηρεάζουν περισσότερα από 1 στα 10 άτομα</w:t>
      </w:r>
      <w:r w:rsidR="00593A84" w:rsidRPr="0047462D">
        <w:rPr>
          <w:rFonts w:eastAsia="Times New Roman"/>
          <w:szCs w:val="22"/>
        </w:rPr>
        <w:t>)</w:t>
      </w:r>
    </w:p>
    <w:p w14:paraId="48007A73"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Λοίμωξη του ανώτερου αναπνευστικού (κοινό κρυολόγημα), συμπεριλαμβανομένου πονόλαιμου και ρινικής συμφόρησης</w:t>
      </w:r>
    </w:p>
    <w:p w14:paraId="55666B83"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Πονοκέφαλος</w:t>
      </w:r>
    </w:p>
    <w:p w14:paraId="55376358"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Ζάλη</w:t>
      </w:r>
    </w:p>
    <w:p w14:paraId="48EB103E" w14:textId="461A2AC1"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Διάρροια</w:t>
      </w:r>
    </w:p>
    <w:p w14:paraId="7CDAFC3A" w14:textId="601F6F72" w:rsidR="00A67D3A" w:rsidRPr="0047462D" w:rsidRDefault="00DE11A4" w:rsidP="002877EB">
      <w:pPr>
        <w:numPr>
          <w:ilvl w:val="0"/>
          <w:numId w:val="68"/>
        </w:numPr>
        <w:suppressLineNumbers/>
        <w:tabs>
          <w:tab w:val="clear" w:pos="360"/>
        </w:tabs>
        <w:suppressAutoHyphens w:val="0"/>
        <w:ind w:left="567"/>
        <w:rPr>
          <w:rStyle w:val="hps"/>
        </w:rPr>
      </w:pPr>
      <w:r w:rsidRPr="0047462D">
        <w:rPr>
          <w:rStyle w:val="hps"/>
        </w:rPr>
        <w:t>Στομαχικός ή κοιλιακός πόνος</w:t>
      </w:r>
    </w:p>
    <w:p w14:paraId="780B37E0" w14:textId="412CB59C" w:rsidR="00A67D3A" w:rsidRPr="0047462D" w:rsidRDefault="00A67D3A" w:rsidP="00DE11A4">
      <w:pPr>
        <w:numPr>
          <w:ilvl w:val="0"/>
          <w:numId w:val="68"/>
        </w:numPr>
        <w:suppressLineNumbers/>
        <w:tabs>
          <w:tab w:val="clear" w:pos="360"/>
        </w:tabs>
        <w:suppressAutoHyphens w:val="0"/>
        <w:ind w:left="567"/>
        <w:rPr>
          <w:rStyle w:val="hps"/>
        </w:rPr>
      </w:pPr>
      <w:r w:rsidRPr="0047462D">
        <w:rPr>
          <w:rStyle w:val="hps"/>
        </w:rPr>
        <w:t>Αλλαγές στον τύπο βακτηρίων στις βλέννες</w:t>
      </w:r>
    </w:p>
    <w:p w14:paraId="6B3FFDC2" w14:textId="41BC4184" w:rsidR="00DE11A4" w:rsidRPr="0047462D" w:rsidRDefault="00DE11A4" w:rsidP="00DE11A4">
      <w:pPr>
        <w:numPr>
          <w:ilvl w:val="0"/>
          <w:numId w:val="68"/>
        </w:numPr>
        <w:suppressLineNumbers/>
        <w:tabs>
          <w:tab w:val="clear" w:pos="360"/>
        </w:tabs>
        <w:suppressAutoHyphens w:val="0"/>
        <w:ind w:left="567"/>
        <w:rPr>
          <w:rStyle w:val="hps"/>
        </w:rPr>
      </w:pPr>
      <w:r w:rsidRPr="0047462D">
        <w:rPr>
          <w:rStyle w:val="hps"/>
        </w:rPr>
        <w:t>Αυξημένα ηπατικά ένζυμα (ενδείξεις καταπόνησης του ήπατος)</w:t>
      </w:r>
    </w:p>
    <w:p w14:paraId="6E2A3067" w14:textId="06C4CEDA"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Εξάνθημα</w:t>
      </w:r>
    </w:p>
    <w:p w14:paraId="616B817C" w14:textId="77777777" w:rsidR="00A67D3A" w:rsidRPr="0047462D" w:rsidRDefault="00A67D3A">
      <w:pPr>
        <w:rPr>
          <w:bCs/>
          <w:szCs w:val="22"/>
        </w:rPr>
      </w:pPr>
    </w:p>
    <w:p w14:paraId="74536EA6" w14:textId="77777777" w:rsidR="00A67D3A" w:rsidRPr="0047462D" w:rsidRDefault="00A67D3A" w:rsidP="00A920CD">
      <w:pPr>
        <w:keepNext/>
        <w:rPr>
          <w:rFonts w:eastAsia="Times New Roman"/>
          <w:szCs w:val="22"/>
        </w:rPr>
      </w:pPr>
      <w:r w:rsidRPr="0047462D">
        <w:rPr>
          <w:rFonts w:eastAsia="Times New Roman"/>
          <w:b/>
          <w:bCs/>
          <w:szCs w:val="22"/>
        </w:rPr>
        <w:t>Συχνές</w:t>
      </w:r>
      <w:r w:rsidRPr="0047462D">
        <w:rPr>
          <w:rFonts w:eastAsia="Times New Roman"/>
          <w:szCs w:val="22"/>
        </w:rPr>
        <w:t xml:space="preserve"> ανεπιθύμητες ενέργειες (ενδέχεται να επηρεάζουν έως και 1 στα 10 άτομα</w:t>
      </w:r>
      <w:r w:rsidR="00593A84" w:rsidRPr="0047462D">
        <w:rPr>
          <w:rFonts w:eastAsia="Times New Roman"/>
          <w:szCs w:val="22"/>
        </w:rPr>
        <w:t>)</w:t>
      </w:r>
    </w:p>
    <w:p w14:paraId="3FC8D921"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Συνάχι</w:t>
      </w:r>
    </w:p>
    <w:p w14:paraId="173EA686"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Πόνος στα αυτιά, δυσφορία στα αυτιά</w:t>
      </w:r>
    </w:p>
    <w:p w14:paraId="59872CDC"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Κουδούνισμα στα αυτιά</w:t>
      </w:r>
    </w:p>
    <w:p w14:paraId="31D0C705" w14:textId="77777777" w:rsidR="00E80D9A" w:rsidRPr="0047462D" w:rsidRDefault="00A67D3A" w:rsidP="002877EB">
      <w:pPr>
        <w:numPr>
          <w:ilvl w:val="0"/>
          <w:numId w:val="68"/>
        </w:numPr>
        <w:suppressLineNumbers/>
        <w:tabs>
          <w:tab w:val="clear" w:pos="360"/>
        </w:tabs>
        <w:suppressAutoHyphens w:val="0"/>
        <w:ind w:left="567"/>
        <w:rPr>
          <w:rStyle w:val="hps"/>
        </w:rPr>
      </w:pPr>
      <w:r w:rsidRPr="0047462D">
        <w:rPr>
          <w:rStyle w:val="hps"/>
        </w:rPr>
        <w:t>Ερυθρότητα στο εσωτερικό του αυτιού</w:t>
      </w:r>
    </w:p>
    <w:p w14:paraId="316FCF27" w14:textId="77777777" w:rsidR="00E80D9A" w:rsidRPr="0047462D" w:rsidRDefault="00ED7342" w:rsidP="002877EB">
      <w:pPr>
        <w:numPr>
          <w:ilvl w:val="0"/>
          <w:numId w:val="68"/>
        </w:numPr>
        <w:suppressLineNumbers/>
        <w:tabs>
          <w:tab w:val="clear" w:pos="360"/>
        </w:tabs>
        <w:suppressAutoHyphens w:val="0"/>
        <w:ind w:left="567"/>
        <w:rPr>
          <w:rStyle w:val="hps"/>
        </w:rPr>
      </w:pPr>
      <w:r w:rsidRPr="0047462D">
        <w:rPr>
          <w:rStyle w:val="hps"/>
        </w:rPr>
        <w:t>Διαταραχή έσω αυτιού</w:t>
      </w:r>
      <w:r w:rsidR="005959C6" w:rsidRPr="0047462D">
        <w:rPr>
          <w:rStyle w:val="hps"/>
        </w:rPr>
        <w:t xml:space="preserve"> (</w:t>
      </w:r>
      <w:r w:rsidR="004D3FF0" w:rsidRPr="0047462D">
        <w:rPr>
          <w:rStyle w:val="hps"/>
        </w:rPr>
        <w:t>αίσθημα ζάλης ή περιστροφής</w:t>
      </w:r>
      <w:r w:rsidR="005959C6" w:rsidRPr="0047462D">
        <w:rPr>
          <w:rStyle w:val="hps"/>
        </w:rPr>
        <w:t>)</w:t>
      </w:r>
    </w:p>
    <w:p w14:paraId="296AD7D2" w14:textId="31034C25" w:rsidR="005959C6" w:rsidRPr="0047462D" w:rsidRDefault="00DE11A4" w:rsidP="002877EB">
      <w:pPr>
        <w:numPr>
          <w:ilvl w:val="0"/>
          <w:numId w:val="68"/>
        </w:numPr>
        <w:suppressLineNumbers/>
        <w:tabs>
          <w:tab w:val="clear" w:pos="360"/>
        </w:tabs>
        <w:suppressAutoHyphens w:val="0"/>
        <w:ind w:left="567"/>
        <w:rPr>
          <w:rStyle w:val="hps"/>
        </w:rPr>
      </w:pPr>
      <w:r w:rsidRPr="0047462D">
        <w:rPr>
          <w:rStyle w:val="hps"/>
        </w:rPr>
        <w:t>Προβλήματα των κόλπων του προσώπου (σ</w:t>
      </w:r>
      <w:r w:rsidR="00ED7342" w:rsidRPr="0047462D">
        <w:rPr>
          <w:rStyle w:val="hps"/>
        </w:rPr>
        <w:t>υμφόρηση των κόλπων του προσώπου</w:t>
      </w:r>
      <w:r w:rsidR="00875809" w:rsidRPr="0047462D">
        <w:rPr>
          <w:rStyle w:val="hps"/>
        </w:rPr>
        <w:t>/της μύτης</w:t>
      </w:r>
      <w:r w:rsidRPr="0047462D">
        <w:rPr>
          <w:rStyle w:val="hps"/>
        </w:rPr>
        <w:t>)</w:t>
      </w:r>
    </w:p>
    <w:p w14:paraId="02E6662A" w14:textId="77777777" w:rsidR="005959C6" w:rsidRPr="0047462D" w:rsidRDefault="00ED7342" w:rsidP="002877EB">
      <w:pPr>
        <w:numPr>
          <w:ilvl w:val="0"/>
          <w:numId w:val="68"/>
        </w:numPr>
        <w:suppressLineNumbers/>
        <w:tabs>
          <w:tab w:val="clear" w:pos="360"/>
        </w:tabs>
        <w:suppressAutoHyphens w:val="0"/>
        <w:ind w:left="567"/>
        <w:rPr>
          <w:rStyle w:val="hps"/>
        </w:rPr>
      </w:pPr>
      <w:r w:rsidRPr="0047462D">
        <w:rPr>
          <w:rStyle w:val="hps"/>
        </w:rPr>
        <w:t>Ερυθρότητα στον λαιμό</w:t>
      </w:r>
    </w:p>
    <w:p w14:paraId="5BEA08B0" w14:textId="1EC8D112" w:rsidR="00A67D3A" w:rsidRPr="0047462D" w:rsidRDefault="00283D8D" w:rsidP="002877EB">
      <w:pPr>
        <w:numPr>
          <w:ilvl w:val="0"/>
          <w:numId w:val="68"/>
        </w:numPr>
        <w:suppressLineNumbers/>
        <w:tabs>
          <w:tab w:val="clear" w:pos="360"/>
        </w:tabs>
        <w:suppressAutoHyphens w:val="0"/>
        <w:ind w:left="567"/>
        <w:rPr>
          <w:rStyle w:val="hps"/>
        </w:rPr>
      </w:pPr>
      <w:r w:rsidRPr="0047462D">
        <w:rPr>
          <w:rStyle w:val="hps"/>
        </w:rPr>
        <w:t>Μάζα στον μαστό</w:t>
      </w:r>
    </w:p>
    <w:p w14:paraId="3C5C20F5" w14:textId="0A5DE3BD" w:rsidR="009B437C" w:rsidRPr="0047462D" w:rsidRDefault="009B437C" w:rsidP="00DE11A4">
      <w:pPr>
        <w:numPr>
          <w:ilvl w:val="0"/>
          <w:numId w:val="68"/>
        </w:numPr>
        <w:suppressLineNumbers/>
        <w:tabs>
          <w:tab w:val="clear" w:pos="360"/>
        </w:tabs>
        <w:suppressAutoHyphens w:val="0"/>
        <w:ind w:left="567"/>
        <w:rPr>
          <w:rStyle w:val="hps"/>
        </w:rPr>
      </w:pPr>
      <w:r w:rsidRPr="0047462D">
        <w:rPr>
          <w:rStyle w:val="hps"/>
        </w:rPr>
        <w:t>Αίσθημα αδιαθεσίας (ναυτία)</w:t>
      </w:r>
    </w:p>
    <w:p w14:paraId="7A1DB569" w14:textId="065B4EC3"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Γρίπη</w:t>
      </w:r>
    </w:p>
    <w:p w14:paraId="60C573E7" w14:textId="4F4A6C9C"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Χαμηλό επίπεδο σακχάρου στο αίμα (υπογλυκαιμία)</w:t>
      </w:r>
    </w:p>
    <w:p w14:paraId="11FC6161" w14:textId="41821A97"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Μη φυσιολογική αναπνοή (λαχάνιασμα ή δυσκολία στην αναπνοή)</w:t>
      </w:r>
    </w:p>
    <w:p w14:paraId="1A306E67" w14:textId="77C084C5"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Αέρια (μετεωρισμός)</w:t>
      </w:r>
    </w:p>
    <w:p w14:paraId="4F0826AE" w14:textId="4221ED2E"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Σπυράκια (ακμή)</w:t>
      </w:r>
    </w:p>
    <w:p w14:paraId="06C0C312" w14:textId="773D45F4"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Φαγούρα στο δέρμα</w:t>
      </w:r>
    </w:p>
    <w:p w14:paraId="4EF687ED" w14:textId="47ACB059"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Αυξημένη φωσφοκινάση της κρεατίνης (ένδειξη καταστροφής των μυών) που παρατηρείται στις εξετάσεις αίματος</w:t>
      </w:r>
    </w:p>
    <w:p w14:paraId="35691964" w14:textId="77777777" w:rsidR="00A67D3A" w:rsidRPr="0047462D" w:rsidRDefault="00A67D3A" w:rsidP="00141E57">
      <w:pPr>
        <w:rPr>
          <w:rFonts w:eastAsia="Times New Roman"/>
          <w:bCs/>
          <w:szCs w:val="22"/>
        </w:rPr>
      </w:pPr>
    </w:p>
    <w:p w14:paraId="1BFFE89F" w14:textId="77777777" w:rsidR="00A67D3A" w:rsidRPr="0047462D" w:rsidRDefault="00A67D3A" w:rsidP="002331FF">
      <w:pPr>
        <w:keepNext/>
        <w:rPr>
          <w:rFonts w:eastAsia="Times New Roman"/>
          <w:szCs w:val="22"/>
        </w:rPr>
      </w:pPr>
      <w:r w:rsidRPr="0047462D">
        <w:rPr>
          <w:rFonts w:eastAsia="Times New Roman"/>
          <w:b/>
          <w:bCs/>
          <w:szCs w:val="22"/>
        </w:rPr>
        <w:t>Όχι συχνές</w:t>
      </w:r>
      <w:r w:rsidRPr="0047462D">
        <w:rPr>
          <w:rFonts w:eastAsia="Times New Roman"/>
          <w:szCs w:val="22"/>
        </w:rPr>
        <w:t xml:space="preserve"> ανεπιθύμητες ενέργειες (ενδέχεται να επηρεάζουν έως και 1 στα 100 άτομα</w:t>
      </w:r>
      <w:r w:rsidR="00593A84" w:rsidRPr="0047462D">
        <w:rPr>
          <w:rFonts w:eastAsia="Times New Roman"/>
          <w:szCs w:val="22"/>
        </w:rPr>
        <w:t>)</w:t>
      </w:r>
    </w:p>
    <w:p w14:paraId="438BE6B1"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 xml:space="preserve">Συμφόρηση αυτιού </w:t>
      </w:r>
    </w:p>
    <w:p w14:paraId="691DE05A"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Φλεγμονή μαστών</w:t>
      </w:r>
    </w:p>
    <w:p w14:paraId="3A34C48C"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Διόγκωση μαστών</w:t>
      </w:r>
      <w:r w:rsidR="008C7489" w:rsidRPr="0047462D">
        <w:rPr>
          <w:rStyle w:val="hps"/>
        </w:rPr>
        <w:t xml:space="preserve"> στους άνδρες</w:t>
      </w:r>
    </w:p>
    <w:p w14:paraId="1564FF43" w14:textId="0F84B1F9" w:rsidR="00A67D3A" w:rsidRPr="0047462D" w:rsidRDefault="00A67D3A" w:rsidP="00DE11A4">
      <w:pPr>
        <w:numPr>
          <w:ilvl w:val="0"/>
          <w:numId w:val="68"/>
        </w:numPr>
        <w:suppressLineNumbers/>
        <w:tabs>
          <w:tab w:val="clear" w:pos="360"/>
        </w:tabs>
        <w:suppressAutoHyphens w:val="0"/>
        <w:ind w:left="567"/>
        <w:rPr>
          <w:rStyle w:val="hps"/>
        </w:rPr>
      </w:pPr>
      <w:r w:rsidRPr="0047462D">
        <w:rPr>
          <w:rStyle w:val="hps"/>
        </w:rPr>
        <w:t>Μεταβολές ή πόνος θηλών</w:t>
      </w:r>
    </w:p>
    <w:p w14:paraId="70AC604A" w14:textId="31B1BF6C" w:rsidR="00DE11A4" w:rsidRPr="0047462D" w:rsidRDefault="00DE11A4" w:rsidP="00DE11A4">
      <w:pPr>
        <w:numPr>
          <w:ilvl w:val="0"/>
          <w:numId w:val="68"/>
        </w:numPr>
        <w:suppressLineNumbers/>
        <w:tabs>
          <w:tab w:val="clear" w:pos="360"/>
        </w:tabs>
        <w:suppressAutoHyphens w:val="0"/>
        <w:ind w:left="567"/>
        <w:rPr>
          <w:rStyle w:val="hps"/>
        </w:rPr>
      </w:pPr>
      <w:r w:rsidRPr="0047462D">
        <w:rPr>
          <w:rStyle w:val="hps"/>
        </w:rPr>
        <w:t>Συριγμός</w:t>
      </w:r>
    </w:p>
    <w:p w14:paraId="0B0953CD" w14:textId="3DF9C1D6"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Αυξημένη αρτηριακή πίεση</w:t>
      </w:r>
    </w:p>
    <w:p w14:paraId="5EA15CFE" w14:textId="77777777" w:rsidR="00A67D3A" w:rsidRPr="0047462D" w:rsidRDefault="00A67D3A">
      <w:pPr>
        <w:ind w:right="-2"/>
        <w:rPr>
          <w:rFonts w:eastAsia="Times New Roman"/>
          <w:szCs w:val="22"/>
        </w:rPr>
      </w:pPr>
    </w:p>
    <w:p w14:paraId="6F796A31" w14:textId="008C1114" w:rsidR="00941B49" w:rsidRPr="0047462D" w:rsidRDefault="00941B49" w:rsidP="007307BE">
      <w:pPr>
        <w:keepNext/>
        <w:rPr>
          <w:b/>
          <w:noProof/>
          <w:szCs w:val="22"/>
        </w:rPr>
      </w:pPr>
      <w:r w:rsidRPr="0047462D">
        <w:rPr>
          <w:b/>
        </w:rPr>
        <w:t>Συμπληρωματικές ανεπιθύμητες ενέργειες σε παιδιά</w:t>
      </w:r>
      <w:r w:rsidRPr="0047462D">
        <w:rPr>
          <w:b/>
          <w:noProof/>
          <w:szCs w:val="22"/>
        </w:rPr>
        <w:t xml:space="preserve"> </w:t>
      </w:r>
      <w:r w:rsidR="00C64505" w:rsidRPr="0047462D">
        <w:rPr>
          <w:b/>
          <w:noProof/>
          <w:szCs w:val="22"/>
        </w:rPr>
        <w:t>και εφήβους</w:t>
      </w:r>
    </w:p>
    <w:p w14:paraId="1877CB5D" w14:textId="77777777" w:rsidR="001A137E" w:rsidRPr="0047462D" w:rsidRDefault="001A137E" w:rsidP="007307BE">
      <w:pPr>
        <w:keepNext/>
        <w:rPr>
          <w:b/>
          <w:noProof/>
          <w:szCs w:val="22"/>
        </w:rPr>
      </w:pPr>
    </w:p>
    <w:p w14:paraId="1FEBC58D" w14:textId="77777777" w:rsidR="00941B49" w:rsidRPr="0047462D" w:rsidRDefault="00941B49" w:rsidP="002331FF">
      <w:pPr>
        <w:rPr>
          <w:b/>
          <w:noProof/>
          <w:szCs w:val="22"/>
        </w:rPr>
      </w:pPr>
      <w:r w:rsidRPr="0047462D">
        <w:t xml:space="preserve">Οι </w:t>
      </w:r>
      <w:r w:rsidR="00D03BE2" w:rsidRPr="0047462D">
        <w:t>ανεπιθύμητες</w:t>
      </w:r>
      <w:r w:rsidRPr="0047462D">
        <w:t xml:space="preserve"> ενέργειες που παρατηρήθηκαν σε παιδιά </w:t>
      </w:r>
      <w:r w:rsidR="00C64505" w:rsidRPr="0047462D">
        <w:t xml:space="preserve">και εφήβους </w:t>
      </w:r>
      <w:r w:rsidRPr="0047462D">
        <w:t>είναι παρόµοιες µε αυτές που παρατηρήθηκαν σε ενήλικες. Ωστόσο, αυξημένα ηπατικά ένζυμα παρατηρούνται συχνότερα σε νεαρά παιδιά.</w:t>
      </w:r>
    </w:p>
    <w:p w14:paraId="33066D7E" w14:textId="77777777" w:rsidR="00941B49" w:rsidRPr="0047462D" w:rsidRDefault="00941B49" w:rsidP="002331FF">
      <w:pPr>
        <w:rPr>
          <w:b/>
          <w:noProof/>
          <w:szCs w:val="22"/>
        </w:rPr>
      </w:pPr>
    </w:p>
    <w:p w14:paraId="18A34841" w14:textId="46C170DF" w:rsidR="00A67D3A" w:rsidRPr="0047462D" w:rsidRDefault="00A67D3A" w:rsidP="00141E57">
      <w:pPr>
        <w:keepNext/>
        <w:rPr>
          <w:b/>
          <w:noProof/>
          <w:szCs w:val="22"/>
        </w:rPr>
      </w:pPr>
      <w:r w:rsidRPr="0047462D">
        <w:rPr>
          <w:b/>
          <w:noProof/>
          <w:szCs w:val="22"/>
        </w:rPr>
        <w:t>Αναφορά ανεπιθύμητων ενεργειών</w:t>
      </w:r>
    </w:p>
    <w:p w14:paraId="0614084C" w14:textId="77777777" w:rsidR="001A137E" w:rsidRPr="0047462D" w:rsidRDefault="001A137E" w:rsidP="00141E57">
      <w:pPr>
        <w:keepNext/>
        <w:rPr>
          <w:b/>
          <w:noProof/>
          <w:szCs w:val="22"/>
        </w:rPr>
      </w:pPr>
    </w:p>
    <w:p w14:paraId="4B17920C" w14:textId="77777777" w:rsidR="00A67D3A" w:rsidRPr="0047462D" w:rsidRDefault="00A67D3A" w:rsidP="002331FF">
      <w:pPr>
        <w:ind w:right="-2"/>
        <w:rPr>
          <w:szCs w:val="22"/>
          <w:lang w:eastAsia="en-US"/>
        </w:rPr>
      </w:pPr>
      <w:r w:rsidRPr="0047462D">
        <w:rPr>
          <w:rFonts w:eastAsia="Times New Roman"/>
          <w:szCs w:val="22"/>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sidRPr="0047462D">
        <w:rPr>
          <w:szCs w:val="22"/>
        </w:rPr>
        <w:t>Μπορείτε επίσης να αναφέρετε ανεπιθύμητες ενέργειες</w:t>
      </w:r>
      <w:r w:rsidRPr="0047462D">
        <w:rPr>
          <w:noProof/>
          <w:szCs w:val="22"/>
        </w:rPr>
        <w:t xml:space="preserve"> </w:t>
      </w:r>
      <w:r w:rsidRPr="0047462D">
        <w:rPr>
          <w:szCs w:val="22"/>
        </w:rPr>
        <w:t>απευθείας</w:t>
      </w:r>
      <w:r w:rsidRPr="0047462D">
        <w:rPr>
          <w:noProof/>
          <w:szCs w:val="22"/>
        </w:rPr>
        <w:t>,</w:t>
      </w:r>
      <w:r w:rsidR="002F402D" w:rsidRPr="0047462D">
        <w:rPr>
          <w:noProof/>
          <w:szCs w:val="22"/>
        </w:rPr>
        <w:t xml:space="preserve"> μέσω</w:t>
      </w:r>
      <w:r w:rsidRPr="0047462D">
        <w:rPr>
          <w:noProof/>
          <w:szCs w:val="22"/>
        </w:rPr>
        <w:t xml:space="preserve"> </w:t>
      </w:r>
      <w:r w:rsidRPr="0047462D">
        <w:t xml:space="preserve">του εθνικού συστήματος αναφοράς που αναγράφεται στο </w:t>
      </w:r>
      <w:hyperlink r:id="rId15" w:history="1">
        <w:r w:rsidRPr="0047462D">
          <w:rPr>
            <w:rStyle w:val="Hyperlink"/>
          </w:rPr>
          <w:t>Παράρτημα V</w:t>
        </w:r>
      </w:hyperlink>
      <w:r w:rsidRPr="0047462D">
        <w:rPr>
          <w:noProof/>
          <w:szCs w:val="22"/>
        </w:rPr>
        <w:t>.</w:t>
      </w:r>
      <w:r w:rsidRPr="0047462D">
        <w:rPr>
          <w:szCs w:val="22"/>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47462D">
        <w:rPr>
          <w:noProof/>
          <w:szCs w:val="22"/>
        </w:rPr>
        <w:t>.</w:t>
      </w:r>
    </w:p>
    <w:p w14:paraId="624AA52F" w14:textId="77777777" w:rsidR="00A67D3A" w:rsidRPr="0047462D" w:rsidRDefault="00A67D3A" w:rsidP="002331FF">
      <w:pPr>
        <w:ind w:right="-2"/>
        <w:rPr>
          <w:szCs w:val="22"/>
          <w:lang w:eastAsia="en-US"/>
        </w:rPr>
      </w:pPr>
    </w:p>
    <w:p w14:paraId="64AFD935" w14:textId="77777777" w:rsidR="00A67D3A" w:rsidRPr="0047462D" w:rsidRDefault="00A67D3A">
      <w:pPr>
        <w:ind w:right="-2"/>
        <w:rPr>
          <w:szCs w:val="22"/>
          <w:lang w:eastAsia="en-US"/>
        </w:rPr>
      </w:pPr>
    </w:p>
    <w:p w14:paraId="492CBDFD" w14:textId="77777777" w:rsidR="00A67D3A" w:rsidRPr="0047462D" w:rsidRDefault="00A67D3A">
      <w:pPr>
        <w:keepNext/>
        <w:ind w:left="567" w:right="-2" w:hanging="567"/>
        <w:rPr>
          <w:b/>
          <w:bCs/>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b/>
          <w:bCs/>
          <w:noProof/>
          <w:szCs w:val="22"/>
          <w:lang w:eastAsia="en-US"/>
        </w:rPr>
        <w:t>Πώς να φυλάσσετ</w:t>
      </w:r>
      <w:r w:rsidR="002F402D" w:rsidRPr="0047462D">
        <w:rPr>
          <w:b/>
          <w:bCs/>
          <w:noProof/>
          <w:szCs w:val="22"/>
          <w:lang w:eastAsia="en-US"/>
        </w:rPr>
        <w:t>ε</w:t>
      </w:r>
      <w:r w:rsidRPr="0047462D">
        <w:rPr>
          <w:b/>
          <w:bCs/>
          <w:noProof/>
          <w:szCs w:val="22"/>
          <w:lang w:eastAsia="en-US"/>
        </w:rPr>
        <w:t xml:space="preserve"> το Kalydeco</w:t>
      </w:r>
    </w:p>
    <w:p w14:paraId="548176CA" w14:textId="77777777" w:rsidR="00A67D3A" w:rsidRPr="0047462D" w:rsidRDefault="00A67D3A" w:rsidP="00141E57">
      <w:pPr>
        <w:keepNext/>
        <w:rPr>
          <w:bCs/>
          <w:szCs w:val="22"/>
          <w:lang w:eastAsia="en-US"/>
        </w:rPr>
      </w:pPr>
    </w:p>
    <w:p w14:paraId="05B70219" w14:textId="77777777" w:rsidR="00A67D3A" w:rsidRPr="0047462D" w:rsidRDefault="00A67D3A" w:rsidP="002331FF">
      <w:pPr>
        <w:ind w:right="-2"/>
        <w:rPr>
          <w:szCs w:val="22"/>
          <w:lang w:eastAsia="en-US"/>
        </w:rPr>
      </w:pPr>
      <w:r w:rsidRPr="0047462D">
        <w:rPr>
          <w:rFonts w:eastAsia="Times New Roman"/>
          <w:szCs w:val="22"/>
        </w:rPr>
        <w:t>Το φάρμακο αυτό πρέπει να φυλάσσεται σε μέρη που δεν το βλέπουν και δεν το φθάνουν τα παιδιά.</w:t>
      </w:r>
      <w:r w:rsidRPr="0047462D">
        <w:rPr>
          <w:rFonts w:eastAsia="Times New Roman"/>
          <w:szCs w:val="22"/>
          <w:lang w:eastAsia="en-US"/>
        </w:rPr>
        <w:t xml:space="preserve"> </w:t>
      </w:r>
    </w:p>
    <w:p w14:paraId="58D81CF9" w14:textId="77777777" w:rsidR="00A67D3A" w:rsidRPr="0047462D" w:rsidRDefault="00A67D3A" w:rsidP="002331FF">
      <w:pPr>
        <w:ind w:right="-2"/>
        <w:rPr>
          <w:szCs w:val="22"/>
          <w:lang w:eastAsia="en-US"/>
        </w:rPr>
      </w:pPr>
    </w:p>
    <w:p w14:paraId="75DC5685" w14:textId="77777777" w:rsidR="00A67D3A" w:rsidRPr="0047462D" w:rsidRDefault="00A67D3A">
      <w:pPr>
        <w:ind w:right="-2"/>
        <w:rPr>
          <w:szCs w:val="22"/>
          <w:lang w:eastAsia="en-US"/>
        </w:rPr>
      </w:pPr>
      <w:r w:rsidRPr="0047462D">
        <w:rPr>
          <w:rFonts w:eastAsia="Times New Roman"/>
          <w:szCs w:val="22"/>
        </w:rPr>
        <w:t>Να μη χρησιμοποιείτε αυτό το φάρμακο μετά την ημερομηνία λήξης που αναφέρεται στη συσκευασία μετά τη λέξη ΛΗΞΗ.</w:t>
      </w:r>
      <w:r w:rsidRPr="0047462D">
        <w:rPr>
          <w:rFonts w:eastAsia="Times New Roman"/>
          <w:szCs w:val="22"/>
          <w:lang w:eastAsia="en-US"/>
        </w:rPr>
        <w:t xml:space="preserve"> </w:t>
      </w:r>
      <w:r w:rsidRPr="0047462D">
        <w:rPr>
          <w:rFonts w:eastAsia="Times New Roman"/>
          <w:szCs w:val="22"/>
        </w:rPr>
        <w:t>Η ημερομηνία λήξης είναι η τελευταία ημέρα του μήνα που αναφέρεται εκεί</w:t>
      </w:r>
      <w:r w:rsidRPr="0047462D">
        <w:rPr>
          <w:rFonts w:eastAsia="Arial0"/>
          <w:szCs w:val="22"/>
        </w:rPr>
        <w:t>.</w:t>
      </w:r>
    </w:p>
    <w:p w14:paraId="20F012E5" w14:textId="77777777" w:rsidR="00A67D3A" w:rsidRPr="0047462D" w:rsidRDefault="00A67D3A">
      <w:pPr>
        <w:ind w:right="-2"/>
        <w:rPr>
          <w:szCs w:val="22"/>
          <w:lang w:eastAsia="en-US"/>
        </w:rPr>
      </w:pPr>
    </w:p>
    <w:p w14:paraId="3511A84B" w14:textId="77777777" w:rsidR="00A67D3A" w:rsidRPr="0047462D" w:rsidRDefault="005924CB">
      <w:pPr>
        <w:ind w:right="-2"/>
        <w:rPr>
          <w:szCs w:val="22"/>
          <w:lang w:eastAsia="en-US"/>
        </w:rPr>
      </w:pPr>
      <w:r w:rsidRPr="0047462D">
        <w:rPr>
          <w:noProof/>
        </w:rPr>
        <w:t>Το φάρμακο αυτό δεν απαιτεί ιδιαίτερες συνθήκες φύλαξης</w:t>
      </w:r>
      <w:r w:rsidR="00A67D3A" w:rsidRPr="0047462D">
        <w:rPr>
          <w:rFonts w:eastAsia="Times New Roman"/>
          <w:szCs w:val="22"/>
        </w:rPr>
        <w:t>.</w:t>
      </w:r>
    </w:p>
    <w:p w14:paraId="01721B91" w14:textId="77777777" w:rsidR="00A67D3A" w:rsidRPr="0047462D" w:rsidRDefault="00A67D3A">
      <w:pPr>
        <w:ind w:right="-2"/>
        <w:rPr>
          <w:szCs w:val="22"/>
          <w:lang w:eastAsia="en-US"/>
        </w:rPr>
      </w:pPr>
    </w:p>
    <w:p w14:paraId="119846BF" w14:textId="77777777" w:rsidR="00A67D3A" w:rsidRPr="0047462D" w:rsidRDefault="00A67D3A">
      <w:pPr>
        <w:ind w:right="-2"/>
        <w:rPr>
          <w:szCs w:val="22"/>
          <w:lang w:eastAsia="en-US"/>
        </w:rPr>
      </w:pPr>
      <w:r w:rsidRPr="0047462D">
        <w:rPr>
          <w:rFonts w:eastAsia="Times New Roman"/>
          <w:szCs w:val="22"/>
        </w:rPr>
        <w:t xml:space="preserve">Μην πετάτε φάρμακα στο νερό της αποχέτευσης ή στα </w:t>
      </w:r>
      <w:r w:rsidR="00C87F43" w:rsidRPr="0047462D">
        <w:t>οικιακά απορρίμματα</w:t>
      </w:r>
      <w:r w:rsidRPr="0047462D">
        <w:rPr>
          <w:rFonts w:eastAsia="Times New Roman"/>
          <w:szCs w:val="22"/>
        </w:rPr>
        <w:t>.</w:t>
      </w:r>
      <w:r w:rsidRPr="0047462D">
        <w:rPr>
          <w:rFonts w:eastAsia="Times New Roman"/>
          <w:szCs w:val="22"/>
          <w:lang w:eastAsia="en-US"/>
        </w:rPr>
        <w:t xml:space="preserve"> </w:t>
      </w:r>
      <w:r w:rsidRPr="0047462D">
        <w:rPr>
          <w:rFonts w:eastAsia="Times New Roman"/>
          <w:szCs w:val="22"/>
        </w:rPr>
        <w:t>Ρωτήστε τον φαρμακοποιό σας για το πώς να πετάξετε τα φάρμακα που δεν χρησιμοποιείτε πια.</w:t>
      </w:r>
      <w:r w:rsidRPr="0047462D">
        <w:rPr>
          <w:rFonts w:eastAsia="Times New Roman"/>
          <w:szCs w:val="22"/>
          <w:lang w:eastAsia="en-US"/>
        </w:rPr>
        <w:t xml:space="preserve"> </w:t>
      </w:r>
      <w:r w:rsidRPr="0047462D">
        <w:rPr>
          <w:rFonts w:eastAsia="Times New Roman"/>
          <w:szCs w:val="22"/>
        </w:rPr>
        <w:t>Αυτά τα μέτρα θα βοηθήσουν στην προστασία του περιβάλλοντος.</w:t>
      </w:r>
    </w:p>
    <w:p w14:paraId="19DEC24A" w14:textId="77777777" w:rsidR="00A67D3A" w:rsidRPr="0047462D" w:rsidRDefault="00A67D3A">
      <w:pPr>
        <w:tabs>
          <w:tab w:val="left" w:pos="1515"/>
        </w:tabs>
        <w:ind w:right="-2"/>
        <w:rPr>
          <w:szCs w:val="22"/>
          <w:lang w:eastAsia="en-US"/>
        </w:rPr>
      </w:pPr>
    </w:p>
    <w:p w14:paraId="11D05901" w14:textId="77777777" w:rsidR="00A67D3A" w:rsidRPr="0047462D" w:rsidRDefault="00A67D3A">
      <w:pPr>
        <w:tabs>
          <w:tab w:val="left" w:pos="1515"/>
        </w:tabs>
        <w:ind w:right="-2"/>
        <w:rPr>
          <w:szCs w:val="22"/>
          <w:lang w:eastAsia="en-US"/>
        </w:rPr>
      </w:pPr>
    </w:p>
    <w:p w14:paraId="00F33B78" w14:textId="77777777" w:rsidR="00A67D3A" w:rsidRPr="0047462D" w:rsidRDefault="00A67D3A" w:rsidP="00141E57">
      <w:pPr>
        <w:keepNext/>
        <w:ind w:left="567" w:right="-2"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Περιεχόμεν</w:t>
      </w:r>
      <w:r w:rsidR="00EB51F0" w:rsidRPr="0047462D">
        <w:rPr>
          <w:rFonts w:eastAsia="Times New Roman"/>
          <w:b/>
          <w:bCs/>
          <w:szCs w:val="22"/>
        </w:rPr>
        <w:t>α</w:t>
      </w:r>
      <w:r w:rsidRPr="0047462D">
        <w:rPr>
          <w:rFonts w:eastAsia="Times New Roman"/>
          <w:b/>
          <w:bCs/>
          <w:szCs w:val="22"/>
        </w:rPr>
        <w:t xml:space="preserve"> της συσκευασίας και λοιπές πληροφορίες</w:t>
      </w:r>
    </w:p>
    <w:p w14:paraId="0E3D19FD" w14:textId="77777777" w:rsidR="00A67D3A" w:rsidRPr="0047462D" w:rsidRDefault="00A67D3A" w:rsidP="00141E57">
      <w:pPr>
        <w:keepNext/>
        <w:rPr>
          <w:szCs w:val="22"/>
          <w:lang w:eastAsia="en-US"/>
        </w:rPr>
      </w:pPr>
    </w:p>
    <w:p w14:paraId="591AC142" w14:textId="498F0F58" w:rsidR="00A67D3A" w:rsidRPr="0047462D" w:rsidRDefault="00A67D3A" w:rsidP="00141E57">
      <w:pPr>
        <w:keepNext/>
        <w:ind w:right="-2"/>
        <w:rPr>
          <w:rFonts w:eastAsia="Times New Roman"/>
          <w:b/>
          <w:bCs/>
          <w:szCs w:val="22"/>
          <w:lang w:eastAsia="en-US"/>
        </w:rPr>
      </w:pPr>
      <w:r w:rsidRPr="0047462D">
        <w:rPr>
          <w:rFonts w:eastAsia="Times New Roman"/>
          <w:b/>
          <w:bCs/>
          <w:szCs w:val="22"/>
        </w:rPr>
        <w:t>Τι περιέχει το Kalydeco</w:t>
      </w:r>
      <w:r w:rsidRPr="0047462D">
        <w:rPr>
          <w:rFonts w:eastAsia="Times New Roman"/>
          <w:b/>
          <w:bCs/>
          <w:szCs w:val="22"/>
          <w:lang w:eastAsia="en-US"/>
        </w:rPr>
        <w:t xml:space="preserve"> </w:t>
      </w:r>
    </w:p>
    <w:p w14:paraId="104C849B" w14:textId="77777777" w:rsidR="001A137E" w:rsidRPr="0047462D" w:rsidRDefault="001A137E" w:rsidP="00141E57">
      <w:pPr>
        <w:keepNext/>
        <w:ind w:right="-2"/>
        <w:rPr>
          <w:rFonts w:eastAsia="Times New Roman"/>
          <w:szCs w:val="22"/>
        </w:rPr>
      </w:pPr>
    </w:p>
    <w:p w14:paraId="0956FCAD" w14:textId="77777777" w:rsidR="004735D4" w:rsidRDefault="00A67D3A" w:rsidP="00EB5A36">
      <w:pPr>
        <w:keepNext/>
        <w:ind w:right="-2"/>
        <w:rPr>
          <w:rFonts w:eastAsia="Times New Roman"/>
          <w:szCs w:val="22"/>
        </w:rPr>
      </w:pPr>
      <w:r w:rsidRPr="0047462D">
        <w:rPr>
          <w:rFonts w:eastAsia="Times New Roman"/>
          <w:szCs w:val="22"/>
        </w:rPr>
        <w:t>Η δραστική ουσία είναι το ivacaftor.</w:t>
      </w:r>
    </w:p>
    <w:p w14:paraId="47FF3DE1" w14:textId="77777777" w:rsidR="004735D4" w:rsidRDefault="004735D4" w:rsidP="00EB5A36">
      <w:pPr>
        <w:keepNext/>
        <w:ind w:right="-2"/>
        <w:rPr>
          <w:rFonts w:eastAsia="Times New Roman"/>
          <w:szCs w:val="22"/>
        </w:rPr>
      </w:pPr>
    </w:p>
    <w:p w14:paraId="25F5CC0A" w14:textId="770040F4" w:rsidR="004735D4" w:rsidRPr="00BA13BA" w:rsidRDefault="004735D4" w:rsidP="004735D4">
      <w:pPr>
        <w:keepNext/>
        <w:rPr>
          <w:iCs/>
          <w:u w:val="single"/>
        </w:rPr>
      </w:pPr>
      <w:r w:rsidRPr="00BA13BA">
        <w:rPr>
          <w:iCs/>
          <w:u w:val="single"/>
        </w:rPr>
        <w:t>Kalydeco 75</w:t>
      </w:r>
      <w:r>
        <w:rPr>
          <w:rFonts w:eastAsia="MS Mincho"/>
          <w:lang w:eastAsia="ja-JP"/>
        </w:rPr>
        <w:t> </w:t>
      </w:r>
      <w:r w:rsidRPr="00BA13BA">
        <w:rPr>
          <w:iCs/>
          <w:u w:val="single"/>
        </w:rPr>
        <w:t xml:space="preserve">mg </w:t>
      </w:r>
      <w:r>
        <w:rPr>
          <w:iCs/>
          <w:u w:val="single"/>
        </w:rPr>
        <w:t>επικαλυμμένα με λεπτό υμένιο δισκία</w:t>
      </w:r>
    </w:p>
    <w:p w14:paraId="61A1534E" w14:textId="77777777" w:rsidR="004735D4" w:rsidRDefault="004735D4" w:rsidP="004735D4">
      <w:pPr>
        <w:keepNext/>
        <w:rPr>
          <w:iCs/>
        </w:rPr>
      </w:pPr>
    </w:p>
    <w:p w14:paraId="0505AF9B" w14:textId="21C516FA" w:rsidR="004735D4" w:rsidRDefault="004735D4" w:rsidP="004735D4">
      <w:pPr>
        <w:rPr>
          <w:iCs/>
        </w:rPr>
      </w:pPr>
      <w:r>
        <w:rPr>
          <w:iCs/>
        </w:rPr>
        <w:t>Κάθε επικαλυμμένο με λεπτό υμένιο δισκίο των 75</w:t>
      </w:r>
      <w:r>
        <w:rPr>
          <w:rFonts w:eastAsia="MS Mincho"/>
          <w:lang w:eastAsia="ja-JP"/>
        </w:rPr>
        <w:t> </w:t>
      </w:r>
      <w:r>
        <w:rPr>
          <w:iCs/>
        </w:rPr>
        <w:t>mg περιέχει 75</w:t>
      </w:r>
      <w:r>
        <w:rPr>
          <w:rFonts w:eastAsia="MS Mincho"/>
          <w:lang w:eastAsia="ja-JP"/>
        </w:rPr>
        <w:t> </w:t>
      </w:r>
      <w:r>
        <w:rPr>
          <w:iCs/>
        </w:rPr>
        <w:t>mg ivacaftor.</w:t>
      </w:r>
    </w:p>
    <w:p w14:paraId="462E7FBC" w14:textId="77777777" w:rsidR="004735D4" w:rsidRDefault="004735D4" w:rsidP="004735D4">
      <w:pPr>
        <w:rPr>
          <w:iCs/>
        </w:rPr>
      </w:pPr>
    </w:p>
    <w:p w14:paraId="00E73282" w14:textId="794E0A8E" w:rsidR="004735D4" w:rsidRPr="00BA13BA" w:rsidRDefault="004735D4" w:rsidP="004735D4">
      <w:pPr>
        <w:keepNext/>
        <w:rPr>
          <w:iCs/>
          <w:u w:val="single"/>
        </w:rPr>
      </w:pPr>
      <w:r w:rsidRPr="00BA13BA">
        <w:rPr>
          <w:iCs/>
          <w:u w:val="single"/>
        </w:rPr>
        <w:t>Kalydeco 150</w:t>
      </w:r>
      <w:r>
        <w:rPr>
          <w:rFonts w:eastAsia="MS Mincho"/>
          <w:lang w:eastAsia="ja-JP"/>
        </w:rPr>
        <w:t> </w:t>
      </w:r>
      <w:r w:rsidRPr="00BA13BA">
        <w:rPr>
          <w:iCs/>
          <w:u w:val="single"/>
        </w:rPr>
        <w:t xml:space="preserve">mg </w:t>
      </w:r>
      <w:r>
        <w:rPr>
          <w:iCs/>
          <w:u w:val="single"/>
        </w:rPr>
        <w:t>επικαλυμμένα με λεπτό υμένιο δισκία</w:t>
      </w:r>
    </w:p>
    <w:p w14:paraId="40894539" w14:textId="77777777" w:rsidR="004735D4" w:rsidRDefault="004735D4" w:rsidP="004735D4">
      <w:pPr>
        <w:keepNext/>
        <w:rPr>
          <w:iCs/>
        </w:rPr>
      </w:pPr>
    </w:p>
    <w:p w14:paraId="6D3164B0" w14:textId="6AE570AB" w:rsidR="004735D4" w:rsidRDefault="004735D4" w:rsidP="004735D4">
      <w:pPr>
        <w:rPr>
          <w:iCs/>
        </w:rPr>
      </w:pPr>
      <w:r>
        <w:rPr>
          <w:iCs/>
        </w:rPr>
        <w:t>Κάθε επικαλυμμένο με λεπτό υμένιο δισκίο των 150</w:t>
      </w:r>
      <w:r>
        <w:rPr>
          <w:rFonts w:eastAsia="MS Mincho"/>
          <w:lang w:eastAsia="ja-JP"/>
        </w:rPr>
        <w:t> </w:t>
      </w:r>
      <w:r>
        <w:rPr>
          <w:iCs/>
        </w:rPr>
        <w:t>mg περιέχει150</w:t>
      </w:r>
      <w:r>
        <w:rPr>
          <w:rFonts w:eastAsia="MS Mincho"/>
          <w:lang w:eastAsia="ja-JP"/>
        </w:rPr>
        <w:t> </w:t>
      </w:r>
      <w:r>
        <w:rPr>
          <w:iCs/>
        </w:rPr>
        <w:t>mg ivacaftor.</w:t>
      </w:r>
    </w:p>
    <w:p w14:paraId="0BAD0B0E" w14:textId="77777777" w:rsidR="00A21798" w:rsidRPr="0047462D" w:rsidRDefault="00A21798" w:rsidP="00F93ECE">
      <w:pPr>
        <w:keepNext/>
        <w:ind w:right="-2"/>
      </w:pPr>
    </w:p>
    <w:p w14:paraId="088DBE14" w14:textId="77777777" w:rsidR="00A67D3A" w:rsidRPr="0047462D" w:rsidRDefault="00A67D3A" w:rsidP="00EB5A36">
      <w:pPr>
        <w:keepNext/>
        <w:suppressAutoHyphens w:val="0"/>
        <w:spacing w:after="120"/>
      </w:pPr>
      <w:r w:rsidRPr="0047462D">
        <w:t>Τα άλλα συστατικά είναι:</w:t>
      </w:r>
    </w:p>
    <w:p w14:paraId="40C1BC43" w14:textId="199C85C5" w:rsidR="00A67D3A" w:rsidRPr="0047462D" w:rsidRDefault="00A67D3A" w:rsidP="00334111">
      <w:pPr>
        <w:numPr>
          <w:ilvl w:val="0"/>
          <w:numId w:val="5"/>
        </w:numPr>
        <w:tabs>
          <w:tab w:val="clear" w:pos="1440"/>
        </w:tabs>
        <w:suppressAutoHyphens w:val="0"/>
        <w:spacing w:after="120"/>
        <w:ind w:left="567" w:hanging="274"/>
      </w:pPr>
      <w:r w:rsidRPr="0047462D">
        <w:rPr>
          <w:rFonts w:eastAsia="MS Mincho"/>
          <w:szCs w:val="22"/>
          <w:lang w:eastAsia="ja-JP"/>
        </w:rPr>
        <w:t>Πυρήνας</w:t>
      </w:r>
      <w:r w:rsidRPr="0047462D">
        <w:t xml:space="preserve"> </w:t>
      </w:r>
      <w:r w:rsidRPr="0047462D">
        <w:rPr>
          <w:rFonts w:eastAsia="MS Mincho"/>
          <w:szCs w:val="22"/>
          <w:lang w:eastAsia="ja-JP"/>
        </w:rPr>
        <w:t>δισκίου</w:t>
      </w:r>
      <w:r w:rsidRPr="0047462D">
        <w:t xml:space="preserve">: </w:t>
      </w:r>
      <w:r w:rsidR="00CF6D8D" w:rsidRPr="0047462D">
        <w:rPr>
          <w:rFonts w:eastAsia="MS Mincho"/>
          <w:szCs w:val="22"/>
          <w:lang w:eastAsia="ja-JP"/>
        </w:rPr>
        <w:t>κυτταρίνη</w:t>
      </w:r>
      <w:r w:rsidRPr="0047462D">
        <w:t xml:space="preserve"> </w:t>
      </w:r>
      <w:r w:rsidRPr="0047462D">
        <w:rPr>
          <w:rFonts w:eastAsia="MS Mincho"/>
          <w:szCs w:val="22"/>
          <w:lang w:eastAsia="ja-JP"/>
        </w:rPr>
        <w:t>μικροκρυσταλλική</w:t>
      </w:r>
      <w:r w:rsidRPr="0047462D">
        <w:t xml:space="preserve">, </w:t>
      </w:r>
      <w:r w:rsidRPr="0047462D">
        <w:rPr>
          <w:rFonts w:eastAsia="MS Mincho"/>
          <w:szCs w:val="22"/>
          <w:lang w:eastAsia="ja-JP"/>
        </w:rPr>
        <w:t>μονοϋδρική</w:t>
      </w:r>
      <w:r w:rsidRPr="0047462D">
        <w:t xml:space="preserve"> </w:t>
      </w:r>
      <w:r w:rsidRPr="0047462D">
        <w:rPr>
          <w:rFonts w:eastAsia="MS Mincho"/>
          <w:szCs w:val="22"/>
          <w:lang w:eastAsia="ja-JP"/>
        </w:rPr>
        <w:t>λακτόζη,</w:t>
      </w:r>
      <w:r w:rsidRPr="0047462D">
        <w:t xml:space="preserve"> </w:t>
      </w:r>
      <w:r w:rsidRPr="0047462D">
        <w:rPr>
          <w:rFonts w:eastAsia="MS Mincho"/>
          <w:szCs w:val="22"/>
          <w:lang w:eastAsia="ja-JP"/>
        </w:rPr>
        <w:t>υπρομελλόζη</w:t>
      </w:r>
      <w:r w:rsidRPr="0047462D">
        <w:t xml:space="preserve"> </w:t>
      </w:r>
      <w:r w:rsidRPr="0047462D">
        <w:rPr>
          <w:rFonts w:eastAsia="MS Mincho"/>
          <w:szCs w:val="22"/>
          <w:lang w:eastAsia="ja-JP"/>
        </w:rPr>
        <w:t>οξική</w:t>
      </w:r>
      <w:r w:rsidRPr="0047462D">
        <w:t xml:space="preserve"> </w:t>
      </w:r>
      <w:r w:rsidRPr="0047462D">
        <w:rPr>
          <w:rFonts w:eastAsia="MS Mincho"/>
          <w:szCs w:val="22"/>
          <w:lang w:eastAsia="ja-JP"/>
        </w:rPr>
        <w:t>ηλεκτρική</w:t>
      </w:r>
      <w:r w:rsidRPr="0047462D">
        <w:t xml:space="preserve">, </w:t>
      </w:r>
      <w:r w:rsidRPr="0047462D">
        <w:rPr>
          <w:rFonts w:eastAsia="MS Mincho"/>
          <w:szCs w:val="22"/>
          <w:lang w:eastAsia="ja-JP"/>
        </w:rPr>
        <w:t>νατριούχος</w:t>
      </w:r>
      <w:r w:rsidRPr="0047462D">
        <w:t xml:space="preserve"> </w:t>
      </w:r>
      <w:r w:rsidRPr="0047462D">
        <w:rPr>
          <w:rFonts w:eastAsia="MS Mincho"/>
          <w:szCs w:val="22"/>
          <w:lang w:eastAsia="ja-JP"/>
        </w:rPr>
        <w:t>καρμελλόζη</w:t>
      </w:r>
      <w:r w:rsidRPr="0047462D">
        <w:t xml:space="preserve"> </w:t>
      </w:r>
      <w:r w:rsidRPr="0047462D">
        <w:rPr>
          <w:rFonts w:eastAsia="MS Mincho"/>
          <w:szCs w:val="22"/>
          <w:lang w:eastAsia="ja-JP"/>
        </w:rPr>
        <w:t>διασταυρούμενη</w:t>
      </w:r>
      <w:r w:rsidRPr="0047462D">
        <w:t xml:space="preserve">, </w:t>
      </w:r>
      <w:r w:rsidRPr="0047462D">
        <w:rPr>
          <w:rFonts w:eastAsia="MS Mincho"/>
          <w:szCs w:val="22"/>
          <w:lang w:eastAsia="ja-JP"/>
        </w:rPr>
        <w:t>λαουρυλοθειικό</w:t>
      </w:r>
      <w:r w:rsidRPr="0047462D">
        <w:t xml:space="preserve"> </w:t>
      </w:r>
      <w:r w:rsidRPr="0047462D">
        <w:rPr>
          <w:rFonts w:eastAsia="MS Mincho"/>
          <w:szCs w:val="22"/>
          <w:lang w:eastAsia="ja-JP"/>
        </w:rPr>
        <w:t>νάτριο</w:t>
      </w:r>
      <w:r w:rsidR="00C64505" w:rsidRPr="0047462D">
        <w:rPr>
          <w:rFonts w:eastAsia="MS Mincho"/>
          <w:szCs w:val="22"/>
          <w:lang w:eastAsia="ja-JP"/>
        </w:rPr>
        <w:t xml:space="preserve"> </w:t>
      </w:r>
      <w:r w:rsidR="00C64505" w:rsidRPr="0047462D">
        <w:rPr>
          <w:rFonts w:eastAsia="MS Mincho"/>
          <w:lang w:eastAsia="ja-JP"/>
        </w:rPr>
        <w:t>(E487)</w:t>
      </w:r>
      <w:r w:rsidRPr="0047462D">
        <w:t xml:space="preserve">, </w:t>
      </w:r>
      <w:r w:rsidRPr="0047462D">
        <w:rPr>
          <w:rFonts w:eastAsia="MS Mincho"/>
          <w:szCs w:val="22"/>
          <w:lang w:eastAsia="ja-JP"/>
        </w:rPr>
        <w:t>διοξείδιο</w:t>
      </w:r>
      <w:r w:rsidRPr="0047462D">
        <w:t xml:space="preserve"> </w:t>
      </w:r>
      <w:r w:rsidRPr="0047462D">
        <w:rPr>
          <w:rFonts w:eastAsia="MS Mincho"/>
          <w:szCs w:val="22"/>
          <w:lang w:eastAsia="ja-JP"/>
        </w:rPr>
        <w:t>πυριτίου</w:t>
      </w:r>
      <w:r w:rsidRPr="0047462D">
        <w:t xml:space="preserve"> </w:t>
      </w:r>
      <w:r w:rsidR="008C7489" w:rsidRPr="0047462D">
        <w:t xml:space="preserve">κολλοειδές άνυδρο </w:t>
      </w:r>
      <w:r w:rsidRPr="0047462D">
        <w:rPr>
          <w:rFonts w:eastAsia="MS Mincho"/>
          <w:szCs w:val="22"/>
          <w:lang w:eastAsia="ja-JP"/>
        </w:rPr>
        <w:t>και</w:t>
      </w:r>
      <w:r w:rsidRPr="0047462D">
        <w:t xml:space="preserve"> </w:t>
      </w:r>
      <w:r w:rsidRPr="0047462D">
        <w:rPr>
          <w:rFonts w:eastAsia="MS Mincho"/>
          <w:szCs w:val="22"/>
          <w:lang w:eastAsia="ja-JP"/>
        </w:rPr>
        <w:t>στεατικό</w:t>
      </w:r>
      <w:r w:rsidRPr="0047462D">
        <w:t xml:space="preserve"> </w:t>
      </w:r>
      <w:r w:rsidRPr="0047462D">
        <w:rPr>
          <w:rFonts w:eastAsia="MS Mincho"/>
          <w:szCs w:val="22"/>
          <w:lang w:eastAsia="ja-JP"/>
        </w:rPr>
        <w:t>μαγνήσιο</w:t>
      </w:r>
      <w:r w:rsidRPr="0047462D">
        <w:t>.</w:t>
      </w:r>
    </w:p>
    <w:p w14:paraId="63603C9D" w14:textId="77777777" w:rsidR="00A67D3A" w:rsidRPr="0047462D" w:rsidRDefault="00A67D3A" w:rsidP="00334111">
      <w:pPr>
        <w:numPr>
          <w:ilvl w:val="0"/>
          <w:numId w:val="5"/>
        </w:numPr>
        <w:tabs>
          <w:tab w:val="clear" w:pos="1440"/>
        </w:tabs>
        <w:suppressAutoHyphens w:val="0"/>
        <w:spacing w:after="120"/>
        <w:ind w:left="567" w:hanging="207"/>
        <w:rPr>
          <w:rFonts w:eastAsia="MS Mincho"/>
          <w:szCs w:val="22"/>
          <w:lang w:eastAsia="ja-JP"/>
        </w:rPr>
      </w:pPr>
      <w:r w:rsidRPr="0047462D">
        <w:rPr>
          <w:rFonts w:eastAsia="MS Mincho"/>
          <w:szCs w:val="22"/>
          <w:lang w:eastAsia="ja-JP"/>
        </w:rPr>
        <w:t xml:space="preserve">Επικάλυψη: </w:t>
      </w:r>
      <w:r w:rsidR="00CF6D8D" w:rsidRPr="0047462D">
        <w:rPr>
          <w:rFonts w:eastAsia="MS Mincho"/>
          <w:szCs w:val="22"/>
          <w:lang w:eastAsia="ja-JP"/>
        </w:rPr>
        <w:t xml:space="preserve">πολυβινυλική </w:t>
      </w:r>
      <w:r w:rsidRPr="0047462D">
        <w:rPr>
          <w:rFonts w:eastAsia="MS Mincho"/>
          <w:szCs w:val="22"/>
          <w:lang w:eastAsia="ja-JP"/>
        </w:rPr>
        <w:t>αλκοόλη, διοξείδιο του τιτανίου</w:t>
      </w:r>
      <w:r w:rsidR="00CF6D8D" w:rsidRPr="0047462D">
        <w:rPr>
          <w:rFonts w:eastAsia="MS Mincho"/>
          <w:lang w:eastAsia="ja-JP"/>
        </w:rPr>
        <w:t xml:space="preserve"> (E171)</w:t>
      </w:r>
      <w:r w:rsidRPr="0047462D">
        <w:rPr>
          <w:rFonts w:eastAsia="MS Mincho"/>
          <w:szCs w:val="22"/>
          <w:lang w:eastAsia="ja-JP"/>
        </w:rPr>
        <w:t>, πολυαιθυλενογλυκόλη</w:t>
      </w:r>
      <w:r w:rsidR="00D56898" w:rsidRPr="0047462D">
        <w:rPr>
          <w:rFonts w:eastAsia="MS Mincho"/>
          <w:szCs w:val="22"/>
          <w:lang w:eastAsia="ja-JP"/>
        </w:rPr>
        <w:t xml:space="preserve"> </w:t>
      </w:r>
      <w:r w:rsidR="00D56898" w:rsidRPr="0047462D">
        <w:rPr>
          <w:rFonts w:eastAsia="MS Mincho"/>
          <w:lang w:eastAsia="ja-JP"/>
        </w:rPr>
        <w:t>(PEG 3350)</w:t>
      </w:r>
      <w:r w:rsidRPr="0047462D">
        <w:rPr>
          <w:rFonts w:eastAsia="MS Mincho"/>
          <w:szCs w:val="22"/>
          <w:lang w:eastAsia="ja-JP"/>
        </w:rPr>
        <w:t xml:space="preserve">, τάλκης, λάκα αργιλίου ινδικοκαρμινίου </w:t>
      </w:r>
      <w:r w:rsidR="00CF6D8D" w:rsidRPr="0047462D">
        <w:rPr>
          <w:rFonts w:eastAsia="MS Mincho"/>
          <w:lang w:eastAsia="ja-JP"/>
        </w:rPr>
        <w:t xml:space="preserve">(E132) </w:t>
      </w:r>
      <w:r w:rsidRPr="0047462D">
        <w:rPr>
          <w:rFonts w:eastAsia="MS Mincho"/>
          <w:szCs w:val="22"/>
          <w:lang w:eastAsia="ja-JP"/>
        </w:rPr>
        <w:t>και καρναουβικός κηρός.</w:t>
      </w:r>
    </w:p>
    <w:p w14:paraId="7E0250E9" w14:textId="23C2703B" w:rsidR="00A67D3A" w:rsidRPr="0047462D" w:rsidRDefault="00A67D3A" w:rsidP="009A2EEC">
      <w:pPr>
        <w:numPr>
          <w:ilvl w:val="0"/>
          <w:numId w:val="5"/>
        </w:numPr>
        <w:tabs>
          <w:tab w:val="clear" w:pos="1440"/>
        </w:tabs>
        <w:suppressAutoHyphens w:val="0"/>
        <w:ind w:left="567" w:hanging="270"/>
        <w:rPr>
          <w:rFonts w:eastAsia="MS Mincho"/>
          <w:szCs w:val="22"/>
          <w:lang w:eastAsia="ja-JP"/>
        </w:rPr>
      </w:pPr>
      <w:r w:rsidRPr="0047462D">
        <w:rPr>
          <w:rFonts w:eastAsia="MS Mincho"/>
          <w:szCs w:val="22"/>
          <w:lang w:eastAsia="ja-JP"/>
        </w:rPr>
        <w:t xml:space="preserve">Μελάνι εκτύπωσης: </w:t>
      </w:r>
      <w:r w:rsidR="00CF6D8D" w:rsidRPr="0047462D">
        <w:rPr>
          <w:rFonts w:eastAsia="MS Mincho"/>
          <w:szCs w:val="22"/>
          <w:lang w:eastAsia="ja-JP"/>
        </w:rPr>
        <w:t xml:space="preserve">κόμμεα </w:t>
      </w:r>
      <w:r w:rsidRPr="0047462D">
        <w:rPr>
          <w:rFonts w:eastAsia="MS Mincho"/>
          <w:szCs w:val="22"/>
          <w:lang w:eastAsia="ja-JP"/>
        </w:rPr>
        <w:t>λάκας, μαύρο οξείδιο του σιδήρου</w:t>
      </w:r>
      <w:r w:rsidR="00CF6D8D" w:rsidRPr="0047462D">
        <w:rPr>
          <w:rFonts w:eastAsia="MS Mincho"/>
          <w:szCs w:val="22"/>
          <w:lang w:eastAsia="ja-JP"/>
        </w:rPr>
        <w:t xml:space="preserve"> </w:t>
      </w:r>
      <w:r w:rsidR="00CF6D8D" w:rsidRPr="0047462D">
        <w:rPr>
          <w:rFonts w:eastAsia="MS Mincho"/>
          <w:lang w:eastAsia="ja-JP"/>
        </w:rPr>
        <w:t>(E172)</w:t>
      </w:r>
      <w:r w:rsidRPr="0047462D">
        <w:rPr>
          <w:rFonts w:eastAsia="MS Mincho"/>
          <w:szCs w:val="22"/>
          <w:lang w:eastAsia="ja-JP"/>
        </w:rPr>
        <w:t xml:space="preserve">, προπυλενογλυκόλη </w:t>
      </w:r>
      <w:r w:rsidR="00C64505" w:rsidRPr="0047462D">
        <w:rPr>
          <w:rFonts w:eastAsia="MS Mincho"/>
          <w:lang w:eastAsia="ja-JP"/>
        </w:rPr>
        <w:t xml:space="preserve">(E1520) </w:t>
      </w:r>
      <w:r w:rsidRPr="0047462D">
        <w:rPr>
          <w:rFonts w:eastAsia="MS Mincho"/>
          <w:szCs w:val="22"/>
          <w:lang w:eastAsia="ja-JP"/>
        </w:rPr>
        <w:t>και αμμωνί</w:t>
      </w:r>
      <w:r w:rsidR="00FA676B" w:rsidRPr="0047462D">
        <w:rPr>
          <w:rFonts w:eastAsia="MS Mincho"/>
          <w:szCs w:val="22"/>
          <w:lang w:eastAsia="ja-JP"/>
        </w:rPr>
        <w:t>ας διάλυμα</w:t>
      </w:r>
      <w:r w:rsidR="00556BF2" w:rsidRPr="0047462D">
        <w:rPr>
          <w:rFonts w:eastAsia="MS Mincho"/>
          <w:szCs w:val="22"/>
          <w:lang w:eastAsia="ja-JP"/>
        </w:rPr>
        <w:t>,</w:t>
      </w:r>
      <w:r w:rsidR="00FA676B" w:rsidRPr="0047462D">
        <w:rPr>
          <w:rFonts w:eastAsia="MS Mincho"/>
          <w:szCs w:val="22"/>
          <w:lang w:eastAsia="ja-JP"/>
        </w:rPr>
        <w:t xml:space="preserve"> συμπυκνωμένο</w:t>
      </w:r>
      <w:r w:rsidRPr="0047462D">
        <w:rPr>
          <w:rFonts w:eastAsia="MS Mincho"/>
          <w:szCs w:val="22"/>
          <w:lang w:eastAsia="ja-JP"/>
        </w:rPr>
        <w:t>.</w:t>
      </w:r>
    </w:p>
    <w:p w14:paraId="39E700D8" w14:textId="77777777" w:rsidR="00F804B2" w:rsidRPr="0047462D" w:rsidRDefault="00F804B2" w:rsidP="009A2EEC">
      <w:pPr>
        <w:rPr>
          <w:rFonts w:eastAsia="MS Mincho"/>
          <w:szCs w:val="22"/>
          <w:lang w:eastAsia="ja-JP"/>
        </w:rPr>
      </w:pPr>
      <w:r w:rsidRPr="0047462D">
        <w:t xml:space="preserve">Βλ. </w:t>
      </w:r>
      <w:r w:rsidR="00677D05" w:rsidRPr="0047462D">
        <w:t xml:space="preserve">τέλος της παραγράφου </w:t>
      </w:r>
      <w:r w:rsidRPr="0047462D">
        <w:t xml:space="preserve">2 - </w:t>
      </w:r>
      <w:r w:rsidRPr="0047462D">
        <w:rPr>
          <w:rFonts w:eastAsia="Times New Roman"/>
          <w:szCs w:val="22"/>
        </w:rPr>
        <w:t>Σημαντικές</w:t>
      </w:r>
      <w:r w:rsidRPr="0047462D">
        <w:t xml:space="preserve"> πληροφορίες για το περιεχόμενο του Kalydeco.</w:t>
      </w:r>
    </w:p>
    <w:p w14:paraId="6E181E3B" w14:textId="77777777" w:rsidR="00A67D3A" w:rsidRPr="0047462D" w:rsidRDefault="00A67D3A">
      <w:pPr>
        <w:ind w:right="-2"/>
        <w:rPr>
          <w:b/>
          <w:bCs/>
          <w:szCs w:val="22"/>
          <w:lang w:eastAsia="en-US"/>
        </w:rPr>
      </w:pPr>
    </w:p>
    <w:p w14:paraId="2E4CAD61" w14:textId="6287D56B" w:rsidR="00A67D3A" w:rsidRPr="0047462D" w:rsidRDefault="00A67D3A">
      <w:pPr>
        <w:keepNext/>
        <w:rPr>
          <w:rFonts w:eastAsia="Times New Roman"/>
          <w:b/>
          <w:bCs/>
          <w:szCs w:val="22"/>
        </w:rPr>
      </w:pPr>
      <w:r w:rsidRPr="0047462D">
        <w:rPr>
          <w:rFonts w:eastAsia="Times New Roman"/>
          <w:b/>
          <w:bCs/>
          <w:szCs w:val="22"/>
        </w:rPr>
        <w:t>Εμφάνιση του Kalydeco και περιεχόμεν</w:t>
      </w:r>
      <w:r w:rsidR="00EB51F0" w:rsidRPr="0047462D">
        <w:rPr>
          <w:rFonts w:eastAsia="Times New Roman"/>
          <w:b/>
          <w:bCs/>
          <w:szCs w:val="22"/>
        </w:rPr>
        <w:t>α</w:t>
      </w:r>
      <w:r w:rsidRPr="0047462D">
        <w:rPr>
          <w:rFonts w:eastAsia="Times New Roman"/>
          <w:b/>
          <w:bCs/>
          <w:szCs w:val="22"/>
        </w:rPr>
        <w:t xml:space="preserve"> της συσκευασίας</w:t>
      </w:r>
    </w:p>
    <w:p w14:paraId="15CE7C0C" w14:textId="3ABFC12A" w:rsidR="00B828FA" w:rsidRDefault="00B828FA">
      <w:pPr>
        <w:keepNext/>
        <w:rPr>
          <w:rFonts w:eastAsia="Times New Roman"/>
          <w:szCs w:val="22"/>
        </w:rPr>
      </w:pPr>
    </w:p>
    <w:p w14:paraId="792CCF26" w14:textId="75405068" w:rsidR="00B828FA" w:rsidRPr="00475296" w:rsidDel="008F6813" w:rsidRDefault="00B828FA" w:rsidP="00B828FA">
      <w:pPr>
        <w:numPr>
          <w:ilvl w:val="12"/>
          <w:numId w:val="0"/>
        </w:numPr>
        <w:ind w:right="-2"/>
        <w:rPr>
          <w:bCs/>
        </w:rPr>
      </w:pPr>
      <w:r>
        <w:rPr>
          <w:bCs/>
        </w:rPr>
        <w:t xml:space="preserve">Τα </w:t>
      </w:r>
      <w:r w:rsidRPr="00475296" w:rsidDel="008F6813">
        <w:rPr>
          <w:bCs/>
        </w:rPr>
        <w:t>Kalydeco 75</w:t>
      </w:r>
      <w:r>
        <w:rPr>
          <w:bCs/>
        </w:rPr>
        <w:t> </w:t>
      </w:r>
      <w:r w:rsidRPr="00475296" w:rsidDel="008F6813">
        <w:rPr>
          <w:bCs/>
        </w:rPr>
        <w:t xml:space="preserve">mg </w:t>
      </w:r>
      <w:r w:rsidRPr="0047462D">
        <w:rPr>
          <w:rFonts w:eastAsia="Times New Roman"/>
          <w:szCs w:val="22"/>
        </w:rPr>
        <w:t>επικαλυμμένα με λεπτό υμένιο δισκία είναι ανοιχτού μπλε χρώματος με σχήμα καψακίου</w:t>
      </w:r>
      <w:r w:rsidRPr="00475296" w:rsidDel="008F6813">
        <w:rPr>
          <w:bCs/>
        </w:rPr>
        <w:t>, 12</w:t>
      </w:r>
      <w:r>
        <w:rPr>
          <w:bCs/>
        </w:rPr>
        <w:t>,</w:t>
      </w:r>
      <w:r w:rsidRPr="00475296" w:rsidDel="008F6813">
        <w:rPr>
          <w:bCs/>
        </w:rPr>
        <w:t>7</w:t>
      </w:r>
      <w:r>
        <w:rPr>
          <w:bCs/>
        </w:rPr>
        <w:t> </w:t>
      </w:r>
      <w:r w:rsidRPr="00475296" w:rsidDel="008F6813">
        <w:rPr>
          <w:bCs/>
        </w:rPr>
        <w:t>mm x 6</w:t>
      </w:r>
      <w:r>
        <w:rPr>
          <w:bCs/>
        </w:rPr>
        <w:t>,</w:t>
      </w:r>
      <w:r w:rsidRPr="00475296" w:rsidDel="008F6813">
        <w:rPr>
          <w:bCs/>
        </w:rPr>
        <w:t>8</w:t>
      </w:r>
      <w:r>
        <w:rPr>
          <w:bCs/>
        </w:rPr>
        <w:t> </w:t>
      </w:r>
      <w:r w:rsidRPr="00475296" w:rsidDel="008F6813">
        <w:rPr>
          <w:bCs/>
        </w:rPr>
        <w:t xml:space="preserve">mm, </w:t>
      </w:r>
      <w:r w:rsidRPr="0047462D">
        <w:rPr>
          <w:rFonts w:eastAsia="Times New Roman"/>
          <w:szCs w:val="22"/>
        </w:rPr>
        <w:t>με εκτυπωμένη την ένδειξη «</w:t>
      </w:r>
      <w:r w:rsidRPr="00475296" w:rsidDel="008F6813">
        <w:rPr>
          <w:bCs/>
        </w:rPr>
        <w:t>V</w:t>
      </w:r>
      <w:r w:rsidR="00872629">
        <w:rPr>
          <w:bCs/>
        </w:rPr>
        <w:t> </w:t>
      </w:r>
      <w:r w:rsidRPr="00475296" w:rsidDel="008F6813">
        <w:rPr>
          <w:bCs/>
        </w:rPr>
        <w:t>75</w:t>
      </w:r>
      <w:r w:rsidRPr="0047462D">
        <w:rPr>
          <w:rFonts w:eastAsia="Times New Roman"/>
          <w:szCs w:val="22"/>
        </w:rPr>
        <w:t>» με μαύρο μελάνι στη μία πλευρά και χωρίς καμία ένδειξη στην άλλη</w:t>
      </w:r>
      <w:r w:rsidRPr="00475296" w:rsidDel="008F6813">
        <w:rPr>
          <w:bCs/>
        </w:rPr>
        <w:t>.</w:t>
      </w:r>
    </w:p>
    <w:p w14:paraId="4713D738" w14:textId="77777777" w:rsidR="00B828FA" w:rsidRPr="00475296" w:rsidDel="008F6813" w:rsidRDefault="00B828FA" w:rsidP="00B828FA">
      <w:pPr>
        <w:numPr>
          <w:ilvl w:val="12"/>
          <w:numId w:val="0"/>
        </w:numPr>
        <w:ind w:right="-2"/>
        <w:rPr>
          <w:bCs/>
        </w:rPr>
      </w:pPr>
    </w:p>
    <w:p w14:paraId="5F346745" w14:textId="68F784D0" w:rsidR="00B828FA" w:rsidRPr="00475296" w:rsidDel="008F6813" w:rsidRDefault="00EB5D0D" w:rsidP="00F93ECE">
      <w:pPr>
        <w:keepNext/>
        <w:numPr>
          <w:ilvl w:val="12"/>
          <w:numId w:val="0"/>
        </w:numPr>
        <w:ind w:right="-2"/>
        <w:rPr>
          <w:bCs/>
        </w:rPr>
      </w:pPr>
      <w:r>
        <w:rPr>
          <w:bCs/>
        </w:rPr>
        <w:t>Δ</w:t>
      </w:r>
      <w:r w:rsidR="00B828FA">
        <w:rPr>
          <w:rFonts w:eastAsia="Times New Roman"/>
          <w:szCs w:val="22"/>
        </w:rPr>
        <w:t>ιατίθενται οι ακόλουθες συσκευασίες</w:t>
      </w:r>
      <w:r w:rsidR="00B828FA" w:rsidRPr="00475296" w:rsidDel="008F6813">
        <w:rPr>
          <w:bCs/>
        </w:rPr>
        <w:t xml:space="preserve">: </w:t>
      </w:r>
    </w:p>
    <w:p w14:paraId="786A996E" w14:textId="2520B37F" w:rsidR="00B828FA" w:rsidRPr="00475296" w:rsidDel="008F6813" w:rsidRDefault="002C38CD" w:rsidP="00F93ECE">
      <w:pPr>
        <w:pStyle w:val="ListParagraph"/>
        <w:numPr>
          <w:ilvl w:val="0"/>
          <w:numId w:val="43"/>
        </w:numPr>
        <w:ind w:left="360"/>
      </w:pPr>
      <w:r w:rsidRPr="0047462D">
        <w:t>Συσκευασία κάρτας κυψέλης που περιέχει 28 </w:t>
      </w:r>
      <w:r w:rsidRPr="0047462D">
        <w:rPr>
          <w:rFonts w:eastAsia="Times New Roman"/>
          <w:szCs w:val="22"/>
        </w:rPr>
        <w:t>επικαλυμμένα με λεπτό υμένιο δισκία</w:t>
      </w:r>
    </w:p>
    <w:p w14:paraId="69623F8C" w14:textId="77777777" w:rsidR="00B828FA" w:rsidRPr="00C749BA" w:rsidRDefault="00B828FA">
      <w:pPr>
        <w:keepNext/>
        <w:rPr>
          <w:rFonts w:eastAsia="Times New Roman"/>
          <w:szCs w:val="22"/>
        </w:rPr>
      </w:pPr>
    </w:p>
    <w:p w14:paraId="4EA4241A" w14:textId="55B0649E" w:rsidR="00A67D3A" w:rsidRPr="0047462D" w:rsidRDefault="00A67D3A">
      <w:pPr>
        <w:rPr>
          <w:szCs w:val="22"/>
          <w:lang w:eastAsia="en-US"/>
        </w:rPr>
      </w:pPr>
      <w:r w:rsidRPr="0047462D">
        <w:rPr>
          <w:rFonts w:eastAsia="Times New Roman"/>
          <w:szCs w:val="22"/>
        </w:rPr>
        <w:t xml:space="preserve">Τα Kalydeco 150 mg επικαλυμμένα με λεπτό υμένιο δισκία είναι ανοιχτού μπλε χρώματος με σχήμα καψακίου, 16,5 mm x 8,4 mm, με εκτυπωμένη την ένδειξη </w:t>
      </w:r>
      <w:r w:rsidR="00DB7E54" w:rsidRPr="0047462D">
        <w:rPr>
          <w:rFonts w:eastAsia="Times New Roman"/>
          <w:szCs w:val="22"/>
        </w:rPr>
        <w:t>«</w:t>
      </w:r>
      <w:r w:rsidRPr="0047462D">
        <w:rPr>
          <w:rFonts w:eastAsia="Times New Roman"/>
          <w:szCs w:val="22"/>
        </w:rPr>
        <w:t>V 150</w:t>
      </w:r>
      <w:r w:rsidR="00DB7E54" w:rsidRPr="0047462D">
        <w:rPr>
          <w:rFonts w:eastAsia="Times New Roman"/>
          <w:szCs w:val="22"/>
        </w:rPr>
        <w:t>»</w:t>
      </w:r>
      <w:r w:rsidRPr="0047462D">
        <w:rPr>
          <w:rFonts w:eastAsia="Times New Roman"/>
          <w:szCs w:val="22"/>
        </w:rPr>
        <w:t xml:space="preserve"> με μαύρο μελάνι στη μία πλευρά και χωρίς καμία ένδειξη στην άλλη.</w:t>
      </w:r>
    </w:p>
    <w:p w14:paraId="0A09C653" w14:textId="77777777" w:rsidR="00A67D3A" w:rsidRPr="0047462D" w:rsidRDefault="00A67D3A">
      <w:pPr>
        <w:rPr>
          <w:szCs w:val="22"/>
          <w:lang w:eastAsia="en-US"/>
        </w:rPr>
      </w:pPr>
    </w:p>
    <w:p w14:paraId="340A1F91" w14:textId="247B214C" w:rsidR="00FA676B" w:rsidRPr="0047462D" w:rsidRDefault="002C38CD" w:rsidP="00F93ECE">
      <w:pPr>
        <w:keepNext/>
        <w:rPr>
          <w:rFonts w:eastAsia="Times New Roman"/>
          <w:szCs w:val="22"/>
        </w:rPr>
      </w:pPr>
      <w:r>
        <w:rPr>
          <w:rFonts w:eastAsia="Times New Roman"/>
          <w:szCs w:val="22"/>
        </w:rPr>
        <w:t>Δ</w:t>
      </w:r>
      <w:r w:rsidR="00A67D3A" w:rsidRPr="0047462D">
        <w:rPr>
          <w:rFonts w:eastAsia="Times New Roman"/>
          <w:szCs w:val="22"/>
        </w:rPr>
        <w:t>ιατίθε</w:t>
      </w:r>
      <w:r>
        <w:rPr>
          <w:rFonts w:eastAsia="Times New Roman"/>
          <w:szCs w:val="22"/>
        </w:rPr>
        <w:t>ν</w:t>
      </w:r>
      <w:r w:rsidR="00A67D3A" w:rsidRPr="0047462D">
        <w:rPr>
          <w:rFonts w:eastAsia="Times New Roman"/>
          <w:szCs w:val="22"/>
        </w:rPr>
        <w:t xml:space="preserve">ται </w:t>
      </w:r>
      <w:r>
        <w:rPr>
          <w:rFonts w:eastAsia="Times New Roman"/>
          <w:szCs w:val="22"/>
        </w:rPr>
        <w:t>οι</w:t>
      </w:r>
      <w:r w:rsidR="00A67D3A" w:rsidRPr="0047462D">
        <w:rPr>
          <w:rFonts w:eastAsia="Times New Roman"/>
          <w:szCs w:val="22"/>
        </w:rPr>
        <w:t xml:space="preserve"> ακόλουθες συσκευασίες:</w:t>
      </w:r>
    </w:p>
    <w:p w14:paraId="0369C71C" w14:textId="37ED84E6" w:rsidR="001C3707" w:rsidRPr="0047462D" w:rsidRDefault="009A01FB">
      <w:pPr>
        <w:pStyle w:val="ListParagraph"/>
        <w:numPr>
          <w:ilvl w:val="0"/>
          <w:numId w:val="43"/>
        </w:numPr>
        <w:ind w:left="360"/>
        <w:rPr>
          <w:rFonts w:eastAsia="Times New Roman"/>
          <w:szCs w:val="22"/>
        </w:rPr>
      </w:pPr>
      <w:r w:rsidRPr="0047462D">
        <w:t>Συσκευασία κ</w:t>
      </w:r>
      <w:r w:rsidR="001C3707" w:rsidRPr="0047462D">
        <w:t>άρτα</w:t>
      </w:r>
      <w:r w:rsidRPr="0047462D">
        <w:t>ς</w:t>
      </w:r>
      <w:r w:rsidR="001C3707" w:rsidRPr="0047462D">
        <w:t xml:space="preserve"> κυψέλης που περιέχει 28 </w:t>
      </w:r>
      <w:r w:rsidR="001C3707" w:rsidRPr="0047462D">
        <w:rPr>
          <w:rFonts w:eastAsia="Times New Roman"/>
          <w:szCs w:val="22"/>
        </w:rPr>
        <w:t>επικαλυμμένα με λεπτό υμένιο δισκία</w:t>
      </w:r>
    </w:p>
    <w:p w14:paraId="0C0830F3" w14:textId="77777777" w:rsidR="009B437C" w:rsidRPr="0047462D" w:rsidRDefault="009B437C" w:rsidP="009A2EEC">
      <w:pPr>
        <w:pStyle w:val="ListParagraph"/>
        <w:numPr>
          <w:ilvl w:val="0"/>
          <w:numId w:val="43"/>
        </w:numPr>
        <w:ind w:left="360"/>
        <w:rPr>
          <w:rFonts w:eastAsia="Times New Roman"/>
          <w:szCs w:val="22"/>
        </w:rPr>
      </w:pPr>
      <w:r w:rsidRPr="0047462D">
        <w:rPr>
          <w:rFonts w:eastAsia="Times New Roman"/>
          <w:szCs w:val="22"/>
        </w:rPr>
        <w:t>Συσκευασία κυψέλης που περιέχει 56 επικαλυμμένα με λεπτό υμένιο δισκία</w:t>
      </w:r>
    </w:p>
    <w:p w14:paraId="314AA176" w14:textId="77777777" w:rsidR="00A67D3A" w:rsidRPr="0047462D" w:rsidRDefault="00A67D3A" w:rsidP="009A2EEC">
      <w:pPr>
        <w:pStyle w:val="ListParagraph"/>
        <w:numPr>
          <w:ilvl w:val="0"/>
          <w:numId w:val="43"/>
        </w:numPr>
        <w:ind w:left="360"/>
        <w:rPr>
          <w:szCs w:val="22"/>
        </w:rPr>
      </w:pPr>
      <w:r w:rsidRPr="0047462D">
        <w:rPr>
          <w:rFonts w:eastAsia="Times New Roman"/>
          <w:szCs w:val="22"/>
        </w:rPr>
        <w:t>Φιάλη που περιέχει 56 επικαλυμμένα με λεπτό υμένιο δισκία</w:t>
      </w:r>
    </w:p>
    <w:p w14:paraId="1720F4C6" w14:textId="77777777" w:rsidR="00A67D3A" w:rsidRPr="0047462D" w:rsidRDefault="00A67D3A">
      <w:pPr>
        <w:rPr>
          <w:szCs w:val="22"/>
        </w:rPr>
      </w:pPr>
    </w:p>
    <w:p w14:paraId="665B1FA7" w14:textId="30B97EB4" w:rsidR="00A67D3A" w:rsidRPr="0047462D" w:rsidRDefault="00A67D3A" w:rsidP="00AC68E6">
      <w:pPr>
        <w:keepNext/>
        <w:ind w:right="-2"/>
        <w:rPr>
          <w:rFonts w:eastAsia="Times New Roman"/>
          <w:b/>
          <w:bCs/>
          <w:szCs w:val="22"/>
          <w:lang w:val="en-US"/>
        </w:rPr>
      </w:pPr>
      <w:r w:rsidRPr="0047462D">
        <w:rPr>
          <w:rFonts w:eastAsia="Times New Roman"/>
          <w:b/>
          <w:bCs/>
          <w:szCs w:val="22"/>
        </w:rPr>
        <w:t>Κάτοχος</w:t>
      </w:r>
      <w:r w:rsidRPr="0047462D">
        <w:rPr>
          <w:rFonts w:eastAsia="Times New Roman"/>
          <w:b/>
          <w:bCs/>
          <w:szCs w:val="22"/>
          <w:lang w:val="en-US"/>
        </w:rPr>
        <w:t xml:space="preserve"> </w:t>
      </w:r>
      <w:r w:rsidR="00B3263D" w:rsidRPr="0047462D">
        <w:rPr>
          <w:rFonts w:eastAsia="Times New Roman"/>
          <w:b/>
          <w:bCs/>
          <w:szCs w:val="22"/>
        </w:rPr>
        <w:t>Άδειας</w:t>
      </w:r>
      <w:r w:rsidR="00B3263D" w:rsidRPr="0047462D">
        <w:rPr>
          <w:rFonts w:eastAsia="Times New Roman"/>
          <w:b/>
          <w:bCs/>
          <w:szCs w:val="22"/>
          <w:lang w:val="en-US"/>
        </w:rPr>
        <w:t xml:space="preserve"> </w:t>
      </w:r>
      <w:r w:rsidR="00B3263D" w:rsidRPr="0047462D">
        <w:rPr>
          <w:rFonts w:eastAsia="Times New Roman"/>
          <w:b/>
          <w:bCs/>
          <w:szCs w:val="22"/>
        </w:rPr>
        <w:t>Κυκλοφορίας</w:t>
      </w:r>
    </w:p>
    <w:p w14:paraId="573E99AE" w14:textId="77777777" w:rsidR="00A07422" w:rsidRPr="0047462D" w:rsidRDefault="00A07422" w:rsidP="00AC68E6">
      <w:pPr>
        <w:keepNext/>
        <w:ind w:right="-2"/>
        <w:rPr>
          <w:rFonts w:eastAsia="Times New Roman"/>
          <w:szCs w:val="22"/>
          <w:lang w:val="en-US"/>
        </w:rPr>
      </w:pPr>
    </w:p>
    <w:p w14:paraId="5D17F24F" w14:textId="77777777" w:rsidR="00D93650" w:rsidRPr="0047462D" w:rsidRDefault="00D93650" w:rsidP="00D3539C">
      <w:pPr>
        <w:keepNext/>
        <w:rPr>
          <w:iCs/>
          <w:lang w:val="en-US"/>
        </w:rPr>
      </w:pPr>
      <w:r w:rsidRPr="0047462D">
        <w:rPr>
          <w:iCs/>
          <w:lang w:val="en-GB"/>
        </w:rPr>
        <w:t>Vertex</w:t>
      </w:r>
      <w:r w:rsidRPr="0047462D">
        <w:rPr>
          <w:iCs/>
          <w:lang w:val="en-US"/>
        </w:rPr>
        <w:t xml:space="preserve"> </w:t>
      </w:r>
      <w:r w:rsidRPr="0047462D">
        <w:rPr>
          <w:iCs/>
          <w:lang w:val="en-GB"/>
        </w:rPr>
        <w:t>Pharmaceuticals</w:t>
      </w:r>
      <w:r w:rsidRPr="0047462D">
        <w:rPr>
          <w:iCs/>
          <w:lang w:val="en-US"/>
        </w:rPr>
        <w:t xml:space="preserve"> (</w:t>
      </w:r>
      <w:r w:rsidRPr="0047462D">
        <w:rPr>
          <w:iCs/>
          <w:lang w:val="en-GB"/>
        </w:rPr>
        <w:t>Ireland</w:t>
      </w:r>
      <w:r w:rsidRPr="0047462D">
        <w:rPr>
          <w:iCs/>
          <w:lang w:val="en-US"/>
        </w:rPr>
        <w:t xml:space="preserve">) </w:t>
      </w:r>
      <w:r w:rsidRPr="0047462D">
        <w:rPr>
          <w:iCs/>
          <w:lang w:val="en-GB"/>
        </w:rPr>
        <w:t>Limited</w:t>
      </w:r>
    </w:p>
    <w:p w14:paraId="7AB7A912" w14:textId="77777777" w:rsidR="00D93650" w:rsidRPr="0047462D" w:rsidRDefault="00D93650" w:rsidP="00D3539C">
      <w:pPr>
        <w:keepNext/>
        <w:rPr>
          <w:iCs/>
          <w:lang w:val="en-GB"/>
        </w:rPr>
      </w:pPr>
      <w:r w:rsidRPr="0047462D">
        <w:rPr>
          <w:iCs/>
          <w:lang w:val="en-GB"/>
        </w:rPr>
        <w:t>28-32 Pembroke Street Upper</w:t>
      </w:r>
    </w:p>
    <w:p w14:paraId="72DE18B6" w14:textId="77777777" w:rsidR="00D93650" w:rsidRPr="0047462D" w:rsidRDefault="00D93650" w:rsidP="00D3539C">
      <w:pPr>
        <w:keepNext/>
        <w:rPr>
          <w:iCs/>
          <w:lang w:val="en-US"/>
        </w:rPr>
      </w:pPr>
      <w:r w:rsidRPr="0047462D">
        <w:rPr>
          <w:iCs/>
          <w:lang w:val="en-GB"/>
        </w:rPr>
        <w:t>Dublin</w:t>
      </w:r>
      <w:r w:rsidRPr="0047462D">
        <w:rPr>
          <w:iCs/>
          <w:lang w:val="en-US"/>
        </w:rPr>
        <w:t xml:space="preserve"> 2, </w:t>
      </w:r>
      <w:r w:rsidRPr="0047462D">
        <w:rPr>
          <w:iCs/>
          <w:lang w:val="en-GB"/>
        </w:rPr>
        <w:t>D</w:t>
      </w:r>
      <w:r w:rsidRPr="0047462D">
        <w:rPr>
          <w:iCs/>
          <w:lang w:val="en-US"/>
        </w:rPr>
        <w:t xml:space="preserve">02 </w:t>
      </w:r>
      <w:r w:rsidRPr="0047462D">
        <w:rPr>
          <w:iCs/>
          <w:lang w:val="en-GB"/>
        </w:rPr>
        <w:t>EK</w:t>
      </w:r>
      <w:r w:rsidRPr="0047462D">
        <w:rPr>
          <w:iCs/>
          <w:lang w:val="en-US"/>
        </w:rPr>
        <w:t>84</w:t>
      </w:r>
    </w:p>
    <w:p w14:paraId="4D670403" w14:textId="77777777" w:rsidR="00D93650" w:rsidRPr="0047462D" w:rsidRDefault="00D93650" w:rsidP="00D3539C">
      <w:pPr>
        <w:pStyle w:val="NormalIndent"/>
        <w:keepNext/>
        <w:spacing w:after="0"/>
        <w:ind w:left="0"/>
        <w:rPr>
          <w:rFonts w:eastAsia="Times New Roman"/>
          <w:lang w:val="en-US"/>
        </w:rPr>
      </w:pPr>
      <w:r w:rsidRPr="0047462D">
        <w:rPr>
          <w:iCs/>
        </w:rPr>
        <w:t>Ιρλανδία</w:t>
      </w:r>
      <w:r w:rsidRPr="0047462D" w:rsidDel="003810D0">
        <w:rPr>
          <w:rFonts w:eastAsia="Times New Roman"/>
          <w:lang w:val="en-US"/>
        </w:rPr>
        <w:t xml:space="preserve"> </w:t>
      </w:r>
    </w:p>
    <w:p w14:paraId="0411D7B6" w14:textId="77777777" w:rsidR="00D93650" w:rsidRPr="0047462D" w:rsidRDefault="00D93650" w:rsidP="00D3539C">
      <w:pPr>
        <w:autoSpaceDE w:val="0"/>
        <w:rPr>
          <w:iCs/>
          <w:lang w:val="en-US"/>
        </w:rPr>
      </w:pPr>
      <w:r w:rsidRPr="0047462D">
        <w:t>Τηλέφωνο</w:t>
      </w:r>
      <w:r w:rsidRPr="0047462D">
        <w:rPr>
          <w:lang w:val="en-US"/>
        </w:rPr>
        <w:t xml:space="preserve">: </w:t>
      </w:r>
      <w:r w:rsidRPr="0047462D">
        <w:rPr>
          <w:iCs/>
          <w:lang w:val="en-US"/>
        </w:rPr>
        <w:t>+353 (0)1 761 7299</w:t>
      </w:r>
    </w:p>
    <w:p w14:paraId="3B8D14D1" w14:textId="77777777" w:rsidR="00A67D3A" w:rsidRPr="0047462D" w:rsidRDefault="00A67D3A">
      <w:pPr>
        <w:ind w:right="-2"/>
        <w:rPr>
          <w:szCs w:val="22"/>
          <w:lang w:val="en-US"/>
        </w:rPr>
      </w:pPr>
    </w:p>
    <w:p w14:paraId="2E647C81" w14:textId="179A7D55" w:rsidR="00B3263D" w:rsidRPr="0047462D" w:rsidRDefault="00B3263D" w:rsidP="00AC68E6">
      <w:pPr>
        <w:keepNext/>
        <w:rPr>
          <w:rFonts w:eastAsia="MS Mincho"/>
          <w:b/>
          <w:color w:val="000000"/>
          <w:lang w:val="en-US" w:eastAsia="ja-JP"/>
        </w:rPr>
      </w:pPr>
      <w:r w:rsidRPr="0047462D">
        <w:rPr>
          <w:rFonts w:eastAsia="MS Mincho"/>
          <w:b/>
          <w:color w:val="000000"/>
          <w:lang w:eastAsia="ja-JP"/>
        </w:rPr>
        <w:t>Παρασκευαστής</w:t>
      </w:r>
    </w:p>
    <w:p w14:paraId="1CC6E68B" w14:textId="77777777" w:rsidR="00A07422" w:rsidRPr="0047462D" w:rsidRDefault="00A07422" w:rsidP="00AC68E6">
      <w:pPr>
        <w:keepNext/>
        <w:rPr>
          <w:b/>
          <w:color w:val="000000"/>
          <w:lang w:val="en-US"/>
        </w:rPr>
      </w:pPr>
    </w:p>
    <w:p w14:paraId="60092DE3" w14:textId="77777777" w:rsidR="000709CF" w:rsidRPr="0047462D" w:rsidRDefault="000709CF" w:rsidP="00D3539C">
      <w:pPr>
        <w:keepNext/>
        <w:rPr>
          <w:szCs w:val="22"/>
          <w:lang w:val="en-GB"/>
        </w:rPr>
      </w:pPr>
      <w:r w:rsidRPr="0047462D">
        <w:rPr>
          <w:szCs w:val="22"/>
          <w:lang w:val="en-GB"/>
        </w:rPr>
        <w:t>Almac Pharma Services (Ireland) Limited</w:t>
      </w:r>
    </w:p>
    <w:p w14:paraId="5B32532D" w14:textId="77777777" w:rsidR="000709CF" w:rsidRPr="0047462D" w:rsidRDefault="000709CF" w:rsidP="00D3539C">
      <w:pPr>
        <w:keepNext/>
        <w:rPr>
          <w:szCs w:val="22"/>
          <w:lang w:val="en-GB"/>
        </w:rPr>
      </w:pPr>
      <w:r w:rsidRPr="0047462D">
        <w:rPr>
          <w:szCs w:val="22"/>
          <w:lang w:val="en-GB"/>
        </w:rPr>
        <w:t>Finnabair Industrial Estate</w:t>
      </w:r>
    </w:p>
    <w:p w14:paraId="34ADCCE6" w14:textId="77777777" w:rsidR="000709CF" w:rsidRPr="0047462D" w:rsidRDefault="000709CF" w:rsidP="00D3539C">
      <w:pPr>
        <w:keepNext/>
        <w:rPr>
          <w:szCs w:val="22"/>
          <w:lang w:val="en-GB"/>
        </w:rPr>
      </w:pPr>
      <w:r w:rsidRPr="0047462D">
        <w:rPr>
          <w:szCs w:val="22"/>
          <w:lang w:val="en-GB"/>
        </w:rPr>
        <w:t>Dundalk</w:t>
      </w:r>
    </w:p>
    <w:p w14:paraId="0A9A6E72" w14:textId="77777777" w:rsidR="000709CF" w:rsidRPr="0047462D" w:rsidRDefault="000709CF" w:rsidP="00D3539C">
      <w:pPr>
        <w:keepNext/>
        <w:rPr>
          <w:szCs w:val="22"/>
          <w:lang w:val="en-GB"/>
        </w:rPr>
      </w:pPr>
      <w:r w:rsidRPr="0047462D">
        <w:rPr>
          <w:szCs w:val="22"/>
          <w:lang w:val="en-GB"/>
        </w:rPr>
        <w:t>Co. Louth</w:t>
      </w:r>
    </w:p>
    <w:p w14:paraId="618BCB8D" w14:textId="77777777" w:rsidR="000709CF" w:rsidRPr="0047462D" w:rsidRDefault="000709CF" w:rsidP="00D3539C">
      <w:pPr>
        <w:keepNext/>
        <w:rPr>
          <w:szCs w:val="22"/>
          <w:lang w:val="en-GB"/>
        </w:rPr>
      </w:pPr>
      <w:r w:rsidRPr="0047462D">
        <w:rPr>
          <w:szCs w:val="22"/>
          <w:lang w:val="en-GB"/>
        </w:rPr>
        <w:t>A91 P9KD</w:t>
      </w:r>
    </w:p>
    <w:p w14:paraId="4B0CCCA5" w14:textId="77777777" w:rsidR="000709CF" w:rsidRPr="0047462D" w:rsidRDefault="000709CF" w:rsidP="000709CF">
      <w:pPr>
        <w:rPr>
          <w:szCs w:val="22"/>
          <w:lang w:val="en-GB"/>
        </w:rPr>
      </w:pPr>
      <w:r w:rsidRPr="0047462D">
        <w:rPr>
          <w:szCs w:val="22"/>
        </w:rPr>
        <w:t>Ιρλανδία</w:t>
      </w:r>
    </w:p>
    <w:p w14:paraId="4513A969" w14:textId="77777777" w:rsidR="000709CF" w:rsidRPr="0047462D" w:rsidRDefault="000709CF" w:rsidP="0027549F">
      <w:pPr>
        <w:rPr>
          <w:lang w:val="en-US" w:eastAsia="ja-JP"/>
        </w:rPr>
      </w:pPr>
    </w:p>
    <w:p w14:paraId="1E570853"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Almac Pharma Services Limited</w:t>
      </w:r>
    </w:p>
    <w:p w14:paraId="0BE71034"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Seagoe Industrial Estate</w:t>
      </w:r>
    </w:p>
    <w:p w14:paraId="3A654946"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Craigavon</w:t>
      </w:r>
    </w:p>
    <w:p w14:paraId="5AB8C69D"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County Armagh</w:t>
      </w:r>
    </w:p>
    <w:p w14:paraId="7DA85A1C" w14:textId="77777777" w:rsidR="00B3263D" w:rsidRPr="0047462D" w:rsidRDefault="00B3263D" w:rsidP="00B3263D">
      <w:pPr>
        <w:keepNext/>
        <w:rPr>
          <w:rFonts w:eastAsia="MS Mincho"/>
          <w:bCs/>
          <w:color w:val="000000"/>
          <w:lang w:eastAsia="ja-JP"/>
        </w:rPr>
      </w:pPr>
      <w:r w:rsidRPr="0047462D">
        <w:rPr>
          <w:rFonts w:eastAsia="MS Mincho"/>
          <w:bCs/>
          <w:color w:val="000000"/>
          <w:lang w:val="en-US" w:eastAsia="ja-JP"/>
        </w:rPr>
        <w:t>BT</w:t>
      </w:r>
      <w:r w:rsidRPr="0047462D">
        <w:rPr>
          <w:rFonts w:eastAsia="MS Mincho"/>
          <w:bCs/>
          <w:color w:val="000000"/>
          <w:lang w:eastAsia="ja-JP"/>
        </w:rPr>
        <w:t>63 5</w:t>
      </w:r>
      <w:r w:rsidRPr="0047462D">
        <w:rPr>
          <w:rFonts w:eastAsia="MS Mincho"/>
          <w:bCs/>
          <w:color w:val="000000"/>
          <w:lang w:val="en-US" w:eastAsia="ja-JP"/>
        </w:rPr>
        <w:t>UA</w:t>
      </w:r>
    </w:p>
    <w:p w14:paraId="3E95E5A6" w14:textId="77777777" w:rsidR="00B3263D" w:rsidRPr="0047462D" w:rsidRDefault="00B3263D" w:rsidP="00B3263D">
      <w:pPr>
        <w:rPr>
          <w:rFonts w:eastAsia="MS Mincho"/>
          <w:bCs/>
          <w:color w:val="000000"/>
          <w:lang w:eastAsia="ja-JP"/>
        </w:rPr>
      </w:pPr>
      <w:r w:rsidRPr="0047462D">
        <w:rPr>
          <w:rFonts w:eastAsia="MS Mincho"/>
          <w:bCs/>
          <w:color w:val="000000"/>
          <w:szCs w:val="22"/>
          <w:lang w:eastAsia="ja-JP"/>
        </w:rPr>
        <w:t>Ηνωμένο Βασίλειο</w:t>
      </w:r>
    </w:p>
    <w:p w14:paraId="1797E65A" w14:textId="77777777" w:rsidR="00B3263D" w:rsidRPr="0047462D" w:rsidRDefault="00B3263D" w:rsidP="00B3263D">
      <w:pPr>
        <w:numPr>
          <w:ilvl w:val="12"/>
          <w:numId w:val="0"/>
        </w:numPr>
        <w:ind w:right="-2"/>
        <w:outlineLvl w:val="0"/>
        <w:rPr>
          <w:rFonts w:eastAsia="MS Mincho"/>
          <w:bCs/>
          <w:color w:val="000000"/>
          <w:lang w:eastAsia="ja-JP"/>
        </w:rPr>
      </w:pPr>
    </w:p>
    <w:p w14:paraId="396CC464" w14:textId="77777777" w:rsidR="00A67D3A" w:rsidRPr="0047462D" w:rsidRDefault="00A67D3A">
      <w:pPr>
        <w:ind w:right="-2"/>
        <w:rPr>
          <w:i/>
          <w:iCs/>
          <w:szCs w:val="22"/>
          <w:lang w:eastAsia="en-US"/>
        </w:rPr>
      </w:pPr>
      <w:r w:rsidRPr="0047462D">
        <w:rPr>
          <w:rFonts w:eastAsia="Times New Roman"/>
          <w:b/>
          <w:bCs/>
          <w:szCs w:val="22"/>
        </w:rPr>
        <w:t xml:space="preserve">Το παρόν φύλλο οδηγιών χρήσης αναθεωρήθηκε για τελευταία φορά στις </w:t>
      </w:r>
    </w:p>
    <w:p w14:paraId="1CB704ED" w14:textId="77777777" w:rsidR="00A67D3A" w:rsidRPr="0047462D" w:rsidRDefault="00A67D3A">
      <w:pPr>
        <w:rPr>
          <w:b/>
        </w:rPr>
      </w:pPr>
    </w:p>
    <w:p w14:paraId="3444AE59" w14:textId="158732F9" w:rsidR="00A67D3A" w:rsidRPr="0047462D" w:rsidRDefault="00A67D3A" w:rsidP="009A2EEC">
      <w:pPr>
        <w:keepNext/>
        <w:rPr>
          <w:b/>
          <w:noProof/>
          <w:szCs w:val="22"/>
        </w:rPr>
      </w:pPr>
      <w:r w:rsidRPr="0047462D">
        <w:rPr>
          <w:b/>
          <w:noProof/>
          <w:szCs w:val="22"/>
        </w:rPr>
        <w:t>Άλλες πηγές πληροφοριών</w:t>
      </w:r>
    </w:p>
    <w:p w14:paraId="7EBB3114" w14:textId="77777777" w:rsidR="00A07422" w:rsidRPr="0047462D" w:rsidRDefault="00A07422" w:rsidP="009A2EEC">
      <w:pPr>
        <w:keepNext/>
        <w:rPr>
          <w:rFonts w:eastAsia="Times New Roman"/>
          <w:szCs w:val="22"/>
        </w:rPr>
      </w:pPr>
    </w:p>
    <w:p w14:paraId="49E1534A" w14:textId="77777777" w:rsidR="00A67D3A" w:rsidRPr="0047462D" w:rsidRDefault="00EB51F0" w:rsidP="002331FF">
      <w:pPr>
        <w:ind w:right="-2"/>
        <w:rPr>
          <w:color w:val="000000"/>
        </w:rPr>
      </w:pPr>
      <w:r w:rsidRPr="0047462D">
        <w:rPr>
          <w:noProof/>
          <w:szCs w:val="22"/>
        </w:rPr>
        <w:t xml:space="preserve">Λεπτομερείς πληροφορίες για το φάρμακο </w:t>
      </w:r>
      <w:r w:rsidR="00A67D3A" w:rsidRPr="0047462D">
        <w:rPr>
          <w:rFonts w:eastAsia="Times New Roman"/>
          <w:szCs w:val="22"/>
        </w:rPr>
        <w:t xml:space="preserve">αυτό είναι </w:t>
      </w:r>
      <w:r w:rsidRPr="0047462D">
        <w:rPr>
          <w:rFonts w:eastAsia="Times New Roman"/>
          <w:szCs w:val="22"/>
        </w:rPr>
        <w:t xml:space="preserve">διαθέσιμες </w:t>
      </w:r>
      <w:r w:rsidR="00A67D3A" w:rsidRPr="0047462D">
        <w:rPr>
          <w:rFonts w:eastAsia="Times New Roman"/>
          <w:szCs w:val="22"/>
        </w:rPr>
        <w:t>στο δικτυακό τόπο του Ευρωπαϊκού Οργανισμού Φαρμάκων:</w:t>
      </w:r>
      <w:r w:rsidR="00A67D3A" w:rsidRPr="0047462D">
        <w:rPr>
          <w:rFonts w:eastAsia="Times New Roman"/>
          <w:szCs w:val="22"/>
          <w:lang w:eastAsia="en-US"/>
        </w:rPr>
        <w:t xml:space="preserve"> </w:t>
      </w:r>
      <w:hyperlink r:id="rId16" w:history="1">
        <w:r w:rsidR="00A67D3A" w:rsidRPr="0047462D">
          <w:rPr>
            <w:rStyle w:val="Hyperlink"/>
          </w:rPr>
          <w:t>http://www.ema.europa.eu</w:t>
        </w:r>
      </w:hyperlink>
      <w:r w:rsidR="00A67D3A" w:rsidRPr="0047462D">
        <w:rPr>
          <w:rFonts w:eastAsia="Times New Roman"/>
          <w:color w:val="0000FF"/>
          <w:szCs w:val="22"/>
        </w:rPr>
        <w:t>.</w:t>
      </w:r>
      <w:r w:rsidR="00A67D3A" w:rsidRPr="0047462D">
        <w:rPr>
          <w:rFonts w:eastAsia="Times New Roman"/>
          <w:szCs w:val="22"/>
          <w:lang w:eastAsia="en-US"/>
        </w:rPr>
        <w:t xml:space="preserve"> </w:t>
      </w:r>
      <w:r w:rsidR="00A67D3A" w:rsidRPr="0047462D">
        <w:rPr>
          <w:rFonts w:eastAsia="Times New Roman"/>
          <w:color w:val="000000"/>
          <w:szCs w:val="22"/>
        </w:rPr>
        <w:t xml:space="preserve">Υπάρχουν επίσης </w:t>
      </w:r>
      <w:r w:rsidR="00A67D3A" w:rsidRPr="0047462D">
        <w:rPr>
          <w:rFonts w:eastAsia="Times New Roman"/>
          <w:szCs w:val="22"/>
        </w:rPr>
        <w:t>σύνδεσμοι με άλλες ιστοσελίδες που αφορούν σπάνιες ασθένειες και θεραπείες</w:t>
      </w:r>
      <w:r w:rsidR="00A67D3A" w:rsidRPr="0047462D">
        <w:rPr>
          <w:rFonts w:eastAsia="Times New Roman"/>
          <w:color w:val="000000"/>
          <w:szCs w:val="22"/>
        </w:rPr>
        <w:t>.</w:t>
      </w:r>
    </w:p>
    <w:p w14:paraId="6445183F" w14:textId="77777777" w:rsidR="001C01B6" w:rsidRPr="0047462D" w:rsidRDefault="001C01B6" w:rsidP="001C01B6">
      <w:pPr>
        <w:pageBreakBefore/>
        <w:jc w:val="center"/>
        <w:rPr>
          <w:szCs w:val="22"/>
          <w:lang w:eastAsia="en-US"/>
        </w:rPr>
      </w:pPr>
      <w:r w:rsidRPr="0047462D">
        <w:rPr>
          <w:rFonts w:eastAsia="Times New Roman"/>
          <w:b/>
          <w:bCs/>
          <w:szCs w:val="22"/>
        </w:rPr>
        <w:t>Φύλλο οδηγιών χρήσης:</w:t>
      </w:r>
      <w:r w:rsidRPr="0047462D">
        <w:rPr>
          <w:rFonts w:eastAsia="Times New Roman"/>
          <w:b/>
          <w:bCs/>
          <w:szCs w:val="22"/>
          <w:lang w:eastAsia="en-US"/>
        </w:rPr>
        <w:t xml:space="preserve"> </w:t>
      </w:r>
      <w:r w:rsidRPr="0047462D">
        <w:rPr>
          <w:rFonts w:eastAsia="Times New Roman"/>
          <w:b/>
          <w:bCs/>
          <w:szCs w:val="22"/>
        </w:rPr>
        <w:t>Πληροφορίες για τον ασθενή</w:t>
      </w:r>
    </w:p>
    <w:p w14:paraId="49C004F9" w14:textId="77777777" w:rsidR="001C01B6" w:rsidRPr="0047462D" w:rsidRDefault="001C01B6" w:rsidP="001C01B6">
      <w:pPr>
        <w:shd w:val="clear" w:color="auto" w:fill="FFFFFF"/>
        <w:jc w:val="center"/>
        <w:rPr>
          <w:szCs w:val="22"/>
          <w:lang w:eastAsia="en-US"/>
        </w:rPr>
      </w:pPr>
    </w:p>
    <w:p w14:paraId="668BA75C" w14:textId="77777777" w:rsidR="009F7FA3" w:rsidRPr="0047462D" w:rsidRDefault="009F7FA3" w:rsidP="001C01B6">
      <w:pPr>
        <w:shd w:val="clear" w:color="auto" w:fill="FFFFFF"/>
        <w:jc w:val="center"/>
        <w:rPr>
          <w:szCs w:val="22"/>
          <w:lang w:eastAsia="en-US"/>
        </w:rPr>
      </w:pPr>
      <w:r w:rsidRPr="0047462D">
        <w:rPr>
          <w:rFonts w:eastAsia="Times New Roman"/>
          <w:b/>
          <w:bCs/>
          <w:szCs w:val="22"/>
        </w:rPr>
        <w:t xml:space="preserve">Kalydeco 25 mg </w:t>
      </w:r>
      <w:r w:rsidRPr="0047462D">
        <w:rPr>
          <w:rFonts w:eastAsia="Times New Roman"/>
          <w:b/>
          <w:bCs/>
          <w:spacing w:val="4"/>
          <w:szCs w:val="22"/>
        </w:rPr>
        <w:t>κοκκία σε φακελλίσκο</w:t>
      </w:r>
    </w:p>
    <w:p w14:paraId="16A06BA3" w14:textId="77777777" w:rsidR="001C01B6" w:rsidRPr="0047462D" w:rsidRDefault="001C01B6" w:rsidP="001C01B6">
      <w:pPr>
        <w:jc w:val="center"/>
        <w:rPr>
          <w:rFonts w:eastAsia="Times New Roman"/>
          <w:b/>
          <w:bCs/>
          <w:spacing w:val="4"/>
          <w:szCs w:val="22"/>
        </w:rPr>
      </w:pPr>
      <w:r w:rsidRPr="0047462D">
        <w:rPr>
          <w:rFonts w:eastAsia="Times New Roman"/>
          <w:b/>
          <w:bCs/>
          <w:szCs w:val="22"/>
        </w:rPr>
        <w:t xml:space="preserve">Kalydeco 50 mg </w:t>
      </w:r>
      <w:r w:rsidRPr="0047462D">
        <w:rPr>
          <w:rFonts w:eastAsia="Times New Roman"/>
          <w:b/>
          <w:bCs/>
          <w:spacing w:val="4"/>
          <w:szCs w:val="22"/>
        </w:rPr>
        <w:t>κοκκία σε φακελλίσκο</w:t>
      </w:r>
    </w:p>
    <w:p w14:paraId="234DFF51" w14:textId="77777777" w:rsidR="001C01B6" w:rsidRPr="0047462D" w:rsidRDefault="001C01B6" w:rsidP="001C01B6">
      <w:pPr>
        <w:jc w:val="center"/>
        <w:rPr>
          <w:rFonts w:eastAsia="Times New Roman"/>
          <w:szCs w:val="22"/>
        </w:rPr>
      </w:pPr>
      <w:r w:rsidRPr="0047462D">
        <w:rPr>
          <w:rFonts w:eastAsia="Times New Roman"/>
          <w:b/>
          <w:bCs/>
          <w:szCs w:val="22"/>
        </w:rPr>
        <w:t xml:space="preserve">Kalydeco 75 mg </w:t>
      </w:r>
      <w:r w:rsidRPr="0047462D">
        <w:rPr>
          <w:rFonts w:eastAsia="Times New Roman"/>
          <w:b/>
          <w:bCs/>
          <w:spacing w:val="4"/>
          <w:szCs w:val="22"/>
        </w:rPr>
        <w:t>κοκκία σε φακελλίσκο</w:t>
      </w:r>
    </w:p>
    <w:p w14:paraId="02489BA0" w14:textId="77777777" w:rsidR="001C01B6" w:rsidRPr="0047462D" w:rsidRDefault="001030B0" w:rsidP="001C01B6">
      <w:pPr>
        <w:keepNext/>
        <w:jc w:val="center"/>
        <w:rPr>
          <w:bCs/>
          <w:szCs w:val="22"/>
          <w:lang w:eastAsia="en-US"/>
        </w:rPr>
      </w:pPr>
      <w:r w:rsidRPr="0047462D">
        <w:rPr>
          <w:bCs/>
          <w:noProof/>
          <w:lang w:val="en-US"/>
        </w:rPr>
        <w:t>i</w:t>
      </w:r>
      <w:r w:rsidR="001C01B6" w:rsidRPr="0047462D">
        <w:rPr>
          <w:bCs/>
          <w:noProof/>
        </w:rPr>
        <w:t>vacaftor</w:t>
      </w:r>
    </w:p>
    <w:p w14:paraId="3686EA65" w14:textId="56CDB857" w:rsidR="001C01B6" w:rsidRPr="0047462D" w:rsidRDefault="001C01B6" w:rsidP="001C01B6">
      <w:pPr>
        <w:rPr>
          <w:szCs w:val="22"/>
          <w:lang w:eastAsia="en-US"/>
        </w:rPr>
      </w:pPr>
    </w:p>
    <w:p w14:paraId="70DAF10B" w14:textId="77777777" w:rsidR="001C01B6" w:rsidRPr="0047462D" w:rsidRDefault="001C01B6" w:rsidP="001C01B6">
      <w:pPr>
        <w:rPr>
          <w:szCs w:val="22"/>
          <w:lang w:eastAsia="en-US"/>
        </w:rPr>
      </w:pPr>
    </w:p>
    <w:p w14:paraId="1A5E275D" w14:textId="6E56B610" w:rsidR="001C01B6" w:rsidRPr="0047462D" w:rsidRDefault="001C01B6" w:rsidP="001C01B6">
      <w:pPr>
        <w:rPr>
          <w:rFonts w:eastAsia="Times New Roman"/>
          <w:b/>
          <w:bCs/>
          <w:szCs w:val="22"/>
        </w:rPr>
      </w:pPr>
      <w:r w:rsidRPr="0047462D">
        <w:rPr>
          <w:rFonts w:eastAsia="Times New Roman"/>
          <w:b/>
          <w:bCs/>
          <w:szCs w:val="22"/>
        </w:rPr>
        <w:t xml:space="preserve">Διαβάστε προσεκτικά ολόκληρο το φύλλο οδηγιών χρήσης </w:t>
      </w:r>
      <w:r w:rsidR="00745AD2" w:rsidRPr="0047462D">
        <w:rPr>
          <w:rFonts w:eastAsia="Times New Roman"/>
          <w:b/>
          <w:bCs/>
          <w:szCs w:val="22"/>
        </w:rPr>
        <w:t xml:space="preserve">πριν </w:t>
      </w:r>
      <w:r w:rsidRPr="0047462D">
        <w:rPr>
          <w:rFonts w:eastAsia="Times New Roman"/>
          <w:b/>
          <w:bCs/>
          <w:szCs w:val="22"/>
        </w:rPr>
        <w:t>αρχίσει το παιδί σας να παίρνει αυτό το φάρμακο, διότι περιλαμβάνει σημαντικές πληροφορίες για το παιδί σας.</w:t>
      </w:r>
    </w:p>
    <w:p w14:paraId="0F936FF0" w14:textId="77777777" w:rsidR="00A07422" w:rsidRPr="0047462D" w:rsidRDefault="00A07422" w:rsidP="001C01B6">
      <w:pPr>
        <w:rPr>
          <w:rFonts w:eastAsia="Times New Roman"/>
          <w:szCs w:val="22"/>
        </w:rPr>
      </w:pPr>
    </w:p>
    <w:p w14:paraId="2918D1B6"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Φυλάξτε αυτό το φύλλο οδηγιών χρήσης. Ίσως χρειαστεί να το διαβάσετε ξανά.</w:t>
      </w:r>
    </w:p>
    <w:p w14:paraId="3831EC10"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Εάν έχετε περαιτέρω απορίες, ρωτήστε τον γιατρό ή τον φαρμακοποιό του παιδιού σας.</w:t>
      </w:r>
    </w:p>
    <w:p w14:paraId="6E39FD73"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Η συνταγή γι</w:t>
      </w:r>
      <w:r w:rsidR="00A07D4A" w:rsidRPr="0047462D">
        <w:rPr>
          <w:noProof/>
          <w:szCs w:val="22"/>
          <w:lang w:eastAsia="en-US"/>
        </w:rPr>
        <w:t>α</w:t>
      </w:r>
      <w:r w:rsidRPr="0047462D">
        <w:rPr>
          <w:noProof/>
          <w:szCs w:val="22"/>
          <w:lang w:eastAsia="en-US"/>
        </w:rPr>
        <w:t xml:space="preserve"> αυτό το φάρμακο χορηγήθηκε αποκλειστικά για το παιδί σας. Δεν πρέπει να δώσετε το φάρμακο σε άλλους. Μπορεί να τους προκαλέσει βλάβη, ακόμα και όταν τα </w:t>
      </w:r>
      <w:r w:rsidR="00A07D4A" w:rsidRPr="0047462D">
        <w:rPr>
          <w:noProof/>
          <w:szCs w:val="22"/>
          <w:lang w:eastAsia="en-US"/>
        </w:rPr>
        <w:t xml:space="preserve">συμπτώματα </w:t>
      </w:r>
      <w:r w:rsidRPr="0047462D">
        <w:rPr>
          <w:noProof/>
          <w:szCs w:val="22"/>
          <w:lang w:eastAsia="en-US"/>
        </w:rPr>
        <w:t>της ασθένειάς τους είναι ίδια με του παιδιού σας.</w:t>
      </w:r>
    </w:p>
    <w:p w14:paraId="41BD043C" w14:textId="60906C33"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 xml:space="preserve">Εάν </w:t>
      </w:r>
      <w:r w:rsidR="00A756C7" w:rsidRPr="0047462D">
        <w:rPr>
          <w:noProof/>
          <w:szCs w:val="22"/>
          <w:lang w:eastAsia="en-US"/>
        </w:rPr>
        <w:t xml:space="preserve">παρατηρήσετε </w:t>
      </w:r>
      <w:r w:rsidRPr="0047462D">
        <w:rPr>
          <w:noProof/>
          <w:szCs w:val="22"/>
          <w:lang w:eastAsia="en-US"/>
        </w:rPr>
        <w:t>κάποια ανεπιθύμητη ενέργεια</w:t>
      </w:r>
      <w:r w:rsidR="00A756C7" w:rsidRPr="0047462D">
        <w:rPr>
          <w:noProof/>
          <w:szCs w:val="22"/>
          <w:lang w:eastAsia="en-US"/>
        </w:rPr>
        <w:t xml:space="preserve"> στο παιδί σας</w:t>
      </w:r>
      <w:r w:rsidRPr="0047462D">
        <w:rPr>
          <w:noProof/>
          <w:szCs w:val="22"/>
          <w:lang w:eastAsia="en-US"/>
        </w:rPr>
        <w:t xml:space="preserve">, ενημερώστε τον γιατρό ή τον φαρμακοποιό του παιδιού σας. Αυτό ισχύει και για κάθε πιθανή ανεπιθύμητη ενέργεια που δεν αναφέρεται στο παρόν φύλλο οδηγιών χρήσης. </w:t>
      </w:r>
      <w:r w:rsidRPr="0047462D">
        <w:rPr>
          <w:noProof/>
          <w:szCs w:val="22"/>
        </w:rPr>
        <w:t>Βλέπε παράγραφο 4</w:t>
      </w:r>
      <w:r w:rsidRPr="0047462D">
        <w:t>.</w:t>
      </w:r>
    </w:p>
    <w:p w14:paraId="0B585B86" w14:textId="77777777" w:rsidR="001C01B6" w:rsidRPr="0047462D" w:rsidRDefault="001C01B6" w:rsidP="001C01B6">
      <w:pPr>
        <w:ind w:right="-2"/>
        <w:rPr>
          <w:szCs w:val="22"/>
          <w:lang w:eastAsia="en-US"/>
        </w:rPr>
      </w:pPr>
    </w:p>
    <w:p w14:paraId="57BBE278" w14:textId="77777777" w:rsidR="001C01B6" w:rsidRPr="0047462D" w:rsidRDefault="001C01B6" w:rsidP="001C01B6">
      <w:pPr>
        <w:keepNext/>
        <w:ind w:right="-2"/>
        <w:rPr>
          <w:rFonts w:eastAsia="Times New Roman"/>
          <w:b/>
          <w:bCs/>
          <w:szCs w:val="22"/>
        </w:rPr>
      </w:pPr>
      <w:r w:rsidRPr="0047462D">
        <w:rPr>
          <w:rFonts w:eastAsia="Times New Roman"/>
          <w:b/>
          <w:bCs/>
          <w:szCs w:val="22"/>
        </w:rPr>
        <w:t>Τι περιέχει το παρόν φύλλο οδηγιών</w:t>
      </w:r>
      <w:r w:rsidR="00CA10C8" w:rsidRPr="0047462D">
        <w:rPr>
          <w:rFonts w:eastAsia="Times New Roman"/>
          <w:b/>
          <w:bCs/>
          <w:szCs w:val="22"/>
        </w:rPr>
        <w:t>:</w:t>
      </w:r>
    </w:p>
    <w:p w14:paraId="5DEBF7AC" w14:textId="77777777" w:rsidR="001C01B6" w:rsidRPr="0047462D" w:rsidRDefault="001C01B6" w:rsidP="001C01B6">
      <w:pPr>
        <w:keepNext/>
        <w:ind w:right="-2"/>
        <w:rPr>
          <w:rFonts w:eastAsia="Times New Roman"/>
          <w:szCs w:val="22"/>
          <w:lang w:eastAsia="en-US"/>
        </w:rPr>
      </w:pPr>
    </w:p>
    <w:p w14:paraId="408978C5"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1.</w:t>
      </w:r>
      <w:r w:rsidRPr="0047462D">
        <w:rPr>
          <w:noProof/>
          <w:szCs w:val="22"/>
          <w:lang w:eastAsia="en-US"/>
        </w:rPr>
        <w:tab/>
        <w:t>Τι είναι το Kalydeco και ποια είναι η χρήση του</w:t>
      </w:r>
    </w:p>
    <w:p w14:paraId="74EAFDFF" w14:textId="1F93DD0F"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2.</w:t>
      </w:r>
      <w:r w:rsidRPr="0047462D">
        <w:rPr>
          <w:noProof/>
          <w:szCs w:val="22"/>
          <w:lang w:eastAsia="en-US"/>
        </w:rPr>
        <w:tab/>
        <w:t xml:space="preserve">Τι πρέπει να γνωρίζετε </w:t>
      </w:r>
      <w:r w:rsidR="005037FD" w:rsidRPr="0047462D">
        <w:rPr>
          <w:noProof/>
          <w:szCs w:val="22"/>
          <w:lang w:eastAsia="en-US"/>
        </w:rPr>
        <w:t xml:space="preserve">πριν πάρει </w:t>
      </w:r>
      <w:r w:rsidRPr="0047462D">
        <w:rPr>
          <w:noProof/>
          <w:szCs w:val="22"/>
          <w:lang w:eastAsia="en-US"/>
        </w:rPr>
        <w:t>το παιδί σας το Kalydeco</w:t>
      </w:r>
    </w:p>
    <w:p w14:paraId="761F1712"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3.</w:t>
      </w:r>
      <w:r w:rsidRPr="0047462D">
        <w:rPr>
          <w:noProof/>
          <w:szCs w:val="22"/>
          <w:lang w:eastAsia="en-US"/>
        </w:rPr>
        <w:tab/>
        <w:t>Πώς να πάρ</w:t>
      </w:r>
      <w:r w:rsidR="0079457C" w:rsidRPr="0047462D">
        <w:rPr>
          <w:noProof/>
          <w:szCs w:val="22"/>
          <w:lang w:eastAsia="en-US"/>
        </w:rPr>
        <w:t>ει το παιδί σας</w:t>
      </w:r>
      <w:r w:rsidRPr="0047462D">
        <w:rPr>
          <w:noProof/>
          <w:szCs w:val="22"/>
          <w:lang w:eastAsia="en-US"/>
        </w:rPr>
        <w:t xml:space="preserve"> το Kalydeco</w:t>
      </w:r>
    </w:p>
    <w:p w14:paraId="21C4FC0F"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4.</w:t>
      </w:r>
      <w:r w:rsidRPr="0047462D">
        <w:rPr>
          <w:noProof/>
          <w:szCs w:val="22"/>
          <w:lang w:eastAsia="en-US"/>
        </w:rPr>
        <w:tab/>
        <w:t>Πιθανές ανεπιθύμητες ενέργειες</w:t>
      </w:r>
    </w:p>
    <w:p w14:paraId="1D06A24B"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5.</w:t>
      </w:r>
      <w:r w:rsidRPr="0047462D">
        <w:rPr>
          <w:noProof/>
          <w:szCs w:val="22"/>
          <w:lang w:eastAsia="en-US"/>
        </w:rPr>
        <w:tab/>
        <w:t>Πώς να φυλάσσετ</w:t>
      </w:r>
      <w:r w:rsidR="00622668" w:rsidRPr="0047462D">
        <w:rPr>
          <w:noProof/>
          <w:szCs w:val="22"/>
          <w:lang w:eastAsia="en-US"/>
        </w:rPr>
        <w:t>ε</w:t>
      </w:r>
      <w:r w:rsidRPr="0047462D">
        <w:rPr>
          <w:noProof/>
          <w:szCs w:val="22"/>
          <w:lang w:eastAsia="en-US"/>
        </w:rPr>
        <w:t xml:space="preserve"> το Kalydeco</w:t>
      </w:r>
    </w:p>
    <w:p w14:paraId="228CDEBB" w14:textId="06945DF2"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6.</w:t>
      </w:r>
      <w:r w:rsidRPr="0047462D">
        <w:rPr>
          <w:noProof/>
          <w:szCs w:val="22"/>
          <w:lang w:eastAsia="en-US"/>
        </w:rPr>
        <w:tab/>
        <w:t>Περιεχόμεν</w:t>
      </w:r>
      <w:r w:rsidR="00CA10C8" w:rsidRPr="0047462D">
        <w:rPr>
          <w:noProof/>
          <w:szCs w:val="22"/>
          <w:lang w:eastAsia="en-US"/>
        </w:rPr>
        <w:t>α</w:t>
      </w:r>
      <w:r w:rsidRPr="0047462D">
        <w:rPr>
          <w:noProof/>
          <w:szCs w:val="22"/>
          <w:lang w:eastAsia="en-US"/>
        </w:rPr>
        <w:t xml:space="preserve"> της συσκευασίας και λοιπές πληροφορίες</w:t>
      </w:r>
    </w:p>
    <w:p w14:paraId="11496A5A" w14:textId="77777777" w:rsidR="001C01B6" w:rsidRPr="0047462D" w:rsidRDefault="001C01B6" w:rsidP="001C01B6">
      <w:pPr>
        <w:rPr>
          <w:szCs w:val="22"/>
          <w:lang w:eastAsia="en-US"/>
        </w:rPr>
      </w:pPr>
    </w:p>
    <w:p w14:paraId="4881BDEF" w14:textId="77777777" w:rsidR="001C01B6" w:rsidRPr="0047462D" w:rsidRDefault="001C01B6" w:rsidP="001C01B6">
      <w:pPr>
        <w:rPr>
          <w:szCs w:val="22"/>
          <w:lang w:eastAsia="en-US"/>
        </w:rPr>
      </w:pPr>
    </w:p>
    <w:p w14:paraId="34605F5A" w14:textId="77777777" w:rsidR="001C01B6" w:rsidRPr="0047462D" w:rsidRDefault="001C01B6" w:rsidP="001C01B6">
      <w:pPr>
        <w:keepNext/>
        <w:ind w:left="567" w:right="-2"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b/>
          <w:bCs/>
          <w:noProof/>
          <w:szCs w:val="22"/>
          <w:lang w:eastAsia="en-US"/>
        </w:rPr>
        <w:t>Τι είναι το Kalydeco και ποια είναι η χρήση του</w:t>
      </w:r>
    </w:p>
    <w:p w14:paraId="7036DE41" w14:textId="77777777" w:rsidR="001C01B6" w:rsidRPr="0047462D" w:rsidRDefault="001C01B6" w:rsidP="001C01B6">
      <w:pPr>
        <w:keepNext/>
        <w:widowControl w:val="0"/>
        <w:autoSpaceDE w:val="0"/>
        <w:rPr>
          <w:szCs w:val="22"/>
          <w:lang w:eastAsia="en-US"/>
        </w:rPr>
      </w:pPr>
    </w:p>
    <w:p w14:paraId="03F9464C" w14:textId="77777777" w:rsidR="001C01B6" w:rsidRPr="0047462D" w:rsidRDefault="001C01B6" w:rsidP="001C01B6">
      <w:pPr>
        <w:widowControl w:val="0"/>
        <w:autoSpaceDE w:val="0"/>
        <w:rPr>
          <w:szCs w:val="22"/>
        </w:rPr>
      </w:pPr>
      <w:r w:rsidRPr="0047462D">
        <w:rPr>
          <w:bCs/>
          <w:szCs w:val="22"/>
        </w:rPr>
        <w:t xml:space="preserve">Το Kalydeco περιέχει το δραστικό συστατικό ivacaftor. Το </w:t>
      </w:r>
      <w:r w:rsidRPr="0047462D">
        <w:rPr>
          <w:szCs w:val="22"/>
        </w:rPr>
        <w:t>ivacaftor</w:t>
      </w:r>
      <w:r w:rsidRPr="0047462D">
        <w:rPr>
          <w:bCs/>
          <w:szCs w:val="22"/>
        </w:rPr>
        <w:t xml:space="preserve"> δρα στο επίπεδο του ρυθμιστή της διαμεμβρανικής αγωγιμότητας της κυστικής ίνωσης (</w:t>
      </w:r>
      <w:r w:rsidRPr="0047462D">
        <w:rPr>
          <w:bCs/>
          <w:iCs/>
          <w:szCs w:val="22"/>
        </w:rPr>
        <w:t>CFTR</w:t>
      </w:r>
      <w:r w:rsidRPr="0047462D">
        <w:rPr>
          <w:bCs/>
          <w:szCs w:val="22"/>
        </w:rPr>
        <w:t xml:space="preserve">), μιας πρωτεΐνης που σχηματίζει έναν δίαυλο στην κυτταρική επιφάνεια ο οποίος επιτρέπει τη μετακίνηση σωματιδίων όπως το χλώριο εντός και εκτός του κυττάρου. Λόγω μεταλλάξεων στο γονίδιο </w:t>
      </w:r>
      <w:r w:rsidRPr="0047462D">
        <w:rPr>
          <w:bCs/>
          <w:i/>
          <w:szCs w:val="22"/>
        </w:rPr>
        <w:t>CFTR</w:t>
      </w:r>
      <w:r w:rsidRPr="0047462D">
        <w:rPr>
          <w:bCs/>
          <w:szCs w:val="22"/>
        </w:rPr>
        <w:t xml:space="preserve"> (βλ. παρακάτω), η μετακίνηση του χλωρίου μειώνεται σε άτομα με κυστική ίνωση (ΚΙ). Το ivacaftor βοηθά ορισμένες μη φυσιολογικές πρωτεΐνες CFTR να ανοίγουν πιο συχνά για τη βελτίωση της μετακίνησης του χλωρίου εντός και εκτός του κυττάρου.</w:t>
      </w:r>
      <w:r w:rsidRPr="0047462D">
        <w:rPr>
          <w:rFonts w:eastAsia="Times New Roman"/>
          <w:szCs w:val="22"/>
          <w:lang w:eastAsia="en-US"/>
        </w:rPr>
        <w:t xml:space="preserve"> </w:t>
      </w:r>
    </w:p>
    <w:p w14:paraId="0D0A8DA1" w14:textId="77777777" w:rsidR="001C01B6" w:rsidRPr="0047462D" w:rsidRDefault="001C01B6" w:rsidP="001C01B6">
      <w:pPr>
        <w:widowControl w:val="0"/>
        <w:autoSpaceDE w:val="0"/>
        <w:rPr>
          <w:szCs w:val="22"/>
        </w:rPr>
      </w:pPr>
    </w:p>
    <w:p w14:paraId="68E81FEB" w14:textId="22B9385A" w:rsidR="001C01B6" w:rsidRPr="0047462D" w:rsidRDefault="001C01B6" w:rsidP="00DF274B">
      <w:pPr>
        <w:pStyle w:val="labeltext"/>
        <w:rPr>
          <w:rFonts w:eastAsia="Times New Roman"/>
          <w:sz w:val="22"/>
          <w:szCs w:val="22"/>
          <w:lang w:val="el-GR"/>
        </w:rPr>
      </w:pPr>
      <w:r w:rsidRPr="0047462D">
        <w:rPr>
          <w:rFonts w:eastAsia="Times New Roman"/>
          <w:sz w:val="22"/>
          <w:szCs w:val="22"/>
          <w:lang w:val="el-GR"/>
        </w:rPr>
        <w:t xml:space="preserve">Τα κοκκία Kalydeco ενδείκνυνται για τη θεραπεία </w:t>
      </w:r>
      <w:r w:rsidR="001B6B8A" w:rsidRPr="0047462D">
        <w:rPr>
          <w:rFonts w:eastAsia="Times New Roman"/>
          <w:sz w:val="22"/>
          <w:szCs w:val="22"/>
          <w:lang w:val="el-GR"/>
        </w:rPr>
        <w:t xml:space="preserve">βρεφών και </w:t>
      </w:r>
      <w:r w:rsidRPr="0047462D">
        <w:rPr>
          <w:rFonts w:eastAsia="Times New Roman"/>
          <w:sz w:val="22"/>
          <w:szCs w:val="22"/>
          <w:lang w:val="el-GR"/>
        </w:rPr>
        <w:t xml:space="preserve">παιδιών </w:t>
      </w:r>
      <w:r w:rsidR="001B6B8A" w:rsidRPr="0047462D">
        <w:rPr>
          <w:rFonts w:eastAsia="Times New Roman"/>
          <w:sz w:val="22"/>
          <w:szCs w:val="22"/>
          <w:lang w:val="el-GR"/>
        </w:rPr>
        <w:t xml:space="preserve">ηλικίας </w:t>
      </w:r>
      <w:r w:rsidR="00D73B42">
        <w:rPr>
          <w:rFonts w:eastAsia="Times New Roman"/>
          <w:sz w:val="22"/>
          <w:szCs w:val="22"/>
          <w:lang w:val="el-GR"/>
        </w:rPr>
        <w:t>4</w:t>
      </w:r>
      <w:r w:rsidR="001B6B8A" w:rsidRPr="0047462D">
        <w:rPr>
          <w:rFonts w:eastAsia="Times New Roman"/>
          <w:sz w:val="22"/>
          <w:szCs w:val="22"/>
          <w:lang w:val="el-GR"/>
        </w:rPr>
        <w:t xml:space="preserve"> μηνών και άνω και με σωματικό βάρος 5 kg έως κάτω των 25 kg </w:t>
      </w:r>
      <w:r w:rsidRPr="0047462D">
        <w:rPr>
          <w:rFonts w:eastAsia="Times New Roman"/>
          <w:sz w:val="22"/>
          <w:szCs w:val="22"/>
          <w:lang w:val="el-GR"/>
        </w:rPr>
        <w:t xml:space="preserve">με κυστική ίνωση (ΚΙ), τα οποία έχουν </w:t>
      </w:r>
      <w:r w:rsidR="00DF274B" w:rsidRPr="0047462D">
        <w:rPr>
          <w:rFonts w:eastAsia="Times New Roman"/>
          <w:sz w:val="22"/>
          <w:szCs w:val="22"/>
          <w:lang w:val="el-GR"/>
        </w:rPr>
        <w:t xml:space="preserve">μια </w:t>
      </w:r>
      <w:r w:rsidR="003F2D56" w:rsidRPr="0047462D">
        <w:rPr>
          <w:rFonts w:eastAsia="Times New Roman"/>
          <w:i/>
          <w:iCs/>
          <w:sz w:val="22"/>
          <w:szCs w:val="22"/>
        </w:rPr>
        <w:t>CFTR</w:t>
      </w:r>
      <w:r w:rsidR="003F2D56" w:rsidRPr="00F93ECE">
        <w:rPr>
          <w:rFonts w:eastAsia="Times New Roman"/>
          <w:sz w:val="22"/>
          <w:szCs w:val="22"/>
          <w:lang w:val="el-GR"/>
        </w:rPr>
        <w:t xml:space="preserve"> </w:t>
      </w:r>
      <w:r w:rsidR="00DF274B" w:rsidRPr="0047462D">
        <w:rPr>
          <w:rFonts w:eastAsia="Times New Roman"/>
          <w:sz w:val="22"/>
          <w:szCs w:val="22"/>
          <w:lang w:val="el-GR"/>
        </w:rPr>
        <w:t xml:space="preserve">μετάλλαξη </w:t>
      </w:r>
      <w:r w:rsidR="00831B8E" w:rsidRPr="0047462D">
        <w:rPr>
          <w:i/>
          <w:iCs/>
          <w:sz w:val="22"/>
          <w:szCs w:val="22"/>
        </w:rPr>
        <w:t>R</w:t>
      </w:r>
      <w:r w:rsidR="00831B8E" w:rsidRPr="00F93ECE">
        <w:rPr>
          <w:i/>
          <w:iCs/>
          <w:sz w:val="22"/>
          <w:szCs w:val="22"/>
          <w:lang w:val="el-GR"/>
        </w:rPr>
        <w:t>117</w:t>
      </w:r>
      <w:r w:rsidR="00831B8E" w:rsidRPr="0047462D">
        <w:rPr>
          <w:i/>
          <w:iCs/>
          <w:sz w:val="22"/>
          <w:szCs w:val="22"/>
        </w:rPr>
        <w:t>H</w:t>
      </w:r>
      <w:r w:rsidR="00831B8E" w:rsidRPr="00F93ECE">
        <w:rPr>
          <w:i/>
          <w:iCs/>
          <w:sz w:val="22"/>
          <w:szCs w:val="22"/>
          <w:lang w:val="el-GR"/>
        </w:rPr>
        <w:t xml:space="preserve"> </w:t>
      </w:r>
      <w:r w:rsidR="00DF274B" w:rsidRPr="0047462D">
        <w:rPr>
          <w:rFonts w:eastAsia="Times New Roman"/>
          <w:sz w:val="22"/>
          <w:szCs w:val="22"/>
          <w:lang w:val="el-GR"/>
        </w:rPr>
        <w:t xml:space="preserve">ή </w:t>
      </w:r>
      <w:r w:rsidRPr="0047462D">
        <w:rPr>
          <w:rFonts w:eastAsia="Times New Roman"/>
          <w:sz w:val="22"/>
          <w:szCs w:val="22"/>
          <w:lang w:val="el-GR"/>
        </w:rPr>
        <w:t xml:space="preserve">μία από τις ακόλουθες </w:t>
      </w:r>
      <w:r w:rsidR="002E5DA8" w:rsidRPr="0047462D">
        <w:rPr>
          <w:sz w:val="22"/>
          <w:szCs w:val="22"/>
          <w:lang w:val="el-GR"/>
        </w:rPr>
        <w:t>«</w:t>
      </w:r>
      <w:r w:rsidRPr="0047462D">
        <w:rPr>
          <w:sz w:val="22"/>
          <w:szCs w:val="22"/>
        </w:rPr>
        <w:t>gating</w:t>
      </w:r>
      <w:r w:rsidR="002E5DA8" w:rsidRPr="0047462D">
        <w:rPr>
          <w:sz w:val="22"/>
          <w:szCs w:val="22"/>
          <w:lang w:val="el-GR"/>
        </w:rPr>
        <w:t>»</w:t>
      </w:r>
      <w:r w:rsidRPr="0047462D">
        <w:rPr>
          <w:sz w:val="22"/>
          <w:szCs w:val="22"/>
          <w:lang w:val="el-GR"/>
        </w:rPr>
        <w:t xml:space="preserve"> μεταλλάξεις</w:t>
      </w:r>
      <w:r w:rsidRPr="0047462D">
        <w:rPr>
          <w:rFonts w:eastAsia="Times New Roman"/>
          <w:sz w:val="22"/>
          <w:szCs w:val="22"/>
          <w:lang w:val="el-GR"/>
        </w:rPr>
        <w:t xml:space="preserve"> στο γονίδιο </w:t>
      </w:r>
      <w:r w:rsidRPr="0047462D">
        <w:rPr>
          <w:rFonts w:eastAsia="Times New Roman"/>
          <w:i/>
          <w:iCs/>
          <w:sz w:val="22"/>
          <w:szCs w:val="22"/>
          <w:lang w:val="el-GR"/>
        </w:rPr>
        <w:t>CFTR</w:t>
      </w:r>
      <w:r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1244</w:t>
      </w:r>
      <w:r w:rsidRPr="0047462D">
        <w:rPr>
          <w:i/>
          <w:sz w:val="22"/>
          <w:szCs w:val="22"/>
        </w:rPr>
        <w:t>E</w:t>
      </w:r>
      <w:r w:rsidRPr="0047462D">
        <w:rPr>
          <w:i/>
          <w:sz w:val="22"/>
          <w:szCs w:val="22"/>
          <w:lang w:val="el-GR"/>
        </w:rPr>
        <w:t xml:space="preserve">, </w:t>
      </w:r>
      <w:r w:rsidRPr="0047462D">
        <w:rPr>
          <w:i/>
          <w:sz w:val="22"/>
          <w:szCs w:val="22"/>
        </w:rPr>
        <w:t>G</w:t>
      </w:r>
      <w:r w:rsidRPr="0047462D">
        <w:rPr>
          <w:i/>
          <w:sz w:val="22"/>
          <w:szCs w:val="22"/>
          <w:lang w:val="el-GR"/>
        </w:rPr>
        <w:t>1349</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178</w:t>
      </w:r>
      <w:r w:rsidRPr="0047462D">
        <w:rPr>
          <w:i/>
          <w:sz w:val="22"/>
          <w:szCs w:val="22"/>
        </w:rPr>
        <w:t>R</w:t>
      </w:r>
      <w:r w:rsidRPr="0047462D">
        <w:rPr>
          <w:i/>
          <w:sz w:val="22"/>
          <w:szCs w:val="22"/>
          <w:lang w:val="el-GR"/>
        </w:rPr>
        <w:t xml:space="preserve">, </w:t>
      </w:r>
      <w:r w:rsidRPr="0047462D">
        <w:rPr>
          <w:i/>
          <w:sz w:val="22"/>
          <w:szCs w:val="22"/>
        </w:rPr>
        <w:t>G</w:t>
      </w:r>
      <w:r w:rsidRPr="0047462D">
        <w:rPr>
          <w:i/>
          <w:sz w:val="22"/>
          <w:szCs w:val="22"/>
          <w:lang w:val="el-GR"/>
        </w:rPr>
        <w:t>551</w:t>
      </w:r>
      <w:r w:rsidRPr="0047462D">
        <w:rPr>
          <w:i/>
          <w:sz w:val="22"/>
          <w:szCs w:val="22"/>
        </w:rPr>
        <w:t>S</w:t>
      </w:r>
      <w:r w:rsidRPr="0047462D">
        <w:rPr>
          <w:i/>
          <w:sz w:val="22"/>
          <w:szCs w:val="22"/>
          <w:lang w:val="el-GR"/>
        </w:rPr>
        <w:t xml:space="preserve">, </w:t>
      </w:r>
      <w:r w:rsidRPr="0047462D">
        <w:rPr>
          <w:i/>
          <w:sz w:val="22"/>
          <w:szCs w:val="22"/>
        </w:rPr>
        <w:t>S</w:t>
      </w:r>
      <w:r w:rsidRPr="0047462D">
        <w:rPr>
          <w:i/>
          <w:sz w:val="22"/>
          <w:szCs w:val="22"/>
          <w:lang w:val="el-GR"/>
        </w:rPr>
        <w:t>1251</w:t>
      </w:r>
      <w:r w:rsidRPr="0047462D">
        <w:rPr>
          <w:i/>
          <w:sz w:val="22"/>
          <w:szCs w:val="22"/>
        </w:rPr>
        <w:t>N</w:t>
      </w:r>
      <w:r w:rsidRPr="0047462D">
        <w:rPr>
          <w:i/>
          <w:sz w:val="22"/>
          <w:szCs w:val="22"/>
          <w:lang w:val="el-GR"/>
        </w:rPr>
        <w:t xml:space="preserve">, </w:t>
      </w:r>
      <w:r w:rsidRPr="0047462D">
        <w:rPr>
          <w:i/>
          <w:sz w:val="22"/>
          <w:szCs w:val="22"/>
        </w:rPr>
        <w:t>S</w:t>
      </w:r>
      <w:r w:rsidRPr="0047462D">
        <w:rPr>
          <w:i/>
          <w:sz w:val="22"/>
          <w:szCs w:val="22"/>
          <w:lang w:val="el-GR"/>
        </w:rPr>
        <w:t>1255</w:t>
      </w:r>
      <w:r w:rsidRPr="0047462D">
        <w:rPr>
          <w:i/>
          <w:sz w:val="22"/>
          <w:szCs w:val="22"/>
        </w:rPr>
        <w:t>P</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N</w:t>
      </w:r>
      <w:r w:rsidRPr="0047462D">
        <w:rPr>
          <w:i/>
          <w:sz w:val="22"/>
          <w:szCs w:val="22"/>
          <w:lang w:val="el-GR"/>
        </w:rPr>
        <w:t xml:space="preserve"> </w:t>
      </w:r>
      <w:r w:rsidRPr="0047462D">
        <w:rPr>
          <w:iCs/>
          <w:sz w:val="22"/>
          <w:szCs w:val="22"/>
          <w:lang w:val="el-GR"/>
        </w:rPr>
        <w:t>ή</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R</w:t>
      </w:r>
      <w:r w:rsidRPr="0047462D">
        <w:rPr>
          <w:rFonts w:eastAsia="Times New Roman"/>
          <w:sz w:val="22"/>
          <w:szCs w:val="22"/>
          <w:lang w:val="el-GR"/>
        </w:rPr>
        <w:t xml:space="preserve">. </w:t>
      </w:r>
    </w:p>
    <w:p w14:paraId="2C1D70AF" w14:textId="77777777" w:rsidR="001C01B6" w:rsidRPr="0047462D" w:rsidRDefault="001C01B6" w:rsidP="001C01B6">
      <w:pPr>
        <w:rPr>
          <w:bCs/>
        </w:rPr>
      </w:pPr>
    </w:p>
    <w:p w14:paraId="0078BC26" w14:textId="77777777" w:rsidR="001C01B6" w:rsidRPr="0047462D" w:rsidRDefault="001C01B6" w:rsidP="001C01B6">
      <w:pPr>
        <w:rPr>
          <w:szCs w:val="22"/>
          <w:lang w:eastAsia="en-US"/>
        </w:rPr>
      </w:pPr>
    </w:p>
    <w:p w14:paraId="32D6B7BA" w14:textId="05DDAE90" w:rsidR="001C01B6" w:rsidRPr="0047462D" w:rsidRDefault="001C01B6" w:rsidP="001C01B6">
      <w:pPr>
        <w:keepNext/>
        <w:ind w:left="567" w:right="-2"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b/>
          <w:bCs/>
          <w:noProof/>
          <w:szCs w:val="22"/>
          <w:lang w:eastAsia="en-US"/>
        </w:rPr>
        <w:t>Τι πρέπει να γνωρίζετε πριν πάρει το παιδί σας το Kalydeco</w:t>
      </w:r>
    </w:p>
    <w:p w14:paraId="72531DB4" w14:textId="77777777" w:rsidR="001C01B6" w:rsidRPr="0047462D" w:rsidRDefault="001C01B6" w:rsidP="001C01B6">
      <w:pPr>
        <w:keepNext/>
        <w:rPr>
          <w:szCs w:val="22"/>
          <w:lang w:eastAsia="en-US"/>
        </w:rPr>
      </w:pPr>
    </w:p>
    <w:p w14:paraId="79A78480" w14:textId="133DAC80" w:rsidR="001C01B6" w:rsidRPr="0047462D" w:rsidRDefault="00892684" w:rsidP="001C01B6">
      <w:pPr>
        <w:keepNext/>
        <w:rPr>
          <w:rFonts w:eastAsia="Times New Roman"/>
          <w:b/>
          <w:bCs/>
          <w:szCs w:val="22"/>
        </w:rPr>
      </w:pPr>
      <w:r w:rsidRPr="0047462D">
        <w:rPr>
          <w:rFonts w:eastAsia="Times New Roman"/>
          <w:b/>
          <w:bCs/>
          <w:szCs w:val="22"/>
        </w:rPr>
        <w:t xml:space="preserve">Μη χορηγήσετε </w:t>
      </w:r>
      <w:r w:rsidR="001C01B6" w:rsidRPr="0047462D">
        <w:rPr>
          <w:rFonts w:eastAsia="Times New Roman"/>
          <w:b/>
          <w:bCs/>
          <w:szCs w:val="22"/>
        </w:rPr>
        <w:t>το Kalydeco</w:t>
      </w:r>
    </w:p>
    <w:p w14:paraId="400F6252" w14:textId="77777777" w:rsidR="00DF274B" w:rsidRPr="0047462D" w:rsidRDefault="00DF274B" w:rsidP="001C01B6">
      <w:pPr>
        <w:keepNext/>
        <w:rPr>
          <w:rFonts w:eastAsia="Times New Roman"/>
          <w:szCs w:val="22"/>
        </w:rPr>
      </w:pPr>
    </w:p>
    <w:p w14:paraId="2A931FB5"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σε περίπτωση αλλεργίας του παιδιού σας στο ivacaftor ή σε οποιοδήποτε άλλο από τα συστατικά αυτού του φαρμάκου (αναφέρονται στην παράγραφο 6).</w:t>
      </w:r>
    </w:p>
    <w:p w14:paraId="69342A4F" w14:textId="77777777" w:rsidR="000F0A70" w:rsidRPr="0047462D" w:rsidRDefault="000F0A70" w:rsidP="009A2EEC">
      <w:pPr>
        <w:suppressAutoHyphens w:val="0"/>
        <w:ind w:right="-2"/>
        <w:rPr>
          <w:noProof/>
          <w:szCs w:val="22"/>
          <w:lang w:eastAsia="en-US"/>
        </w:rPr>
      </w:pPr>
    </w:p>
    <w:p w14:paraId="11480473" w14:textId="293BC9FE" w:rsidR="008645B2" w:rsidRPr="0047462D" w:rsidRDefault="001C01B6" w:rsidP="001C01B6">
      <w:pPr>
        <w:keepNext/>
        <w:rPr>
          <w:rFonts w:eastAsia="Times New Roman"/>
          <w:b/>
          <w:bCs/>
          <w:szCs w:val="22"/>
        </w:rPr>
      </w:pPr>
      <w:r w:rsidRPr="0047462D">
        <w:rPr>
          <w:rFonts w:eastAsia="Times New Roman"/>
          <w:b/>
          <w:bCs/>
          <w:szCs w:val="22"/>
        </w:rPr>
        <w:t>Προειδοποιήσεις και προφυλάξεις</w:t>
      </w:r>
    </w:p>
    <w:p w14:paraId="75C0E5D2" w14:textId="77777777" w:rsidR="00DF274B" w:rsidRPr="0047462D" w:rsidRDefault="00DF274B" w:rsidP="001C01B6">
      <w:pPr>
        <w:keepNext/>
        <w:rPr>
          <w:rFonts w:eastAsia="Times New Roman"/>
          <w:b/>
          <w:bCs/>
          <w:szCs w:val="22"/>
        </w:rPr>
      </w:pPr>
    </w:p>
    <w:p w14:paraId="12DF6AE6" w14:textId="77777777" w:rsidR="001C01B6" w:rsidRPr="0047462D" w:rsidRDefault="00CF6D8D" w:rsidP="009A2EEC">
      <w:pPr>
        <w:pStyle w:val="ListParagraph"/>
        <w:keepNext/>
        <w:numPr>
          <w:ilvl w:val="0"/>
          <w:numId w:val="53"/>
        </w:numPr>
        <w:ind w:left="270" w:hanging="270"/>
        <w:rPr>
          <w:rFonts w:eastAsia="Times New Roman"/>
          <w:szCs w:val="22"/>
        </w:rPr>
      </w:pPr>
      <w:r w:rsidRPr="0047462D">
        <w:t>Απευθυνθείτε στον γιατρό του παιδιού σας</w:t>
      </w:r>
      <w:r w:rsidR="00455377" w:rsidRPr="0047462D">
        <w:t>, εάν το παιδί σας έχει ηπατικά προβλήματα ή είχε στο παρελθόν</w:t>
      </w:r>
      <w:r w:rsidR="00455377" w:rsidRPr="0047462D">
        <w:rPr>
          <w:bCs/>
        </w:rPr>
        <w:t>. Ο γιατρός του παιδιού σας μπορεί να χρειαστεί να προσαρμόσει τη δόση του παιδιού σας</w:t>
      </w:r>
      <w:r w:rsidRPr="0047462D">
        <w:rPr>
          <w:bCs/>
        </w:rPr>
        <w:t>.</w:t>
      </w:r>
      <w:r w:rsidR="001C01B6" w:rsidRPr="0047462D">
        <w:rPr>
          <w:rFonts w:eastAsia="Times New Roman"/>
          <w:b/>
          <w:bCs/>
          <w:szCs w:val="22"/>
          <w:lang w:eastAsia="en-US"/>
        </w:rPr>
        <w:t xml:space="preserve"> </w:t>
      </w:r>
    </w:p>
    <w:p w14:paraId="2014B919" w14:textId="77777777" w:rsidR="001C01B6" w:rsidRPr="0047462D" w:rsidRDefault="001C01B6" w:rsidP="00105938">
      <w:pPr>
        <w:numPr>
          <w:ilvl w:val="0"/>
          <w:numId w:val="10"/>
        </w:numPr>
        <w:tabs>
          <w:tab w:val="clear" w:pos="397"/>
          <w:tab w:val="num" w:pos="284"/>
        </w:tabs>
        <w:autoSpaceDE w:val="0"/>
        <w:ind w:left="284" w:hanging="284"/>
        <w:rPr>
          <w:rFonts w:eastAsia="Times New Roman"/>
          <w:szCs w:val="22"/>
        </w:rPr>
      </w:pPr>
      <w:r w:rsidRPr="0047462D">
        <w:rPr>
          <w:rFonts w:eastAsia="Times New Roman"/>
          <w:szCs w:val="22"/>
        </w:rPr>
        <w:t xml:space="preserve">Αυξημένα ηπατικά ένζυμα στο αίμα έχουν παρατηρηθεί σε ορισμένους ανθρώπους που παίρνουν το </w:t>
      </w:r>
      <w:r w:rsidR="00091C63" w:rsidRPr="0047462D">
        <w:t>Kalydeco</w:t>
      </w:r>
      <w:r w:rsidRPr="0047462D">
        <w:rPr>
          <w:rFonts w:eastAsia="Times New Roman"/>
          <w:szCs w:val="22"/>
        </w:rPr>
        <w:t>. Ενημερώστε τον γιατρό του παιδιού σας αμέσως εάν το παιδί σας εμφανίσει οποιοδήποτε από αυτά τα συμπτώματα, που μπορεί να αποτελούν σημείο ηπατικών προβλημάτων:</w:t>
      </w:r>
    </w:p>
    <w:p w14:paraId="560DA8C1"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szCs w:val="22"/>
        </w:rPr>
      </w:pPr>
      <w:r w:rsidRPr="0047462D">
        <w:rPr>
          <w:rFonts w:eastAsia="Times New Roman"/>
          <w:szCs w:val="22"/>
        </w:rPr>
        <w:t>Πόνο ή ενόχληση στην άνω δεξιά στομαχική (κοιλιακή) χώρα</w:t>
      </w:r>
    </w:p>
    <w:p w14:paraId="650FE88D"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color w:val="000000"/>
          <w:szCs w:val="22"/>
        </w:rPr>
      </w:pPr>
      <w:r w:rsidRPr="0047462D">
        <w:rPr>
          <w:rFonts w:eastAsia="Times New Roman"/>
          <w:szCs w:val="22"/>
        </w:rPr>
        <w:t>Κιτρίνισμα του δέρματος ή του λευκού μέρους των ματιών</w:t>
      </w:r>
    </w:p>
    <w:p w14:paraId="2E594D67"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szCs w:val="22"/>
        </w:rPr>
      </w:pPr>
      <w:r w:rsidRPr="0047462D">
        <w:rPr>
          <w:rFonts w:eastAsia="Times New Roman"/>
          <w:color w:val="000000"/>
          <w:szCs w:val="22"/>
        </w:rPr>
        <w:t>Απώλεια όρεξης</w:t>
      </w:r>
      <w:r w:rsidRPr="0047462D">
        <w:rPr>
          <w:rStyle w:val="tw4winMark"/>
          <w:rFonts w:cs="Times New Roman"/>
          <w:szCs w:val="22"/>
        </w:rPr>
        <w:t xml:space="preserve"> </w:t>
      </w:r>
    </w:p>
    <w:p w14:paraId="32FB3CA3"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szCs w:val="22"/>
        </w:rPr>
      </w:pPr>
      <w:r w:rsidRPr="0047462D">
        <w:rPr>
          <w:rFonts w:eastAsia="Times New Roman"/>
          <w:szCs w:val="22"/>
        </w:rPr>
        <w:t>Ναυτία ή έμετος</w:t>
      </w:r>
    </w:p>
    <w:p w14:paraId="6B521958"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MS Mincho"/>
          <w:szCs w:val="22"/>
          <w:lang w:eastAsia="ja-JP"/>
        </w:rPr>
      </w:pPr>
      <w:r w:rsidRPr="0047462D">
        <w:rPr>
          <w:rFonts w:eastAsia="Times New Roman"/>
          <w:szCs w:val="22"/>
        </w:rPr>
        <w:t xml:space="preserve">Σκούρα ούρα </w:t>
      </w:r>
    </w:p>
    <w:p w14:paraId="47A346E5" w14:textId="77777777" w:rsidR="001C01B6" w:rsidRPr="0047462D" w:rsidRDefault="001C01B6" w:rsidP="00105938">
      <w:pPr>
        <w:tabs>
          <w:tab w:val="left" w:pos="0"/>
          <w:tab w:val="left" w:pos="284"/>
        </w:tabs>
        <w:ind w:left="284"/>
        <w:rPr>
          <w:rFonts w:eastAsia="Times New Roman"/>
          <w:szCs w:val="22"/>
        </w:rPr>
      </w:pPr>
      <w:r w:rsidRPr="0047462D">
        <w:rPr>
          <w:rFonts w:eastAsia="Times New Roman"/>
          <w:szCs w:val="22"/>
        </w:rPr>
        <w:t xml:space="preserve">Ο γιατρός του παιδιού σας θα κάνει μερικές εξετάσεις αίματος για τον έλεγχο του ήπατος του παιδιού σας πριν από και </w:t>
      </w:r>
      <w:r w:rsidR="00455377" w:rsidRPr="0047462D">
        <w:rPr>
          <w:rFonts w:eastAsia="Times New Roman"/>
          <w:szCs w:val="22"/>
        </w:rPr>
        <w:t>κατά τη διάρκεια της θεραπείας</w:t>
      </w:r>
      <w:r w:rsidRPr="0047462D">
        <w:rPr>
          <w:rFonts w:eastAsia="Times New Roman"/>
          <w:szCs w:val="22"/>
        </w:rPr>
        <w:t xml:space="preserve">, ιδιαιτέρως κατά το πρώτο έτος και ειδικά εάν </w:t>
      </w:r>
      <w:r w:rsidR="00455377" w:rsidRPr="0047462D">
        <w:rPr>
          <w:rFonts w:eastAsia="Times New Roman"/>
          <w:szCs w:val="22"/>
        </w:rPr>
        <w:t xml:space="preserve">οι εξετάσεις αίματος έδειξαν </w:t>
      </w:r>
      <w:r w:rsidRPr="0047462D">
        <w:rPr>
          <w:rFonts w:eastAsia="Times New Roman"/>
          <w:szCs w:val="22"/>
        </w:rPr>
        <w:t>υψηλά ηπατικά ένζυμα στο παρελθόν.</w:t>
      </w:r>
    </w:p>
    <w:p w14:paraId="7F449BA5" w14:textId="77777777" w:rsidR="008060CC" w:rsidRPr="0047462D" w:rsidRDefault="008060CC" w:rsidP="008060CC">
      <w:pPr>
        <w:numPr>
          <w:ilvl w:val="0"/>
          <w:numId w:val="17"/>
        </w:numPr>
        <w:spacing w:line="260" w:lineRule="exact"/>
        <w:ind w:left="284" w:hanging="284"/>
        <w:rPr>
          <w:bCs/>
        </w:rPr>
      </w:pPr>
      <w:r w:rsidRPr="0047462D">
        <w:rPr>
          <w:szCs w:val="22"/>
          <w:lang w:eastAsia="en-US"/>
        </w:rPr>
        <w:t xml:space="preserve">Απευθυνθείτε στον γιατρό του παιδιού σας εάν έχετε ενημερωθεί ότι το παιδί σας </w:t>
      </w:r>
      <w:r w:rsidR="00130872" w:rsidRPr="0047462D">
        <w:rPr>
          <w:szCs w:val="22"/>
          <w:lang w:eastAsia="en-US"/>
        </w:rPr>
        <w:t xml:space="preserve">έχει </w:t>
      </w:r>
      <w:r w:rsidRPr="0047462D">
        <w:rPr>
          <w:rFonts w:eastAsia="MS Mincho"/>
          <w:lang w:eastAsia="ja-JP"/>
        </w:rPr>
        <w:t xml:space="preserve">προβλήματα </w:t>
      </w:r>
      <w:r w:rsidR="00771A12" w:rsidRPr="0047462D">
        <w:rPr>
          <w:rFonts w:eastAsia="MS Mincho"/>
          <w:lang w:eastAsia="ja-JP"/>
        </w:rPr>
        <w:t xml:space="preserve">με τα νεφρά του </w:t>
      </w:r>
      <w:r w:rsidR="00130872" w:rsidRPr="0047462D">
        <w:rPr>
          <w:rFonts w:eastAsia="MS Mincho"/>
          <w:lang w:eastAsia="ja-JP"/>
        </w:rPr>
        <w:t>ή είχε στο παρελθόν</w:t>
      </w:r>
      <w:r w:rsidRPr="0047462D">
        <w:rPr>
          <w:rFonts w:eastAsia="MS Mincho"/>
          <w:lang w:eastAsia="ja-JP"/>
        </w:rPr>
        <w:t>.</w:t>
      </w:r>
    </w:p>
    <w:p w14:paraId="0613FDE9" w14:textId="77777777" w:rsidR="008060CC" w:rsidRPr="0047462D" w:rsidRDefault="008060CC" w:rsidP="001C01B6">
      <w:pPr>
        <w:tabs>
          <w:tab w:val="left" w:pos="0"/>
          <w:tab w:val="left" w:pos="360"/>
        </w:tabs>
        <w:ind w:left="426"/>
        <w:rPr>
          <w:szCs w:val="22"/>
          <w:lang w:eastAsia="en-US"/>
        </w:rPr>
      </w:pPr>
    </w:p>
    <w:p w14:paraId="48007596" w14:textId="3EFE40D8" w:rsidR="005D5499" w:rsidRPr="0047462D" w:rsidRDefault="008060CC" w:rsidP="009E50D2">
      <w:pPr>
        <w:numPr>
          <w:ilvl w:val="0"/>
          <w:numId w:val="17"/>
        </w:numPr>
        <w:spacing w:line="260" w:lineRule="exact"/>
        <w:ind w:left="284" w:hanging="284"/>
        <w:rPr>
          <w:bCs/>
        </w:rPr>
      </w:pPr>
      <w:r w:rsidRPr="0047462D">
        <w:rPr>
          <w:bCs/>
        </w:rPr>
        <w:t xml:space="preserve">Το </w:t>
      </w:r>
      <w:r w:rsidRPr="0047462D">
        <w:rPr>
          <w:rFonts w:eastAsia="MS Mincho"/>
          <w:lang w:eastAsia="ja-JP"/>
        </w:rPr>
        <w:t xml:space="preserve">Kalydeco δεν </w:t>
      </w:r>
      <w:r w:rsidR="00A63839" w:rsidRPr="0047462D">
        <w:rPr>
          <w:rFonts w:eastAsia="MS Mincho"/>
          <w:lang w:eastAsia="ja-JP"/>
        </w:rPr>
        <w:t xml:space="preserve">συνιστάται </w:t>
      </w:r>
      <w:r w:rsidRPr="0047462D">
        <w:rPr>
          <w:rFonts w:eastAsia="MS Mincho"/>
          <w:lang w:eastAsia="ja-JP"/>
        </w:rPr>
        <w:t>σε ασθενείς που έχουν υποβληθεί σε μεταμόσχευση οργάνου.</w:t>
      </w:r>
      <w:r w:rsidRPr="0047462D">
        <w:rPr>
          <w:bCs/>
        </w:rPr>
        <w:t xml:space="preserve"> </w:t>
      </w:r>
    </w:p>
    <w:p w14:paraId="54ABE032" w14:textId="77777777" w:rsidR="001C01B6" w:rsidRPr="0047462D" w:rsidRDefault="001C01B6" w:rsidP="001C01B6">
      <w:pPr>
        <w:ind w:right="-2"/>
        <w:rPr>
          <w:szCs w:val="22"/>
          <w:lang w:eastAsia="en-US"/>
        </w:rPr>
      </w:pPr>
    </w:p>
    <w:p w14:paraId="60C4BCCC" w14:textId="77777777" w:rsidR="009E5DAF" w:rsidRPr="0047462D" w:rsidRDefault="001C01B6" w:rsidP="009E5DAF">
      <w:pPr>
        <w:numPr>
          <w:ilvl w:val="0"/>
          <w:numId w:val="17"/>
        </w:numPr>
        <w:spacing w:line="260" w:lineRule="exact"/>
        <w:ind w:left="284" w:hanging="284"/>
        <w:rPr>
          <w:bCs/>
        </w:rPr>
      </w:pPr>
      <w:r w:rsidRPr="0047462D">
        <w:rPr>
          <w:bCs/>
        </w:rPr>
        <w:t xml:space="preserve">Έχει παρατηρηθεί ανωμαλία του φακού του οφθαλμού (καταρράκτης) χωρίς καμία επίδραση στην όραση σε ορισμένα παιδιά </w:t>
      </w:r>
      <w:r w:rsidR="005959C6" w:rsidRPr="0047462D">
        <w:rPr>
          <w:bCs/>
        </w:rPr>
        <w:t xml:space="preserve">και εφήβους </w:t>
      </w:r>
      <w:r w:rsidR="00677D05" w:rsidRPr="0047462D">
        <w:rPr>
          <w:bCs/>
        </w:rPr>
        <w:t>κατά τη διάρκεια της θεραπείας</w:t>
      </w:r>
      <w:r w:rsidRPr="0047462D">
        <w:rPr>
          <w:bCs/>
        </w:rPr>
        <w:t>.</w:t>
      </w:r>
      <w:r w:rsidR="005959C6" w:rsidRPr="0047462D" w:rsidDel="005959C6">
        <w:rPr>
          <w:bCs/>
        </w:rPr>
        <w:t xml:space="preserve"> </w:t>
      </w:r>
    </w:p>
    <w:p w14:paraId="768BC7C1" w14:textId="77777777" w:rsidR="005D5499" w:rsidRPr="0047462D" w:rsidRDefault="001C01B6" w:rsidP="009E50D2">
      <w:pPr>
        <w:spacing w:line="260" w:lineRule="exact"/>
        <w:ind w:left="284"/>
      </w:pPr>
      <w:r w:rsidRPr="0047462D">
        <w:rPr>
          <w:bCs/>
        </w:rPr>
        <w:t xml:space="preserve">Ο γιατρός του παιδιού σας μπορεί να πραγματοποιήσει μερικές οφθαλμολογικές εξετάσεις πριν και κατά τη διάρκεια θεραπείας με </w:t>
      </w:r>
      <w:r w:rsidR="002B736F" w:rsidRPr="0047462D">
        <w:t>ivacaftor</w:t>
      </w:r>
      <w:r w:rsidRPr="0047462D">
        <w:rPr>
          <w:bCs/>
        </w:rPr>
        <w:t>.</w:t>
      </w:r>
    </w:p>
    <w:p w14:paraId="6B7B3BA9" w14:textId="77777777" w:rsidR="001C01B6" w:rsidRPr="0047462D" w:rsidRDefault="001C01B6" w:rsidP="001C01B6">
      <w:pPr>
        <w:rPr>
          <w:rFonts w:eastAsia="Times New Roman"/>
          <w:bCs/>
          <w:szCs w:val="22"/>
        </w:rPr>
      </w:pPr>
    </w:p>
    <w:p w14:paraId="71ACA8AB" w14:textId="043D8D3F" w:rsidR="001C01B6" w:rsidRPr="0047462D" w:rsidRDefault="001C01B6" w:rsidP="001C01B6">
      <w:pPr>
        <w:keepNext/>
        <w:rPr>
          <w:rFonts w:eastAsia="Times New Roman"/>
          <w:b/>
          <w:bCs/>
          <w:szCs w:val="22"/>
          <w:lang w:eastAsia="en-US"/>
        </w:rPr>
      </w:pPr>
      <w:r w:rsidRPr="0047462D">
        <w:rPr>
          <w:rFonts w:eastAsia="Times New Roman"/>
          <w:b/>
          <w:bCs/>
          <w:szCs w:val="22"/>
        </w:rPr>
        <w:t>Παιδιά</w:t>
      </w:r>
      <w:r w:rsidRPr="0047462D">
        <w:rPr>
          <w:rFonts w:eastAsia="Times New Roman"/>
          <w:b/>
          <w:bCs/>
          <w:szCs w:val="22"/>
          <w:lang w:eastAsia="en-US"/>
        </w:rPr>
        <w:t xml:space="preserve"> </w:t>
      </w:r>
    </w:p>
    <w:p w14:paraId="4860695A" w14:textId="77777777" w:rsidR="00DF274B" w:rsidRPr="0047462D" w:rsidRDefault="00DF274B" w:rsidP="001C01B6">
      <w:pPr>
        <w:keepNext/>
        <w:rPr>
          <w:rFonts w:eastAsia="Times New Roman"/>
          <w:szCs w:val="22"/>
        </w:rPr>
      </w:pPr>
    </w:p>
    <w:p w14:paraId="07CFA614" w14:textId="36B3A312" w:rsidR="001C01B6" w:rsidRPr="0047462D" w:rsidRDefault="001B6B8A" w:rsidP="001C01B6">
      <w:pPr>
        <w:ind w:right="-2"/>
        <w:rPr>
          <w:rFonts w:eastAsia="Times New Roman"/>
          <w:szCs w:val="22"/>
        </w:rPr>
      </w:pPr>
      <w:r w:rsidRPr="0047462D">
        <w:rPr>
          <w:rFonts w:eastAsia="Times New Roman"/>
          <w:szCs w:val="22"/>
        </w:rPr>
        <w:t xml:space="preserve">Μη δώσετε αυτό το φάρμακο </w:t>
      </w:r>
      <w:r w:rsidR="001C01B6" w:rsidRPr="0047462D">
        <w:rPr>
          <w:rFonts w:eastAsia="Times New Roman"/>
          <w:szCs w:val="22"/>
        </w:rPr>
        <w:t xml:space="preserve">σε παιδιά ηλικίας κάτω των </w:t>
      </w:r>
      <w:r w:rsidR="00D73B42">
        <w:rPr>
          <w:rFonts w:eastAsia="Times New Roman"/>
          <w:szCs w:val="22"/>
        </w:rPr>
        <w:t>4</w:t>
      </w:r>
      <w:r w:rsidR="001B7AA6" w:rsidRPr="0047462D">
        <w:rPr>
          <w:rFonts w:eastAsia="Times New Roman"/>
          <w:szCs w:val="22"/>
        </w:rPr>
        <w:t> μηνών</w:t>
      </w:r>
      <w:r w:rsidR="001C01B6" w:rsidRPr="0047462D">
        <w:rPr>
          <w:rFonts w:eastAsia="Times New Roman"/>
          <w:szCs w:val="22"/>
        </w:rPr>
        <w:t xml:space="preserve"> καθώς δεν είναι γνωστό εάν το </w:t>
      </w:r>
      <w:r w:rsidR="002B736F" w:rsidRPr="0047462D">
        <w:rPr>
          <w:bCs/>
        </w:rPr>
        <w:t xml:space="preserve">ivacaftor </w:t>
      </w:r>
      <w:r w:rsidR="001C01B6" w:rsidRPr="0047462D">
        <w:rPr>
          <w:rFonts w:eastAsia="Times New Roman"/>
          <w:szCs w:val="22"/>
        </w:rPr>
        <w:t>είναι ασφαλές και αποτελεσματικό σε αυτά τα παιδιά.</w:t>
      </w:r>
    </w:p>
    <w:p w14:paraId="44230DC7" w14:textId="77777777" w:rsidR="001C01B6" w:rsidRPr="0047462D" w:rsidRDefault="001C01B6" w:rsidP="001C01B6">
      <w:pPr>
        <w:rPr>
          <w:b/>
          <w:bCs/>
          <w:szCs w:val="22"/>
          <w:lang w:eastAsia="en-US"/>
        </w:rPr>
      </w:pPr>
    </w:p>
    <w:p w14:paraId="0FD47432" w14:textId="35B675C4" w:rsidR="001C01B6" w:rsidRPr="0047462D" w:rsidRDefault="001C01B6" w:rsidP="001C01B6">
      <w:pPr>
        <w:keepNext/>
        <w:rPr>
          <w:rFonts w:eastAsia="Times New Roman"/>
          <w:b/>
          <w:bCs/>
          <w:szCs w:val="22"/>
        </w:rPr>
      </w:pPr>
      <w:r w:rsidRPr="0047462D">
        <w:rPr>
          <w:rFonts w:eastAsia="Times New Roman"/>
          <w:b/>
          <w:bCs/>
          <w:szCs w:val="22"/>
        </w:rPr>
        <w:t>Άλλα φάρμακα και Kalydeco</w:t>
      </w:r>
    </w:p>
    <w:p w14:paraId="33D0B267" w14:textId="77777777" w:rsidR="00DF274B" w:rsidRPr="0047462D" w:rsidRDefault="00DF274B" w:rsidP="001C01B6">
      <w:pPr>
        <w:keepNext/>
        <w:rPr>
          <w:rFonts w:eastAsia="Times New Roman"/>
          <w:szCs w:val="22"/>
        </w:rPr>
      </w:pPr>
    </w:p>
    <w:p w14:paraId="647A6107" w14:textId="2E9CF773" w:rsidR="00130872" w:rsidRPr="0047462D" w:rsidRDefault="001C01B6" w:rsidP="00130872">
      <w:pPr>
        <w:numPr>
          <w:ilvl w:val="12"/>
          <w:numId w:val="0"/>
        </w:numPr>
        <w:ind w:right="-2"/>
      </w:pPr>
      <w:r w:rsidRPr="0047462D">
        <w:rPr>
          <w:rFonts w:eastAsia="Times New Roman"/>
          <w:szCs w:val="22"/>
        </w:rPr>
        <w:t xml:space="preserve">Ενημερώστε τον γιατρό ή τον φαρμακοποιό του παιδιού σας εάν το παιδί σας χρησιμοποιεί, έχει πρόσφατα χρησιμοποιήσει </w:t>
      </w:r>
      <w:r w:rsidRPr="0047462D">
        <w:t>ή μπορεί να χρησιμοποιήσει</w:t>
      </w:r>
      <w:r w:rsidRPr="0047462D">
        <w:rPr>
          <w:rFonts w:eastAsia="Times New Roman"/>
          <w:szCs w:val="22"/>
        </w:rPr>
        <w:t xml:space="preserve"> άλλα φάρμακα.</w:t>
      </w:r>
      <w:r w:rsidR="00130872" w:rsidRPr="0047462D">
        <w:rPr>
          <w:rFonts w:eastAsia="Times New Roman"/>
          <w:szCs w:val="22"/>
        </w:rPr>
        <w:t xml:space="preserve"> </w:t>
      </w:r>
      <w:r w:rsidR="00130872" w:rsidRPr="0047462D">
        <w:rPr>
          <w:bCs/>
        </w:rPr>
        <w:t xml:space="preserve">Ορισμένα φάρμακα μπορούν να επηρεάσουν τον τρόπο δράσης του Kalydeco ή να αυξήσουν την πιθανότητα εμφάνισης ανεπιθύμητων ενεργειών. </w:t>
      </w:r>
      <w:r w:rsidR="00130872" w:rsidRPr="0047462D">
        <w:t xml:space="preserve">Συγκεκριμένα, ενημερώστε τον γιατρό </w:t>
      </w:r>
      <w:r w:rsidR="00B96276" w:rsidRPr="0047462D">
        <w:t xml:space="preserve">του παιδιού σας </w:t>
      </w:r>
      <w:r w:rsidR="00130872" w:rsidRPr="0047462D">
        <w:t xml:space="preserve">εάν </w:t>
      </w:r>
      <w:r w:rsidR="00AA057D" w:rsidRPr="0047462D">
        <w:t>το παιδί σας παίρνει</w:t>
      </w:r>
      <w:r w:rsidR="00130872" w:rsidRPr="0047462D">
        <w:t xml:space="preserve"> κάποιο από τα φάρμακα που αναφέρονται παρακάτω. Ο γιατρός </w:t>
      </w:r>
      <w:r w:rsidR="00734600" w:rsidRPr="0047462D">
        <w:t xml:space="preserve">του παιδιού </w:t>
      </w:r>
      <w:r w:rsidR="00130872" w:rsidRPr="0047462D">
        <w:t xml:space="preserve">σας μπορεί να αποφασίσει να προσαρμόσει τη δόση </w:t>
      </w:r>
      <w:r w:rsidR="00715979" w:rsidRPr="0047462D">
        <w:t xml:space="preserve">του παιδιού σας </w:t>
      </w:r>
      <w:r w:rsidR="00130872" w:rsidRPr="0047462D">
        <w:t xml:space="preserve">ή </w:t>
      </w:r>
      <w:r w:rsidR="00B42EA5" w:rsidRPr="0047462D">
        <w:t>ότι</w:t>
      </w:r>
      <w:r w:rsidR="00130872" w:rsidRPr="0047462D">
        <w:t xml:space="preserve"> </w:t>
      </w:r>
      <w:r w:rsidR="00715979" w:rsidRPr="0047462D">
        <w:t xml:space="preserve">χρειάζονται </w:t>
      </w:r>
      <w:r w:rsidR="00130872" w:rsidRPr="0047462D">
        <w:t>επιπλέον εξετάσεις.</w:t>
      </w:r>
    </w:p>
    <w:p w14:paraId="45E93298" w14:textId="77777777" w:rsidR="001103B7" w:rsidRPr="0047462D" w:rsidRDefault="001103B7" w:rsidP="00130872">
      <w:pPr>
        <w:numPr>
          <w:ilvl w:val="12"/>
          <w:numId w:val="0"/>
        </w:numPr>
        <w:ind w:right="-2"/>
        <w:rPr>
          <w:szCs w:val="22"/>
          <w:lang w:eastAsia="en-US"/>
        </w:rPr>
      </w:pPr>
    </w:p>
    <w:p w14:paraId="1E46BE06" w14:textId="6E23814A" w:rsidR="005D5499" w:rsidRPr="0047462D" w:rsidRDefault="002B736F" w:rsidP="009E50D2">
      <w:pPr>
        <w:numPr>
          <w:ilvl w:val="0"/>
          <w:numId w:val="10"/>
        </w:numPr>
        <w:rPr>
          <w:rFonts w:eastAsia="Times New Roman"/>
          <w:szCs w:val="22"/>
        </w:rPr>
      </w:pPr>
      <w:r w:rsidRPr="0047462D">
        <w:rPr>
          <w:rFonts w:eastAsia="Times New Roman"/>
          <w:b/>
          <w:bCs/>
          <w:szCs w:val="22"/>
        </w:rPr>
        <w:t>Αντιμυκητιασικά φάρμακα</w:t>
      </w:r>
      <w:r w:rsidRPr="0047462D">
        <w:rPr>
          <w:rFonts w:eastAsia="Times New Roman"/>
          <w:szCs w:val="22"/>
        </w:rPr>
        <w:t xml:space="preserve"> </w:t>
      </w:r>
      <w:r w:rsidR="00BF0604" w:rsidRPr="0047462D">
        <w:rPr>
          <w:rFonts w:eastAsia="Times New Roman"/>
          <w:szCs w:val="22"/>
        </w:rPr>
        <w:t>(</w:t>
      </w:r>
      <w:r w:rsidR="00BF0604" w:rsidRPr="0047462D">
        <w:rPr>
          <w:rStyle w:val="hps"/>
        </w:rPr>
        <w:t>χρησιμοποιούνται για τη θεραπεία των μυκητιασικών λοιμώξεων</w:t>
      </w:r>
      <w:r w:rsidR="00BF0604" w:rsidRPr="0047462D">
        <w:rPr>
          <w:rFonts w:eastAsia="Times New Roman"/>
          <w:szCs w:val="22"/>
        </w:rPr>
        <w:t xml:space="preserve">). </w:t>
      </w:r>
      <w:r w:rsidR="00BF0604" w:rsidRPr="0047462D">
        <w:rPr>
          <w:rStyle w:val="hps"/>
        </w:rPr>
        <w:t>Σε αυτά περιλαμβάνονται</w:t>
      </w:r>
      <w:r w:rsidRPr="0047462D">
        <w:rPr>
          <w:rFonts w:eastAsia="Times New Roman"/>
          <w:szCs w:val="22"/>
        </w:rPr>
        <w:t xml:space="preserve"> </w:t>
      </w:r>
      <w:r w:rsidR="00D4153E" w:rsidRPr="0047462D">
        <w:rPr>
          <w:rFonts w:eastAsia="Times New Roman"/>
          <w:szCs w:val="22"/>
        </w:rPr>
        <w:t xml:space="preserve">η </w:t>
      </w:r>
      <w:r w:rsidR="00BD3681" w:rsidRPr="0047462D">
        <w:rPr>
          <w:rFonts w:eastAsia="Times New Roman"/>
          <w:szCs w:val="22"/>
        </w:rPr>
        <w:t xml:space="preserve">φλουκοναζόλη, </w:t>
      </w:r>
      <w:r w:rsidR="00D4153E" w:rsidRPr="0047462D">
        <w:rPr>
          <w:rFonts w:eastAsia="Times New Roman"/>
          <w:szCs w:val="22"/>
        </w:rPr>
        <w:t xml:space="preserve">η </w:t>
      </w:r>
      <w:r w:rsidR="00BD3681" w:rsidRPr="0047462D">
        <w:rPr>
          <w:rFonts w:eastAsia="Times New Roman"/>
          <w:szCs w:val="22"/>
        </w:rPr>
        <w:t xml:space="preserve">ιτρακοναζόλη, </w:t>
      </w:r>
      <w:r w:rsidR="00D4153E" w:rsidRPr="0047462D">
        <w:rPr>
          <w:rFonts w:eastAsia="Times New Roman"/>
          <w:szCs w:val="22"/>
        </w:rPr>
        <w:t xml:space="preserve">η </w:t>
      </w:r>
      <w:r w:rsidR="00FD37FA" w:rsidRPr="0047462D">
        <w:rPr>
          <w:rFonts w:eastAsia="Times New Roman"/>
          <w:szCs w:val="22"/>
        </w:rPr>
        <w:t>κ</w:t>
      </w:r>
      <w:r w:rsidR="001C01B6" w:rsidRPr="0047462D">
        <w:rPr>
          <w:rFonts w:eastAsia="Times New Roman"/>
          <w:szCs w:val="22"/>
        </w:rPr>
        <w:t xml:space="preserve">ετοκοναζόλη, </w:t>
      </w:r>
      <w:r w:rsidR="00D4153E" w:rsidRPr="0047462D">
        <w:rPr>
          <w:rFonts w:eastAsia="Times New Roman"/>
          <w:szCs w:val="22"/>
        </w:rPr>
        <w:t xml:space="preserve">η </w:t>
      </w:r>
      <w:r w:rsidR="001C01B6" w:rsidRPr="0047462D">
        <w:rPr>
          <w:rFonts w:eastAsia="Times New Roman"/>
          <w:szCs w:val="22"/>
        </w:rPr>
        <w:t>ποσακοναζόλη</w:t>
      </w:r>
      <w:r w:rsidR="00BD3681" w:rsidRPr="0047462D">
        <w:rPr>
          <w:rFonts w:eastAsia="Times New Roman"/>
          <w:szCs w:val="22"/>
        </w:rPr>
        <w:t xml:space="preserve"> και</w:t>
      </w:r>
      <w:r w:rsidR="001C01B6" w:rsidRPr="0047462D">
        <w:rPr>
          <w:rFonts w:eastAsia="Times New Roman"/>
          <w:szCs w:val="22"/>
        </w:rPr>
        <w:t xml:space="preserve"> </w:t>
      </w:r>
      <w:r w:rsidR="00D4153E" w:rsidRPr="0047462D">
        <w:rPr>
          <w:rFonts w:eastAsia="Times New Roman"/>
          <w:szCs w:val="22"/>
        </w:rPr>
        <w:t xml:space="preserve">η </w:t>
      </w:r>
      <w:r w:rsidR="001C01B6" w:rsidRPr="0047462D">
        <w:rPr>
          <w:rFonts w:eastAsia="Times New Roman"/>
          <w:szCs w:val="22"/>
        </w:rPr>
        <w:t>βορικοναζόλη</w:t>
      </w:r>
      <w:r w:rsidR="00BF0604" w:rsidRPr="0047462D">
        <w:rPr>
          <w:rFonts w:eastAsia="Times New Roman"/>
          <w:szCs w:val="22"/>
        </w:rPr>
        <w:t>.</w:t>
      </w:r>
    </w:p>
    <w:p w14:paraId="1AF4A6A0" w14:textId="3508335B" w:rsidR="005D5499" w:rsidRPr="0047462D" w:rsidRDefault="00BF0604" w:rsidP="009E50D2">
      <w:pPr>
        <w:numPr>
          <w:ilvl w:val="0"/>
          <w:numId w:val="10"/>
        </w:numPr>
        <w:rPr>
          <w:rFonts w:eastAsia="Times New Roman"/>
          <w:szCs w:val="22"/>
        </w:rPr>
      </w:pPr>
      <w:r w:rsidRPr="0047462D">
        <w:rPr>
          <w:rStyle w:val="Strong"/>
        </w:rPr>
        <w:t>Αντιβιοτικά φάρμακα</w:t>
      </w:r>
      <w:r w:rsidRPr="0047462D">
        <w:rPr>
          <w:rStyle w:val="hps"/>
        </w:rPr>
        <w:t xml:space="preserve"> (χρησιμοποιούνται για τη θεραπεία των βακτηριακών λοιμώξεων). Σε αυτά περιλαμβάνονται</w:t>
      </w:r>
      <w:r w:rsidR="001C01B6" w:rsidRPr="0047462D">
        <w:rPr>
          <w:rFonts w:eastAsia="Times New Roman"/>
          <w:szCs w:val="22"/>
        </w:rPr>
        <w:t xml:space="preserve"> </w:t>
      </w:r>
      <w:r w:rsidR="00D4153E" w:rsidRPr="0047462D">
        <w:rPr>
          <w:rFonts w:eastAsia="Times New Roman"/>
          <w:szCs w:val="22"/>
        </w:rPr>
        <w:t xml:space="preserve">η </w:t>
      </w:r>
      <w:r w:rsidR="001C01B6" w:rsidRPr="0047462D">
        <w:rPr>
          <w:rFonts w:eastAsia="Times New Roman"/>
          <w:szCs w:val="22"/>
        </w:rPr>
        <w:t xml:space="preserve">κλαριθρομυκίνη, </w:t>
      </w:r>
      <w:r w:rsidR="00D4153E" w:rsidRPr="0047462D">
        <w:rPr>
          <w:rFonts w:eastAsia="Times New Roman"/>
          <w:szCs w:val="22"/>
        </w:rPr>
        <w:t xml:space="preserve">η </w:t>
      </w:r>
      <w:r w:rsidR="001C01B6" w:rsidRPr="0047462D">
        <w:rPr>
          <w:rFonts w:eastAsia="Times New Roman"/>
          <w:szCs w:val="22"/>
        </w:rPr>
        <w:t xml:space="preserve">ερυθρομυκίνη, </w:t>
      </w:r>
      <w:r w:rsidR="00D4153E" w:rsidRPr="0047462D">
        <w:rPr>
          <w:rFonts w:eastAsia="Times New Roman"/>
          <w:szCs w:val="22"/>
        </w:rPr>
        <w:t xml:space="preserve">η </w:t>
      </w:r>
      <w:r w:rsidR="00BD3681" w:rsidRPr="0047462D">
        <w:rPr>
          <w:rFonts w:eastAsia="Times New Roman"/>
          <w:szCs w:val="22"/>
        </w:rPr>
        <w:t xml:space="preserve">ριφαμπουτίνη, </w:t>
      </w:r>
      <w:r w:rsidR="00D4153E" w:rsidRPr="0047462D">
        <w:rPr>
          <w:rFonts w:eastAsia="Times New Roman"/>
          <w:szCs w:val="22"/>
        </w:rPr>
        <w:t xml:space="preserve">η </w:t>
      </w:r>
      <w:r w:rsidR="001C01B6" w:rsidRPr="0047462D">
        <w:rPr>
          <w:rFonts w:eastAsia="Times New Roman"/>
          <w:szCs w:val="22"/>
        </w:rPr>
        <w:t>ριφαμπικίνη</w:t>
      </w:r>
      <w:r w:rsidR="002B736F" w:rsidRPr="0047462D">
        <w:rPr>
          <w:rFonts w:eastAsia="Times New Roman"/>
          <w:szCs w:val="22"/>
        </w:rPr>
        <w:t xml:space="preserve"> </w:t>
      </w:r>
      <w:r w:rsidR="00BD3681" w:rsidRPr="0047462D">
        <w:rPr>
          <w:rFonts w:eastAsia="Times New Roman"/>
          <w:szCs w:val="22"/>
        </w:rPr>
        <w:t xml:space="preserve">και </w:t>
      </w:r>
      <w:r w:rsidR="00D4153E" w:rsidRPr="0047462D">
        <w:rPr>
          <w:rFonts w:eastAsia="Times New Roman"/>
          <w:szCs w:val="22"/>
        </w:rPr>
        <w:t xml:space="preserve">η </w:t>
      </w:r>
      <w:r w:rsidR="00BD3681" w:rsidRPr="0047462D">
        <w:rPr>
          <w:rFonts w:eastAsia="Times New Roman"/>
          <w:szCs w:val="22"/>
        </w:rPr>
        <w:t>τελιθρομυκίνη</w:t>
      </w:r>
      <w:r w:rsidRPr="0047462D">
        <w:rPr>
          <w:rFonts w:eastAsia="Times New Roman"/>
          <w:szCs w:val="22"/>
        </w:rPr>
        <w:t>.</w:t>
      </w:r>
    </w:p>
    <w:p w14:paraId="36A915AD" w14:textId="68ED9195" w:rsidR="005D5499" w:rsidRPr="0047462D" w:rsidRDefault="002B736F" w:rsidP="009E50D2">
      <w:pPr>
        <w:numPr>
          <w:ilvl w:val="0"/>
          <w:numId w:val="10"/>
        </w:numPr>
        <w:rPr>
          <w:rFonts w:eastAsia="Times New Roman"/>
          <w:szCs w:val="22"/>
        </w:rPr>
      </w:pPr>
      <w:r w:rsidRPr="0047462D">
        <w:rPr>
          <w:rFonts w:eastAsia="Times New Roman"/>
          <w:b/>
          <w:bCs/>
          <w:iCs/>
          <w:szCs w:val="22"/>
        </w:rPr>
        <w:t>Αντιεπιληπτικά</w:t>
      </w:r>
      <w:r w:rsidRPr="0047462D">
        <w:rPr>
          <w:b/>
          <w:bCs/>
        </w:rPr>
        <w:t xml:space="preserve"> φάρμακα</w:t>
      </w:r>
      <w:r w:rsidRPr="0047462D">
        <w:rPr>
          <w:rFonts w:eastAsia="Times New Roman"/>
          <w:szCs w:val="22"/>
        </w:rPr>
        <w:t xml:space="preserve"> </w:t>
      </w:r>
      <w:r w:rsidR="00BF0604" w:rsidRPr="0047462D">
        <w:rPr>
          <w:rFonts w:eastAsia="Times New Roman"/>
          <w:szCs w:val="22"/>
        </w:rPr>
        <w:t>(</w:t>
      </w:r>
      <w:r w:rsidR="00BF0604" w:rsidRPr="0047462D">
        <w:rPr>
          <w:rStyle w:val="hps"/>
        </w:rPr>
        <w:t>χρησιμοποιούνται για τη θεραπεία των επιληπτικών κρίσεων ή σπασμών</w:t>
      </w:r>
      <w:r w:rsidR="00BF0604" w:rsidRPr="0047462D">
        <w:rPr>
          <w:rFonts w:eastAsia="Times New Roman"/>
          <w:szCs w:val="22"/>
        </w:rPr>
        <w:t>)</w:t>
      </w:r>
      <w:r w:rsidR="00BF0604" w:rsidRPr="00F93ECE">
        <w:rPr>
          <w:rFonts w:eastAsia="Times New Roman"/>
          <w:szCs w:val="22"/>
        </w:rPr>
        <w:t xml:space="preserve">. </w:t>
      </w:r>
      <w:r w:rsidR="00BF0604" w:rsidRPr="0047462D">
        <w:rPr>
          <w:rStyle w:val="hps"/>
        </w:rPr>
        <w:t>Σε αυτά περιλαμβάνονται</w:t>
      </w:r>
      <w:r w:rsidRPr="0047462D">
        <w:rPr>
          <w:rFonts w:eastAsia="Times New Roman"/>
          <w:szCs w:val="22"/>
        </w:rPr>
        <w:t xml:space="preserve"> </w:t>
      </w:r>
      <w:r w:rsidR="00D4153E" w:rsidRPr="0047462D">
        <w:rPr>
          <w:rFonts w:eastAsia="Times New Roman"/>
          <w:szCs w:val="22"/>
        </w:rPr>
        <w:t xml:space="preserve">η </w:t>
      </w:r>
      <w:r w:rsidR="00BD3681" w:rsidRPr="0047462D">
        <w:rPr>
          <w:rFonts w:eastAsia="Times New Roman"/>
          <w:szCs w:val="22"/>
        </w:rPr>
        <w:t xml:space="preserve">καρβαμαζεπίνη, </w:t>
      </w:r>
      <w:r w:rsidR="00D4153E" w:rsidRPr="0047462D">
        <w:rPr>
          <w:rFonts w:eastAsia="Times New Roman"/>
          <w:szCs w:val="22"/>
        </w:rPr>
        <w:t xml:space="preserve">η </w:t>
      </w:r>
      <w:r w:rsidRPr="0047462D">
        <w:rPr>
          <w:rFonts w:eastAsia="Times New Roman"/>
          <w:szCs w:val="22"/>
        </w:rPr>
        <w:t>φ</w:t>
      </w:r>
      <w:r w:rsidR="001C01B6" w:rsidRPr="0047462D">
        <w:rPr>
          <w:rFonts w:eastAsia="Times New Roman"/>
          <w:szCs w:val="22"/>
        </w:rPr>
        <w:t xml:space="preserve">αινοβαρβιτάλη </w:t>
      </w:r>
      <w:r w:rsidRPr="0047462D">
        <w:rPr>
          <w:rFonts w:eastAsia="Times New Roman"/>
          <w:szCs w:val="22"/>
        </w:rPr>
        <w:t>και</w:t>
      </w:r>
      <w:r w:rsidR="001C01B6" w:rsidRPr="0047462D">
        <w:rPr>
          <w:rFonts w:eastAsia="Times New Roman"/>
          <w:szCs w:val="22"/>
        </w:rPr>
        <w:t xml:space="preserve"> </w:t>
      </w:r>
      <w:r w:rsidR="00D4153E" w:rsidRPr="0047462D">
        <w:rPr>
          <w:rFonts w:eastAsia="Times New Roman"/>
          <w:szCs w:val="22"/>
        </w:rPr>
        <w:t xml:space="preserve">η </w:t>
      </w:r>
      <w:r w:rsidR="001C01B6" w:rsidRPr="0047462D">
        <w:rPr>
          <w:rFonts w:eastAsia="Times New Roman"/>
          <w:szCs w:val="22"/>
        </w:rPr>
        <w:t>φαινυτοΐνη</w:t>
      </w:r>
      <w:r w:rsidR="00BF0604" w:rsidRPr="00F93ECE">
        <w:rPr>
          <w:rFonts w:eastAsia="Times New Roman"/>
          <w:iCs/>
          <w:szCs w:val="22"/>
        </w:rPr>
        <w:t>.</w:t>
      </w:r>
    </w:p>
    <w:p w14:paraId="0FB1679D" w14:textId="27D60FC4" w:rsidR="005D5499" w:rsidRPr="0047462D" w:rsidRDefault="001C01B6" w:rsidP="009E50D2">
      <w:pPr>
        <w:numPr>
          <w:ilvl w:val="0"/>
          <w:numId w:val="10"/>
        </w:numPr>
        <w:rPr>
          <w:rFonts w:eastAsia="MS Mincho"/>
          <w:szCs w:val="22"/>
          <w:lang w:eastAsia="en-US"/>
        </w:rPr>
      </w:pPr>
      <w:r w:rsidRPr="0047462D">
        <w:rPr>
          <w:rFonts w:eastAsia="Times New Roman"/>
          <w:b/>
          <w:bCs/>
          <w:iCs/>
          <w:szCs w:val="22"/>
        </w:rPr>
        <w:t>Φυτικά φάρμακα</w:t>
      </w:r>
      <w:r w:rsidR="00BF0604" w:rsidRPr="00F93ECE">
        <w:rPr>
          <w:rFonts w:eastAsia="Times New Roman"/>
          <w:iCs/>
          <w:szCs w:val="22"/>
        </w:rPr>
        <w:t>.</w:t>
      </w:r>
      <w:r w:rsidRPr="0047462D">
        <w:rPr>
          <w:rFonts w:eastAsia="Times New Roman"/>
          <w:iCs/>
          <w:szCs w:val="22"/>
        </w:rPr>
        <w:t xml:space="preserve"> </w:t>
      </w:r>
      <w:r w:rsidR="00BF0604" w:rsidRPr="0047462D">
        <w:rPr>
          <w:rStyle w:val="hps"/>
        </w:rPr>
        <w:t>Σε αυτά περιλαμβάνεται το</w:t>
      </w:r>
      <w:r w:rsidR="00BF0604" w:rsidRPr="0047462D">
        <w:rPr>
          <w:rFonts w:eastAsia="Times New Roman"/>
          <w:iCs/>
          <w:szCs w:val="22"/>
        </w:rPr>
        <w:t xml:space="preserve"> </w:t>
      </w:r>
      <w:r w:rsidRPr="0047462D">
        <w:rPr>
          <w:rFonts w:eastAsia="Times New Roman"/>
          <w:szCs w:val="22"/>
          <w:lang w:val="en-US"/>
        </w:rPr>
        <w:t>St</w:t>
      </w:r>
      <w:r w:rsidRPr="0047462D">
        <w:rPr>
          <w:rFonts w:eastAsia="Times New Roman"/>
          <w:szCs w:val="22"/>
        </w:rPr>
        <w:t xml:space="preserve"> </w:t>
      </w:r>
      <w:r w:rsidRPr="0047462D">
        <w:rPr>
          <w:rFonts w:eastAsia="Times New Roman"/>
          <w:szCs w:val="22"/>
          <w:lang w:val="en-US"/>
        </w:rPr>
        <w:t>John</w:t>
      </w:r>
      <w:r w:rsidRPr="0047462D">
        <w:rPr>
          <w:rFonts w:eastAsia="Times New Roman"/>
          <w:szCs w:val="22"/>
        </w:rPr>
        <w:t>’</w:t>
      </w:r>
      <w:r w:rsidRPr="0047462D">
        <w:rPr>
          <w:rFonts w:eastAsia="Times New Roman"/>
          <w:szCs w:val="22"/>
          <w:lang w:val="en-US"/>
        </w:rPr>
        <w:t>s</w:t>
      </w:r>
      <w:r w:rsidRPr="0047462D">
        <w:rPr>
          <w:rFonts w:eastAsia="Times New Roman"/>
          <w:szCs w:val="22"/>
        </w:rPr>
        <w:t xml:space="preserve"> </w:t>
      </w:r>
      <w:r w:rsidRPr="0047462D">
        <w:rPr>
          <w:rFonts w:eastAsia="Times New Roman"/>
          <w:szCs w:val="22"/>
          <w:lang w:val="en-US"/>
        </w:rPr>
        <w:t>wort</w:t>
      </w:r>
      <w:r w:rsidRPr="0047462D">
        <w:rPr>
          <w:rFonts w:eastAsia="Times New Roman"/>
          <w:szCs w:val="22"/>
        </w:rPr>
        <w:t xml:space="preserve"> </w:t>
      </w:r>
      <w:r w:rsidRPr="0047462D">
        <w:rPr>
          <w:szCs w:val="22"/>
        </w:rPr>
        <w:t>(</w:t>
      </w:r>
      <w:r w:rsidRPr="0047462D">
        <w:rPr>
          <w:rStyle w:val="Emphasis"/>
          <w:i w:val="0"/>
          <w:szCs w:val="22"/>
        </w:rPr>
        <w:t>Υπερικόν το διάτρητο</w:t>
      </w:r>
      <w:r w:rsidR="002E020A" w:rsidRPr="0047462D">
        <w:rPr>
          <w:rStyle w:val="Emphasis"/>
          <w:i w:val="0"/>
          <w:szCs w:val="22"/>
        </w:rPr>
        <w:t>ν</w:t>
      </w:r>
      <w:r w:rsidRPr="0047462D">
        <w:rPr>
          <w:rStyle w:val="Emphasis"/>
          <w:szCs w:val="22"/>
        </w:rPr>
        <w:t xml:space="preserve">, </w:t>
      </w:r>
      <w:r w:rsidRPr="0047462D">
        <w:rPr>
          <w:i/>
          <w:szCs w:val="22"/>
          <w:lang w:val="en-US"/>
        </w:rPr>
        <w:t>Hypericum</w:t>
      </w:r>
      <w:r w:rsidRPr="0047462D">
        <w:rPr>
          <w:i/>
          <w:szCs w:val="22"/>
        </w:rPr>
        <w:t xml:space="preserve"> </w:t>
      </w:r>
      <w:r w:rsidRPr="0047462D">
        <w:rPr>
          <w:i/>
          <w:szCs w:val="22"/>
          <w:lang w:val="en-US"/>
        </w:rPr>
        <w:t>perforatum</w:t>
      </w:r>
      <w:r w:rsidRPr="0047462D">
        <w:rPr>
          <w:szCs w:val="22"/>
        </w:rPr>
        <w:t>)</w:t>
      </w:r>
      <w:r w:rsidR="00BF0604" w:rsidRPr="00F93ECE">
        <w:rPr>
          <w:szCs w:val="22"/>
        </w:rPr>
        <w:t>.</w:t>
      </w:r>
    </w:p>
    <w:p w14:paraId="23E0BCBE" w14:textId="34A8E7A7" w:rsidR="005D5499" w:rsidRPr="0047462D" w:rsidRDefault="002B736F" w:rsidP="009E50D2">
      <w:pPr>
        <w:numPr>
          <w:ilvl w:val="0"/>
          <w:numId w:val="10"/>
        </w:numPr>
        <w:rPr>
          <w:rFonts w:eastAsia="Times New Roman"/>
          <w:szCs w:val="22"/>
        </w:rPr>
      </w:pPr>
      <w:r w:rsidRPr="0047462D">
        <w:rPr>
          <w:rFonts w:eastAsia="Times New Roman"/>
          <w:b/>
          <w:bCs/>
          <w:iCs/>
          <w:szCs w:val="22"/>
        </w:rPr>
        <w:t>Ανοσοκατασταλτικά</w:t>
      </w:r>
      <w:r w:rsidRPr="0047462D">
        <w:rPr>
          <w:rFonts w:eastAsia="Times New Roman"/>
          <w:iCs/>
          <w:szCs w:val="22"/>
        </w:rPr>
        <w:t xml:space="preserve"> </w:t>
      </w:r>
      <w:r w:rsidR="00BF0604" w:rsidRPr="00F93ECE">
        <w:rPr>
          <w:rFonts w:eastAsia="Times New Roman"/>
          <w:iCs/>
          <w:szCs w:val="22"/>
        </w:rPr>
        <w:t>(</w:t>
      </w:r>
      <w:r w:rsidR="00BF0604" w:rsidRPr="0047462D">
        <w:rPr>
          <w:rStyle w:val="hps"/>
        </w:rPr>
        <w:t>χρησιμοποιούνται μετά από μια μεταμόσχευση οργάνου</w:t>
      </w:r>
      <w:r w:rsidR="00BF0604" w:rsidRPr="00F93ECE">
        <w:rPr>
          <w:rStyle w:val="hps"/>
        </w:rPr>
        <w:t xml:space="preserve">). </w:t>
      </w:r>
      <w:r w:rsidR="00BF0604" w:rsidRPr="0047462D">
        <w:rPr>
          <w:rStyle w:val="hps"/>
        </w:rPr>
        <w:t>Σε αυτά περιλαμβάνονται</w:t>
      </w:r>
      <w:r w:rsidR="00BF0604" w:rsidRPr="0047462D">
        <w:rPr>
          <w:rFonts w:eastAsia="Times New Roman"/>
          <w:szCs w:val="22"/>
        </w:rPr>
        <w:t xml:space="preserve"> </w:t>
      </w:r>
      <w:r w:rsidR="00D4153E" w:rsidRPr="0047462D">
        <w:rPr>
          <w:rFonts w:eastAsia="Times New Roman"/>
          <w:iCs/>
          <w:szCs w:val="22"/>
        </w:rPr>
        <w:t xml:space="preserve">η </w:t>
      </w:r>
      <w:r w:rsidRPr="0047462D">
        <w:rPr>
          <w:rFonts w:eastAsia="Times New Roman"/>
          <w:szCs w:val="22"/>
        </w:rPr>
        <w:t>κ</w:t>
      </w:r>
      <w:r w:rsidR="001C01B6" w:rsidRPr="0047462D">
        <w:rPr>
          <w:rFonts w:eastAsia="Times New Roman"/>
          <w:szCs w:val="22"/>
        </w:rPr>
        <w:t xml:space="preserve">υκλοσπορίνη, </w:t>
      </w:r>
      <w:r w:rsidR="00D4153E" w:rsidRPr="0047462D">
        <w:rPr>
          <w:rFonts w:eastAsia="Times New Roman"/>
          <w:szCs w:val="22"/>
        </w:rPr>
        <w:t xml:space="preserve">το </w:t>
      </w:r>
      <w:r w:rsidRPr="0047462D">
        <w:rPr>
          <w:rFonts w:eastAsia="Times New Roman"/>
          <w:iCs/>
          <w:szCs w:val="22"/>
        </w:rPr>
        <w:t>εβερόλιμους</w:t>
      </w:r>
      <w:r w:rsidR="00BD3681" w:rsidRPr="0047462D">
        <w:rPr>
          <w:rFonts w:eastAsia="Times New Roman"/>
          <w:iCs/>
          <w:szCs w:val="22"/>
        </w:rPr>
        <w:t>,</w:t>
      </w:r>
      <w:r w:rsidRPr="0047462D">
        <w:rPr>
          <w:rFonts w:eastAsia="Times New Roman"/>
          <w:iCs/>
          <w:szCs w:val="22"/>
        </w:rPr>
        <w:t xml:space="preserve"> </w:t>
      </w:r>
      <w:r w:rsidR="00D4153E" w:rsidRPr="0047462D">
        <w:rPr>
          <w:rFonts w:eastAsia="Times New Roman"/>
          <w:iCs/>
          <w:szCs w:val="22"/>
        </w:rPr>
        <w:t xml:space="preserve">το </w:t>
      </w:r>
      <w:r w:rsidRPr="0047462D">
        <w:rPr>
          <w:rFonts w:eastAsia="Times New Roman"/>
          <w:iCs/>
          <w:szCs w:val="22"/>
        </w:rPr>
        <w:t>σιρόλιμους</w:t>
      </w:r>
      <w:r w:rsidR="00BD3681" w:rsidRPr="0047462D">
        <w:rPr>
          <w:rFonts w:eastAsia="Times New Roman"/>
          <w:iCs/>
          <w:szCs w:val="22"/>
        </w:rPr>
        <w:t xml:space="preserve"> και </w:t>
      </w:r>
      <w:r w:rsidR="00D4153E" w:rsidRPr="0047462D">
        <w:rPr>
          <w:rFonts w:eastAsia="Times New Roman"/>
          <w:iCs/>
          <w:szCs w:val="22"/>
        </w:rPr>
        <w:t xml:space="preserve">το </w:t>
      </w:r>
      <w:r w:rsidR="00BD3681" w:rsidRPr="0047462D">
        <w:rPr>
          <w:rFonts w:eastAsia="Times New Roman"/>
          <w:szCs w:val="22"/>
        </w:rPr>
        <w:t>τακρόλιμους</w:t>
      </w:r>
      <w:r w:rsidR="00BF0604" w:rsidRPr="00F93ECE">
        <w:rPr>
          <w:rFonts w:eastAsia="Times New Roman"/>
          <w:iCs/>
          <w:szCs w:val="22"/>
        </w:rPr>
        <w:t>.</w:t>
      </w:r>
    </w:p>
    <w:p w14:paraId="7FB57C2B" w14:textId="03EA332B" w:rsidR="005D5499" w:rsidRPr="0047462D" w:rsidRDefault="002B736F" w:rsidP="009E50D2">
      <w:pPr>
        <w:numPr>
          <w:ilvl w:val="0"/>
          <w:numId w:val="10"/>
        </w:numPr>
        <w:rPr>
          <w:rFonts w:eastAsia="Times New Roman"/>
          <w:szCs w:val="22"/>
        </w:rPr>
      </w:pPr>
      <w:r w:rsidRPr="0047462D">
        <w:rPr>
          <w:rFonts w:eastAsia="Times New Roman"/>
          <w:b/>
          <w:bCs/>
          <w:szCs w:val="22"/>
        </w:rPr>
        <w:t>Κ</w:t>
      </w:r>
      <w:r w:rsidR="001C01B6" w:rsidRPr="0047462D">
        <w:rPr>
          <w:rFonts w:eastAsia="Times New Roman"/>
          <w:b/>
          <w:bCs/>
          <w:iCs/>
          <w:szCs w:val="22"/>
        </w:rPr>
        <w:t>αρδιακές γλυκοσίδες</w:t>
      </w:r>
      <w:r w:rsidRPr="0047462D">
        <w:rPr>
          <w:rFonts w:eastAsia="Times New Roman"/>
          <w:iCs/>
          <w:szCs w:val="22"/>
        </w:rPr>
        <w:t xml:space="preserve"> </w:t>
      </w:r>
      <w:r w:rsidR="00BF0604" w:rsidRPr="00F93ECE">
        <w:rPr>
          <w:rFonts w:eastAsia="Times New Roman"/>
          <w:iCs/>
          <w:szCs w:val="22"/>
        </w:rPr>
        <w:t>(</w:t>
      </w:r>
      <w:r w:rsidR="00BF0604" w:rsidRPr="0047462D">
        <w:rPr>
          <w:rStyle w:val="hps"/>
        </w:rPr>
        <w:t>χρησιμοποιούνται για τη θεραπεία κάποιων καρδιακών παθήσεων). Σε αυτά περιλαμβάνεται η</w:t>
      </w:r>
      <w:r w:rsidR="00BF0604" w:rsidRPr="0047462D">
        <w:rPr>
          <w:rStyle w:val="hps"/>
          <w:lang w:val="en-US"/>
        </w:rPr>
        <w:t xml:space="preserve"> </w:t>
      </w:r>
      <w:r w:rsidRPr="0047462D">
        <w:rPr>
          <w:rFonts w:eastAsia="Times New Roman"/>
          <w:szCs w:val="22"/>
        </w:rPr>
        <w:t>διγοξίνη</w:t>
      </w:r>
      <w:r w:rsidR="00BF0604" w:rsidRPr="0047462D">
        <w:rPr>
          <w:rFonts w:eastAsia="Times New Roman"/>
          <w:szCs w:val="22"/>
          <w:lang w:val="en-US"/>
        </w:rPr>
        <w:t>.</w:t>
      </w:r>
    </w:p>
    <w:p w14:paraId="706971D5" w14:textId="67556837" w:rsidR="00130872" w:rsidRPr="0047462D" w:rsidRDefault="002B736F" w:rsidP="001C01B6">
      <w:pPr>
        <w:numPr>
          <w:ilvl w:val="0"/>
          <w:numId w:val="10"/>
        </w:numPr>
        <w:rPr>
          <w:rFonts w:eastAsia="Times New Roman"/>
          <w:szCs w:val="22"/>
        </w:rPr>
      </w:pPr>
      <w:r w:rsidRPr="0047462D">
        <w:rPr>
          <w:rFonts w:eastAsia="Times New Roman"/>
          <w:b/>
          <w:bCs/>
          <w:iCs/>
          <w:szCs w:val="22"/>
        </w:rPr>
        <w:t>Αντιπηκτικά φάρμακα</w:t>
      </w:r>
      <w:r w:rsidRPr="0047462D">
        <w:rPr>
          <w:rFonts w:eastAsia="Times New Roman"/>
          <w:iCs/>
          <w:szCs w:val="22"/>
        </w:rPr>
        <w:t xml:space="preserve"> </w:t>
      </w:r>
      <w:r w:rsidR="00BF0604" w:rsidRPr="00F93ECE">
        <w:rPr>
          <w:rFonts w:eastAsia="Times New Roman"/>
          <w:iCs/>
          <w:szCs w:val="22"/>
        </w:rPr>
        <w:t>(</w:t>
      </w:r>
      <w:r w:rsidR="00BF0604" w:rsidRPr="0047462D">
        <w:rPr>
          <w:rStyle w:val="hps"/>
        </w:rPr>
        <w:t>χρησιμοποιούνται για την πρόληψη των θρόμβων στο αίμα). Σε αυτά περιλαμβάνεται η</w:t>
      </w:r>
      <w:r w:rsidR="00BF0604" w:rsidRPr="0047462D" w:rsidDel="00134FD1">
        <w:rPr>
          <w:rFonts w:eastAsia="Times New Roman"/>
          <w:iCs/>
          <w:szCs w:val="22"/>
        </w:rPr>
        <w:t xml:space="preserve"> </w:t>
      </w:r>
      <w:r w:rsidRPr="0047462D">
        <w:rPr>
          <w:rFonts w:eastAsia="Times New Roman"/>
          <w:szCs w:val="22"/>
        </w:rPr>
        <w:t>β</w:t>
      </w:r>
      <w:r w:rsidR="001C01B6" w:rsidRPr="0047462D">
        <w:rPr>
          <w:rFonts w:eastAsia="Times New Roman"/>
          <w:szCs w:val="22"/>
        </w:rPr>
        <w:t>αρφαρίνη</w:t>
      </w:r>
      <w:r w:rsidR="00BF0604" w:rsidRPr="0047462D">
        <w:rPr>
          <w:rFonts w:eastAsia="Times New Roman"/>
          <w:szCs w:val="22"/>
          <w:lang w:val="en-US"/>
        </w:rPr>
        <w:t>.</w:t>
      </w:r>
    </w:p>
    <w:p w14:paraId="1840EE18" w14:textId="1CF54176" w:rsidR="001C01B6" w:rsidRPr="0047462D" w:rsidRDefault="002B736F" w:rsidP="009A2EEC">
      <w:pPr>
        <w:numPr>
          <w:ilvl w:val="0"/>
          <w:numId w:val="10"/>
        </w:numPr>
        <w:rPr>
          <w:szCs w:val="22"/>
          <w:lang w:eastAsia="en-US"/>
        </w:rPr>
      </w:pPr>
      <w:r w:rsidRPr="0047462D">
        <w:rPr>
          <w:rFonts w:eastAsia="MS Mincho"/>
          <w:b/>
          <w:bCs/>
        </w:rPr>
        <w:t>Φάρμακα για τον διαβήτη</w:t>
      </w:r>
      <w:r w:rsidR="00BF0604" w:rsidRPr="0047462D">
        <w:rPr>
          <w:rFonts w:eastAsia="MS Mincho"/>
          <w:b/>
          <w:bCs/>
        </w:rPr>
        <w:t>.</w:t>
      </w:r>
      <w:r w:rsidRPr="0047462D">
        <w:rPr>
          <w:rFonts w:eastAsia="MS Mincho"/>
        </w:rPr>
        <w:t xml:space="preserve"> </w:t>
      </w:r>
      <w:r w:rsidR="00BF0604" w:rsidRPr="0047462D">
        <w:rPr>
          <w:rFonts w:eastAsia="MS Mincho"/>
        </w:rPr>
        <w:t xml:space="preserve">Σε αυτά περιλαμβάνονται η </w:t>
      </w:r>
      <w:r w:rsidRPr="0047462D">
        <w:rPr>
          <w:rFonts w:eastAsia="MS Mincho"/>
        </w:rPr>
        <w:t xml:space="preserve">γλιµεπιρίδη και </w:t>
      </w:r>
      <w:r w:rsidR="00BF0604" w:rsidRPr="0047462D">
        <w:rPr>
          <w:rFonts w:eastAsia="MS Mincho"/>
        </w:rPr>
        <w:t xml:space="preserve">η </w:t>
      </w:r>
      <w:r w:rsidRPr="0047462D">
        <w:rPr>
          <w:rFonts w:eastAsia="MS Mincho"/>
        </w:rPr>
        <w:t>γλιπιζίδη</w:t>
      </w:r>
      <w:r w:rsidR="00BF0604" w:rsidRPr="0047462D">
        <w:rPr>
          <w:rFonts w:eastAsia="MS Mincho"/>
        </w:rPr>
        <w:t>.</w:t>
      </w:r>
    </w:p>
    <w:p w14:paraId="3C6CF02E" w14:textId="77777777" w:rsidR="00BF0604" w:rsidRPr="0047462D" w:rsidRDefault="00BF0604" w:rsidP="00BF0604">
      <w:pPr>
        <w:numPr>
          <w:ilvl w:val="0"/>
          <w:numId w:val="10"/>
        </w:numPr>
        <w:tabs>
          <w:tab w:val="left" w:pos="426"/>
        </w:tabs>
        <w:rPr>
          <w:rFonts w:eastAsia="Times New Roman"/>
          <w:szCs w:val="22"/>
        </w:rPr>
      </w:pPr>
      <w:r w:rsidRPr="0047462D">
        <w:rPr>
          <w:rStyle w:val="Strong"/>
        </w:rPr>
        <w:t>Φάρμακα για τη μείωση της αρτηριακής πίεσης.</w:t>
      </w:r>
      <w:r w:rsidRPr="0047462D">
        <w:rPr>
          <w:rStyle w:val="hps"/>
        </w:rPr>
        <w:t xml:space="preserve"> Σε αυτά περιλαμβάνεται η βεραπαμίλη</w:t>
      </w:r>
      <w:r w:rsidRPr="00F93ECE">
        <w:rPr>
          <w:rStyle w:val="hps"/>
        </w:rPr>
        <w:t>.</w:t>
      </w:r>
    </w:p>
    <w:p w14:paraId="0DFACFFC" w14:textId="77777777" w:rsidR="001C01B6" w:rsidRPr="0047462D" w:rsidRDefault="001C01B6" w:rsidP="001C01B6">
      <w:pPr>
        <w:rPr>
          <w:b/>
          <w:bCs/>
        </w:rPr>
      </w:pPr>
    </w:p>
    <w:p w14:paraId="6A09B20A" w14:textId="33D37370" w:rsidR="001C01B6" w:rsidRPr="0047462D" w:rsidRDefault="001C01B6" w:rsidP="001C01B6">
      <w:pPr>
        <w:keepNext/>
        <w:rPr>
          <w:rFonts w:eastAsia="Times New Roman"/>
          <w:b/>
          <w:bCs/>
          <w:szCs w:val="22"/>
        </w:rPr>
      </w:pPr>
      <w:r w:rsidRPr="0047462D">
        <w:rPr>
          <w:rFonts w:eastAsia="Times New Roman"/>
          <w:b/>
          <w:bCs/>
          <w:szCs w:val="22"/>
        </w:rPr>
        <w:t xml:space="preserve">Το Kalydeco με </w:t>
      </w:r>
      <w:r w:rsidR="0013252E" w:rsidRPr="0047462D">
        <w:rPr>
          <w:rFonts w:eastAsia="Times New Roman"/>
          <w:b/>
          <w:bCs/>
          <w:szCs w:val="22"/>
        </w:rPr>
        <w:t xml:space="preserve">τροφή </w:t>
      </w:r>
      <w:r w:rsidRPr="0047462D">
        <w:rPr>
          <w:rFonts w:eastAsia="Times New Roman"/>
          <w:b/>
          <w:bCs/>
          <w:szCs w:val="22"/>
        </w:rPr>
        <w:t>και ποτ</w:t>
      </w:r>
      <w:r w:rsidR="0013252E" w:rsidRPr="0047462D">
        <w:rPr>
          <w:rFonts w:eastAsia="Times New Roman"/>
          <w:b/>
          <w:bCs/>
          <w:szCs w:val="22"/>
        </w:rPr>
        <w:t>ό</w:t>
      </w:r>
    </w:p>
    <w:p w14:paraId="5200590B" w14:textId="77777777" w:rsidR="00DF274B" w:rsidRPr="0047462D" w:rsidRDefault="00DF274B" w:rsidP="001C01B6">
      <w:pPr>
        <w:keepNext/>
        <w:rPr>
          <w:rFonts w:eastAsia="Times New Roman"/>
          <w:szCs w:val="22"/>
        </w:rPr>
      </w:pPr>
    </w:p>
    <w:p w14:paraId="11000C04" w14:textId="2483C33B" w:rsidR="001C01B6" w:rsidRPr="0047462D" w:rsidRDefault="001C01B6" w:rsidP="001C01B6">
      <w:pPr>
        <w:pStyle w:val="labeltext"/>
        <w:rPr>
          <w:szCs w:val="22"/>
          <w:lang w:val="el-GR" w:eastAsia="en-US"/>
        </w:rPr>
      </w:pPr>
      <w:r w:rsidRPr="0047462D">
        <w:rPr>
          <w:rFonts w:eastAsia="Times New Roman"/>
          <w:sz w:val="22"/>
          <w:szCs w:val="22"/>
          <w:lang w:val="el-GR"/>
        </w:rPr>
        <w:t xml:space="preserve">Να αποφεύγετε να δώσετε στο παιδί σας τροφές </w:t>
      </w:r>
      <w:r w:rsidR="00091C63" w:rsidRPr="0047462D">
        <w:rPr>
          <w:rFonts w:eastAsia="Times New Roman"/>
          <w:sz w:val="22"/>
          <w:szCs w:val="22"/>
          <w:lang w:val="el-GR"/>
        </w:rPr>
        <w:t xml:space="preserve">ή ποτά </w:t>
      </w:r>
      <w:r w:rsidRPr="0047462D">
        <w:rPr>
          <w:rFonts w:eastAsia="Times New Roman"/>
          <w:sz w:val="22"/>
          <w:szCs w:val="22"/>
          <w:lang w:val="el-GR"/>
        </w:rPr>
        <w:t xml:space="preserve">που περιέχουν γκρέιπφρουτ κατά τη θεραπεία με Kalydeco καθώς αυτά μπορεί να αυξήσουν </w:t>
      </w:r>
      <w:r w:rsidR="00316F1F" w:rsidRPr="0047462D">
        <w:rPr>
          <w:rFonts w:eastAsia="Times New Roman"/>
          <w:sz w:val="22"/>
          <w:szCs w:val="22"/>
          <w:lang w:val="el-GR"/>
        </w:rPr>
        <w:t xml:space="preserve">τις ανεπιθύμητες ενέργειες του </w:t>
      </w:r>
      <w:r w:rsidR="00316F1F" w:rsidRPr="0047462D">
        <w:rPr>
          <w:rFonts w:eastAsia="Times New Roman"/>
          <w:sz w:val="22"/>
          <w:szCs w:val="22"/>
        </w:rPr>
        <w:t>Kalydeco</w:t>
      </w:r>
      <w:r w:rsidR="00316F1F" w:rsidRPr="0047462D">
        <w:rPr>
          <w:rFonts w:eastAsia="Times New Roman"/>
          <w:sz w:val="22"/>
          <w:szCs w:val="22"/>
          <w:lang w:val="el-GR"/>
        </w:rPr>
        <w:t xml:space="preserve"> αυξάνοντας την ποσότητα του </w:t>
      </w:r>
      <w:r w:rsidR="00677D05" w:rsidRPr="0047462D">
        <w:rPr>
          <w:rFonts w:eastAsia="MS Mincho"/>
          <w:sz w:val="22"/>
          <w:szCs w:val="22"/>
          <w:lang w:val="en-GB" w:eastAsia="ja-JP"/>
        </w:rPr>
        <w:t>ivacaftor</w:t>
      </w:r>
      <w:r w:rsidR="00677D05" w:rsidRPr="0047462D">
        <w:rPr>
          <w:rFonts w:eastAsia="MS Mincho"/>
          <w:sz w:val="22"/>
          <w:szCs w:val="22"/>
          <w:lang w:val="el-GR" w:eastAsia="ja-JP"/>
        </w:rPr>
        <w:t xml:space="preserve"> </w:t>
      </w:r>
      <w:r w:rsidRPr="0047462D">
        <w:rPr>
          <w:rFonts w:eastAsia="Times New Roman"/>
          <w:sz w:val="22"/>
          <w:szCs w:val="22"/>
          <w:lang w:val="el-GR"/>
        </w:rPr>
        <w:t>στον οργανισμό του παιδιού σας.</w:t>
      </w:r>
    </w:p>
    <w:p w14:paraId="49D9BBE3" w14:textId="77777777" w:rsidR="001C01B6" w:rsidRPr="0047462D" w:rsidRDefault="001C01B6" w:rsidP="001C01B6">
      <w:pPr>
        <w:tabs>
          <w:tab w:val="left" w:pos="1290"/>
        </w:tabs>
        <w:ind w:right="-2"/>
        <w:rPr>
          <w:szCs w:val="22"/>
          <w:lang w:eastAsia="en-US"/>
        </w:rPr>
      </w:pPr>
    </w:p>
    <w:p w14:paraId="4109C36A" w14:textId="7264CE2A" w:rsidR="001C01B6" w:rsidRPr="0047462D" w:rsidRDefault="001C01B6" w:rsidP="001C01B6">
      <w:pPr>
        <w:keepNext/>
        <w:suppressAutoHyphens w:val="0"/>
        <w:outlineLvl w:val="0"/>
        <w:rPr>
          <w:b/>
          <w:bCs/>
          <w:szCs w:val="22"/>
          <w:lang w:eastAsia="en-US"/>
        </w:rPr>
      </w:pPr>
      <w:r w:rsidRPr="0047462D">
        <w:rPr>
          <w:b/>
          <w:bCs/>
          <w:szCs w:val="22"/>
          <w:lang w:eastAsia="en-US"/>
        </w:rPr>
        <w:t>Οδήγηση και χειρισμός μηχανημάτων</w:t>
      </w:r>
    </w:p>
    <w:p w14:paraId="204612ED" w14:textId="77777777" w:rsidR="00DF274B" w:rsidRPr="0047462D" w:rsidRDefault="00DF274B" w:rsidP="001C01B6">
      <w:pPr>
        <w:keepNext/>
        <w:suppressAutoHyphens w:val="0"/>
        <w:outlineLvl w:val="0"/>
        <w:rPr>
          <w:b/>
          <w:bCs/>
          <w:szCs w:val="22"/>
          <w:lang w:eastAsia="en-US"/>
        </w:rPr>
      </w:pPr>
    </w:p>
    <w:p w14:paraId="2E9A8C15" w14:textId="77777777" w:rsidR="001C01B6" w:rsidRPr="0047462D" w:rsidRDefault="001C01B6" w:rsidP="009A2EEC">
      <w:pPr>
        <w:rPr>
          <w:szCs w:val="22"/>
          <w:lang w:eastAsia="ja-JP"/>
        </w:rPr>
      </w:pPr>
      <w:r w:rsidRPr="0047462D">
        <w:rPr>
          <w:rFonts w:eastAsia="Times New Roman"/>
        </w:rPr>
        <w:t xml:space="preserve">Το </w:t>
      </w:r>
      <w:r w:rsidRPr="0047462D">
        <w:t xml:space="preserve">Kalydeco μπορεί να προκαλέσει ζάλη στο παιδί σας. </w:t>
      </w:r>
      <w:r w:rsidR="00316F1F" w:rsidRPr="0047462D">
        <w:t xml:space="preserve">Εάν το παιδί σας αισθάνεται ζάλη, </w:t>
      </w:r>
      <w:r w:rsidR="00316F1F" w:rsidRPr="0047462D">
        <w:rPr>
          <w:rFonts w:eastAsia="Times New Roman"/>
          <w:szCs w:val="22"/>
        </w:rPr>
        <w:t>σ</w:t>
      </w:r>
      <w:r w:rsidRPr="0047462D">
        <w:rPr>
          <w:rFonts w:eastAsia="Times New Roman"/>
          <w:szCs w:val="22"/>
        </w:rPr>
        <w:t>υνιστάται το παιδί σας να μην κάνει</w:t>
      </w:r>
      <w:r w:rsidR="00C44501" w:rsidRPr="0047462D">
        <w:rPr>
          <w:rFonts w:eastAsia="Times New Roman"/>
          <w:szCs w:val="22"/>
        </w:rPr>
        <w:t xml:space="preserve"> </w:t>
      </w:r>
      <w:r w:rsidRPr="0047462D">
        <w:rPr>
          <w:rFonts w:eastAsia="Times New Roman"/>
          <w:szCs w:val="22"/>
        </w:rPr>
        <w:t>ποδήλατο ή οτιδήποτε άλλο που χρειάζεται την πλήρη προσοχή του</w:t>
      </w:r>
      <w:r w:rsidR="00316F1F" w:rsidRPr="0047462D">
        <w:rPr>
          <w:rFonts w:eastAsia="Times New Roman"/>
          <w:szCs w:val="22"/>
        </w:rPr>
        <w:t>.</w:t>
      </w:r>
    </w:p>
    <w:p w14:paraId="79FCBB8C" w14:textId="77777777" w:rsidR="00316F1F" w:rsidRPr="0047462D" w:rsidRDefault="00316F1F" w:rsidP="00D3539C">
      <w:pPr>
        <w:pStyle w:val="1"/>
        <w:spacing w:after="0"/>
        <w:ind w:left="0"/>
        <w:rPr>
          <w:b/>
          <w:lang w:eastAsia="ja-JP"/>
        </w:rPr>
      </w:pPr>
    </w:p>
    <w:p w14:paraId="6FB3D35B" w14:textId="3B50D6B4" w:rsidR="00F804B2" w:rsidRPr="0047462D" w:rsidRDefault="00F804B2" w:rsidP="009A2EEC">
      <w:pPr>
        <w:pStyle w:val="1"/>
        <w:keepNext/>
        <w:spacing w:after="0"/>
        <w:ind w:left="0"/>
        <w:rPr>
          <w:b/>
          <w:lang w:eastAsia="ja-JP"/>
        </w:rPr>
      </w:pPr>
      <w:r w:rsidRPr="0047462D">
        <w:rPr>
          <w:b/>
          <w:lang w:eastAsia="ja-JP"/>
        </w:rPr>
        <w:t>Σημαντικές πληροφορίες για το περιεχόμενο του Kalydeco</w:t>
      </w:r>
    </w:p>
    <w:p w14:paraId="2749919B" w14:textId="77777777" w:rsidR="00DF274B" w:rsidRPr="0047462D" w:rsidRDefault="00DF274B" w:rsidP="009A2EEC">
      <w:pPr>
        <w:pStyle w:val="1"/>
        <w:keepNext/>
        <w:spacing w:after="0"/>
        <w:ind w:left="0"/>
        <w:rPr>
          <w:szCs w:val="22"/>
          <w:lang w:eastAsia="ja-JP"/>
        </w:rPr>
      </w:pPr>
    </w:p>
    <w:p w14:paraId="60C040AB" w14:textId="2DC785DF" w:rsidR="001C01B6" w:rsidRPr="0047462D" w:rsidRDefault="001C01B6" w:rsidP="009A2EEC">
      <w:pPr>
        <w:pStyle w:val="1"/>
        <w:spacing w:after="0"/>
        <w:ind w:left="0"/>
      </w:pPr>
      <w:r w:rsidRPr="0047462D">
        <w:rPr>
          <w:rFonts w:eastAsia="Times New Roman"/>
          <w:b/>
          <w:bCs/>
          <w:szCs w:val="22"/>
        </w:rPr>
        <w:t>Το Kalydeco περιέχει λακτόζη</w:t>
      </w:r>
      <w:r w:rsidR="00F804B2" w:rsidRPr="0047462D">
        <w:rPr>
          <w:szCs w:val="22"/>
        </w:rPr>
        <w:t xml:space="preserve">. </w:t>
      </w:r>
      <w:r w:rsidR="00060C6E" w:rsidRPr="0047462D">
        <w:rPr>
          <w:szCs w:val="22"/>
        </w:rPr>
        <w:t>Αν</w:t>
      </w:r>
      <w:r w:rsidRPr="0047462D">
        <w:rPr>
          <w:szCs w:val="22"/>
        </w:rPr>
        <w:t xml:space="preserve"> ο γιατρός του παιδιού σας </w:t>
      </w:r>
      <w:r w:rsidR="00060C6E" w:rsidRPr="0047462D">
        <w:rPr>
          <w:szCs w:val="22"/>
        </w:rPr>
        <w:t xml:space="preserve">σας ενημέρωσε </w:t>
      </w:r>
      <w:r w:rsidRPr="0047462D">
        <w:rPr>
          <w:szCs w:val="22"/>
        </w:rPr>
        <w:t xml:space="preserve">ότι το παιδί σας έχει δυσανεξία σε </w:t>
      </w:r>
      <w:r w:rsidR="00060C6E" w:rsidRPr="0047462D">
        <w:rPr>
          <w:szCs w:val="22"/>
        </w:rPr>
        <w:t xml:space="preserve">ορισμένα </w:t>
      </w:r>
      <w:r w:rsidRPr="0047462D">
        <w:rPr>
          <w:szCs w:val="22"/>
        </w:rPr>
        <w:t>σάκχαρα, επικοινωνήστε με τον γιατρό του παιδιού σας πριν το παιδί σας πάρει αυτό το φάρμακο</w:t>
      </w:r>
      <w:r w:rsidRPr="0047462D">
        <w:t>.</w:t>
      </w:r>
    </w:p>
    <w:p w14:paraId="4A7DCEA4" w14:textId="77777777" w:rsidR="00FB75C5" w:rsidRPr="0047462D" w:rsidRDefault="00FB75C5" w:rsidP="009A2EEC">
      <w:pPr>
        <w:pStyle w:val="1"/>
        <w:spacing w:after="0"/>
        <w:ind w:left="0"/>
      </w:pPr>
    </w:p>
    <w:p w14:paraId="576D4058" w14:textId="77777777" w:rsidR="00F804B2" w:rsidRPr="0047462D" w:rsidRDefault="00F804B2">
      <w:pPr>
        <w:pStyle w:val="1"/>
        <w:spacing w:after="0"/>
        <w:ind w:left="0"/>
      </w:pPr>
      <w:r w:rsidRPr="0047462D">
        <w:rPr>
          <w:b/>
        </w:rPr>
        <w:t>Το Kalydeco περιέχει</w:t>
      </w:r>
      <w:r w:rsidRPr="0047462D">
        <w:t xml:space="preserve"> </w:t>
      </w:r>
      <w:r w:rsidRPr="0047462D">
        <w:rPr>
          <w:b/>
          <w:bCs/>
        </w:rPr>
        <w:t xml:space="preserve">λιγότερο από 1 mmol νατρίου </w:t>
      </w:r>
      <w:r w:rsidRPr="0047462D">
        <w:t xml:space="preserve">(23 mg) ανά δόση, </w:t>
      </w:r>
      <w:r w:rsidR="00316F1F" w:rsidRPr="0047462D">
        <w:t>είναι αυτό που ονομάζουμε «ελεύθερο νατρίου»</w:t>
      </w:r>
      <w:r w:rsidRPr="0047462D">
        <w:t>.</w:t>
      </w:r>
    </w:p>
    <w:p w14:paraId="154A56D9" w14:textId="77777777" w:rsidR="001C01B6" w:rsidRPr="0047462D" w:rsidRDefault="001C01B6">
      <w:pPr>
        <w:pStyle w:val="1"/>
        <w:spacing w:after="0"/>
        <w:ind w:left="0"/>
        <w:rPr>
          <w:szCs w:val="22"/>
        </w:rPr>
      </w:pPr>
    </w:p>
    <w:p w14:paraId="5FF2855E" w14:textId="77777777" w:rsidR="001C01B6" w:rsidRPr="0047462D" w:rsidRDefault="001C01B6">
      <w:pPr>
        <w:pStyle w:val="1"/>
        <w:spacing w:after="0"/>
        <w:ind w:left="0"/>
        <w:rPr>
          <w:szCs w:val="22"/>
          <w:lang w:eastAsia="ja-JP"/>
        </w:rPr>
      </w:pPr>
    </w:p>
    <w:p w14:paraId="75F34C60" w14:textId="77777777" w:rsidR="001C01B6" w:rsidRPr="0047462D" w:rsidRDefault="001C01B6" w:rsidP="001C01B6">
      <w:pPr>
        <w:keepNext/>
        <w:ind w:left="567" w:right="-2" w:hanging="567"/>
        <w:rPr>
          <w:b/>
          <w:bCs/>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b/>
          <w:bCs/>
          <w:noProof/>
          <w:szCs w:val="22"/>
          <w:lang w:eastAsia="en-US"/>
        </w:rPr>
        <w:t>Πώς να πάρε</w:t>
      </w:r>
      <w:r w:rsidR="007467DB" w:rsidRPr="0047462D">
        <w:rPr>
          <w:b/>
          <w:bCs/>
          <w:noProof/>
          <w:szCs w:val="22"/>
          <w:lang w:eastAsia="en-US"/>
        </w:rPr>
        <w:t>ι το παιδί σας</w:t>
      </w:r>
      <w:r w:rsidRPr="0047462D">
        <w:rPr>
          <w:b/>
          <w:bCs/>
          <w:noProof/>
          <w:szCs w:val="22"/>
          <w:lang w:eastAsia="en-US"/>
        </w:rPr>
        <w:t xml:space="preserve"> το Kalydeco</w:t>
      </w:r>
    </w:p>
    <w:p w14:paraId="11C5E7ED" w14:textId="77777777" w:rsidR="001C01B6" w:rsidRPr="0047462D" w:rsidRDefault="001C01B6" w:rsidP="001C01B6">
      <w:pPr>
        <w:keepNext/>
        <w:rPr>
          <w:bCs/>
          <w:szCs w:val="22"/>
          <w:lang w:eastAsia="en-US"/>
        </w:rPr>
      </w:pPr>
    </w:p>
    <w:p w14:paraId="705F3C0C" w14:textId="77777777" w:rsidR="001C01B6" w:rsidRPr="0047462D" w:rsidRDefault="001C01B6" w:rsidP="001C01B6">
      <w:pPr>
        <w:ind w:right="-2"/>
        <w:rPr>
          <w:szCs w:val="22"/>
          <w:lang w:eastAsia="en-US"/>
        </w:rPr>
      </w:pPr>
      <w:r w:rsidRPr="0047462D">
        <w:rPr>
          <w:rFonts w:eastAsia="Times New Roman"/>
          <w:color w:val="000000"/>
          <w:szCs w:val="22"/>
        </w:rPr>
        <w:t xml:space="preserve">Πάντοτε να δίνετε το φάρμακο αυτό στο παιδί σας </w:t>
      </w:r>
      <w:r w:rsidRPr="0047462D">
        <w:rPr>
          <w:rFonts w:eastAsia="Times New Roman"/>
          <w:szCs w:val="22"/>
        </w:rPr>
        <w:t>αυστηρά σύμφωνα με τις οδηγίες του γιατρού του παιδιού σας</w:t>
      </w:r>
      <w:r w:rsidRPr="0047462D">
        <w:rPr>
          <w:rFonts w:eastAsia="Times New Roman"/>
          <w:color w:val="000000"/>
          <w:szCs w:val="22"/>
        </w:rPr>
        <w:t>.</w:t>
      </w:r>
      <w:r w:rsidRPr="0047462D">
        <w:rPr>
          <w:rFonts w:eastAsia="Times New Roman"/>
          <w:szCs w:val="22"/>
          <w:lang w:eastAsia="en-US"/>
        </w:rPr>
        <w:t xml:space="preserve"> </w:t>
      </w:r>
      <w:r w:rsidRPr="0047462D">
        <w:rPr>
          <w:rFonts w:eastAsia="Times New Roman"/>
          <w:szCs w:val="22"/>
        </w:rPr>
        <w:t>Εάν έχετε αμφιβολίες, ρωτήστε τον γιατρό του παιδιού σας.</w:t>
      </w:r>
      <w:r w:rsidRPr="0047462D">
        <w:rPr>
          <w:rFonts w:eastAsia="Times New Roman"/>
          <w:szCs w:val="22"/>
          <w:lang w:eastAsia="en-US"/>
        </w:rPr>
        <w:t xml:space="preserve"> </w:t>
      </w:r>
    </w:p>
    <w:p w14:paraId="108F871B" w14:textId="77777777" w:rsidR="001C01B6" w:rsidRPr="0047462D" w:rsidRDefault="001C01B6" w:rsidP="001C01B6">
      <w:pPr>
        <w:ind w:right="-2"/>
        <w:rPr>
          <w:szCs w:val="22"/>
          <w:lang w:eastAsia="en-US"/>
        </w:rPr>
      </w:pPr>
    </w:p>
    <w:p w14:paraId="6D3EDC44" w14:textId="77777777" w:rsidR="001C01B6" w:rsidRPr="0047462D" w:rsidRDefault="001C01B6" w:rsidP="001C01B6">
      <w:pPr>
        <w:ind w:right="-2"/>
        <w:rPr>
          <w:szCs w:val="22"/>
          <w:lang w:eastAsia="en-US"/>
        </w:rPr>
      </w:pPr>
      <w:r w:rsidRPr="0047462D">
        <w:rPr>
          <w:szCs w:val="22"/>
          <w:lang w:eastAsia="en-US"/>
        </w:rPr>
        <w:t>Ο γιατρός του παιδιού σας θα καθορίσει τη σωστή δόση για το παιδί σας.</w:t>
      </w:r>
      <w:r w:rsidR="00D16018" w:rsidRPr="0047462D">
        <w:rPr>
          <w:szCs w:val="22"/>
          <w:lang w:eastAsia="en-US"/>
        </w:rPr>
        <w:t xml:space="preserve"> Το </w:t>
      </w:r>
      <w:r w:rsidR="003769DA" w:rsidRPr="0047462D">
        <w:rPr>
          <w:szCs w:val="22"/>
          <w:lang w:eastAsia="en-US"/>
        </w:rPr>
        <w:t>παιδί</w:t>
      </w:r>
      <w:r w:rsidR="00D16018" w:rsidRPr="0047462D">
        <w:rPr>
          <w:szCs w:val="22"/>
          <w:lang w:eastAsia="en-US"/>
        </w:rPr>
        <w:t xml:space="preserve"> σας </w:t>
      </w:r>
      <w:r w:rsidR="00D16018" w:rsidRPr="0047462D">
        <w:rPr>
          <w:rFonts w:eastAsia="Times New Roman"/>
          <w:szCs w:val="22"/>
          <w:lang w:eastAsia="en-US"/>
        </w:rPr>
        <w:t xml:space="preserve">πρέπει να συνεχίσει να χρησιμοποιεί όλα τα άλλα φάρμακα, εκτός εάν ο γιατρός του παιδιού σας το ενημερώσει να σταματήσει να </w:t>
      </w:r>
      <w:r w:rsidR="00185857" w:rsidRPr="0047462D">
        <w:rPr>
          <w:rFonts w:eastAsia="Times New Roman"/>
          <w:szCs w:val="22"/>
          <w:lang w:eastAsia="en-US"/>
        </w:rPr>
        <w:t>χρησιμοποιεί</w:t>
      </w:r>
      <w:r w:rsidR="00D16018" w:rsidRPr="0047462D">
        <w:rPr>
          <w:rFonts w:eastAsia="Times New Roman"/>
          <w:szCs w:val="22"/>
          <w:lang w:eastAsia="en-US"/>
        </w:rPr>
        <w:t xml:space="preserve"> το οποιοδήποτε φάρμακο.</w:t>
      </w:r>
    </w:p>
    <w:p w14:paraId="1F950528" w14:textId="77777777" w:rsidR="001C01B6" w:rsidRPr="0047462D" w:rsidRDefault="001C01B6" w:rsidP="001C01B6">
      <w:pPr>
        <w:ind w:right="-2"/>
        <w:rPr>
          <w:szCs w:val="22"/>
          <w:lang w:eastAsia="en-US"/>
        </w:rPr>
      </w:pPr>
    </w:p>
    <w:p w14:paraId="32F38B1A" w14:textId="5A6789B6" w:rsidR="001C01B6" w:rsidRPr="0047462D" w:rsidRDefault="001C01B6" w:rsidP="00A920CD">
      <w:pPr>
        <w:keepNext/>
        <w:ind w:right="-2"/>
        <w:rPr>
          <w:szCs w:val="22"/>
          <w:lang w:eastAsia="en-US"/>
        </w:rPr>
      </w:pPr>
      <w:r w:rsidRPr="0047462D">
        <w:rPr>
          <w:szCs w:val="22"/>
          <w:lang w:eastAsia="en-US"/>
        </w:rPr>
        <w:t xml:space="preserve">Οι συστάσεις δοσολογίας του </w:t>
      </w:r>
      <w:r w:rsidR="00773103" w:rsidRPr="0047462D">
        <w:t xml:space="preserve">Kalydeco </w:t>
      </w:r>
      <w:r w:rsidRPr="0047462D">
        <w:t>παρέχονται στον Πίνακα</w:t>
      </w:r>
      <w:r w:rsidR="00B42EA5" w:rsidRPr="0047462D">
        <w:t> </w:t>
      </w:r>
      <w:r w:rsidRPr="0047462D">
        <w:t>1.</w:t>
      </w:r>
    </w:p>
    <w:p w14:paraId="442C276E" w14:textId="77777777" w:rsidR="00FB75C5" w:rsidRPr="0047462D" w:rsidRDefault="00FB75C5" w:rsidP="00FB75C5">
      <w:pPr>
        <w:numPr>
          <w:ilvl w:val="12"/>
          <w:numId w:val="0"/>
        </w:numPr>
      </w:pPr>
    </w:p>
    <w:p w14:paraId="6CF18FA2" w14:textId="6DE5722B" w:rsidR="00FB75C5" w:rsidRPr="0047462D" w:rsidRDefault="00FB75C5" w:rsidP="00FB75C5">
      <w:pPr>
        <w:keepNext/>
        <w:numPr>
          <w:ilvl w:val="12"/>
          <w:numId w:val="0"/>
        </w:numPr>
        <w:spacing w:after="120"/>
      </w:pPr>
      <w:r w:rsidRPr="0047462D">
        <w:rPr>
          <w:b/>
        </w:rPr>
        <w:t xml:space="preserve">Πίνακας 1: Συστάσεις δοσολογίας για παιδιά ηλικίας </w:t>
      </w:r>
      <w:r w:rsidR="00EB5D0D">
        <w:rPr>
          <w:b/>
        </w:rPr>
        <w:t>4</w:t>
      </w:r>
      <w:r w:rsidRPr="0047462D">
        <w:rPr>
          <w:b/>
        </w:rPr>
        <w:t> μηνών και άνω</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2026"/>
        <w:gridCol w:w="3617"/>
        <w:gridCol w:w="1564"/>
      </w:tblGrid>
      <w:tr w:rsidR="00D73B42" w:rsidRPr="0047462D" w14:paraId="086529E4" w14:textId="77777777" w:rsidTr="00F93ECE">
        <w:trPr>
          <w:trHeight w:val="217"/>
          <w:tblHeader/>
        </w:trPr>
        <w:tc>
          <w:tcPr>
            <w:tcW w:w="1858" w:type="dxa"/>
          </w:tcPr>
          <w:p w14:paraId="61B7FDF7" w14:textId="76EB8A9C" w:rsidR="00D73B42" w:rsidRPr="0047462D" w:rsidRDefault="00D73B42" w:rsidP="00A920CD">
            <w:pPr>
              <w:keepNext/>
              <w:rPr>
                <w:b/>
                <w:szCs w:val="22"/>
              </w:rPr>
            </w:pPr>
            <w:r>
              <w:rPr>
                <w:b/>
                <w:szCs w:val="22"/>
              </w:rPr>
              <w:t>Ηλικία</w:t>
            </w:r>
          </w:p>
        </w:tc>
        <w:tc>
          <w:tcPr>
            <w:tcW w:w="2026" w:type="dxa"/>
            <w:shd w:val="clear" w:color="auto" w:fill="auto"/>
          </w:tcPr>
          <w:p w14:paraId="14D78420" w14:textId="731402B0" w:rsidR="00D73B42" w:rsidRPr="0047462D" w:rsidRDefault="00D73B42" w:rsidP="00A920CD">
            <w:pPr>
              <w:keepNext/>
              <w:rPr>
                <w:b/>
                <w:szCs w:val="22"/>
              </w:rPr>
            </w:pPr>
            <w:r w:rsidRPr="0047462D">
              <w:rPr>
                <w:b/>
                <w:szCs w:val="22"/>
              </w:rPr>
              <w:t>Βάρος</w:t>
            </w:r>
          </w:p>
        </w:tc>
        <w:tc>
          <w:tcPr>
            <w:tcW w:w="3617" w:type="dxa"/>
            <w:shd w:val="clear" w:color="auto" w:fill="auto"/>
          </w:tcPr>
          <w:p w14:paraId="2AF47E57" w14:textId="77777777" w:rsidR="00D73B42" w:rsidRPr="0047462D" w:rsidRDefault="00D73B42" w:rsidP="00A240EC">
            <w:pPr>
              <w:keepNext/>
              <w:rPr>
                <w:b/>
                <w:szCs w:val="22"/>
              </w:rPr>
            </w:pPr>
            <w:r w:rsidRPr="0047462D">
              <w:rPr>
                <w:b/>
                <w:szCs w:val="22"/>
              </w:rPr>
              <w:t>Δόση</w:t>
            </w:r>
          </w:p>
        </w:tc>
        <w:tc>
          <w:tcPr>
            <w:tcW w:w="1564" w:type="dxa"/>
            <w:shd w:val="clear" w:color="auto" w:fill="auto"/>
          </w:tcPr>
          <w:p w14:paraId="009FAAB9" w14:textId="77777777" w:rsidR="00D73B42" w:rsidRPr="0047462D" w:rsidRDefault="00D73B42" w:rsidP="00A240EC">
            <w:pPr>
              <w:keepNext/>
              <w:rPr>
                <w:b/>
                <w:szCs w:val="22"/>
              </w:rPr>
            </w:pPr>
            <w:r w:rsidRPr="0047462D">
              <w:rPr>
                <w:b/>
                <w:szCs w:val="22"/>
              </w:rPr>
              <w:t>Συνολική ημερήσια δόση</w:t>
            </w:r>
          </w:p>
        </w:tc>
      </w:tr>
      <w:tr w:rsidR="00D73B42" w:rsidRPr="0047462D" w14:paraId="65EC9096" w14:textId="77777777" w:rsidTr="00D73B42">
        <w:trPr>
          <w:trHeight w:val="217"/>
        </w:trPr>
        <w:tc>
          <w:tcPr>
            <w:tcW w:w="1858" w:type="dxa"/>
          </w:tcPr>
          <w:p w14:paraId="7C4E2D2A" w14:textId="04441560" w:rsidR="00D73B42" w:rsidRPr="0047462D" w:rsidRDefault="00D73B42" w:rsidP="00D73B42">
            <w:pPr>
              <w:keepNext/>
            </w:pPr>
            <w:r w:rsidRPr="0063509A">
              <w:t>4</w:t>
            </w:r>
            <w:r>
              <w:t xml:space="preserve"> μηνών έως κάτω των </w:t>
            </w:r>
            <w:r w:rsidRPr="0063509A">
              <w:t>6</w:t>
            </w:r>
            <w:r>
              <w:t> μηνών</w:t>
            </w:r>
          </w:p>
        </w:tc>
        <w:tc>
          <w:tcPr>
            <w:tcW w:w="2026" w:type="dxa"/>
            <w:shd w:val="clear" w:color="auto" w:fill="auto"/>
          </w:tcPr>
          <w:p w14:paraId="5E278E94" w14:textId="46CA6831" w:rsidR="00D73B42" w:rsidRPr="0047462D" w:rsidRDefault="00D73B42" w:rsidP="00D73B42">
            <w:pPr>
              <w:keepNext/>
            </w:pPr>
            <w:r w:rsidRPr="0063509A">
              <w:t>5</w:t>
            </w:r>
            <w:r>
              <w:t> </w:t>
            </w:r>
            <w:r w:rsidRPr="0063509A">
              <w:t xml:space="preserve">kg </w:t>
            </w:r>
            <w:r>
              <w:t>ή άνω</w:t>
            </w:r>
          </w:p>
        </w:tc>
        <w:tc>
          <w:tcPr>
            <w:tcW w:w="3617" w:type="dxa"/>
            <w:shd w:val="clear" w:color="auto" w:fill="auto"/>
          </w:tcPr>
          <w:p w14:paraId="2E95BA61" w14:textId="07A58C6A" w:rsidR="00D73B42" w:rsidRPr="0047462D" w:rsidRDefault="00D73B42" w:rsidP="00D73B42">
            <w:pPr>
              <w:keepNext/>
              <w:rPr>
                <w:szCs w:val="22"/>
              </w:rPr>
            </w:pPr>
            <w:r w:rsidRPr="0047462D">
              <w:rPr>
                <w:szCs w:val="22"/>
              </w:rPr>
              <w:t>Ένας φακελλίσκος</w:t>
            </w:r>
            <w:r>
              <w:rPr>
                <w:szCs w:val="22"/>
              </w:rPr>
              <w:t xml:space="preserve"> </w:t>
            </w:r>
            <w:r w:rsidR="00F0127D" w:rsidRPr="0047462D">
              <w:t xml:space="preserve">Kalydeco </w:t>
            </w:r>
            <w:r>
              <w:rPr>
                <w:szCs w:val="22"/>
              </w:rPr>
              <w:t xml:space="preserve">των </w:t>
            </w:r>
            <w:r w:rsidRPr="0063509A">
              <w:t xml:space="preserve">25 mg </w:t>
            </w:r>
            <w:r>
              <w:t xml:space="preserve">κοκκίων </w:t>
            </w:r>
            <w:r w:rsidRPr="0047462D">
              <w:rPr>
                <w:szCs w:val="22"/>
              </w:rPr>
              <w:t>που λαμβάνεται από στόματος κάθε 12 ώρες μαζί με τροφή που περιέχει λίπος</w:t>
            </w:r>
          </w:p>
        </w:tc>
        <w:tc>
          <w:tcPr>
            <w:tcW w:w="1564" w:type="dxa"/>
            <w:shd w:val="clear" w:color="auto" w:fill="auto"/>
          </w:tcPr>
          <w:p w14:paraId="411BE352" w14:textId="399CE04D" w:rsidR="00D73B42" w:rsidRPr="0047462D" w:rsidRDefault="00D73B42" w:rsidP="00D73B42">
            <w:pPr>
              <w:keepNext/>
            </w:pPr>
            <w:r w:rsidRPr="0063509A">
              <w:t>50</w:t>
            </w:r>
            <w:r>
              <w:t> </w:t>
            </w:r>
            <w:r w:rsidRPr="0063509A">
              <w:t>mg</w:t>
            </w:r>
          </w:p>
        </w:tc>
      </w:tr>
      <w:tr w:rsidR="00D73B42" w:rsidRPr="0047462D" w14:paraId="3D1A7B22" w14:textId="77777777" w:rsidTr="00F324D4">
        <w:trPr>
          <w:trHeight w:val="217"/>
        </w:trPr>
        <w:tc>
          <w:tcPr>
            <w:tcW w:w="1858" w:type="dxa"/>
            <w:vMerge w:val="restart"/>
          </w:tcPr>
          <w:p w14:paraId="3821001F" w14:textId="38009F01" w:rsidR="00D73B42" w:rsidRPr="0047462D" w:rsidRDefault="00D73B42" w:rsidP="00E830A5">
            <w:pPr>
              <w:keepNext/>
            </w:pPr>
            <w:r w:rsidRPr="0063509A">
              <w:t>6</w:t>
            </w:r>
            <w:r>
              <w:t> μηνών και άνω</w:t>
            </w:r>
          </w:p>
        </w:tc>
        <w:tc>
          <w:tcPr>
            <w:tcW w:w="2026" w:type="dxa"/>
            <w:shd w:val="clear" w:color="auto" w:fill="auto"/>
          </w:tcPr>
          <w:p w14:paraId="2C04C987" w14:textId="6A96D973" w:rsidR="00D73B42" w:rsidRPr="0047462D" w:rsidRDefault="00D73B42" w:rsidP="00E830A5">
            <w:pPr>
              <w:keepNext/>
            </w:pPr>
            <w:r w:rsidRPr="0047462D">
              <w:t>5 kg έως κάτω των 7 kg</w:t>
            </w:r>
          </w:p>
        </w:tc>
        <w:tc>
          <w:tcPr>
            <w:tcW w:w="3617" w:type="dxa"/>
            <w:shd w:val="clear" w:color="auto" w:fill="auto"/>
          </w:tcPr>
          <w:p w14:paraId="4EB3F9C6" w14:textId="38E8DC97" w:rsidR="00D73B42" w:rsidRPr="0047462D" w:rsidRDefault="00D73B42" w:rsidP="00FB75C5">
            <w:pPr>
              <w:keepNext/>
              <w:rPr>
                <w:szCs w:val="22"/>
              </w:rPr>
            </w:pPr>
            <w:r w:rsidRPr="0047462D">
              <w:rPr>
                <w:szCs w:val="22"/>
              </w:rPr>
              <w:t xml:space="preserve">Ένας φακελλίσκος </w:t>
            </w:r>
            <w:r w:rsidRPr="0047462D">
              <w:t xml:space="preserve">Kalydeco </w:t>
            </w:r>
            <w:r w:rsidRPr="0047462D">
              <w:rPr>
                <w:szCs w:val="22"/>
              </w:rPr>
              <w:t xml:space="preserve">των </w:t>
            </w:r>
            <w:r w:rsidRPr="0047462D">
              <w:t xml:space="preserve">25 mg </w:t>
            </w:r>
            <w:r w:rsidRPr="0047462D">
              <w:rPr>
                <w:szCs w:val="22"/>
              </w:rPr>
              <w:t>κοκκίων που λαμβάνεται από στόματος κάθε 12 ώρες μαζί με τροφή που περιέχει λίπος</w:t>
            </w:r>
          </w:p>
        </w:tc>
        <w:tc>
          <w:tcPr>
            <w:tcW w:w="1564" w:type="dxa"/>
            <w:shd w:val="clear" w:color="auto" w:fill="auto"/>
          </w:tcPr>
          <w:p w14:paraId="69820C30" w14:textId="77777777" w:rsidR="00D73B42" w:rsidRPr="0047462D" w:rsidRDefault="00D73B42" w:rsidP="00FB75C5">
            <w:pPr>
              <w:keepNext/>
              <w:rPr>
                <w:szCs w:val="22"/>
              </w:rPr>
            </w:pPr>
            <w:r w:rsidRPr="0047462D">
              <w:t>50 mg</w:t>
            </w:r>
          </w:p>
        </w:tc>
      </w:tr>
      <w:tr w:rsidR="00D73B42" w:rsidRPr="0047462D" w14:paraId="334F2173" w14:textId="77777777" w:rsidTr="00F324D4">
        <w:trPr>
          <w:trHeight w:val="217"/>
        </w:trPr>
        <w:tc>
          <w:tcPr>
            <w:tcW w:w="1858" w:type="dxa"/>
            <w:vMerge/>
          </w:tcPr>
          <w:p w14:paraId="77B61F8C" w14:textId="77777777" w:rsidR="00D73B42" w:rsidRPr="0047462D" w:rsidRDefault="00D73B42" w:rsidP="00A240EC">
            <w:pPr>
              <w:keepNext/>
            </w:pPr>
          </w:p>
        </w:tc>
        <w:tc>
          <w:tcPr>
            <w:tcW w:w="2026" w:type="dxa"/>
            <w:shd w:val="clear" w:color="auto" w:fill="auto"/>
          </w:tcPr>
          <w:p w14:paraId="3BF29E32" w14:textId="650E7BF4" w:rsidR="00D73B42" w:rsidRPr="0047462D" w:rsidRDefault="00D73B42" w:rsidP="00A240EC">
            <w:pPr>
              <w:keepNext/>
              <w:rPr>
                <w:szCs w:val="22"/>
              </w:rPr>
            </w:pPr>
            <w:r w:rsidRPr="0047462D">
              <w:t>7 kg έως</w:t>
            </w:r>
            <w:r w:rsidRPr="0047462D">
              <w:rPr>
                <w:szCs w:val="22"/>
              </w:rPr>
              <w:t xml:space="preserve"> κάτω των 14 kg</w:t>
            </w:r>
          </w:p>
        </w:tc>
        <w:tc>
          <w:tcPr>
            <w:tcW w:w="3617" w:type="dxa"/>
            <w:shd w:val="clear" w:color="auto" w:fill="auto"/>
          </w:tcPr>
          <w:p w14:paraId="65ABABA5" w14:textId="0E1184EF" w:rsidR="00D73B42" w:rsidRPr="0047462D" w:rsidRDefault="00D73B42" w:rsidP="00A240EC">
            <w:pPr>
              <w:keepNext/>
              <w:rPr>
                <w:szCs w:val="22"/>
              </w:rPr>
            </w:pPr>
            <w:r w:rsidRPr="0047462D">
              <w:rPr>
                <w:szCs w:val="22"/>
              </w:rPr>
              <w:t xml:space="preserve">Ένας φακελλίσκος </w:t>
            </w:r>
            <w:r w:rsidRPr="0047462D">
              <w:t xml:space="preserve">Kalydeco </w:t>
            </w:r>
            <w:r w:rsidRPr="0047462D">
              <w:rPr>
                <w:szCs w:val="22"/>
              </w:rPr>
              <w:t>των 50 mg κοκκίων που λαμβάνεται από στόματος κάθε 12 ώρες μαζί με τροφή που περιέχει λίπος</w:t>
            </w:r>
          </w:p>
        </w:tc>
        <w:tc>
          <w:tcPr>
            <w:tcW w:w="1564" w:type="dxa"/>
            <w:shd w:val="clear" w:color="auto" w:fill="auto"/>
          </w:tcPr>
          <w:p w14:paraId="05E4BDB9" w14:textId="77777777" w:rsidR="00D73B42" w:rsidRPr="0047462D" w:rsidRDefault="00D73B42" w:rsidP="00A240EC">
            <w:pPr>
              <w:keepNext/>
              <w:rPr>
                <w:szCs w:val="22"/>
              </w:rPr>
            </w:pPr>
            <w:r w:rsidRPr="0047462D">
              <w:rPr>
                <w:szCs w:val="22"/>
              </w:rPr>
              <w:t>100 mg</w:t>
            </w:r>
          </w:p>
        </w:tc>
      </w:tr>
      <w:tr w:rsidR="00D73B42" w:rsidRPr="0047462D" w14:paraId="5BA8403E" w14:textId="77777777" w:rsidTr="00F324D4">
        <w:trPr>
          <w:trHeight w:val="217"/>
        </w:trPr>
        <w:tc>
          <w:tcPr>
            <w:tcW w:w="1858" w:type="dxa"/>
            <w:vMerge/>
          </w:tcPr>
          <w:p w14:paraId="12AADEAB" w14:textId="77777777" w:rsidR="00D73B42" w:rsidRPr="0047462D" w:rsidRDefault="00D73B42" w:rsidP="00A240EC">
            <w:pPr>
              <w:keepNext/>
              <w:rPr>
                <w:szCs w:val="22"/>
              </w:rPr>
            </w:pPr>
          </w:p>
        </w:tc>
        <w:tc>
          <w:tcPr>
            <w:tcW w:w="2026" w:type="dxa"/>
            <w:shd w:val="clear" w:color="auto" w:fill="auto"/>
          </w:tcPr>
          <w:p w14:paraId="7DC2F7F0" w14:textId="20E52AE2" w:rsidR="00D73B42" w:rsidRPr="0047462D" w:rsidRDefault="00D73B42" w:rsidP="00A240EC">
            <w:pPr>
              <w:keepNext/>
              <w:rPr>
                <w:szCs w:val="22"/>
              </w:rPr>
            </w:pPr>
            <w:r w:rsidRPr="0047462D">
              <w:rPr>
                <w:szCs w:val="22"/>
              </w:rPr>
              <w:t>14 kg έως κάτω των 25 kg</w:t>
            </w:r>
          </w:p>
        </w:tc>
        <w:tc>
          <w:tcPr>
            <w:tcW w:w="3617" w:type="dxa"/>
            <w:shd w:val="clear" w:color="auto" w:fill="auto"/>
          </w:tcPr>
          <w:p w14:paraId="3BAEB71C" w14:textId="2C885A69" w:rsidR="00D73B42" w:rsidRPr="0047462D" w:rsidRDefault="00D73B42" w:rsidP="00A240EC">
            <w:pPr>
              <w:keepNext/>
              <w:rPr>
                <w:szCs w:val="22"/>
              </w:rPr>
            </w:pPr>
            <w:r w:rsidRPr="0047462D">
              <w:rPr>
                <w:szCs w:val="22"/>
              </w:rPr>
              <w:t xml:space="preserve">Ένας φακελλίσκος </w:t>
            </w:r>
            <w:r w:rsidRPr="0047462D">
              <w:t xml:space="preserve">Kalydeco </w:t>
            </w:r>
            <w:r w:rsidRPr="0047462D">
              <w:rPr>
                <w:szCs w:val="22"/>
              </w:rPr>
              <w:t xml:space="preserve">των 75 mg κοκκίων που λαμβάνεται από στόματος κάθε 12 ώρες μαζί με τροφή που περιέχει λίπος </w:t>
            </w:r>
          </w:p>
        </w:tc>
        <w:tc>
          <w:tcPr>
            <w:tcW w:w="1564" w:type="dxa"/>
            <w:shd w:val="clear" w:color="auto" w:fill="auto"/>
          </w:tcPr>
          <w:p w14:paraId="38B39001" w14:textId="77777777" w:rsidR="00D73B42" w:rsidRPr="0047462D" w:rsidRDefault="00D73B42" w:rsidP="00A240EC">
            <w:pPr>
              <w:keepNext/>
              <w:rPr>
                <w:szCs w:val="22"/>
              </w:rPr>
            </w:pPr>
            <w:r w:rsidRPr="0047462D">
              <w:rPr>
                <w:szCs w:val="22"/>
              </w:rPr>
              <w:t>150 mg</w:t>
            </w:r>
          </w:p>
        </w:tc>
      </w:tr>
      <w:tr w:rsidR="00D73B42" w:rsidRPr="0047462D" w14:paraId="6B7CB16D" w14:textId="77777777" w:rsidTr="00F324D4">
        <w:trPr>
          <w:trHeight w:val="314"/>
        </w:trPr>
        <w:tc>
          <w:tcPr>
            <w:tcW w:w="1858" w:type="dxa"/>
            <w:vMerge/>
          </w:tcPr>
          <w:p w14:paraId="1C4A27E6" w14:textId="77777777" w:rsidR="00D73B42" w:rsidRPr="0047462D" w:rsidRDefault="00D73B42" w:rsidP="00A240EC">
            <w:pPr>
              <w:keepNext/>
              <w:rPr>
                <w:szCs w:val="22"/>
              </w:rPr>
            </w:pPr>
          </w:p>
        </w:tc>
        <w:tc>
          <w:tcPr>
            <w:tcW w:w="2026" w:type="dxa"/>
            <w:shd w:val="clear" w:color="auto" w:fill="auto"/>
          </w:tcPr>
          <w:p w14:paraId="60B5681B" w14:textId="402D134C" w:rsidR="00D73B42" w:rsidRPr="0047462D" w:rsidRDefault="00D73B42" w:rsidP="00A240EC">
            <w:pPr>
              <w:keepNext/>
              <w:rPr>
                <w:szCs w:val="22"/>
              </w:rPr>
            </w:pPr>
            <w:r w:rsidRPr="0047462D">
              <w:rPr>
                <w:szCs w:val="22"/>
              </w:rPr>
              <w:t>25 kg ή άνω</w:t>
            </w:r>
          </w:p>
        </w:tc>
        <w:tc>
          <w:tcPr>
            <w:tcW w:w="5181" w:type="dxa"/>
            <w:gridSpan w:val="2"/>
            <w:shd w:val="clear" w:color="auto" w:fill="auto"/>
          </w:tcPr>
          <w:p w14:paraId="2A67CEFE" w14:textId="77777777" w:rsidR="00D73B42" w:rsidRPr="0047462D" w:rsidRDefault="00D73B42" w:rsidP="00A240EC">
            <w:pPr>
              <w:keepNext/>
              <w:rPr>
                <w:szCs w:val="22"/>
              </w:rPr>
            </w:pPr>
            <w:r w:rsidRPr="0047462D">
              <w:rPr>
                <w:rFonts w:eastAsia="MS Mincho"/>
                <w:szCs w:val="22"/>
                <w:lang w:eastAsia="ja-JP"/>
              </w:rPr>
              <w:t>Παρακαλείσθε να ανατρέξετε στο Φύλλο Οδηγιών Χρήσης των δισκίων Kalydeco</w:t>
            </w:r>
          </w:p>
        </w:tc>
      </w:tr>
    </w:tbl>
    <w:p w14:paraId="29AF838E" w14:textId="77777777" w:rsidR="001C01B6" w:rsidRPr="0047462D" w:rsidRDefault="001C01B6" w:rsidP="001C01B6">
      <w:pPr>
        <w:ind w:right="-2"/>
        <w:rPr>
          <w:szCs w:val="22"/>
          <w:lang w:eastAsia="en-US"/>
        </w:rPr>
      </w:pPr>
    </w:p>
    <w:p w14:paraId="4D56BA39" w14:textId="1659BD41" w:rsidR="00773103" w:rsidRPr="0047462D" w:rsidRDefault="00E63F94" w:rsidP="00E63F94">
      <w:pPr>
        <w:pStyle w:val="labeltext"/>
        <w:rPr>
          <w:bCs/>
          <w:sz w:val="22"/>
          <w:szCs w:val="22"/>
          <w:lang w:val="el-GR"/>
        </w:rPr>
      </w:pPr>
      <w:r w:rsidRPr="0047462D">
        <w:rPr>
          <w:b/>
          <w:sz w:val="22"/>
          <w:szCs w:val="22"/>
          <w:lang w:val="el-GR"/>
        </w:rPr>
        <w:t xml:space="preserve">Εάν το παιδί σας έχει </w:t>
      </w:r>
      <w:r w:rsidR="0086610B" w:rsidRPr="0047462D">
        <w:rPr>
          <w:b/>
          <w:sz w:val="22"/>
          <w:szCs w:val="22"/>
          <w:lang w:val="el-GR"/>
        </w:rPr>
        <w:t>προβλήματα με την ηπατική λειτουργία</w:t>
      </w:r>
      <w:r w:rsidR="0086610B" w:rsidRPr="0047462D">
        <w:rPr>
          <w:bCs/>
          <w:sz w:val="22"/>
          <w:szCs w:val="22"/>
          <w:lang w:val="el-GR"/>
        </w:rPr>
        <w:t xml:space="preserve">, </w:t>
      </w:r>
      <w:r w:rsidRPr="0047462D">
        <w:rPr>
          <w:bCs/>
          <w:sz w:val="22"/>
          <w:szCs w:val="22"/>
          <w:lang w:val="el-GR"/>
        </w:rPr>
        <w:t xml:space="preserve">ο γιατρός του παιδιού σας μπορεί να χρειαστεί να μειώσει τη δόση του </w:t>
      </w:r>
      <w:r w:rsidRPr="0047462D">
        <w:rPr>
          <w:bCs/>
          <w:sz w:val="22"/>
          <w:szCs w:val="22"/>
        </w:rPr>
        <w:t>Kalydeco</w:t>
      </w:r>
      <w:r w:rsidRPr="0047462D">
        <w:rPr>
          <w:bCs/>
          <w:sz w:val="22"/>
          <w:szCs w:val="22"/>
          <w:lang w:val="el-GR"/>
        </w:rPr>
        <w:t xml:space="preserve"> </w:t>
      </w:r>
      <w:r w:rsidR="00D751FD" w:rsidRPr="0047462D">
        <w:rPr>
          <w:rFonts w:eastAsia="Times New Roman"/>
          <w:sz w:val="22"/>
          <w:szCs w:val="22"/>
          <w:lang w:val="el-GR"/>
        </w:rPr>
        <w:t xml:space="preserve">καθώς το ήπαρ </w:t>
      </w:r>
      <w:r w:rsidR="00F85D96" w:rsidRPr="0047462D">
        <w:rPr>
          <w:rFonts w:eastAsia="Times New Roman"/>
          <w:sz w:val="22"/>
          <w:szCs w:val="22"/>
          <w:lang w:val="el-GR"/>
        </w:rPr>
        <w:t xml:space="preserve">του παιδιού </w:t>
      </w:r>
      <w:r w:rsidR="00D751FD" w:rsidRPr="0047462D">
        <w:rPr>
          <w:rFonts w:eastAsia="Times New Roman"/>
          <w:sz w:val="22"/>
          <w:szCs w:val="22"/>
          <w:lang w:val="el-GR"/>
        </w:rPr>
        <w:t xml:space="preserve">σας δεν </w:t>
      </w:r>
      <w:r w:rsidR="0086610B" w:rsidRPr="0047462D">
        <w:rPr>
          <w:rFonts w:eastAsia="Times New Roman"/>
          <w:sz w:val="22"/>
          <w:szCs w:val="22"/>
          <w:lang w:val="el-GR"/>
        </w:rPr>
        <w:t xml:space="preserve">θα </w:t>
      </w:r>
      <w:r w:rsidR="00D751FD" w:rsidRPr="0047462D">
        <w:rPr>
          <w:rFonts w:eastAsia="Times New Roman"/>
          <w:sz w:val="22"/>
          <w:szCs w:val="22"/>
          <w:lang w:val="el-GR"/>
        </w:rPr>
        <w:t xml:space="preserve">αποβάλλει </w:t>
      </w:r>
      <w:r w:rsidR="00677D05" w:rsidRPr="0047462D">
        <w:rPr>
          <w:rFonts w:eastAsia="Times New Roman"/>
          <w:sz w:val="22"/>
          <w:szCs w:val="22"/>
          <w:lang w:val="el-GR"/>
        </w:rPr>
        <w:t>αυτό το φάρμακο</w:t>
      </w:r>
      <w:r w:rsidR="00D751FD" w:rsidRPr="0047462D">
        <w:rPr>
          <w:rFonts w:eastAsia="Times New Roman"/>
          <w:sz w:val="22"/>
          <w:szCs w:val="22"/>
          <w:lang w:val="el-GR"/>
        </w:rPr>
        <w:t xml:space="preserve"> τόσο γρήγορα όσο σε </w:t>
      </w:r>
      <w:r w:rsidR="00F85D96" w:rsidRPr="0047462D">
        <w:rPr>
          <w:rFonts w:eastAsia="Times New Roman"/>
          <w:sz w:val="22"/>
          <w:szCs w:val="22"/>
          <w:lang w:val="el-GR"/>
        </w:rPr>
        <w:t>παιδιά</w:t>
      </w:r>
      <w:r w:rsidR="00D751FD" w:rsidRPr="0047462D">
        <w:rPr>
          <w:rFonts w:eastAsia="Times New Roman"/>
          <w:sz w:val="22"/>
          <w:szCs w:val="22"/>
          <w:lang w:val="el-GR"/>
        </w:rPr>
        <w:t xml:space="preserve"> που έχουν φυσιολογική ηπατική λειτουργία</w:t>
      </w:r>
      <w:r w:rsidR="00D751FD" w:rsidRPr="0047462D">
        <w:rPr>
          <w:bCs/>
          <w:sz w:val="22"/>
          <w:szCs w:val="22"/>
          <w:lang w:val="el-GR"/>
        </w:rPr>
        <w:t>.</w:t>
      </w:r>
      <w:r w:rsidR="00272AFB" w:rsidRPr="0047462D">
        <w:rPr>
          <w:bCs/>
          <w:sz w:val="22"/>
          <w:szCs w:val="22"/>
          <w:lang w:val="el-GR"/>
        </w:rPr>
        <w:t xml:space="preserve"> </w:t>
      </w:r>
    </w:p>
    <w:p w14:paraId="1332FC2B" w14:textId="4C3B7256" w:rsidR="00773103" w:rsidRPr="0047462D" w:rsidRDefault="00104F1A" w:rsidP="00773103">
      <w:pPr>
        <w:numPr>
          <w:ilvl w:val="0"/>
          <w:numId w:val="36"/>
        </w:numPr>
        <w:suppressAutoHyphens w:val="0"/>
        <w:rPr>
          <w:rFonts w:eastAsia="MS Mincho"/>
        </w:rPr>
      </w:pPr>
      <w:r w:rsidRPr="0047462D">
        <w:rPr>
          <w:rFonts w:eastAsia="MS Mincho"/>
          <w:b/>
          <w:bCs/>
        </w:rPr>
        <w:t>Μέτρια ηπατικά προβλήματα</w:t>
      </w:r>
      <w:r w:rsidR="00D9772A" w:rsidRPr="00F93ECE">
        <w:rPr>
          <w:rFonts w:eastAsia="MS Mincho"/>
          <w:b/>
          <w:bCs/>
        </w:rPr>
        <w:t xml:space="preserve"> </w:t>
      </w:r>
      <w:r w:rsidR="00D9772A">
        <w:rPr>
          <w:rFonts w:eastAsia="MS Mincho"/>
          <w:b/>
          <w:bCs/>
        </w:rPr>
        <w:t>σε παιδιά ηλικίας 6 μηνών και άνω</w:t>
      </w:r>
      <w:r w:rsidR="00773103" w:rsidRPr="0047462D">
        <w:rPr>
          <w:rFonts w:eastAsia="MS Mincho"/>
          <w:b/>
          <w:bCs/>
        </w:rPr>
        <w:t>:</w:t>
      </w:r>
      <w:r w:rsidR="00773103" w:rsidRPr="0047462D">
        <w:rPr>
          <w:rFonts w:eastAsia="MS Mincho"/>
        </w:rPr>
        <w:t xml:space="preserve"> </w:t>
      </w:r>
      <w:r w:rsidRPr="0047462D">
        <w:rPr>
          <w:rFonts w:eastAsia="MS Mincho"/>
        </w:rPr>
        <w:t xml:space="preserve">η δόση μπορεί να μειωθεί </w:t>
      </w:r>
      <w:r w:rsidR="00E3668E" w:rsidRPr="0047462D">
        <w:rPr>
          <w:rFonts w:eastAsia="MS Mincho"/>
        </w:rPr>
        <w:t xml:space="preserve">στο ήμισυ της ενδεικνυόμενης δόσης του παραπάνω πίνακα, δηλαδή </w:t>
      </w:r>
      <w:r w:rsidRPr="0047462D">
        <w:rPr>
          <w:rFonts w:eastAsia="MS Mincho"/>
        </w:rPr>
        <w:t>σε έναν φακελ</w:t>
      </w:r>
      <w:r w:rsidR="00E34514" w:rsidRPr="0047462D">
        <w:rPr>
          <w:rFonts w:eastAsia="MS Mincho"/>
        </w:rPr>
        <w:t>λ</w:t>
      </w:r>
      <w:r w:rsidRPr="0047462D">
        <w:rPr>
          <w:rFonts w:eastAsia="MS Mincho"/>
        </w:rPr>
        <w:t>ίσκο μία φορά την ημέρα</w:t>
      </w:r>
      <w:r w:rsidR="00773103" w:rsidRPr="0047462D">
        <w:rPr>
          <w:rFonts w:eastAsia="MS Mincho"/>
        </w:rPr>
        <w:t>.</w:t>
      </w:r>
    </w:p>
    <w:p w14:paraId="2600C0D5" w14:textId="1AE40906" w:rsidR="00773103" w:rsidRDefault="00104F1A" w:rsidP="00773103">
      <w:pPr>
        <w:numPr>
          <w:ilvl w:val="0"/>
          <w:numId w:val="36"/>
        </w:numPr>
        <w:suppressAutoHyphens w:val="0"/>
        <w:rPr>
          <w:rFonts w:eastAsia="MS Mincho"/>
        </w:rPr>
      </w:pPr>
      <w:r w:rsidRPr="0047462D">
        <w:rPr>
          <w:rFonts w:eastAsia="MS Mincho"/>
          <w:b/>
          <w:bCs/>
        </w:rPr>
        <w:t>Σοβαρά ηπατικά προβλήματα</w:t>
      </w:r>
      <w:r w:rsidR="00D9772A">
        <w:rPr>
          <w:rFonts w:eastAsia="MS Mincho"/>
          <w:b/>
          <w:bCs/>
        </w:rPr>
        <w:t xml:space="preserve"> σε παιδιά ηλικίας 6 μηνών και άνω</w:t>
      </w:r>
      <w:r w:rsidRPr="0047462D">
        <w:rPr>
          <w:rFonts w:eastAsia="MS Mincho"/>
          <w:b/>
          <w:bCs/>
        </w:rPr>
        <w:t>:</w:t>
      </w:r>
      <w:r w:rsidR="00773103" w:rsidRPr="0047462D">
        <w:rPr>
          <w:rFonts w:eastAsia="MS Mincho"/>
        </w:rPr>
        <w:t xml:space="preserve"> </w:t>
      </w:r>
      <w:r w:rsidRPr="0047462D">
        <w:rPr>
          <w:rFonts w:eastAsia="MS Mincho"/>
        </w:rPr>
        <w:t xml:space="preserve">η χρήση δεν συνιστάται αλλά ο γιατρός του παιδιού σας θα αποφασίσει εάν </w:t>
      </w:r>
      <w:r w:rsidR="005071FA">
        <w:rPr>
          <w:rFonts w:eastAsia="MS Mincho"/>
        </w:rPr>
        <w:t>είναι κατάλληλο</w:t>
      </w:r>
      <w:r w:rsidR="005071FA" w:rsidRPr="0047462D">
        <w:rPr>
          <w:rFonts w:eastAsia="MS Mincho"/>
        </w:rPr>
        <w:t xml:space="preserve"> </w:t>
      </w:r>
      <w:r w:rsidR="005071FA">
        <w:rPr>
          <w:rFonts w:eastAsia="MS Mincho"/>
        </w:rPr>
        <w:t xml:space="preserve">για το παιδί σας </w:t>
      </w:r>
      <w:r w:rsidRPr="0047462D">
        <w:rPr>
          <w:rFonts w:eastAsia="MS Mincho"/>
        </w:rPr>
        <w:t xml:space="preserve">να χρησιμοποιεί αυτό το </w:t>
      </w:r>
      <w:r w:rsidR="004E39F0" w:rsidRPr="0047462D">
        <w:rPr>
          <w:rFonts w:eastAsia="MS Mincho"/>
        </w:rPr>
        <w:t>φάρμακο</w:t>
      </w:r>
      <w:r w:rsidRPr="0047462D">
        <w:rPr>
          <w:rFonts w:eastAsia="MS Mincho"/>
        </w:rPr>
        <w:t xml:space="preserve">. Σε αυτή την περίπτωση η δόση </w:t>
      </w:r>
      <w:r w:rsidR="004E39F0" w:rsidRPr="0047462D">
        <w:rPr>
          <w:rFonts w:eastAsia="MS Mincho"/>
        </w:rPr>
        <w:t xml:space="preserve">(που υποδεικνύεται στον παραπάνω πίνακα) </w:t>
      </w:r>
      <w:r w:rsidRPr="0047462D">
        <w:rPr>
          <w:rFonts w:eastAsia="MS Mincho"/>
        </w:rPr>
        <w:t>πρέπει να μειωθεί σε έναν φακε</w:t>
      </w:r>
      <w:r w:rsidR="00E34514" w:rsidRPr="0047462D">
        <w:rPr>
          <w:rFonts w:eastAsia="MS Mincho"/>
        </w:rPr>
        <w:t>λ</w:t>
      </w:r>
      <w:r w:rsidRPr="0047462D">
        <w:rPr>
          <w:rFonts w:eastAsia="MS Mincho"/>
        </w:rPr>
        <w:t>λίσκο κάθε δεύτερη ημέρα</w:t>
      </w:r>
      <w:r w:rsidR="00773103" w:rsidRPr="0047462D">
        <w:rPr>
          <w:rFonts w:eastAsia="MS Mincho"/>
        </w:rPr>
        <w:t>.</w:t>
      </w:r>
    </w:p>
    <w:p w14:paraId="5733D73F" w14:textId="760992B8" w:rsidR="00D9772A" w:rsidRPr="00D9772A" w:rsidRDefault="00D9772A" w:rsidP="00D9772A">
      <w:pPr>
        <w:numPr>
          <w:ilvl w:val="0"/>
          <w:numId w:val="36"/>
        </w:numPr>
        <w:suppressAutoHyphens w:val="0"/>
        <w:rPr>
          <w:rFonts w:eastAsia="MS Mincho"/>
        </w:rPr>
      </w:pPr>
      <w:bookmarkStart w:id="8" w:name="_Hlk36546718"/>
      <w:r>
        <w:rPr>
          <w:b/>
        </w:rPr>
        <w:t xml:space="preserve">Ηπατικά προβλήματα σε παιδιά ηλικίας μεταξύ </w:t>
      </w:r>
      <w:r w:rsidRPr="0063509A">
        <w:rPr>
          <w:b/>
        </w:rPr>
        <w:t>4</w:t>
      </w:r>
      <w:r>
        <w:rPr>
          <w:b/>
        </w:rPr>
        <w:t xml:space="preserve"> μηνών και </w:t>
      </w:r>
      <w:r w:rsidRPr="0063509A">
        <w:rPr>
          <w:b/>
        </w:rPr>
        <w:t>6</w:t>
      </w:r>
      <w:r>
        <w:rPr>
          <w:b/>
        </w:rPr>
        <w:t> μηνών</w:t>
      </w:r>
      <w:r w:rsidRPr="0063509A">
        <w:rPr>
          <w:b/>
        </w:rPr>
        <w:t>:</w:t>
      </w:r>
      <w:r w:rsidRPr="00D9772A">
        <w:rPr>
          <w:rFonts w:eastAsia="MS Mincho"/>
        </w:rPr>
        <w:t xml:space="preserve"> </w:t>
      </w:r>
      <w:r w:rsidRPr="0047462D">
        <w:rPr>
          <w:rFonts w:eastAsia="MS Mincho"/>
        </w:rPr>
        <w:t xml:space="preserve">η χρήση δεν συνιστάται αλλά ο γιατρός του παιδιού σας θα αποφασίσει εάν </w:t>
      </w:r>
      <w:r w:rsidR="005071FA">
        <w:rPr>
          <w:rFonts w:eastAsia="MS Mincho"/>
        </w:rPr>
        <w:t xml:space="preserve">είναι κατάλληλο για το παιδί σας </w:t>
      </w:r>
      <w:r w:rsidRPr="0047462D">
        <w:rPr>
          <w:rFonts w:eastAsia="MS Mincho"/>
        </w:rPr>
        <w:t>να χρησιμοποιεί αυτό το φάρμακο</w:t>
      </w:r>
      <w:r w:rsidRPr="0063509A">
        <w:rPr>
          <w:rFonts w:eastAsia="MS Mincho"/>
        </w:rPr>
        <w:t xml:space="preserve"> </w:t>
      </w:r>
      <w:r>
        <w:rPr>
          <w:rFonts w:eastAsia="MS Mincho"/>
        </w:rPr>
        <w:t>και ποια δόση θα πρέπει να λαμβάνει</w:t>
      </w:r>
      <w:r w:rsidRPr="0063509A">
        <w:rPr>
          <w:rFonts w:eastAsia="MS Mincho"/>
        </w:rPr>
        <w:t>.</w:t>
      </w:r>
      <w:bookmarkEnd w:id="8"/>
    </w:p>
    <w:p w14:paraId="05F28299" w14:textId="77777777" w:rsidR="00E63F94" w:rsidRPr="0047462D" w:rsidRDefault="00E63F94" w:rsidP="00E63F94">
      <w:pPr>
        <w:pStyle w:val="labeltext"/>
        <w:rPr>
          <w:b/>
          <w:bCs/>
          <w:lang w:val="el-GR"/>
        </w:rPr>
      </w:pPr>
    </w:p>
    <w:p w14:paraId="4388EB8B" w14:textId="77777777"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Το </w:t>
      </w:r>
      <w:r w:rsidRPr="0047462D">
        <w:rPr>
          <w:sz w:val="22"/>
          <w:szCs w:val="22"/>
        </w:rPr>
        <w:t>Kalydeco</w:t>
      </w:r>
      <w:r w:rsidRPr="0047462D">
        <w:rPr>
          <w:rFonts w:eastAsia="Times New Roman"/>
          <w:sz w:val="22"/>
          <w:szCs w:val="22"/>
          <w:lang w:val="el-GR"/>
        </w:rPr>
        <w:t xml:space="preserve"> προορίζεται για από στόματος χρήση.</w:t>
      </w:r>
    </w:p>
    <w:p w14:paraId="76C103AB" w14:textId="77777777" w:rsidR="001C01B6" w:rsidRPr="0047462D" w:rsidRDefault="001C01B6" w:rsidP="001C01B6">
      <w:pPr>
        <w:pStyle w:val="labeltext"/>
        <w:rPr>
          <w:rFonts w:eastAsia="Times New Roman"/>
          <w:sz w:val="22"/>
          <w:szCs w:val="22"/>
          <w:lang w:val="el-GR"/>
        </w:rPr>
      </w:pPr>
    </w:p>
    <w:p w14:paraId="65B69E98" w14:textId="77777777"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Κάθε φακελλίσκος προορίζεται για μία και μόνο χρήση.</w:t>
      </w:r>
    </w:p>
    <w:p w14:paraId="29EF2794" w14:textId="77777777" w:rsidR="001C01B6" w:rsidRPr="0047462D" w:rsidRDefault="001C01B6" w:rsidP="001C01B6">
      <w:pPr>
        <w:pStyle w:val="labeltext"/>
        <w:rPr>
          <w:rFonts w:eastAsia="Times New Roman"/>
          <w:sz w:val="22"/>
          <w:szCs w:val="22"/>
          <w:lang w:val="el-GR"/>
        </w:rPr>
      </w:pPr>
    </w:p>
    <w:p w14:paraId="56CE23FE" w14:textId="77777777" w:rsidR="001C01B6" w:rsidRPr="0047462D" w:rsidRDefault="001C01B6" w:rsidP="001C01B6">
      <w:pPr>
        <w:pStyle w:val="labeltext"/>
        <w:keepNext/>
        <w:rPr>
          <w:rFonts w:eastAsia="Times New Roman"/>
          <w:sz w:val="22"/>
          <w:szCs w:val="22"/>
          <w:lang w:val="el-GR"/>
        </w:rPr>
      </w:pPr>
      <w:r w:rsidRPr="0047462D">
        <w:rPr>
          <w:rFonts w:eastAsia="Times New Roman"/>
          <w:sz w:val="22"/>
          <w:szCs w:val="22"/>
          <w:lang w:val="el-GR"/>
        </w:rPr>
        <w:t xml:space="preserve">Πώς να δώσετε το </w:t>
      </w:r>
      <w:r w:rsidRPr="0047462D">
        <w:rPr>
          <w:rFonts w:eastAsia="MS Mincho"/>
          <w:color w:val="000000"/>
          <w:sz w:val="22"/>
          <w:szCs w:val="22"/>
          <w:lang w:eastAsia="ja-JP"/>
        </w:rPr>
        <w:t>Kalydeco</w:t>
      </w:r>
      <w:r w:rsidRPr="0047462D">
        <w:rPr>
          <w:rFonts w:eastAsia="MS Mincho"/>
          <w:color w:val="000000"/>
          <w:sz w:val="22"/>
          <w:szCs w:val="22"/>
          <w:lang w:val="el-GR" w:eastAsia="ja-JP"/>
        </w:rPr>
        <w:t xml:space="preserve"> στο παιδί σας</w:t>
      </w:r>
      <w:r w:rsidR="003E22B7" w:rsidRPr="0047462D">
        <w:rPr>
          <w:rFonts w:eastAsia="MS Mincho"/>
          <w:color w:val="000000"/>
          <w:sz w:val="22"/>
          <w:szCs w:val="22"/>
          <w:lang w:val="el-GR" w:eastAsia="ja-JP"/>
        </w:rPr>
        <w:t>:</w:t>
      </w:r>
    </w:p>
    <w:p w14:paraId="3D47AF33" w14:textId="77777777" w:rsidR="001C01B6" w:rsidRPr="0047462D" w:rsidRDefault="001C01B6" w:rsidP="001C01B6">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Κρατήστε τον φακελλίσκο των κοκκίων με τη διάστικτη γραμμή προς τα πάνω.</w:t>
      </w:r>
    </w:p>
    <w:p w14:paraId="02190EE6" w14:textId="25E1458B" w:rsidR="001C01B6" w:rsidRPr="0047462D" w:rsidRDefault="001C01B6" w:rsidP="001C01B6">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 xml:space="preserve">Ανακινήστε ελαφρά τον φακελλίσκο για </w:t>
      </w:r>
      <w:r w:rsidR="00E0038B" w:rsidRPr="0047462D">
        <w:rPr>
          <w:rFonts w:eastAsia="MS Mincho"/>
          <w:color w:val="000000"/>
          <w:lang w:eastAsia="ja-JP"/>
        </w:rPr>
        <w:t>να συγκεντρωθεί το περιεχόμενο στο κάτω μέρος του</w:t>
      </w:r>
      <w:r w:rsidRPr="0047462D">
        <w:rPr>
          <w:rFonts w:eastAsia="MS Mincho"/>
          <w:color w:val="000000"/>
          <w:lang w:eastAsia="ja-JP"/>
        </w:rPr>
        <w:t>.</w:t>
      </w:r>
    </w:p>
    <w:p w14:paraId="165D3917" w14:textId="77777777" w:rsidR="001C01B6" w:rsidRPr="0047462D" w:rsidRDefault="001C01B6" w:rsidP="001C01B6">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Ανοίξτε τον φακελλίσκο με σκίσιμο ή κόψιμο σε όλο το μήκος της διάστικτης γραμμής.</w:t>
      </w:r>
    </w:p>
    <w:p w14:paraId="1163EF4B" w14:textId="4E35AACE" w:rsidR="005D5499" w:rsidRPr="0047462D" w:rsidRDefault="001C01B6" w:rsidP="00D3539C">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Αναμείξτε όλο το περιεχόμενο ενός φακελλίσκου με 5 </w:t>
      </w:r>
      <w:r w:rsidR="00966B5F" w:rsidRPr="0047462D">
        <w:rPr>
          <w:rFonts w:eastAsia="MS Mincho"/>
          <w:color w:val="000000"/>
          <w:lang w:eastAsia="ja-JP"/>
        </w:rPr>
        <w:t xml:space="preserve">ml </w:t>
      </w:r>
      <w:r w:rsidRPr="0047462D">
        <w:rPr>
          <w:rFonts w:eastAsia="MS Mincho"/>
          <w:color w:val="000000"/>
          <w:lang w:eastAsia="ja-JP"/>
        </w:rPr>
        <w:t xml:space="preserve">μαλακής τροφής κατάλληλης για την ηλικία ή υγρού. Η τροφή ή το υγρό θα πρέπει να </w:t>
      </w:r>
      <w:r w:rsidR="00E0038B" w:rsidRPr="0047462D">
        <w:rPr>
          <w:rFonts w:eastAsia="MS Mincho"/>
          <w:color w:val="000000"/>
          <w:lang w:eastAsia="ja-JP"/>
        </w:rPr>
        <w:t xml:space="preserve">βρίσκεται </w:t>
      </w:r>
      <w:r w:rsidRPr="0047462D">
        <w:rPr>
          <w:rFonts w:eastAsia="MS Mincho"/>
          <w:color w:val="000000"/>
          <w:lang w:eastAsia="ja-JP"/>
        </w:rPr>
        <w:t>σε θερμοκρασία δωματίου ή μικρότερη. Μερικά παραδείγματα μαλακών τροφών κατάλληλων για την ηλικία ή υγρών περιλαμβάνουν τους πολτούς φρούτων ή λαχανικών, το γιαούρτι, την κρέμα μήλου, το νερό, το γάλα</w:t>
      </w:r>
      <w:r w:rsidR="003E22B7" w:rsidRPr="0047462D">
        <w:rPr>
          <w:rFonts w:eastAsia="MS Mincho"/>
          <w:color w:val="000000"/>
          <w:lang w:eastAsia="ja-JP"/>
        </w:rPr>
        <w:t>, το μητρικό γάλα, το σκεύασμα βρεφικού γάλακτος</w:t>
      </w:r>
      <w:r w:rsidRPr="0047462D">
        <w:rPr>
          <w:rFonts w:eastAsia="MS Mincho"/>
          <w:color w:val="000000"/>
          <w:lang w:eastAsia="ja-JP"/>
        </w:rPr>
        <w:t xml:space="preserve"> ή το χυμό.</w:t>
      </w:r>
    </w:p>
    <w:p w14:paraId="41DFC2BF" w14:textId="77777777" w:rsidR="005D5499" w:rsidRPr="0047462D" w:rsidRDefault="001C01B6" w:rsidP="00D3539C">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Όταν αναμειχθεί, δώστε το προϊόν στο παιδί σας αμέσως. Εάν αυτό δεν είναι εφικτό, δώστε το εντός της επόμενης ώρας μετά την ανάμειξη. Διασφαλίστε ότι το μείγμα καταναλώνεται πλήρως και αμέσως.</w:t>
      </w:r>
    </w:p>
    <w:p w14:paraId="403F038F" w14:textId="77777777" w:rsidR="001C01B6" w:rsidRPr="0047462D" w:rsidRDefault="001C01B6" w:rsidP="00D3539C">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Θα πρέπει να δίνετε ένα γεύμα ή σνακ που περιέχει λίπος στο παιδί σας λίγο πριν ή αμέσως μετά τη χορήγηση της δόσης (μερικά παραδείγματα παρατίθενται παρακάτω).</w:t>
      </w:r>
    </w:p>
    <w:p w14:paraId="4C786D8C" w14:textId="77777777" w:rsidR="001C01B6" w:rsidRPr="0047462D" w:rsidRDefault="001C01B6" w:rsidP="001C01B6">
      <w:pPr>
        <w:pStyle w:val="labeltext"/>
        <w:rPr>
          <w:rFonts w:eastAsia="Times New Roman"/>
          <w:sz w:val="22"/>
          <w:szCs w:val="22"/>
          <w:lang w:val="el-GR"/>
        </w:rPr>
      </w:pPr>
    </w:p>
    <w:p w14:paraId="430F8394" w14:textId="77777777" w:rsidR="001C01B6" w:rsidRPr="0047462D" w:rsidRDefault="0086610B" w:rsidP="001C01B6">
      <w:pPr>
        <w:pStyle w:val="labeltext"/>
        <w:keepNext/>
        <w:rPr>
          <w:rFonts w:eastAsia="Times New Roman"/>
          <w:sz w:val="22"/>
          <w:szCs w:val="22"/>
          <w:lang w:val="el-GR"/>
        </w:rPr>
      </w:pPr>
      <w:r w:rsidRPr="0047462D">
        <w:rPr>
          <w:rFonts w:eastAsia="Times New Roman"/>
          <w:sz w:val="22"/>
          <w:szCs w:val="22"/>
          <w:lang w:val="el-GR"/>
        </w:rPr>
        <w:t xml:space="preserve">Στα κανονικά </w:t>
      </w:r>
      <w:r w:rsidR="001C01B6" w:rsidRPr="0047462D">
        <w:rPr>
          <w:rFonts w:eastAsia="Times New Roman"/>
          <w:sz w:val="22"/>
          <w:szCs w:val="22"/>
          <w:lang w:val="el-GR"/>
        </w:rPr>
        <w:t>ή πρόχειρ</w:t>
      </w:r>
      <w:r w:rsidRPr="0047462D">
        <w:rPr>
          <w:rFonts w:eastAsia="Times New Roman"/>
          <w:sz w:val="22"/>
          <w:szCs w:val="22"/>
          <w:lang w:val="el-GR"/>
        </w:rPr>
        <w:t>α</w:t>
      </w:r>
      <w:r w:rsidR="001C01B6" w:rsidRPr="0047462D">
        <w:rPr>
          <w:rFonts w:eastAsia="Times New Roman"/>
          <w:sz w:val="22"/>
          <w:szCs w:val="22"/>
          <w:lang w:val="el-GR"/>
        </w:rPr>
        <w:t xml:space="preserve"> </w:t>
      </w:r>
      <w:r w:rsidRPr="0047462D">
        <w:rPr>
          <w:rFonts w:eastAsia="Times New Roman"/>
          <w:sz w:val="22"/>
          <w:szCs w:val="22"/>
          <w:lang w:val="el-GR"/>
        </w:rPr>
        <w:t xml:space="preserve">γεύματα </w:t>
      </w:r>
      <w:r w:rsidR="001C01B6" w:rsidRPr="0047462D">
        <w:rPr>
          <w:rFonts w:eastAsia="Times New Roman"/>
          <w:sz w:val="22"/>
          <w:szCs w:val="22"/>
          <w:lang w:val="el-GR"/>
        </w:rPr>
        <w:t xml:space="preserve">που περιέχουν λίπος </w:t>
      </w:r>
      <w:r w:rsidRPr="0047462D">
        <w:rPr>
          <w:rFonts w:eastAsia="Times New Roman"/>
          <w:sz w:val="22"/>
          <w:szCs w:val="22"/>
          <w:lang w:val="el-GR"/>
        </w:rPr>
        <w:t xml:space="preserve">περιλαμβάνονται </w:t>
      </w:r>
      <w:r w:rsidR="001C01B6" w:rsidRPr="0047462D">
        <w:rPr>
          <w:rFonts w:eastAsia="Times New Roman"/>
          <w:sz w:val="22"/>
          <w:szCs w:val="22"/>
          <w:lang w:val="el-GR"/>
        </w:rPr>
        <w:t>εκείνα που παρασκευάζονται με βούτυρο ή έλαια ή εκείνα που περιέχουν αυγά. Άλλες τροφές που περιέχουν λίπος είναι:</w:t>
      </w:r>
    </w:p>
    <w:p w14:paraId="453797F0" w14:textId="7BE67B59"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Τυρί, πλήρες γάλα, γαλακτοκομικά προϊόντα</w:t>
      </w:r>
      <w:r w:rsidR="00947078" w:rsidRPr="0047462D">
        <w:rPr>
          <w:szCs w:val="22"/>
        </w:rPr>
        <w:t xml:space="preserve"> πλήρους γάλακτος</w:t>
      </w:r>
      <w:r w:rsidRPr="0047462D">
        <w:rPr>
          <w:szCs w:val="22"/>
        </w:rPr>
        <w:t xml:space="preserve">, γιαούρτι, </w:t>
      </w:r>
      <w:r w:rsidR="00556BF2" w:rsidRPr="0047462D">
        <w:rPr>
          <w:szCs w:val="22"/>
        </w:rPr>
        <w:t xml:space="preserve">μητρικό γάλα, σκεύασμα μητρικού γάλακτος, </w:t>
      </w:r>
      <w:r w:rsidRPr="0047462D">
        <w:rPr>
          <w:szCs w:val="22"/>
        </w:rPr>
        <w:t>σοκολάτα</w:t>
      </w:r>
    </w:p>
    <w:p w14:paraId="00CC9D7F" w14:textId="77777777"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Κρέατα, λιπαρά ψάρια</w:t>
      </w:r>
    </w:p>
    <w:p w14:paraId="44C2B34E" w14:textId="77777777"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Αβοκάντο, χούμους, προϊόντα με βάση τη σόγια (τόφου)</w:t>
      </w:r>
    </w:p>
    <w:p w14:paraId="7C658A94" w14:textId="77777777"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Ξηροί καρποί, θρεπτικές μπάρες ή ποτά που περιέχουν λίπος</w:t>
      </w:r>
    </w:p>
    <w:p w14:paraId="5E8253DD" w14:textId="77777777" w:rsidR="001C01B6" w:rsidRPr="0047462D" w:rsidRDefault="001C01B6" w:rsidP="001C01B6">
      <w:pPr>
        <w:rPr>
          <w:rFonts w:eastAsia="Times New Roman"/>
          <w:szCs w:val="22"/>
        </w:rPr>
      </w:pPr>
    </w:p>
    <w:p w14:paraId="48D8281E" w14:textId="4C63B575" w:rsidR="001C01B6" w:rsidRPr="0047462D" w:rsidRDefault="001C01B6" w:rsidP="00A240EC">
      <w:pPr>
        <w:keepNext/>
        <w:keepLines/>
        <w:rPr>
          <w:rFonts w:eastAsia="Times New Roman"/>
          <w:b/>
          <w:bCs/>
          <w:szCs w:val="22"/>
        </w:rPr>
      </w:pPr>
      <w:r w:rsidRPr="0047462D">
        <w:rPr>
          <w:rFonts w:eastAsia="Times New Roman"/>
          <w:b/>
          <w:bCs/>
          <w:szCs w:val="22"/>
        </w:rPr>
        <w:t>Εάν το παιδί σας πάρει μεγαλύτερη δόση Kalydeco από την κανονική</w:t>
      </w:r>
    </w:p>
    <w:p w14:paraId="283534A7" w14:textId="77777777" w:rsidR="00DF274B" w:rsidRPr="0047462D" w:rsidRDefault="00DF274B" w:rsidP="00A240EC">
      <w:pPr>
        <w:keepNext/>
        <w:keepLines/>
        <w:rPr>
          <w:rFonts w:eastAsia="Times New Roman"/>
          <w:szCs w:val="22"/>
        </w:rPr>
      </w:pPr>
    </w:p>
    <w:p w14:paraId="2787D0C8" w14:textId="77777777" w:rsidR="001C01B6" w:rsidRPr="0047462D" w:rsidRDefault="001C01B6" w:rsidP="00A240EC">
      <w:pPr>
        <w:keepNext/>
        <w:keepLines/>
        <w:ind w:right="-2"/>
        <w:rPr>
          <w:i/>
          <w:iCs/>
          <w:szCs w:val="22"/>
          <w:lang w:eastAsia="en-US"/>
        </w:rPr>
      </w:pPr>
      <w:r w:rsidRPr="0047462D">
        <w:rPr>
          <w:rFonts w:eastAsia="Times New Roman"/>
          <w:szCs w:val="22"/>
        </w:rPr>
        <w:t>Ενδέχεται το παιδί σας να εμφανίσει ανεπιθύμητες ενέργειες, συμπεριλαμβανομένων εκείνων που αναγράφονται στην παράγραφο 4 παρακάτω. Εάν συμβεί αυτό, επικοινωνήστε με τον γιατρό ή τον φαρμακοποιό του παιδιού σας για συμβουλή. Εάν είναι δυνατόν, έχετε μαζί σας το φάρμακο του παιδιού σας και αυτό το φύλλο οδηγιών χρήσης.</w:t>
      </w:r>
    </w:p>
    <w:p w14:paraId="20613FE1" w14:textId="77777777" w:rsidR="001C01B6" w:rsidRPr="0047462D" w:rsidRDefault="001C01B6" w:rsidP="001C01B6">
      <w:pPr>
        <w:ind w:right="-2"/>
        <w:rPr>
          <w:i/>
          <w:iCs/>
          <w:szCs w:val="22"/>
          <w:lang w:eastAsia="en-US"/>
        </w:rPr>
      </w:pPr>
    </w:p>
    <w:p w14:paraId="4DDC6F8E" w14:textId="1C31BAC5" w:rsidR="001C01B6" w:rsidRPr="0047462D" w:rsidRDefault="001C01B6" w:rsidP="001C01B6">
      <w:pPr>
        <w:keepNext/>
        <w:rPr>
          <w:rFonts w:eastAsia="Times New Roman"/>
          <w:b/>
          <w:bCs/>
          <w:szCs w:val="22"/>
        </w:rPr>
      </w:pPr>
      <w:r w:rsidRPr="0047462D">
        <w:rPr>
          <w:rFonts w:eastAsia="Times New Roman"/>
          <w:b/>
          <w:bCs/>
          <w:szCs w:val="22"/>
        </w:rPr>
        <w:t>Εάν ξεχάσετε να δώσετε στο παιδί σας το Kalydeco</w:t>
      </w:r>
    </w:p>
    <w:p w14:paraId="3AD6D1B6" w14:textId="77777777" w:rsidR="00DF274B" w:rsidRPr="0047462D" w:rsidRDefault="00DF274B" w:rsidP="001C01B6">
      <w:pPr>
        <w:keepNext/>
        <w:rPr>
          <w:rFonts w:eastAsia="Times New Roman"/>
          <w:szCs w:val="22"/>
        </w:rPr>
      </w:pPr>
    </w:p>
    <w:p w14:paraId="1CB08C1B" w14:textId="0EE950CD" w:rsidR="001C01B6" w:rsidRPr="0047462D" w:rsidRDefault="001C01B6" w:rsidP="001C01B6">
      <w:pPr>
        <w:rPr>
          <w:szCs w:val="22"/>
          <w:lang w:eastAsia="en-US"/>
        </w:rPr>
      </w:pPr>
      <w:r w:rsidRPr="0047462D">
        <w:rPr>
          <w:rFonts w:eastAsia="Times New Roman"/>
          <w:szCs w:val="22"/>
        </w:rPr>
        <w:t xml:space="preserve">Δώστε την δόση που παραλείφθηκε εάν έχουν περάσει λιγότερες από 6 ώρες από τη στιγμή που το παιδί σας παρέλειψε τη δόση. Διαφορετικά, περιμένετε έως την επόμενη προγραμματισμένη δόση του παιδιού σας όπως κανονικά θα κάνατε. Μη δώσετε στο παιδί σας διπλή δόση για να αναπληρώσετε τη δόση που </w:t>
      </w:r>
      <w:r w:rsidR="00F94324" w:rsidRPr="0047462D">
        <w:rPr>
          <w:rFonts w:eastAsia="Times New Roman"/>
          <w:szCs w:val="22"/>
        </w:rPr>
        <w:t>ξεχάσ</w:t>
      </w:r>
      <w:r w:rsidR="00892684" w:rsidRPr="0047462D">
        <w:rPr>
          <w:rFonts w:eastAsia="Times New Roman"/>
          <w:szCs w:val="22"/>
        </w:rPr>
        <w:t>τηκε</w:t>
      </w:r>
      <w:r w:rsidRPr="0047462D">
        <w:rPr>
          <w:rFonts w:eastAsia="Times New Roman"/>
          <w:szCs w:val="22"/>
        </w:rPr>
        <w:t>.</w:t>
      </w:r>
    </w:p>
    <w:p w14:paraId="3BFBA267" w14:textId="77777777" w:rsidR="001C01B6" w:rsidRPr="0047462D" w:rsidRDefault="001C01B6" w:rsidP="001C01B6">
      <w:pPr>
        <w:ind w:right="-2"/>
        <w:rPr>
          <w:szCs w:val="22"/>
          <w:lang w:eastAsia="en-US"/>
        </w:rPr>
      </w:pPr>
    </w:p>
    <w:p w14:paraId="3F9224E8" w14:textId="5E380B28" w:rsidR="001C01B6" w:rsidRPr="0047462D" w:rsidRDefault="001C01B6" w:rsidP="001C01B6">
      <w:pPr>
        <w:keepNext/>
        <w:rPr>
          <w:rFonts w:eastAsia="Times New Roman"/>
          <w:b/>
          <w:bCs/>
          <w:szCs w:val="22"/>
          <w:lang w:eastAsia="en-US"/>
        </w:rPr>
      </w:pPr>
      <w:r w:rsidRPr="0047462D">
        <w:rPr>
          <w:rFonts w:eastAsia="Times New Roman"/>
          <w:b/>
          <w:bCs/>
          <w:szCs w:val="22"/>
        </w:rPr>
        <w:t>Εάν σταματήσετε να δίνετε στο παιδί σας το Kalydeco</w:t>
      </w:r>
      <w:r w:rsidRPr="0047462D">
        <w:rPr>
          <w:rFonts w:eastAsia="Times New Roman"/>
          <w:b/>
          <w:bCs/>
          <w:szCs w:val="22"/>
          <w:lang w:eastAsia="en-US"/>
        </w:rPr>
        <w:t xml:space="preserve"> </w:t>
      </w:r>
    </w:p>
    <w:p w14:paraId="2710E7C8" w14:textId="77777777" w:rsidR="00DF274B" w:rsidRPr="0047462D" w:rsidRDefault="00DF274B" w:rsidP="001C01B6">
      <w:pPr>
        <w:keepNext/>
        <w:rPr>
          <w:rFonts w:eastAsia="Times New Roman"/>
          <w:szCs w:val="22"/>
        </w:rPr>
      </w:pPr>
    </w:p>
    <w:p w14:paraId="649EA9CD" w14:textId="77777777" w:rsidR="001C01B6" w:rsidRPr="0047462D" w:rsidRDefault="001C01B6" w:rsidP="001C01B6">
      <w:pPr>
        <w:ind w:right="-2"/>
        <w:rPr>
          <w:szCs w:val="22"/>
          <w:lang w:eastAsia="en-US"/>
        </w:rPr>
      </w:pPr>
      <w:r w:rsidRPr="0047462D">
        <w:rPr>
          <w:bCs/>
        </w:rPr>
        <w:t>Να δίνετε το Kalydeco στο παιδί σας για όσο διάστημα σας το συστήσει ο γιατρός του παιδιού σας. Μην το σταματήσετε, εκτός εάν σας το ζητήσει ο γιατρός του παιδιού σας.</w:t>
      </w:r>
      <w:r w:rsidRPr="0047462D">
        <w:rPr>
          <w:rFonts w:eastAsia="Times New Roman"/>
          <w:szCs w:val="22"/>
          <w:lang w:eastAsia="en-US"/>
        </w:rPr>
        <w:t xml:space="preserve"> </w:t>
      </w:r>
      <w:r w:rsidRPr="0047462D">
        <w:rPr>
          <w:rFonts w:eastAsia="Times New Roman"/>
          <w:szCs w:val="22"/>
        </w:rPr>
        <w:t>Εάν έχετε περισσότερες ερωτήσεις σχετικά με τη χρήση αυτού του φαρμάκου, ρωτήστε τον γιατρό ή τον φαρμακοποιό του παιδιού σας.</w:t>
      </w:r>
    </w:p>
    <w:p w14:paraId="35E50F4A" w14:textId="77777777" w:rsidR="001C01B6" w:rsidRPr="0047462D" w:rsidRDefault="001C01B6" w:rsidP="001C01B6">
      <w:pPr>
        <w:ind w:right="-2"/>
        <w:rPr>
          <w:szCs w:val="22"/>
          <w:lang w:eastAsia="en-US"/>
        </w:rPr>
      </w:pPr>
    </w:p>
    <w:p w14:paraId="2F88605A" w14:textId="77777777" w:rsidR="001C01B6" w:rsidRPr="0047462D" w:rsidRDefault="001C01B6" w:rsidP="001C01B6">
      <w:pPr>
        <w:ind w:right="-2"/>
        <w:rPr>
          <w:szCs w:val="22"/>
          <w:lang w:eastAsia="en-US"/>
        </w:rPr>
      </w:pPr>
    </w:p>
    <w:p w14:paraId="1DE527B3" w14:textId="77777777" w:rsidR="001C01B6" w:rsidRPr="0047462D" w:rsidRDefault="001C01B6" w:rsidP="001C01B6">
      <w:pPr>
        <w:keepNext/>
        <w:ind w:left="567" w:right="-2"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Πιθανές ανεπιθύμητες ενέργειες</w:t>
      </w:r>
    </w:p>
    <w:p w14:paraId="7B30D10B" w14:textId="77777777" w:rsidR="001C01B6" w:rsidRPr="0047462D" w:rsidRDefault="001C01B6" w:rsidP="001C01B6">
      <w:pPr>
        <w:keepNext/>
        <w:rPr>
          <w:szCs w:val="22"/>
          <w:lang w:eastAsia="en-US"/>
        </w:rPr>
      </w:pPr>
    </w:p>
    <w:p w14:paraId="1AD09D17" w14:textId="77777777" w:rsidR="001C01B6" w:rsidRPr="0047462D" w:rsidRDefault="001C01B6" w:rsidP="001C01B6">
      <w:pPr>
        <w:ind w:right="-29"/>
        <w:rPr>
          <w:szCs w:val="22"/>
          <w:lang w:eastAsia="en-US"/>
        </w:rPr>
      </w:pPr>
      <w:r w:rsidRPr="0047462D">
        <w:rPr>
          <w:rFonts w:eastAsia="Times New Roman"/>
          <w:szCs w:val="22"/>
        </w:rPr>
        <w:t>Όπως όλα τα φάρμακα, έτσι και αυτό το φάρμακο μπορεί να προκαλέσει ανεπιθύμητες ενέργειες</w:t>
      </w:r>
      <w:r w:rsidR="00B702F4" w:rsidRPr="0047462D">
        <w:rPr>
          <w:rFonts w:eastAsia="Times New Roman"/>
          <w:szCs w:val="22"/>
        </w:rPr>
        <w:t>,</w:t>
      </w:r>
      <w:r w:rsidRPr="0047462D">
        <w:rPr>
          <w:rFonts w:eastAsia="Times New Roman"/>
          <w:szCs w:val="22"/>
        </w:rPr>
        <w:t xml:space="preserve"> αν και δεν παρουσιάζονται σε όλους τους ανθρώπους.</w:t>
      </w:r>
    </w:p>
    <w:p w14:paraId="50274C34" w14:textId="77777777" w:rsidR="001C01B6" w:rsidRPr="0047462D" w:rsidRDefault="001C01B6" w:rsidP="001C01B6">
      <w:pPr>
        <w:ind w:right="-29"/>
        <w:rPr>
          <w:szCs w:val="22"/>
          <w:lang w:eastAsia="en-US"/>
        </w:rPr>
      </w:pPr>
    </w:p>
    <w:p w14:paraId="50891E09" w14:textId="1F803ECB" w:rsidR="00BD3681" w:rsidRPr="0047462D" w:rsidRDefault="001C01B6" w:rsidP="001C01B6">
      <w:pPr>
        <w:rPr>
          <w:rFonts w:eastAsia="Times New Roman"/>
          <w:szCs w:val="22"/>
        </w:rPr>
      </w:pPr>
      <w:r w:rsidRPr="0047462D">
        <w:rPr>
          <w:rFonts w:eastAsia="Times New Roman"/>
          <w:b/>
          <w:szCs w:val="22"/>
        </w:rPr>
        <w:t>Σοβαρές ανεπιθύμητες ενέργειες</w:t>
      </w:r>
    </w:p>
    <w:p w14:paraId="64C22B85" w14:textId="77777777" w:rsidR="00BD3681" w:rsidRPr="0047462D" w:rsidRDefault="00BD3681" w:rsidP="001C01B6">
      <w:pPr>
        <w:rPr>
          <w:rFonts w:eastAsia="Times New Roman"/>
          <w:szCs w:val="22"/>
        </w:rPr>
      </w:pPr>
    </w:p>
    <w:p w14:paraId="1E60DA3D" w14:textId="15F5A334" w:rsidR="00BD3681" w:rsidRPr="0047462D" w:rsidRDefault="00BD3681" w:rsidP="001C01B6">
      <w:pPr>
        <w:rPr>
          <w:rFonts w:eastAsia="Times New Roman"/>
          <w:szCs w:val="22"/>
        </w:rPr>
      </w:pPr>
      <w:r w:rsidRPr="0047462D">
        <w:rPr>
          <w:rFonts w:eastAsia="Times New Roman"/>
          <w:szCs w:val="22"/>
        </w:rPr>
        <w:t>Σ</w:t>
      </w:r>
      <w:r w:rsidR="001C01B6" w:rsidRPr="0047462D">
        <w:rPr>
          <w:rFonts w:eastAsia="Times New Roman"/>
          <w:szCs w:val="22"/>
        </w:rPr>
        <w:t xml:space="preserve">τομαχικός (κοιλιακός) πόνος και αυξημένα ηπατικά ένζυμα στο αίμα. </w:t>
      </w:r>
    </w:p>
    <w:p w14:paraId="31A23C63" w14:textId="77777777" w:rsidR="00BD3681" w:rsidRPr="0047462D" w:rsidRDefault="00BD3681" w:rsidP="001C01B6">
      <w:pPr>
        <w:rPr>
          <w:rFonts w:eastAsia="Times New Roman"/>
          <w:szCs w:val="22"/>
        </w:rPr>
      </w:pPr>
    </w:p>
    <w:p w14:paraId="3FC3F220" w14:textId="77777777" w:rsidR="00BD3681" w:rsidRPr="0047462D" w:rsidRDefault="00BD3681" w:rsidP="00BD3681">
      <w:pPr>
        <w:keepNext/>
        <w:numPr>
          <w:ilvl w:val="12"/>
          <w:numId w:val="0"/>
        </w:numPr>
        <w:ind w:right="-29"/>
        <w:rPr>
          <w:b/>
          <w:bCs/>
        </w:rPr>
      </w:pPr>
      <w:r w:rsidRPr="0047462D">
        <w:rPr>
          <w:rStyle w:val="Strong"/>
        </w:rPr>
        <w:t>Πιθανές ενδείξεις ηπατικών προβλημάτων</w:t>
      </w:r>
    </w:p>
    <w:p w14:paraId="5B2C7DC8" w14:textId="77777777" w:rsidR="00BD3681" w:rsidRPr="0047462D" w:rsidRDefault="00BD3681" w:rsidP="00BD3681">
      <w:pPr>
        <w:pStyle w:val="Body"/>
        <w:keepNext/>
        <w:tabs>
          <w:tab w:val="clear" w:pos="567"/>
          <w:tab w:val="left" w:pos="6819"/>
        </w:tabs>
        <w:rPr>
          <w:rStyle w:val="hps"/>
        </w:rPr>
      </w:pPr>
      <w:r w:rsidRPr="0047462D">
        <w:rPr>
          <w:rStyle w:val="hps"/>
        </w:rPr>
        <w:t>Τα αυξημένα ηπατικά ένζυμα στο αίμα είναι συχνά σε ασθενείς με ΚΙ. Τα ακόλουθα μπορεί να αποτελούν ενδείξεις ηπατικών προβλημάτων:</w:t>
      </w:r>
    </w:p>
    <w:p w14:paraId="54E2386C"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Πόνος ή δυσφορία στο επάνω δεξιό τμήμα της στομαχικής (κοιλιακής) περιοχής</w:t>
      </w:r>
    </w:p>
    <w:p w14:paraId="059B6E1D"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Κιτρίνισμα του δέρματος ή του λευκού μέρους των ματιών</w:t>
      </w:r>
    </w:p>
    <w:p w14:paraId="36DC1113"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Απώλεια της όρεξης</w:t>
      </w:r>
    </w:p>
    <w:p w14:paraId="3387C4C5"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Ναυτία ή εμετός</w:t>
      </w:r>
    </w:p>
    <w:p w14:paraId="7A947C40"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Σκούρα ούρα</w:t>
      </w:r>
    </w:p>
    <w:p w14:paraId="407ABD7B" w14:textId="77777777" w:rsidR="00BD3681" w:rsidRPr="0047462D" w:rsidRDefault="00BD3681" w:rsidP="001C01B6">
      <w:pPr>
        <w:rPr>
          <w:rFonts w:eastAsia="Times New Roman"/>
          <w:szCs w:val="22"/>
        </w:rPr>
      </w:pPr>
    </w:p>
    <w:p w14:paraId="0EA3405C" w14:textId="2DFC883D" w:rsidR="001C01B6" w:rsidRPr="0047462D" w:rsidRDefault="00BD3681" w:rsidP="001C01B6">
      <w:pPr>
        <w:rPr>
          <w:szCs w:val="22"/>
          <w:lang w:eastAsia="en-US"/>
        </w:rPr>
      </w:pPr>
      <w:r w:rsidRPr="0047462D">
        <w:rPr>
          <w:rFonts w:eastAsia="Times New Roman"/>
          <w:szCs w:val="22"/>
        </w:rPr>
        <w:t xml:space="preserve">Ενημερώστε αμέσως </w:t>
      </w:r>
      <w:r w:rsidR="001C01B6" w:rsidRPr="0047462D">
        <w:rPr>
          <w:rFonts w:eastAsia="Times New Roman"/>
          <w:szCs w:val="22"/>
        </w:rPr>
        <w:t xml:space="preserve">τον γιατρό του παιδιού σας εάν </w:t>
      </w:r>
      <w:r w:rsidR="00F94324" w:rsidRPr="0047462D">
        <w:rPr>
          <w:rFonts w:eastAsia="Times New Roman"/>
          <w:szCs w:val="22"/>
        </w:rPr>
        <w:t xml:space="preserve">το παιδί σας </w:t>
      </w:r>
      <w:r w:rsidR="001C01B6" w:rsidRPr="0047462D">
        <w:rPr>
          <w:rFonts w:eastAsia="Times New Roman"/>
          <w:szCs w:val="22"/>
        </w:rPr>
        <w:t>παρουσιάσει οποιαδήποτε από αυτές.</w:t>
      </w:r>
    </w:p>
    <w:p w14:paraId="27E8B841" w14:textId="77777777" w:rsidR="001C01B6" w:rsidRPr="0047462D" w:rsidRDefault="001C01B6" w:rsidP="001C01B6">
      <w:pPr>
        <w:ind w:right="-29"/>
        <w:rPr>
          <w:szCs w:val="22"/>
          <w:lang w:eastAsia="en-US"/>
        </w:rPr>
      </w:pPr>
    </w:p>
    <w:p w14:paraId="25F15D3F" w14:textId="77777777" w:rsidR="001C01B6" w:rsidRPr="0047462D" w:rsidRDefault="001C01B6" w:rsidP="001C01B6">
      <w:pPr>
        <w:keepNext/>
        <w:rPr>
          <w:rFonts w:eastAsia="Times New Roman"/>
          <w:szCs w:val="22"/>
        </w:rPr>
      </w:pPr>
      <w:r w:rsidRPr="0047462D">
        <w:rPr>
          <w:rFonts w:eastAsia="Times New Roman"/>
          <w:b/>
          <w:bCs/>
          <w:szCs w:val="22"/>
        </w:rPr>
        <w:t>Πολύ συχνές</w:t>
      </w:r>
      <w:r w:rsidRPr="0047462D">
        <w:rPr>
          <w:rFonts w:eastAsia="Times New Roman"/>
          <w:szCs w:val="22"/>
        </w:rPr>
        <w:t xml:space="preserve"> ανεπιθύμητες ενέργειες (ενδέχεται να επηρεάζουν περισσότερα από 1 στα 10 άτομα)</w:t>
      </w:r>
    </w:p>
    <w:p w14:paraId="3793063D"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Λοίμωξη του ανώτερου αναπνευστικού (κοινό κρυολόγημα), συμπεριλαμβανομένου πονόλαιμου και ρινικής συμφόρησης</w:t>
      </w:r>
    </w:p>
    <w:p w14:paraId="1E632F86"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Πονοκέφαλος</w:t>
      </w:r>
    </w:p>
    <w:p w14:paraId="5E22E798"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Ζάλη</w:t>
      </w:r>
    </w:p>
    <w:p w14:paraId="7C1B89BB"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Διάρροια</w:t>
      </w:r>
    </w:p>
    <w:p w14:paraId="477FD121" w14:textId="77777777" w:rsidR="001C01B6" w:rsidRPr="0047462D" w:rsidRDefault="001C01B6" w:rsidP="009A2EEC">
      <w:pPr>
        <w:pStyle w:val="ListParagraph"/>
        <w:numPr>
          <w:ilvl w:val="0"/>
          <w:numId w:val="47"/>
        </w:numPr>
        <w:ind w:left="360"/>
        <w:rPr>
          <w:b/>
          <w:bCs/>
          <w:szCs w:val="22"/>
        </w:rPr>
      </w:pPr>
      <w:r w:rsidRPr="0047462D">
        <w:rPr>
          <w:rFonts w:eastAsia="Times New Roman"/>
          <w:szCs w:val="22"/>
        </w:rPr>
        <w:t>Εξάνθημα</w:t>
      </w:r>
    </w:p>
    <w:p w14:paraId="0D86C51E" w14:textId="77777777" w:rsidR="001C01B6" w:rsidRPr="0047462D" w:rsidRDefault="001C01B6" w:rsidP="009A2EEC">
      <w:pPr>
        <w:pStyle w:val="ListParagraph"/>
        <w:numPr>
          <w:ilvl w:val="0"/>
          <w:numId w:val="47"/>
        </w:numPr>
        <w:ind w:left="360"/>
        <w:rPr>
          <w:b/>
          <w:bCs/>
          <w:szCs w:val="22"/>
        </w:rPr>
      </w:pPr>
      <w:r w:rsidRPr="0047462D">
        <w:rPr>
          <w:rFonts w:eastAsia="Times New Roman"/>
          <w:szCs w:val="22"/>
        </w:rPr>
        <w:t>Αλλαγές στον τύπο βακτηρίων στις βλέννες</w:t>
      </w:r>
    </w:p>
    <w:p w14:paraId="0644D97B" w14:textId="77777777" w:rsidR="001C01B6" w:rsidRPr="0047462D" w:rsidRDefault="001C01B6" w:rsidP="001C01B6">
      <w:pPr>
        <w:rPr>
          <w:bCs/>
          <w:szCs w:val="22"/>
        </w:rPr>
      </w:pPr>
    </w:p>
    <w:p w14:paraId="1A580566" w14:textId="77777777" w:rsidR="001C01B6" w:rsidRPr="0047462D" w:rsidRDefault="001C01B6" w:rsidP="001C01B6">
      <w:pPr>
        <w:keepNext/>
        <w:rPr>
          <w:rFonts w:eastAsia="Times New Roman"/>
          <w:szCs w:val="22"/>
        </w:rPr>
      </w:pPr>
      <w:r w:rsidRPr="0047462D">
        <w:rPr>
          <w:rFonts w:eastAsia="Times New Roman"/>
          <w:b/>
          <w:bCs/>
          <w:szCs w:val="22"/>
        </w:rPr>
        <w:t>Συχνές</w:t>
      </w:r>
      <w:r w:rsidRPr="0047462D">
        <w:rPr>
          <w:rFonts w:eastAsia="Times New Roman"/>
          <w:szCs w:val="22"/>
        </w:rPr>
        <w:t xml:space="preserve"> ανεπιθύμητες ενέργειες (ενδέχεται να επηρεάζουν έως και 1 στα 10 άτομα)</w:t>
      </w:r>
    </w:p>
    <w:p w14:paraId="3DD3D8FF" w14:textId="77777777" w:rsidR="001C01B6" w:rsidRPr="0047462D" w:rsidRDefault="001C01B6" w:rsidP="009A2EEC">
      <w:pPr>
        <w:pStyle w:val="ListParagraph"/>
        <w:numPr>
          <w:ilvl w:val="0"/>
          <w:numId w:val="48"/>
        </w:numPr>
        <w:ind w:left="360"/>
        <w:rPr>
          <w:rFonts w:eastAsia="Times New Roman"/>
          <w:szCs w:val="22"/>
        </w:rPr>
      </w:pPr>
      <w:r w:rsidRPr="0047462D">
        <w:rPr>
          <w:rFonts w:eastAsia="Times New Roman"/>
          <w:szCs w:val="22"/>
        </w:rPr>
        <w:t>Συνάχι</w:t>
      </w:r>
    </w:p>
    <w:p w14:paraId="0338784C" w14:textId="77777777" w:rsidR="001C01B6" w:rsidRPr="0047462D" w:rsidRDefault="001C01B6" w:rsidP="009A2EEC">
      <w:pPr>
        <w:pStyle w:val="ListParagraph"/>
        <w:numPr>
          <w:ilvl w:val="0"/>
          <w:numId w:val="48"/>
        </w:numPr>
        <w:ind w:left="360"/>
        <w:rPr>
          <w:szCs w:val="22"/>
          <w:lang w:eastAsia="en-US"/>
        </w:rPr>
      </w:pPr>
      <w:r w:rsidRPr="0047462D">
        <w:rPr>
          <w:szCs w:val="22"/>
          <w:lang w:eastAsia="en-US"/>
        </w:rPr>
        <w:t>Πόνος στα αυτιά, δυσφορία στα αυτιά</w:t>
      </w:r>
    </w:p>
    <w:p w14:paraId="286B9DEE" w14:textId="77777777" w:rsidR="001C01B6" w:rsidRPr="0047462D" w:rsidRDefault="001C01B6" w:rsidP="009A2EEC">
      <w:pPr>
        <w:pStyle w:val="ListParagraph"/>
        <w:numPr>
          <w:ilvl w:val="0"/>
          <w:numId w:val="48"/>
        </w:numPr>
        <w:ind w:left="360"/>
        <w:rPr>
          <w:szCs w:val="22"/>
          <w:lang w:eastAsia="en-US"/>
        </w:rPr>
      </w:pPr>
      <w:r w:rsidRPr="0047462D">
        <w:rPr>
          <w:szCs w:val="22"/>
          <w:lang w:eastAsia="en-US"/>
        </w:rPr>
        <w:t>Κουδούνισμα στα αυτιά</w:t>
      </w:r>
    </w:p>
    <w:p w14:paraId="43966E48" w14:textId="77777777" w:rsidR="001C01B6" w:rsidRPr="0047462D" w:rsidRDefault="001C01B6" w:rsidP="009A2EEC">
      <w:pPr>
        <w:pStyle w:val="ListParagraph"/>
        <w:numPr>
          <w:ilvl w:val="0"/>
          <w:numId w:val="48"/>
        </w:numPr>
        <w:ind w:left="360"/>
        <w:rPr>
          <w:szCs w:val="22"/>
          <w:lang w:eastAsia="en-US"/>
        </w:rPr>
      </w:pPr>
      <w:r w:rsidRPr="0047462D">
        <w:rPr>
          <w:szCs w:val="22"/>
          <w:lang w:eastAsia="en-US"/>
        </w:rPr>
        <w:t>Ερυθρότητα στο εσωτερικό του αυτιού</w:t>
      </w:r>
    </w:p>
    <w:p w14:paraId="7D11A12F" w14:textId="77777777" w:rsidR="00DB0B92" w:rsidRPr="0047462D" w:rsidRDefault="00ED7342" w:rsidP="009A2EEC">
      <w:pPr>
        <w:pStyle w:val="ListParagraph"/>
        <w:numPr>
          <w:ilvl w:val="0"/>
          <w:numId w:val="48"/>
        </w:numPr>
        <w:ind w:left="360"/>
        <w:rPr>
          <w:szCs w:val="22"/>
          <w:lang w:eastAsia="en-US"/>
        </w:rPr>
      </w:pPr>
      <w:r w:rsidRPr="0047462D">
        <w:rPr>
          <w:szCs w:val="22"/>
          <w:lang w:eastAsia="en-US"/>
        </w:rPr>
        <w:t>Διαταραχή έσω αυτιού</w:t>
      </w:r>
      <w:r w:rsidR="00CF6D4C" w:rsidRPr="0047462D">
        <w:rPr>
          <w:szCs w:val="22"/>
          <w:lang w:eastAsia="en-US"/>
        </w:rPr>
        <w:t xml:space="preserve"> (</w:t>
      </w:r>
      <w:r w:rsidR="005E2335" w:rsidRPr="0047462D">
        <w:rPr>
          <w:szCs w:val="22"/>
          <w:lang w:eastAsia="en-US"/>
        </w:rPr>
        <w:t>αίσθημα ζάλης ή περιστροφής</w:t>
      </w:r>
      <w:r w:rsidR="00CF6D4C" w:rsidRPr="0047462D">
        <w:rPr>
          <w:szCs w:val="22"/>
          <w:lang w:eastAsia="en-US"/>
        </w:rPr>
        <w:t>)</w:t>
      </w:r>
    </w:p>
    <w:p w14:paraId="286190E5" w14:textId="77777777" w:rsidR="00CF6D4C" w:rsidRPr="0047462D" w:rsidRDefault="00ED7342" w:rsidP="009A2EEC">
      <w:pPr>
        <w:pStyle w:val="ListParagraph"/>
        <w:numPr>
          <w:ilvl w:val="0"/>
          <w:numId w:val="48"/>
        </w:numPr>
        <w:ind w:left="360"/>
        <w:rPr>
          <w:rFonts w:eastAsia="Times New Roman"/>
          <w:szCs w:val="22"/>
        </w:rPr>
      </w:pPr>
      <w:r w:rsidRPr="0047462D">
        <w:rPr>
          <w:rFonts w:eastAsia="Times New Roman"/>
          <w:szCs w:val="22"/>
        </w:rPr>
        <w:t>Συμφόρηση των κόλπων του προσώπου</w:t>
      </w:r>
      <w:r w:rsidR="00875809" w:rsidRPr="0047462D">
        <w:rPr>
          <w:rFonts w:eastAsia="Times New Roman"/>
          <w:szCs w:val="22"/>
        </w:rPr>
        <w:t>/της μύτης</w:t>
      </w:r>
    </w:p>
    <w:p w14:paraId="42006EBE" w14:textId="77777777" w:rsidR="00CF6D4C" w:rsidRPr="0047462D" w:rsidRDefault="00ED7342" w:rsidP="009A2EEC">
      <w:pPr>
        <w:pStyle w:val="ListParagraph"/>
        <w:numPr>
          <w:ilvl w:val="0"/>
          <w:numId w:val="48"/>
        </w:numPr>
        <w:ind w:left="360"/>
        <w:rPr>
          <w:szCs w:val="22"/>
          <w:lang w:eastAsia="en-US"/>
        </w:rPr>
      </w:pPr>
      <w:r w:rsidRPr="0047462D">
        <w:rPr>
          <w:szCs w:val="22"/>
          <w:lang w:eastAsia="en-US"/>
        </w:rPr>
        <w:t>Ερυθρότητα στον λαιμό</w:t>
      </w:r>
    </w:p>
    <w:p w14:paraId="25A548CA" w14:textId="10E80D27" w:rsidR="001C01B6" w:rsidRPr="0047462D" w:rsidRDefault="00283D8D">
      <w:pPr>
        <w:pStyle w:val="ListParagraph"/>
        <w:numPr>
          <w:ilvl w:val="0"/>
          <w:numId w:val="48"/>
        </w:numPr>
        <w:ind w:left="360"/>
        <w:rPr>
          <w:szCs w:val="22"/>
          <w:lang w:eastAsia="en-US"/>
        </w:rPr>
      </w:pPr>
      <w:r w:rsidRPr="0047462D">
        <w:rPr>
          <w:szCs w:val="22"/>
          <w:lang w:eastAsia="en-US"/>
        </w:rPr>
        <w:t>Μάζα στον μαστό</w:t>
      </w:r>
    </w:p>
    <w:p w14:paraId="50E63816" w14:textId="77777777" w:rsidR="001C01B6" w:rsidRPr="0047462D" w:rsidRDefault="001C01B6" w:rsidP="001C01B6">
      <w:pPr>
        <w:rPr>
          <w:rFonts w:eastAsia="Times New Roman"/>
          <w:bCs/>
          <w:szCs w:val="22"/>
        </w:rPr>
      </w:pPr>
    </w:p>
    <w:p w14:paraId="2B028181" w14:textId="77777777" w:rsidR="001C01B6" w:rsidRPr="0047462D" w:rsidRDefault="001C01B6" w:rsidP="001C01B6">
      <w:pPr>
        <w:keepNext/>
        <w:rPr>
          <w:rFonts w:eastAsia="Times New Roman"/>
          <w:szCs w:val="22"/>
        </w:rPr>
      </w:pPr>
      <w:r w:rsidRPr="0047462D">
        <w:rPr>
          <w:rFonts w:eastAsia="Times New Roman"/>
          <w:b/>
          <w:bCs/>
          <w:szCs w:val="22"/>
        </w:rPr>
        <w:t>Όχι συχνές</w:t>
      </w:r>
      <w:r w:rsidRPr="0047462D">
        <w:rPr>
          <w:rFonts w:eastAsia="Times New Roman"/>
          <w:szCs w:val="22"/>
        </w:rPr>
        <w:t xml:space="preserve"> ανεπιθύμητες ενέργειες (ενδέχεται να επηρεάζουν έως και 1 στα 100 άτομα)</w:t>
      </w:r>
    </w:p>
    <w:p w14:paraId="1A2EFFB7"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 xml:space="preserve">Συμφόρηση αυτιού </w:t>
      </w:r>
    </w:p>
    <w:p w14:paraId="1814DEC2"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Φλεγμονή μαστών</w:t>
      </w:r>
    </w:p>
    <w:p w14:paraId="73B272B1"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Διόγκωση μαστών</w:t>
      </w:r>
      <w:r w:rsidR="003E22B7" w:rsidRPr="0047462D">
        <w:rPr>
          <w:rFonts w:eastAsia="Times New Roman"/>
          <w:szCs w:val="22"/>
        </w:rPr>
        <w:t xml:space="preserve"> στους άνδρες</w:t>
      </w:r>
    </w:p>
    <w:p w14:paraId="1FE6F5AD"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Μεταβολές ή πόνος θηλών</w:t>
      </w:r>
    </w:p>
    <w:p w14:paraId="7A6BAD9C" w14:textId="77777777" w:rsidR="001C01B6" w:rsidRPr="0047462D" w:rsidRDefault="001C01B6" w:rsidP="001C01B6">
      <w:pPr>
        <w:ind w:right="-2"/>
        <w:rPr>
          <w:rFonts w:eastAsia="Times New Roman"/>
          <w:szCs w:val="22"/>
        </w:rPr>
      </w:pPr>
    </w:p>
    <w:p w14:paraId="0FF0299E" w14:textId="4E98ACDC" w:rsidR="001C01B6" w:rsidRPr="0047462D" w:rsidRDefault="001C01B6" w:rsidP="001C01B6">
      <w:pPr>
        <w:keepNext/>
        <w:rPr>
          <w:b/>
          <w:noProof/>
          <w:szCs w:val="22"/>
        </w:rPr>
      </w:pPr>
      <w:r w:rsidRPr="0047462D">
        <w:rPr>
          <w:b/>
        </w:rPr>
        <w:t>Συμπληρωματικές ανεπιθύμητες ενέργειες σε παιδιά</w:t>
      </w:r>
      <w:r w:rsidRPr="0047462D">
        <w:rPr>
          <w:b/>
          <w:noProof/>
          <w:szCs w:val="22"/>
        </w:rPr>
        <w:t xml:space="preserve"> </w:t>
      </w:r>
      <w:r w:rsidR="0086610B" w:rsidRPr="0047462D">
        <w:rPr>
          <w:b/>
          <w:noProof/>
          <w:szCs w:val="22"/>
        </w:rPr>
        <w:t>και εφήβους</w:t>
      </w:r>
    </w:p>
    <w:p w14:paraId="522C5F85" w14:textId="77777777" w:rsidR="00DF274B" w:rsidRPr="0047462D" w:rsidRDefault="00DF274B" w:rsidP="001C01B6">
      <w:pPr>
        <w:keepNext/>
        <w:rPr>
          <w:b/>
          <w:noProof/>
          <w:szCs w:val="22"/>
        </w:rPr>
      </w:pPr>
    </w:p>
    <w:p w14:paraId="0B795444" w14:textId="77777777" w:rsidR="001C01B6" w:rsidRPr="0047462D" w:rsidRDefault="001C01B6" w:rsidP="001C01B6">
      <w:pPr>
        <w:rPr>
          <w:b/>
          <w:noProof/>
          <w:szCs w:val="22"/>
        </w:rPr>
      </w:pPr>
      <w:r w:rsidRPr="0047462D">
        <w:t xml:space="preserve">Οι ανεπιθύμητες ενέργειες που παρατηρήθηκαν σε παιδιά </w:t>
      </w:r>
      <w:r w:rsidR="005D27F3" w:rsidRPr="0047462D">
        <w:t xml:space="preserve">και εφήβους </w:t>
      </w:r>
      <w:r w:rsidRPr="0047462D">
        <w:t>είναι παρόµοιες µε αυτές που παρατηρήθηκαν σε ενήλικες. Ωστόσο, αυξημένα ηπατικά ένζυμα παρατηρούνται συχνότερα σε νεαρά παιδιά.</w:t>
      </w:r>
    </w:p>
    <w:p w14:paraId="48A25B37" w14:textId="77777777" w:rsidR="001C01B6" w:rsidRPr="0047462D" w:rsidRDefault="001C01B6" w:rsidP="001C01B6">
      <w:pPr>
        <w:rPr>
          <w:b/>
          <w:noProof/>
          <w:szCs w:val="22"/>
        </w:rPr>
      </w:pPr>
    </w:p>
    <w:p w14:paraId="179234C2" w14:textId="0B5944DD" w:rsidR="001C01B6" w:rsidRPr="0047462D" w:rsidRDefault="001C01B6" w:rsidP="001C01B6">
      <w:pPr>
        <w:keepNext/>
        <w:rPr>
          <w:b/>
          <w:noProof/>
          <w:szCs w:val="22"/>
        </w:rPr>
      </w:pPr>
      <w:r w:rsidRPr="0047462D">
        <w:rPr>
          <w:b/>
          <w:noProof/>
          <w:szCs w:val="22"/>
        </w:rPr>
        <w:t>Αναφορά ανεπιθύμητων ενεργειών</w:t>
      </w:r>
    </w:p>
    <w:p w14:paraId="7AB39A10" w14:textId="77777777" w:rsidR="00DF274B" w:rsidRPr="0047462D" w:rsidRDefault="00DF274B" w:rsidP="001C01B6">
      <w:pPr>
        <w:keepNext/>
        <w:rPr>
          <w:b/>
          <w:noProof/>
          <w:szCs w:val="22"/>
        </w:rPr>
      </w:pPr>
    </w:p>
    <w:p w14:paraId="5EFEBFE8" w14:textId="7B3E2BE5" w:rsidR="001C01B6" w:rsidRPr="0047462D" w:rsidRDefault="001C01B6" w:rsidP="001C01B6">
      <w:pPr>
        <w:ind w:right="-2"/>
        <w:rPr>
          <w:szCs w:val="22"/>
          <w:lang w:eastAsia="en-US"/>
        </w:rPr>
      </w:pPr>
      <w:r w:rsidRPr="0047462D">
        <w:rPr>
          <w:rFonts w:eastAsia="Times New Roman"/>
          <w:szCs w:val="22"/>
        </w:rPr>
        <w:t>Εάν παρατηρήσε</w:t>
      </w:r>
      <w:r w:rsidR="00545C70" w:rsidRPr="0047462D">
        <w:rPr>
          <w:rFonts w:eastAsia="Times New Roman"/>
          <w:szCs w:val="22"/>
        </w:rPr>
        <w:t>τε</w:t>
      </w:r>
      <w:r w:rsidRPr="0047462D">
        <w:rPr>
          <w:rFonts w:eastAsia="Times New Roman"/>
          <w:szCs w:val="22"/>
        </w:rPr>
        <w:t xml:space="preserve"> κάποια ανεπιθύμητη ενέργεια</w:t>
      </w:r>
      <w:r w:rsidR="00545C70" w:rsidRPr="0047462D">
        <w:rPr>
          <w:rFonts w:eastAsia="Times New Roman"/>
          <w:szCs w:val="22"/>
        </w:rPr>
        <w:t xml:space="preserve"> στο παιδί σας</w:t>
      </w:r>
      <w:r w:rsidRPr="0047462D">
        <w:rPr>
          <w:rFonts w:eastAsia="Times New Roman"/>
          <w:szCs w:val="22"/>
        </w:rPr>
        <w:t xml:space="preserve">, ενημερώστε τον γιατρό ή τον φαρμακοποιό του παιδιού </w:t>
      </w:r>
      <w:r w:rsidR="001A2F3F" w:rsidRPr="0047462D">
        <w:rPr>
          <w:rFonts w:eastAsia="Times New Roman"/>
          <w:szCs w:val="22"/>
        </w:rPr>
        <w:t>σας.</w:t>
      </w:r>
      <w:r w:rsidRPr="0047462D">
        <w:rPr>
          <w:rFonts w:eastAsia="Times New Roman"/>
          <w:szCs w:val="22"/>
        </w:rPr>
        <w:t xml:space="preserve"> Αυτό ισχύει και για κάθε πιθανή ανεπιθύμητη ενέργεια που δεν αναφέρεται στο παρόν φύλλο οδηγιών χρήσης. </w:t>
      </w:r>
      <w:r w:rsidRPr="0047462D">
        <w:rPr>
          <w:szCs w:val="22"/>
        </w:rPr>
        <w:t>Μπορείτε επίσης να αναφέρετε ανεπιθύμητες ενέργειες</w:t>
      </w:r>
      <w:r w:rsidRPr="0047462D">
        <w:rPr>
          <w:noProof/>
          <w:szCs w:val="22"/>
        </w:rPr>
        <w:t xml:space="preserve"> </w:t>
      </w:r>
      <w:r w:rsidRPr="0047462D">
        <w:rPr>
          <w:szCs w:val="22"/>
        </w:rPr>
        <w:t>απευθείας</w:t>
      </w:r>
      <w:r w:rsidRPr="0047462D">
        <w:rPr>
          <w:noProof/>
          <w:szCs w:val="22"/>
        </w:rPr>
        <w:t>,</w:t>
      </w:r>
      <w:r w:rsidR="0013252E" w:rsidRPr="0047462D">
        <w:rPr>
          <w:noProof/>
          <w:szCs w:val="22"/>
        </w:rPr>
        <w:t xml:space="preserve"> μέσω</w:t>
      </w:r>
      <w:r w:rsidRPr="0047462D">
        <w:rPr>
          <w:noProof/>
          <w:szCs w:val="22"/>
        </w:rPr>
        <w:t xml:space="preserve"> του εθνικού συστήματος αναφοράς που αναγράφεται στο </w:t>
      </w:r>
      <w:hyperlink r:id="rId17" w:history="1">
        <w:r w:rsidRPr="0047462D">
          <w:rPr>
            <w:rStyle w:val="Hyperlink"/>
          </w:rPr>
          <w:t>Παράρτημα V</w:t>
        </w:r>
      </w:hyperlink>
      <w:r w:rsidRPr="0047462D">
        <w:rPr>
          <w:noProof/>
          <w:szCs w:val="22"/>
        </w:rPr>
        <w:t>.</w:t>
      </w:r>
      <w:r w:rsidRPr="0047462D">
        <w:rPr>
          <w:szCs w:val="22"/>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47462D">
        <w:rPr>
          <w:noProof/>
          <w:szCs w:val="22"/>
        </w:rPr>
        <w:t>.</w:t>
      </w:r>
    </w:p>
    <w:p w14:paraId="6E15016B" w14:textId="77777777" w:rsidR="001C01B6" w:rsidRPr="0047462D" w:rsidRDefault="001C01B6" w:rsidP="001C01B6">
      <w:pPr>
        <w:ind w:right="-2"/>
        <w:rPr>
          <w:szCs w:val="22"/>
          <w:lang w:eastAsia="en-US"/>
        </w:rPr>
      </w:pPr>
    </w:p>
    <w:p w14:paraId="36E4536B" w14:textId="77777777" w:rsidR="001C01B6" w:rsidRPr="0047462D" w:rsidRDefault="001C01B6" w:rsidP="001C01B6">
      <w:pPr>
        <w:ind w:right="-2"/>
        <w:rPr>
          <w:szCs w:val="22"/>
          <w:lang w:eastAsia="en-US"/>
        </w:rPr>
      </w:pPr>
    </w:p>
    <w:p w14:paraId="7060F8EC" w14:textId="77777777" w:rsidR="001C01B6" w:rsidRPr="0047462D" w:rsidRDefault="001C01B6" w:rsidP="001C01B6">
      <w:pPr>
        <w:keepNext/>
        <w:ind w:left="567" w:right="-2" w:hanging="567"/>
        <w:rPr>
          <w:b/>
          <w:bCs/>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b/>
          <w:bCs/>
          <w:noProof/>
          <w:szCs w:val="22"/>
          <w:lang w:eastAsia="en-US"/>
        </w:rPr>
        <w:t>Πώς να φυλάσσετ</w:t>
      </w:r>
      <w:r w:rsidR="0013252E" w:rsidRPr="0047462D">
        <w:rPr>
          <w:b/>
          <w:bCs/>
          <w:noProof/>
          <w:szCs w:val="22"/>
          <w:lang w:eastAsia="en-US"/>
        </w:rPr>
        <w:t>ε</w:t>
      </w:r>
      <w:r w:rsidRPr="0047462D">
        <w:rPr>
          <w:b/>
          <w:bCs/>
          <w:noProof/>
          <w:szCs w:val="22"/>
          <w:lang w:eastAsia="en-US"/>
        </w:rPr>
        <w:t xml:space="preserve"> το Kalydeco</w:t>
      </w:r>
    </w:p>
    <w:p w14:paraId="533A79C2" w14:textId="77777777" w:rsidR="001C01B6" w:rsidRPr="0047462D" w:rsidRDefault="001C01B6" w:rsidP="001C01B6">
      <w:pPr>
        <w:keepNext/>
        <w:rPr>
          <w:bCs/>
          <w:szCs w:val="22"/>
          <w:lang w:eastAsia="en-US"/>
        </w:rPr>
      </w:pPr>
    </w:p>
    <w:p w14:paraId="055DE36B" w14:textId="77777777" w:rsidR="001C01B6" w:rsidRPr="0047462D" w:rsidRDefault="001C01B6" w:rsidP="001C01B6">
      <w:pPr>
        <w:ind w:right="-2"/>
        <w:rPr>
          <w:szCs w:val="22"/>
          <w:lang w:eastAsia="en-US"/>
        </w:rPr>
      </w:pPr>
      <w:r w:rsidRPr="0047462D">
        <w:rPr>
          <w:rFonts w:eastAsia="Times New Roman"/>
          <w:szCs w:val="22"/>
        </w:rPr>
        <w:t>Το φάρμακο αυτό πρέπει να φυλάσσεται σε μέρη που δεν το βλέπουν και δεν το φθάνουν τα παιδιά.</w:t>
      </w:r>
      <w:r w:rsidRPr="0047462D">
        <w:rPr>
          <w:rFonts w:eastAsia="Times New Roman"/>
          <w:szCs w:val="22"/>
          <w:lang w:eastAsia="en-US"/>
        </w:rPr>
        <w:t xml:space="preserve"> </w:t>
      </w:r>
    </w:p>
    <w:p w14:paraId="7DEA2E79" w14:textId="77777777" w:rsidR="001C01B6" w:rsidRPr="0047462D" w:rsidRDefault="001C01B6" w:rsidP="001C01B6">
      <w:pPr>
        <w:ind w:right="-2"/>
        <w:rPr>
          <w:szCs w:val="22"/>
          <w:lang w:eastAsia="en-US"/>
        </w:rPr>
      </w:pPr>
    </w:p>
    <w:p w14:paraId="1C05D76A" w14:textId="77777777" w:rsidR="001C01B6" w:rsidRPr="0047462D" w:rsidRDefault="001C01B6" w:rsidP="001C01B6">
      <w:pPr>
        <w:ind w:right="-2"/>
        <w:rPr>
          <w:szCs w:val="22"/>
          <w:lang w:eastAsia="en-US"/>
        </w:rPr>
      </w:pPr>
      <w:r w:rsidRPr="0047462D">
        <w:rPr>
          <w:rFonts w:eastAsia="Times New Roman"/>
          <w:szCs w:val="22"/>
        </w:rPr>
        <w:t>Να μη χρησιμοποιείτε αυτό το φάρμακο μετά την ημερομηνία λήξης που αναφέρεται στη συσκευασία μετά τη λέξη ΛΗΞΗ.</w:t>
      </w:r>
      <w:r w:rsidRPr="0047462D">
        <w:rPr>
          <w:rFonts w:eastAsia="Times New Roman"/>
          <w:szCs w:val="22"/>
          <w:lang w:eastAsia="en-US"/>
        </w:rPr>
        <w:t xml:space="preserve"> </w:t>
      </w:r>
      <w:r w:rsidRPr="0047462D">
        <w:rPr>
          <w:rFonts w:eastAsia="Times New Roman"/>
          <w:szCs w:val="22"/>
        </w:rPr>
        <w:t>Η ημερομηνία λήξης είναι η τελευταία ημέρα του μήνα που αναφέρεται εκεί</w:t>
      </w:r>
      <w:r w:rsidRPr="0047462D">
        <w:rPr>
          <w:rFonts w:eastAsia="Arial0"/>
          <w:szCs w:val="22"/>
        </w:rPr>
        <w:t>.</w:t>
      </w:r>
    </w:p>
    <w:p w14:paraId="2725AFF0" w14:textId="77777777" w:rsidR="001C01B6" w:rsidRPr="0047462D" w:rsidRDefault="001C01B6" w:rsidP="001C01B6">
      <w:pPr>
        <w:ind w:right="-2"/>
        <w:rPr>
          <w:szCs w:val="22"/>
          <w:lang w:eastAsia="en-US"/>
        </w:rPr>
      </w:pPr>
    </w:p>
    <w:p w14:paraId="6BDB4707" w14:textId="77777777" w:rsidR="001C01B6" w:rsidRPr="0047462D" w:rsidRDefault="005924CB" w:rsidP="001C01B6">
      <w:pPr>
        <w:ind w:right="-2"/>
        <w:rPr>
          <w:szCs w:val="22"/>
          <w:lang w:eastAsia="en-US"/>
        </w:rPr>
      </w:pPr>
      <w:r w:rsidRPr="0047462D">
        <w:rPr>
          <w:noProof/>
        </w:rPr>
        <w:t>Το φάρμακο αυτό δεν απαιτεί ιδιαίτερες συνθήκες φύλαξης</w:t>
      </w:r>
      <w:r w:rsidR="001C01B6" w:rsidRPr="0047462D">
        <w:rPr>
          <w:rFonts w:eastAsia="Times New Roman"/>
          <w:szCs w:val="22"/>
        </w:rPr>
        <w:t>.</w:t>
      </w:r>
    </w:p>
    <w:p w14:paraId="5640C443" w14:textId="77777777" w:rsidR="001C01B6" w:rsidRPr="0047462D" w:rsidRDefault="001C01B6" w:rsidP="001C01B6">
      <w:pPr>
        <w:ind w:right="-2"/>
        <w:rPr>
          <w:szCs w:val="22"/>
          <w:lang w:eastAsia="en-US"/>
        </w:rPr>
      </w:pPr>
    </w:p>
    <w:p w14:paraId="0DB62DC3" w14:textId="1B26F7D0" w:rsidR="001C01B6" w:rsidRPr="0047462D" w:rsidRDefault="001C01B6" w:rsidP="001C01B6">
      <w:pPr>
        <w:ind w:right="-2"/>
        <w:rPr>
          <w:rFonts w:eastAsia="Times New Roman"/>
          <w:szCs w:val="22"/>
        </w:rPr>
      </w:pPr>
      <w:r w:rsidRPr="0047462D">
        <w:rPr>
          <w:rFonts w:eastAsia="Times New Roman"/>
          <w:szCs w:val="22"/>
        </w:rPr>
        <w:t xml:space="preserve">Μόλις αναμειχθεί, το </w:t>
      </w:r>
      <w:r w:rsidR="00DB0B92" w:rsidRPr="0047462D">
        <w:rPr>
          <w:rFonts w:eastAsia="Times New Roman"/>
          <w:szCs w:val="22"/>
        </w:rPr>
        <w:t xml:space="preserve">μείγμα </w:t>
      </w:r>
      <w:r w:rsidRPr="0047462D">
        <w:rPr>
          <w:rFonts w:eastAsia="Times New Roman"/>
          <w:szCs w:val="22"/>
        </w:rPr>
        <w:t xml:space="preserve">έχει </w:t>
      </w:r>
      <w:r w:rsidR="009323E3" w:rsidRPr="0047462D">
        <w:rPr>
          <w:rFonts w:eastAsia="Times New Roman"/>
          <w:szCs w:val="22"/>
        </w:rPr>
        <w:t xml:space="preserve">καταδειχθεί </w:t>
      </w:r>
      <w:r w:rsidRPr="0047462D">
        <w:rPr>
          <w:rFonts w:eastAsia="Times New Roman"/>
          <w:szCs w:val="22"/>
        </w:rPr>
        <w:t>ότι είναι σταθερό για μία ώρα.</w:t>
      </w:r>
    </w:p>
    <w:p w14:paraId="21064924" w14:textId="77777777" w:rsidR="001C01B6" w:rsidRPr="0047462D" w:rsidRDefault="001C01B6" w:rsidP="001C01B6">
      <w:pPr>
        <w:ind w:right="-2"/>
        <w:rPr>
          <w:rFonts w:eastAsia="Times New Roman"/>
          <w:szCs w:val="22"/>
        </w:rPr>
      </w:pPr>
    </w:p>
    <w:p w14:paraId="09309F81" w14:textId="77777777" w:rsidR="001C01B6" w:rsidRPr="0047462D" w:rsidRDefault="001C01B6" w:rsidP="001C01B6">
      <w:pPr>
        <w:ind w:right="-2"/>
        <w:rPr>
          <w:szCs w:val="22"/>
          <w:lang w:eastAsia="en-US"/>
        </w:rPr>
      </w:pPr>
      <w:r w:rsidRPr="0047462D">
        <w:rPr>
          <w:rFonts w:eastAsia="Times New Roman"/>
          <w:szCs w:val="22"/>
        </w:rPr>
        <w:t xml:space="preserve">Μην πετάτε φάρμακα στο νερό της αποχέτευσης ή στα </w:t>
      </w:r>
      <w:r w:rsidR="0013252E" w:rsidRPr="0047462D">
        <w:rPr>
          <w:rFonts w:eastAsia="Times New Roman"/>
          <w:szCs w:val="22"/>
        </w:rPr>
        <w:t>οικιακά απορρίμματα</w:t>
      </w:r>
      <w:r w:rsidRPr="0047462D">
        <w:rPr>
          <w:rFonts w:eastAsia="Times New Roman"/>
          <w:szCs w:val="22"/>
        </w:rPr>
        <w:t>.</w:t>
      </w:r>
      <w:r w:rsidRPr="0047462D">
        <w:rPr>
          <w:rFonts w:eastAsia="Times New Roman"/>
          <w:szCs w:val="22"/>
          <w:lang w:eastAsia="en-US"/>
        </w:rPr>
        <w:t xml:space="preserve"> </w:t>
      </w:r>
      <w:r w:rsidRPr="0047462D">
        <w:rPr>
          <w:rFonts w:eastAsia="Times New Roman"/>
          <w:szCs w:val="22"/>
        </w:rPr>
        <w:t>Ρωτήστε τον φαρμακοποιό σας για το πώς να πετάξετε τα φάρμακα που δεν χρησιμοποιείτε πια.</w:t>
      </w:r>
      <w:r w:rsidRPr="0047462D">
        <w:rPr>
          <w:rFonts w:eastAsia="Times New Roman"/>
          <w:szCs w:val="22"/>
          <w:lang w:eastAsia="en-US"/>
        </w:rPr>
        <w:t xml:space="preserve"> </w:t>
      </w:r>
      <w:r w:rsidRPr="0047462D">
        <w:rPr>
          <w:rFonts w:eastAsia="Times New Roman"/>
          <w:szCs w:val="22"/>
        </w:rPr>
        <w:t>Αυτά τα μέτρα θα βοηθήσουν στην προστασία του περιβάλλοντος.</w:t>
      </w:r>
    </w:p>
    <w:p w14:paraId="2963DEE6" w14:textId="77777777" w:rsidR="001C01B6" w:rsidRPr="0047462D" w:rsidRDefault="001C01B6" w:rsidP="001C01B6">
      <w:pPr>
        <w:tabs>
          <w:tab w:val="left" w:pos="1515"/>
        </w:tabs>
        <w:ind w:right="-2"/>
        <w:rPr>
          <w:szCs w:val="22"/>
          <w:lang w:eastAsia="en-US"/>
        </w:rPr>
      </w:pPr>
    </w:p>
    <w:p w14:paraId="776AD885" w14:textId="77777777" w:rsidR="001C01B6" w:rsidRPr="0047462D" w:rsidRDefault="001C01B6" w:rsidP="001C01B6">
      <w:pPr>
        <w:tabs>
          <w:tab w:val="left" w:pos="1515"/>
        </w:tabs>
        <w:ind w:right="-2"/>
        <w:rPr>
          <w:szCs w:val="22"/>
          <w:lang w:eastAsia="en-US"/>
        </w:rPr>
      </w:pPr>
    </w:p>
    <w:p w14:paraId="590164A5" w14:textId="77777777" w:rsidR="001C01B6" w:rsidRPr="0047462D" w:rsidRDefault="001C01B6" w:rsidP="001C01B6">
      <w:pPr>
        <w:keepNext/>
        <w:ind w:left="567" w:right="-2"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Περιεχόμεν</w:t>
      </w:r>
      <w:r w:rsidR="0013252E" w:rsidRPr="0047462D">
        <w:rPr>
          <w:rFonts w:eastAsia="Times New Roman"/>
          <w:b/>
          <w:bCs/>
          <w:szCs w:val="22"/>
        </w:rPr>
        <w:t>α</w:t>
      </w:r>
      <w:r w:rsidRPr="0047462D">
        <w:rPr>
          <w:rFonts w:eastAsia="Times New Roman"/>
          <w:b/>
          <w:bCs/>
          <w:szCs w:val="22"/>
        </w:rPr>
        <w:t xml:space="preserve"> της συσκευασίας και λοιπές πληροφορίες</w:t>
      </w:r>
    </w:p>
    <w:p w14:paraId="257EF160" w14:textId="77777777" w:rsidR="001C01B6" w:rsidRPr="0047462D" w:rsidRDefault="001C01B6" w:rsidP="001C01B6">
      <w:pPr>
        <w:keepNext/>
        <w:rPr>
          <w:szCs w:val="22"/>
          <w:lang w:eastAsia="en-US"/>
        </w:rPr>
      </w:pPr>
    </w:p>
    <w:p w14:paraId="11FEA4C7" w14:textId="77777777" w:rsidR="001C01B6" w:rsidRPr="0047462D" w:rsidRDefault="001C01B6" w:rsidP="001C01B6">
      <w:pPr>
        <w:keepNext/>
        <w:ind w:right="-2"/>
        <w:rPr>
          <w:rFonts w:eastAsia="Times New Roman"/>
          <w:b/>
          <w:bCs/>
          <w:szCs w:val="22"/>
          <w:lang w:eastAsia="en-US"/>
        </w:rPr>
      </w:pPr>
      <w:r w:rsidRPr="0047462D">
        <w:rPr>
          <w:rFonts w:eastAsia="Times New Roman"/>
          <w:b/>
          <w:bCs/>
          <w:szCs w:val="22"/>
        </w:rPr>
        <w:t>Τι περιέχει το Kalydeco</w:t>
      </w:r>
      <w:r w:rsidRPr="0047462D">
        <w:rPr>
          <w:rFonts w:eastAsia="Times New Roman"/>
          <w:b/>
          <w:bCs/>
          <w:szCs w:val="22"/>
          <w:lang w:eastAsia="en-US"/>
        </w:rPr>
        <w:t xml:space="preserve"> </w:t>
      </w:r>
    </w:p>
    <w:p w14:paraId="710422E8" w14:textId="77777777" w:rsidR="003E22B7" w:rsidRPr="0047462D" w:rsidRDefault="003E22B7" w:rsidP="001C01B6">
      <w:pPr>
        <w:keepNext/>
        <w:ind w:right="-2"/>
        <w:rPr>
          <w:rFonts w:eastAsia="Times New Roman"/>
          <w:szCs w:val="22"/>
        </w:rPr>
      </w:pPr>
    </w:p>
    <w:p w14:paraId="46BC1C76" w14:textId="572A5877" w:rsidR="003E22B7" w:rsidRPr="0047462D" w:rsidRDefault="003E22B7" w:rsidP="00BB1AF3">
      <w:pPr>
        <w:keepNext/>
        <w:suppressAutoHyphens w:val="0"/>
        <w:spacing w:line="260" w:lineRule="exact"/>
        <w:rPr>
          <w:szCs w:val="22"/>
          <w:u w:val="single"/>
          <w:lang w:eastAsia="en-US"/>
        </w:rPr>
      </w:pPr>
      <w:r w:rsidRPr="0047462D">
        <w:rPr>
          <w:szCs w:val="22"/>
          <w:u w:val="single"/>
          <w:lang w:eastAsia="en-US"/>
        </w:rPr>
        <w:t>Kalydeco 25 mg κοκκία σε φακελλίσκο:</w:t>
      </w:r>
    </w:p>
    <w:p w14:paraId="0E90A26D" w14:textId="77777777" w:rsidR="00DF274B" w:rsidRPr="0047462D" w:rsidRDefault="00DF274B" w:rsidP="00BB1AF3">
      <w:pPr>
        <w:keepNext/>
        <w:suppressAutoHyphens w:val="0"/>
        <w:spacing w:line="260" w:lineRule="exact"/>
        <w:rPr>
          <w:szCs w:val="22"/>
          <w:u w:val="single"/>
          <w:lang w:eastAsia="en-US"/>
        </w:rPr>
      </w:pPr>
    </w:p>
    <w:p w14:paraId="399CB036" w14:textId="77777777" w:rsidR="003E22B7" w:rsidRPr="0047462D" w:rsidRDefault="003E22B7" w:rsidP="00BB1AF3">
      <w:pPr>
        <w:suppressAutoHyphens w:val="0"/>
        <w:spacing w:line="260" w:lineRule="exact"/>
        <w:rPr>
          <w:szCs w:val="22"/>
          <w:lang w:eastAsia="en-US"/>
        </w:rPr>
      </w:pPr>
      <w:r w:rsidRPr="0047462D">
        <w:rPr>
          <w:szCs w:val="22"/>
          <w:lang w:eastAsia="en-US"/>
        </w:rPr>
        <w:t>Η δραστική ουσία είναι το ivacaftor. Kάθε φακελλίσκος περιέχει 25 mg ivacaftor.</w:t>
      </w:r>
    </w:p>
    <w:p w14:paraId="4B20DD2F" w14:textId="77777777" w:rsidR="003E22B7" w:rsidRPr="0047462D" w:rsidRDefault="003E22B7" w:rsidP="00BB1AF3">
      <w:pPr>
        <w:suppressAutoHyphens w:val="0"/>
        <w:spacing w:line="260" w:lineRule="exact"/>
        <w:rPr>
          <w:szCs w:val="22"/>
          <w:lang w:eastAsia="en-US"/>
        </w:rPr>
      </w:pPr>
    </w:p>
    <w:p w14:paraId="0AB65EF9" w14:textId="5DB3F73A" w:rsidR="003E22B7" w:rsidRPr="0047462D" w:rsidRDefault="001C01B6" w:rsidP="00BB1AF3">
      <w:pPr>
        <w:keepNext/>
        <w:suppressAutoHyphens w:val="0"/>
        <w:spacing w:line="260" w:lineRule="exact"/>
        <w:rPr>
          <w:u w:val="single"/>
        </w:rPr>
      </w:pPr>
      <w:r w:rsidRPr="0047462D">
        <w:rPr>
          <w:u w:val="single"/>
        </w:rPr>
        <w:t>Kalydeco 50 mg κοκκία σε φακελλίσκο:</w:t>
      </w:r>
    </w:p>
    <w:p w14:paraId="5C205EC9" w14:textId="77777777" w:rsidR="00DF274B" w:rsidRPr="0047462D" w:rsidRDefault="00DF274B" w:rsidP="00BB1AF3">
      <w:pPr>
        <w:keepNext/>
        <w:suppressAutoHyphens w:val="0"/>
        <w:spacing w:line="260" w:lineRule="exact"/>
        <w:rPr>
          <w:u w:val="single"/>
        </w:rPr>
      </w:pPr>
    </w:p>
    <w:p w14:paraId="11662F55" w14:textId="77777777" w:rsidR="001C01B6" w:rsidRPr="0047462D" w:rsidRDefault="001C01B6" w:rsidP="00BB1AF3">
      <w:pPr>
        <w:suppressAutoHyphens w:val="0"/>
        <w:spacing w:line="260" w:lineRule="exact"/>
        <w:rPr>
          <w:rFonts w:eastAsia="Times New Roman"/>
          <w:szCs w:val="22"/>
        </w:rPr>
      </w:pPr>
      <w:r w:rsidRPr="0047462D">
        <w:rPr>
          <w:rFonts w:eastAsia="Times New Roman"/>
          <w:szCs w:val="22"/>
        </w:rPr>
        <w:t>Η δραστική ουσία είναι το ivacaftor.</w:t>
      </w:r>
      <w:r w:rsidRPr="0047462D">
        <w:rPr>
          <w:rFonts w:eastAsia="Times New Roman"/>
          <w:szCs w:val="22"/>
          <w:lang w:eastAsia="en-US"/>
        </w:rPr>
        <w:t xml:space="preserve"> </w:t>
      </w:r>
      <w:r w:rsidRPr="0047462D">
        <w:rPr>
          <w:rFonts w:eastAsia="Times New Roman"/>
          <w:szCs w:val="22"/>
        </w:rPr>
        <w:t>Kάθε φακελλίσκος περιέχει 50 mg ivacaftor.</w:t>
      </w:r>
    </w:p>
    <w:p w14:paraId="18327E30" w14:textId="77777777" w:rsidR="003E22B7" w:rsidRPr="0047462D" w:rsidRDefault="003E22B7" w:rsidP="00BB1AF3">
      <w:pPr>
        <w:suppressAutoHyphens w:val="0"/>
        <w:spacing w:line="260" w:lineRule="exact"/>
        <w:rPr>
          <w:szCs w:val="22"/>
          <w:lang w:eastAsia="en-US"/>
        </w:rPr>
      </w:pPr>
    </w:p>
    <w:p w14:paraId="641FB4A7" w14:textId="60E12261" w:rsidR="003E22B7" w:rsidRPr="0047462D" w:rsidRDefault="001C01B6" w:rsidP="00BB1AF3">
      <w:pPr>
        <w:keepNext/>
        <w:suppressAutoHyphens w:val="0"/>
        <w:spacing w:line="260" w:lineRule="exact"/>
        <w:rPr>
          <w:szCs w:val="22"/>
          <w:u w:val="single"/>
          <w:lang w:eastAsia="en-US"/>
        </w:rPr>
      </w:pPr>
      <w:r w:rsidRPr="0047462D">
        <w:rPr>
          <w:szCs w:val="22"/>
          <w:u w:val="single"/>
          <w:lang w:eastAsia="en-US"/>
        </w:rPr>
        <w:t>Kalydeco 75 mg κοκκία σε φακελλίσκο:</w:t>
      </w:r>
    </w:p>
    <w:p w14:paraId="37F0C984" w14:textId="77777777" w:rsidR="00DF274B" w:rsidRPr="0047462D" w:rsidRDefault="00DF274B" w:rsidP="00BB1AF3">
      <w:pPr>
        <w:keepNext/>
        <w:suppressAutoHyphens w:val="0"/>
        <w:spacing w:line="260" w:lineRule="exact"/>
        <w:rPr>
          <w:szCs w:val="22"/>
          <w:u w:val="single"/>
          <w:lang w:eastAsia="en-US"/>
        </w:rPr>
      </w:pPr>
    </w:p>
    <w:p w14:paraId="2F6253DE" w14:textId="607D9017" w:rsidR="001C01B6" w:rsidRPr="0047462D" w:rsidRDefault="001C01B6" w:rsidP="00BB1AF3">
      <w:pPr>
        <w:suppressAutoHyphens w:val="0"/>
        <w:spacing w:line="260" w:lineRule="exact"/>
        <w:rPr>
          <w:szCs w:val="22"/>
          <w:lang w:eastAsia="en-US"/>
        </w:rPr>
      </w:pPr>
      <w:r w:rsidRPr="0047462D">
        <w:rPr>
          <w:szCs w:val="22"/>
          <w:lang w:eastAsia="en-US"/>
        </w:rPr>
        <w:t>Η δραστική ουσία είναι το ivacaftor. Kάθε φακελλίσκος περιέχει 75 mg ivacaftor.</w:t>
      </w:r>
    </w:p>
    <w:p w14:paraId="6A384662" w14:textId="77777777" w:rsidR="003E22B7" w:rsidRPr="0047462D" w:rsidRDefault="003E22B7" w:rsidP="00BB1AF3">
      <w:pPr>
        <w:suppressAutoHyphens w:val="0"/>
        <w:spacing w:line="260" w:lineRule="exact"/>
        <w:rPr>
          <w:szCs w:val="22"/>
          <w:lang w:eastAsia="en-US"/>
        </w:rPr>
      </w:pPr>
    </w:p>
    <w:p w14:paraId="0BF11C89" w14:textId="43C31E17" w:rsidR="005D5499" w:rsidRPr="0047462D" w:rsidRDefault="001C01B6" w:rsidP="00BB1AF3">
      <w:pPr>
        <w:suppressAutoHyphens w:val="0"/>
        <w:spacing w:line="260" w:lineRule="exact"/>
        <w:rPr>
          <w:szCs w:val="22"/>
        </w:rPr>
      </w:pPr>
      <w:r w:rsidRPr="0047462D">
        <w:rPr>
          <w:szCs w:val="22"/>
          <w:lang w:eastAsia="en-US"/>
        </w:rPr>
        <w:t>Τα άλλα συστατικά είναι:</w:t>
      </w:r>
      <w:r w:rsidR="00DB0B92" w:rsidRPr="0047462D" w:rsidDel="00DB0B92">
        <w:rPr>
          <w:szCs w:val="22"/>
          <w:lang w:eastAsia="en-US"/>
        </w:rPr>
        <w:t xml:space="preserve"> </w:t>
      </w:r>
      <w:r w:rsidRPr="0047462D">
        <w:rPr>
          <w:szCs w:val="22"/>
        </w:rPr>
        <w:t>διοξείδιο πυριτίου</w:t>
      </w:r>
      <w:r w:rsidR="003E22B7" w:rsidRPr="0047462D">
        <w:rPr>
          <w:szCs w:val="22"/>
        </w:rPr>
        <w:t xml:space="preserve"> κολλοειδές άνυδρο</w:t>
      </w:r>
      <w:r w:rsidRPr="0047462D">
        <w:rPr>
          <w:szCs w:val="22"/>
        </w:rPr>
        <w:t xml:space="preserve">, </w:t>
      </w:r>
      <w:r w:rsidRPr="0047462D">
        <w:rPr>
          <w:rFonts w:eastAsia="MS Mincho"/>
          <w:szCs w:val="22"/>
          <w:lang w:eastAsia="ja-JP"/>
        </w:rPr>
        <w:t>νατριούχος καρμελλόζη διασταυρούμενη</w:t>
      </w:r>
      <w:r w:rsidRPr="0047462D">
        <w:rPr>
          <w:szCs w:val="22"/>
        </w:rPr>
        <w:t xml:space="preserve">, </w:t>
      </w:r>
      <w:r w:rsidRPr="0047462D">
        <w:rPr>
          <w:rFonts w:eastAsia="MS Mincho"/>
          <w:szCs w:val="22"/>
          <w:lang w:eastAsia="ja-JP"/>
        </w:rPr>
        <w:t>υπρομελλόζη οξική ηλεκτρική</w:t>
      </w:r>
      <w:r w:rsidRPr="0047462D">
        <w:rPr>
          <w:szCs w:val="22"/>
        </w:rPr>
        <w:t xml:space="preserve">, </w:t>
      </w:r>
      <w:r w:rsidRPr="0047462D">
        <w:rPr>
          <w:rFonts w:eastAsia="MS Mincho"/>
          <w:szCs w:val="22"/>
          <w:lang w:eastAsia="ja-JP"/>
        </w:rPr>
        <w:t>μονοϋδρική λακτόζη</w:t>
      </w:r>
      <w:r w:rsidRPr="0047462D">
        <w:rPr>
          <w:szCs w:val="22"/>
        </w:rPr>
        <w:t xml:space="preserve">, </w:t>
      </w:r>
      <w:r w:rsidRPr="0047462D">
        <w:rPr>
          <w:rFonts w:eastAsia="MS Mincho"/>
          <w:szCs w:val="22"/>
          <w:lang w:eastAsia="ja-JP"/>
        </w:rPr>
        <w:t>στεατικό μαγνήσιο</w:t>
      </w:r>
      <w:r w:rsidRPr="0047462D">
        <w:rPr>
          <w:szCs w:val="22"/>
        </w:rPr>
        <w:t xml:space="preserve">, μαννιτόλη, σουκραζόλη και </w:t>
      </w:r>
      <w:r w:rsidRPr="0047462D">
        <w:rPr>
          <w:rFonts w:eastAsia="MS Mincho"/>
          <w:szCs w:val="22"/>
          <w:lang w:eastAsia="ja-JP"/>
        </w:rPr>
        <w:t>λαουρυλοθειικό νάτριο</w:t>
      </w:r>
      <w:r w:rsidR="0086610B" w:rsidRPr="0047462D">
        <w:rPr>
          <w:rFonts w:eastAsia="MS Mincho"/>
          <w:szCs w:val="22"/>
          <w:lang w:eastAsia="ja-JP"/>
        </w:rPr>
        <w:t xml:space="preserve"> </w:t>
      </w:r>
      <w:r w:rsidR="0086610B" w:rsidRPr="0047462D">
        <w:rPr>
          <w:rFonts w:eastAsia="MS Mincho"/>
          <w:lang w:eastAsia="ja-JP"/>
        </w:rPr>
        <w:t>(E487)</w:t>
      </w:r>
      <w:r w:rsidRPr="0047462D">
        <w:rPr>
          <w:szCs w:val="22"/>
        </w:rPr>
        <w:t>.</w:t>
      </w:r>
    </w:p>
    <w:p w14:paraId="3BE05BB5" w14:textId="77777777" w:rsidR="003E22B7" w:rsidRPr="0047462D" w:rsidRDefault="003E22B7" w:rsidP="00EB5A36">
      <w:pPr>
        <w:suppressAutoHyphens w:val="0"/>
        <w:spacing w:line="260" w:lineRule="exact"/>
        <w:rPr>
          <w:szCs w:val="22"/>
        </w:rPr>
      </w:pPr>
    </w:p>
    <w:p w14:paraId="292B017A" w14:textId="77777777" w:rsidR="00C56B7E" w:rsidRPr="0047462D" w:rsidRDefault="00C56B7E" w:rsidP="009A2EEC">
      <w:pPr>
        <w:suppressAutoHyphens w:val="0"/>
        <w:spacing w:line="260" w:lineRule="exact"/>
        <w:rPr>
          <w:szCs w:val="22"/>
        </w:rPr>
      </w:pPr>
      <w:r w:rsidRPr="0047462D">
        <w:t xml:space="preserve">Βλ. </w:t>
      </w:r>
      <w:r w:rsidR="00677D05" w:rsidRPr="0047462D">
        <w:t>τέλος της παραγράφου</w:t>
      </w:r>
      <w:r w:rsidRPr="0047462D">
        <w:t xml:space="preserve"> 2 - Σημαντικές πληροφορίες για το περιεχόμενο του Kalydeco.</w:t>
      </w:r>
    </w:p>
    <w:p w14:paraId="71E46D2C" w14:textId="77777777" w:rsidR="001C01B6" w:rsidRPr="0047462D" w:rsidRDefault="001C01B6" w:rsidP="001C01B6">
      <w:pPr>
        <w:ind w:right="-2"/>
        <w:rPr>
          <w:b/>
          <w:bCs/>
          <w:szCs w:val="22"/>
          <w:lang w:eastAsia="en-US"/>
        </w:rPr>
      </w:pPr>
    </w:p>
    <w:p w14:paraId="633D389A" w14:textId="2B6FA479" w:rsidR="001C01B6" w:rsidRPr="0047462D" w:rsidRDefault="001C01B6" w:rsidP="001C01B6">
      <w:pPr>
        <w:keepNext/>
        <w:rPr>
          <w:rFonts w:eastAsia="Times New Roman"/>
          <w:b/>
          <w:bCs/>
          <w:szCs w:val="22"/>
        </w:rPr>
      </w:pPr>
      <w:r w:rsidRPr="0047462D">
        <w:rPr>
          <w:rFonts w:eastAsia="Times New Roman"/>
          <w:b/>
          <w:bCs/>
          <w:szCs w:val="22"/>
        </w:rPr>
        <w:t>Εμφάνιση του Kalydeco και περιεχόμεν</w:t>
      </w:r>
      <w:r w:rsidR="0013252E" w:rsidRPr="0047462D">
        <w:rPr>
          <w:rFonts w:eastAsia="Times New Roman"/>
          <w:b/>
          <w:bCs/>
          <w:szCs w:val="22"/>
        </w:rPr>
        <w:t>α</w:t>
      </w:r>
      <w:r w:rsidRPr="0047462D">
        <w:rPr>
          <w:rFonts w:eastAsia="Times New Roman"/>
          <w:b/>
          <w:bCs/>
          <w:szCs w:val="22"/>
        </w:rPr>
        <w:t xml:space="preserve"> της συσκευασίας</w:t>
      </w:r>
    </w:p>
    <w:p w14:paraId="75056F6D" w14:textId="77777777" w:rsidR="00DF274B" w:rsidRPr="0047462D" w:rsidRDefault="00DF274B" w:rsidP="001C01B6">
      <w:pPr>
        <w:keepNext/>
        <w:rPr>
          <w:rFonts w:eastAsia="Times New Roman"/>
          <w:b/>
          <w:bCs/>
          <w:szCs w:val="22"/>
        </w:rPr>
      </w:pPr>
    </w:p>
    <w:p w14:paraId="3EB16375" w14:textId="77777777" w:rsidR="003E22B7" w:rsidRPr="0047462D" w:rsidRDefault="003E22B7" w:rsidP="001C01B6">
      <w:pPr>
        <w:keepNext/>
        <w:rPr>
          <w:rFonts w:eastAsia="Times New Roman"/>
          <w:szCs w:val="22"/>
        </w:rPr>
      </w:pPr>
      <w:r w:rsidRPr="0047462D">
        <w:rPr>
          <w:szCs w:val="22"/>
          <w:lang w:eastAsia="en-US"/>
        </w:rPr>
        <w:t xml:space="preserve">Τα </w:t>
      </w:r>
      <w:r w:rsidRPr="0047462D">
        <w:rPr>
          <w:rFonts w:eastAsia="Times New Roman"/>
          <w:szCs w:val="22"/>
        </w:rPr>
        <w:t xml:space="preserve">Kalydeco </w:t>
      </w:r>
      <w:r w:rsidRPr="0047462D">
        <w:t xml:space="preserve">25 mg </w:t>
      </w:r>
      <w:r w:rsidRPr="0047462D">
        <w:rPr>
          <w:rFonts w:eastAsia="Times New Roman"/>
          <w:szCs w:val="22"/>
        </w:rPr>
        <w:t>κοκκία σε φακελλίσκο είναι λευκά έως υπόλευκα κοκκία.</w:t>
      </w:r>
    </w:p>
    <w:p w14:paraId="36414E7B" w14:textId="77777777" w:rsidR="001C01B6" w:rsidRPr="0047462D" w:rsidRDefault="001C01B6" w:rsidP="001C01B6">
      <w:pPr>
        <w:rPr>
          <w:szCs w:val="22"/>
          <w:lang w:eastAsia="en-US"/>
        </w:rPr>
      </w:pPr>
      <w:r w:rsidRPr="0047462D">
        <w:rPr>
          <w:szCs w:val="22"/>
          <w:lang w:eastAsia="en-US"/>
        </w:rPr>
        <w:t xml:space="preserve">Τα </w:t>
      </w:r>
      <w:r w:rsidRPr="0047462D">
        <w:rPr>
          <w:rFonts w:eastAsia="Times New Roman"/>
          <w:szCs w:val="22"/>
        </w:rPr>
        <w:t xml:space="preserve">Kalydeco </w:t>
      </w:r>
      <w:r w:rsidRPr="0047462D">
        <w:t xml:space="preserve">50 mg </w:t>
      </w:r>
      <w:r w:rsidRPr="0047462D">
        <w:rPr>
          <w:rFonts w:eastAsia="Times New Roman"/>
          <w:szCs w:val="22"/>
        </w:rPr>
        <w:t>κοκκία σε φακελλίσκο είναι λευκά έως υπόλευκα κοκκία</w:t>
      </w:r>
      <w:r w:rsidR="003E22B7" w:rsidRPr="0047462D">
        <w:rPr>
          <w:rFonts w:eastAsia="Times New Roman"/>
          <w:szCs w:val="22"/>
        </w:rPr>
        <w:t>.</w:t>
      </w:r>
    </w:p>
    <w:p w14:paraId="026C8966" w14:textId="77777777" w:rsidR="001C01B6" w:rsidRPr="0047462D" w:rsidRDefault="001C01B6" w:rsidP="001C01B6">
      <w:pPr>
        <w:rPr>
          <w:szCs w:val="22"/>
          <w:lang w:eastAsia="en-US"/>
        </w:rPr>
      </w:pPr>
      <w:r w:rsidRPr="0047462D">
        <w:rPr>
          <w:szCs w:val="22"/>
          <w:lang w:eastAsia="en-US"/>
        </w:rPr>
        <w:t xml:space="preserve">Τα </w:t>
      </w:r>
      <w:r w:rsidRPr="0047462D">
        <w:rPr>
          <w:rFonts w:eastAsia="Times New Roman"/>
          <w:szCs w:val="22"/>
        </w:rPr>
        <w:t xml:space="preserve">Kalydeco </w:t>
      </w:r>
      <w:r w:rsidRPr="0047462D">
        <w:t xml:space="preserve">75 mg </w:t>
      </w:r>
      <w:r w:rsidRPr="0047462D">
        <w:rPr>
          <w:rFonts w:eastAsia="Times New Roman"/>
          <w:szCs w:val="22"/>
        </w:rPr>
        <w:t>κοκκία σε φακελλίσκο είναι λευκά έως υπόλευκα κοκκία</w:t>
      </w:r>
      <w:r w:rsidR="003E22B7" w:rsidRPr="0047462D">
        <w:rPr>
          <w:rFonts w:eastAsia="Times New Roman"/>
          <w:szCs w:val="22"/>
        </w:rPr>
        <w:t>.</w:t>
      </w:r>
    </w:p>
    <w:p w14:paraId="18DFB0D3" w14:textId="77777777" w:rsidR="001C01B6" w:rsidRPr="0047462D" w:rsidRDefault="001C01B6" w:rsidP="001C01B6">
      <w:pPr>
        <w:rPr>
          <w:szCs w:val="22"/>
          <w:lang w:eastAsia="en-US"/>
        </w:rPr>
      </w:pPr>
    </w:p>
    <w:p w14:paraId="588F4CEB" w14:textId="77777777" w:rsidR="001C01B6" w:rsidRPr="0047462D" w:rsidRDefault="001C01B6" w:rsidP="001C01B6">
      <w:pPr>
        <w:keepNext/>
      </w:pPr>
      <w:r w:rsidRPr="0047462D">
        <w:t>Τα κοκκία διατίθενται σε φακελλίσκους.</w:t>
      </w:r>
    </w:p>
    <w:p w14:paraId="0C86C20B" w14:textId="2F663CFC" w:rsidR="001C01B6" w:rsidRPr="0047462D" w:rsidRDefault="009323E3" w:rsidP="009A2EEC">
      <w:pPr>
        <w:pStyle w:val="ListParagraph"/>
        <w:numPr>
          <w:ilvl w:val="0"/>
          <w:numId w:val="51"/>
        </w:numPr>
        <w:tabs>
          <w:tab w:val="left" w:pos="567"/>
        </w:tabs>
        <w:suppressAutoHyphens w:val="0"/>
        <w:spacing w:line="260" w:lineRule="exact"/>
        <w:ind w:left="360"/>
      </w:pPr>
      <w:r w:rsidRPr="0047462D">
        <w:t>Συσκευασία</w:t>
      </w:r>
      <w:r w:rsidR="001C01B6" w:rsidRPr="0047462D">
        <w:t xml:space="preserve"> 56 φακελλίσκων (περιέχει 4 ξεχωριστές καρτέλες με 14 φακελλίσκους ανά καρτέλα)</w:t>
      </w:r>
    </w:p>
    <w:p w14:paraId="28CEDE57" w14:textId="77777777" w:rsidR="001C01B6" w:rsidRPr="0047462D" w:rsidRDefault="001C01B6" w:rsidP="001C01B6">
      <w:pPr>
        <w:ind w:right="-2"/>
        <w:rPr>
          <w:rFonts w:eastAsia="Times New Roman"/>
          <w:b/>
          <w:bCs/>
          <w:szCs w:val="22"/>
        </w:rPr>
      </w:pPr>
    </w:p>
    <w:p w14:paraId="233467E1" w14:textId="6C908EA6" w:rsidR="001C01B6" w:rsidRPr="0047462D" w:rsidRDefault="001C01B6" w:rsidP="00AC68E6">
      <w:pPr>
        <w:keepNext/>
        <w:ind w:right="-2"/>
        <w:rPr>
          <w:rFonts w:eastAsia="Times New Roman"/>
          <w:b/>
          <w:bCs/>
          <w:szCs w:val="22"/>
          <w:lang w:val="en-US"/>
        </w:rPr>
      </w:pPr>
      <w:r w:rsidRPr="0047462D">
        <w:rPr>
          <w:rFonts w:eastAsia="Times New Roman"/>
          <w:b/>
          <w:bCs/>
          <w:szCs w:val="22"/>
        </w:rPr>
        <w:t>Κάτοχος</w:t>
      </w:r>
      <w:r w:rsidRPr="0047462D">
        <w:rPr>
          <w:rFonts w:eastAsia="Times New Roman"/>
          <w:b/>
          <w:bCs/>
          <w:szCs w:val="22"/>
          <w:lang w:val="en-US"/>
        </w:rPr>
        <w:t xml:space="preserve"> </w:t>
      </w:r>
      <w:r w:rsidR="00B60D15" w:rsidRPr="0047462D">
        <w:rPr>
          <w:rFonts w:eastAsia="Times New Roman"/>
          <w:b/>
          <w:bCs/>
          <w:szCs w:val="22"/>
        </w:rPr>
        <w:t>Άδειας</w:t>
      </w:r>
      <w:r w:rsidR="00B60D15" w:rsidRPr="0047462D">
        <w:rPr>
          <w:rFonts w:eastAsia="Times New Roman"/>
          <w:b/>
          <w:bCs/>
          <w:szCs w:val="22"/>
          <w:lang w:val="en-US"/>
        </w:rPr>
        <w:t xml:space="preserve"> </w:t>
      </w:r>
      <w:r w:rsidR="00B60D15" w:rsidRPr="0047462D">
        <w:rPr>
          <w:rFonts w:eastAsia="Times New Roman"/>
          <w:b/>
          <w:bCs/>
          <w:szCs w:val="22"/>
        </w:rPr>
        <w:t>Κυκλοφορίας</w:t>
      </w:r>
    </w:p>
    <w:p w14:paraId="00BD5F6F" w14:textId="77777777" w:rsidR="00DF274B" w:rsidRPr="0047462D" w:rsidRDefault="00DF274B" w:rsidP="00AC68E6">
      <w:pPr>
        <w:keepNext/>
        <w:ind w:right="-2"/>
        <w:rPr>
          <w:rFonts w:eastAsia="Times New Roman"/>
          <w:szCs w:val="22"/>
          <w:lang w:val="en-US"/>
        </w:rPr>
      </w:pPr>
    </w:p>
    <w:p w14:paraId="0E62525E" w14:textId="77777777" w:rsidR="005470DD" w:rsidRPr="0047462D" w:rsidRDefault="005470DD" w:rsidP="00D3539C">
      <w:pPr>
        <w:keepNext/>
        <w:rPr>
          <w:iCs/>
          <w:lang w:val="en-US"/>
        </w:rPr>
      </w:pPr>
      <w:r w:rsidRPr="0047462D">
        <w:rPr>
          <w:iCs/>
          <w:lang w:val="en-GB"/>
        </w:rPr>
        <w:t>Vertex</w:t>
      </w:r>
      <w:r w:rsidRPr="0047462D">
        <w:rPr>
          <w:iCs/>
          <w:lang w:val="en-US"/>
        </w:rPr>
        <w:t xml:space="preserve"> </w:t>
      </w:r>
      <w:r w:rsidRPr="0047462D">
        <w:rPr>
          <w:iCs/>
          <w:lang w:val="en-GB"/>
        </w:rPr>
        <w:t>Pharmaceuticals</w:t>
      </w:r>
      <w:r w:rsidRPr="0047462D">
        <w:rPr>
          <w:iCs/>
          <w:lang w:val="en-US"/>
        </w:rPr>
        <w:t xml:space="preserve"> (</w:t>
      </w:r>
      <w:r w:rsidRPr="0047462D">
        <w:rPr>
          <w:iCs/>
          <w:lang w:val="en-GB"/>
        </w:rPr>
        <w:t>Ireland</w:t>
      </w:r>
      <w:r w:rsidRPr="0047462D">
        <w:rPr>
          <w:iCs/>
          <w:lang w:val="en-US"/>
        </w:rPr>
        <w:t xml:space="preserve">) </w:t>
      </w:r>
      <w:r w:rsidRPr="0047462D">
        <w:rPr>
          <w:iCs/>
          <w:lang w:val="en-GB"/>
        </w:rPr>
        <w:t>Limited</w:t>
      </w:r>
    </w:p>
    <w:p w14:paraId="6CFE9FFC" w14:textId="77777777" w:rsidR="005470DD" w:rsidRPr="0047462D" w:rsidRDefault="005470DD" w:rsidP="00D3539C">
      <w:pPr>
        <w:keepNext/>
        <w:rPr>
          <w:iCs/>
          <w:lang w:val="en-GB"/>
        </w:rPr>
      </w:pPr>
      <w:r w:rsidRPr="0047462D">
        <w:rPr>
          <w:iCs/>
          <w:lang w:val="en-GB"/>
        </w:rPr>
        <w:t>28-32 Pembroke Street Upper</w:t>
      </w:r>
    </w:p>
    <w:p w14:paraId="7F4C7D74" w14:textId="77777777" w:rsidR="005470DD" w:rsidRPr="0047462D" w:rsidRDefault="005470DD" w:rsidP="00D3539C">
      <w:pPr>
        <w:keepNext/>
        <w:rPr>
          <w:iCs/>
          <w:lang w:val="en-US"/>
        </w:rPr>
      </w:pPr>
      <w:r w:rsidRPr="0047462D">
        <w:rPr>
          <w:iCs/>
          <w:lang w:val="en-GB"/>
        </w:rPr>
        <w:t>Dublin</w:t>
      </w:r>
      <w:r w:rsidRPr="0047462D">
        <w:rPr>
          <w:iCs/>
          <w:lang w:val="en-US"/>
        </w:rPr>
        <w:t xml:space="preserve"> 2, </w:t>
      </w:r>
      <w:r w:rsidRPr="0047462D">
        <w:rPr>
          <w:iCs/>
          <w:lang w:val="en-GB"/>
        </w:rPr>
        <w:t>D</w:t>
      </w:r>
      <w:r w:rsidRPr="0047462D">
        <w:rPr>
          <w:iCs/>
          <w:lang w:val="en-US"/>
        </w:rPr>
        <w:t xml:space="preserve">02 </w:t>
      </w:r>
      <w:r w:rsidRPr="0047462D">
        <w:rPr>
          <w:iCs/>
          <w:lang w:val="en-GB"/>
        </w:rPr>
        <w:t>EK</w:t>
      </w:r>
      <w:r w:rsidRPr="0047462D">
        <w:rPr>
          <w:iCs/>
          <w:lang w:val="en-US"/>
        </w:rPr>
        <w:t>84</w:t>
      </w:r>
    </w:p>
    <w:p w14:paraId="3475D589" w14:textId="77777777" w:rsidR="005470DD" w:rsidRPr="0047462D" w:rsidRDefault="005470DD" w:rsidP="00D3539C">
      <w:pPr>
        <w:pStyle w:val="NormalIndent"/>
        <w:keepNext/>
        <w:spacing w:after="0"/>
        <w:ind w:left="0"/>
        <w:rPr>
          <w:rFonts w:eastAsia="Times New Roman"/>
          <w:lang w:val="en-US"/>
        </w:rPr>
      </w:pPr>
      <w:r w:rsidRPr="0047462D">
        <w:rPr>
          <w:iCs/>
        </w:rPr>
        <w:t>Ιρλανδία</w:t>
      </w:r>
      <w:r w:rsidRPr="0047462D" w:rsidDel="003810D0">
        <w:rPr>
          <w:rFonts w:eastAsia="Times New Roman"/>
          <w:lang w:val="en-US"/>
        </w:rPr>
        <w:t xml:space="preserve"> </w:t>
      </w:r>
    </w:p>
    <w:p w14:paraId="278DAF21" w14:textId="77777777" w:rsidR="005470DD" w:rsidRPr="0047462D" w:rsidRDefault="005470DD" w:rsidP="00D3539C">
      <w:pPr>
        <w:autoSpaceDE w:val="0"/>
        <w:rPr>
          <w:iCs/>
          <w:lang w:val="en-US"/>
        </w:rPr>
      </w:pPr>
      <w:r w:rsidRPr="0047462D">
        <w:t>Τηλέφωνο</w:t>
      </w:r>
      <w:r w:rsidRPr="0047462D">
        <w:rPr>
          <w:lang w:val="en-US"/>
        </w:rPr>
        <w:t xml:space="preserve">: </w:t>
      </w:r>
      <w:r w:rsidRPr="0047462D">
        <w:rPr>
          <w:iCs/>
          <w:lang w:val="en-US"/>
        </w:rPr>
        <w:t>+353 (0)1 761 7299</w:t>
      </w:r>
    </w:p>
    <w:p w14:paraId="01844DF9" w14:textId="77777777" w:rsidR="001C01B6" w:rsidRPr="0047462D" w:rsidRDefault="001C01B6" w:rsidP="00AB3D36">
      <w:pPr>
        <w:pStyle w:val="1"/>
        <w:spacing w:after="0"/>
        <w:ind w:left="0"/>
        <w:rPr>
          <w:lang w:val="en-US"/>
        </w:rPr>
      </w:pPr>
    </w:p>
    <w:p w14:paraId="4BAFF9C9" w14:textId="7C02D2CD" w:rsidR="00EC11A2" w:rsidRPr="0047462D" w:rsidRDefault="00EC11A2" w:rsidP="00AC68E6">
      <w:pPr>
        <w:keepNext/>
        <w:rPr>
          <w:rFonts w:eastAsia="MS Mincho"/>
          <w:b/>
          <w:color w:val="000000"/>
          <w:lang w:val="en-US" w:eastAsia="ja-JP"/>
        </w:rPr>
      </w:pPr>
      <w:r w:rsidRPr="0047462D">
        <w:rPr>
          <w:rFonts w:eastAsia="MS Mincho"/>
          <w:b/>
          <w:color w:val="000000"/>
          <w:lang w:eastAsia="ja-JP"/>
        </w:rPr>
        <w:t>Παρασκευαστής</w:t>
      </w:r>
    </w:p>
    <w:p w14:paraId="135E0C7F" w14:textId="77777777" w:rsidR="00DF274B" w:rsidRPr="0047462D" w:rsidRDefault="00DF274B" w:rsidP="00AC68E6">
      <w:pPr>
        <w:keepNext/>
        <w:rPr>
          <w:b/>
          <w:color w:val="000000"/>
          <w:lang w:val="en-US"/>
        </w:rPr>
      </w:pPr>
    </w:p>
    <w:p w14:paraId="390E73EE" w14:textId="77777777" w:rsidR="000709CF" w:rsidRPr="0047462D" w:rsidRDefault="000709CF" w:rsidP="00D3539C">
      <w:pPr>
        <w:keepNext/>
        <w:rPr>
          <w:szCs w:val="22"/>
          <w:lang w:val="en-GB"/>
        </w:rPr>
      </w:pPr>
      <w:r w:rsidRPr="0047462D">
        <w:rPr>
          <w:szCs w:val="22"/>
          <w:lang w:val="en-GB"/>
        </w:rPr>
        <w:t>Almac Pharma Services (Ireland) Limited</w:t>
      </w:r>
    </w:p>
    <w:p w14:paraId="7A824394" w14:textId="77777777" w:rsidR="000709CF" w:rsidRPr="0047462D" w:rsidRDefault="000709CF" w:rsidP="00D3539C">
      <w:pPr>
        <w:keepNext/>
        <w:rPr>
          <w:szCs w:val="22"/>
          <w:lang w:val="en-GB"/>
        </w:rPr>
      </w:pPr>
      <w:r w:rsidRPr="0047462D">
        <w:rPr>
          <w:szCs w:val="22"/>
          <w:lang w:val="en-GB"/>
        </w:rPr>
        <w:t>Finnabair Industrial Estate</w:t>
      </w:r>
    </w:p>
    <w:p w14:paraId="726787F6" w14:textId="77777777" w:rsidR="000709CF" w:rsidRPr="0047462D" w:rsidRDefault="000709CF" w:rsidP="00D3539C">
      <w:pPr>
        <w:keepNext/>
        <w:rPr>
          <w:szCs w:val="22"/>
          <w:lang w:val="en-GB"/>
        </w:rPr>
      </w:pPr>
      <w:r w:rsidRPr="0047462D">
        <w:rPr>
          <w:szCs w:val="22"/>
          <w:lang w:val="en-GB"/>
        </w:rPr>
        <w:t>Dundalk</w:t>
      </w:r>
    </w:p>
    <w:p w14:paraId="08D7EAAC" w14:textId="77777777" w:rsidR="000709CF" w:rsidRPr="0047462D" w:rsidRDefault="000709CF" w:rsidP="00D3539C">
      <w:pPr>
        <w:keepNext/>
        <w:rPr>
          <w:szCs w:val="22"/>
          <w:lang w:val="en-GB"/>
        </w:rPr>
      </w:pPr>
      <w:r w:rsidRPr="0047462D">
        <w:rPr>
          <w:szCs w:val="22"/>
          <w:lang w:val="en-GB"/>
        </w:rPr>
        <w:t>Co. Louth</w:t>
      </w:r>
    </w:p>
    <w:p w14:paraId="5E52772A" w14:textId="77777777" w:rsidR="000709CF" w:rsidRPr="0047462D" w:rsidRDefault="000709CF" w:rsidP="00D3539C">
      <w:pPr>
        <w:keepNext/>
        <w:rPr>
          <w:szCs w:val="22"/>
          <w:lang w:val="en-GB"/>
        </w:rPr>
      </w:pPr>
      <w:r w:rsidRPr="0047462D">
        <w:rPr>
          <w:szCs w:val="22"/>
          <w:lang w:val="en-GB"/>
        </w:rPr>
        <w:t>A91 P9KD</w:t>
      </w:r>
    </w:p>
    <w:p w14:paraId="1CB26652" w14:textId="77777777" w:rsidR="000709CF" w:rsidRPr="0047462D" w:rsidRDefault="000709CF" w:rsidP="000709CF">
      <w:pPr>
        <w:rPr>
          <w:szCs w:val="22"/>
          <w:lang w:val="en-GB"/>
        </w:rPr>
      </w:pPr>
      <w:r w:rsidRPr="0047462D">
        <w:rPr>
          <w:szCs w:val="22"/>
        </w:rPr>
        <w:t>Ιρλανδία</w:t>
      </w:r>
    </w:p>
    <w:p w14:paraId="030C0606" w14:textId="77777777" w:rsidR="000709CF" w:rsidRPr="0047462D" w:rsidRDefault="000709CF" w:rsidP="00D3539C">
      <w:pPr>
        <w:rPr>
          <w:rFonts w:eastAsia="MS Mincho"/>
          <w:bCs/>
          <w:color w:val="000000"/>
          <w:lang w:val="en-US" w:eastAsia="ja-JP"/>
        </w:rPr>
      </w:pPr>
    </w:p>
    <w:p w14:paraId="7F4FCA6D"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Almac Pharma Services Limited</w:t>
      </w:r>
    </w:p>
    <w:p w14:paraId="3315A4EC"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Seagoe Industrial Estate</w:t>
      </w:r>
    </w:p>
    <w:p w14:paraId="6064BCBC"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Craigavon</w:t>
      </w:r>
    </w:p>
    <w:p w14:paraId="13A971AF"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County Armagh</w:t>
      </w:r>
    </w:p>
    <w:p w14:paraId="667B03F0" w14:textId="77777777" w:rsidR="00EC11A2" w:rsidRPr="0047462D" w:rsidRDefault="00EC11A2" w:rsidP="00EC11A2">
      <w:pPr>
        <w:keepNext/>
        <w:rPr>
          <w:rFonts w:eastAsia="MS Mincho"/>
          <w:bCs/>
          <w:color w:val="000000"/>
          <w:lang w:eastAsia="ja-JP"/>
        </w:rPr>
      </w:pPr>
      <w:r w:rsidRPr="0047462D">
        <w:rPr>
          <w:rFonts w:eastAsia="MS Mincho"/>
          <w:bCs/>
          <w:color w:val="000000"/>
          <w:lang w:val="en-US" w:eastAsia="ja-JP"/>
        </w:rPr>
        <w:t>BT</w:t>
      </w:r>
      <w:r w:rsidRPr="0047462D">
        <w:rPr>
          <w:rFonts w:eastAsia="MS Mincho"/>
          <w:bCs/>
          <w:color w:val="000000"/>
          <w:lang w:eastAsia="ja-JP"/>
        </w:rPr>
        <w:t>63 5</w:t>
      </w:r>
      <w:r w:rsidRPr="0047462D">
        <w:rPr>
          <w:rFonts w:eastAsia="MS Mincho"/>
          <w:bCs/>
          <w:color w:val="000000"/>
          <w:lang w:val="en-US" w:eastAsia="ja-JP"/>
        </w:rPr>
        <w:t>UA</w:t>
      </w:r>
    </w:p>
    <w:p w14:paraId="18530554" w14:textId="77777777" w:rsidR="00EC11A2" w:rsidRPr="0047462D" w:rsidRDefault="00EC11A2" w:rsidP="00EC11A2">
      <w:pPr>
        <w:rPr>
          <w:rFonts w:eastAsia="MS Mincho"/>
          <w:bCs/>
          <w:color w:val="000000"/>
          <w:lang w:eastAsia="ja-JP"/>
        </w:rPr>
      </w:pPr>
      <w:r w:rsidRPr="0047462D">
        <w:rPr>
          <w:rFonts w:eastAsia="MS Mincho"/>
          <w:bCs/>
          <w:color w:val="000000"/>
          <w:szCs w:val="22"/>
          <w:lang w:eastAsia="ja-JP"/>
        </w:rPr>
        <w:t>Ηνωμένο Βασίλειο</w:t>
      </w:r>
    </w:p>
    <w:p w14:paraId="440013A6" w14:textId="77777777" w:rsidR="00EC11A2" w:rsidRPr="0047462D" w:rsidRDefault="00EC11A2" w:rsidP="00EC11A2">
      <w:pPr>
        <w:numPr>
          <w:ilvl w:val="12"/>
          <w:numId w:val="0"/>
        </w:numPr>
        <w:ind w:right="-2"/>
        <w:outlineLvl w:val="0"/>
        <w:rPr>
          <w:rFonts w:eastAsia="MS Mincho"/>
          <w:bCs/>
          <w:color w:val="000000"/>
          <w:lang w:eastAsia="ja-JP"/>
        </w:rPr>
      </w:pPr>
    </w:p>
    <w:p w14:paraId="51FEA09E" w14:textId="77777777" w:rsidR="001C01B6" w:rsidRPr="0047462D" w:rsidRDefault="001C01B6" w:rsidP="001C01B6">
      <w:pPr>
        <w:ind w:right="-2"/>
        <w:rPr>
          <w:i/>
          <w:iCs/>
          <w:szCs w:val="22"/>
          <w:lang w:eastAsia="en-US"/>
        </w:rPr>
      </w:pPr>
      <w:r w:rsidRPr="0047462D">
        <w:rPr>
          <w:rFonts w:eastAsia="Times New Roman"/>
          <w:b/>
          <w:bCs/>
          <w:szCs w:val="22"/>
        </w:rPr>
        <w:t xml:space="preserve">Το παρόν φύλλο οδηγιών χρήσης αναθεωρήθηκε για τελευταία φορά στις </w:t>
      </w:r>
    </w:p>
    <w:p w14:paraId="3064BB05" w14:textId="77777777" w:rsidR="001C01B6" w:rsidRPr="0047462D" w:rsidRDefault="001C01B6" w:rsidP="001C01B6">
      <w:pPr>
        <w:rPr>
          <w:szCs w:val="22"/>
          <w:lang w:eastAsia="en-US"/>
        </w:rPr>
      </w:pPr>
    </w:p>
    <w:p w14:paraId="23677EB1" w14:textId="1A12131F" w:rsidR="001C01B6" w:rsidRPr="0047462D" w:rsidRDefault="001C01B6" w:rsidP="001C01B6">
      <w:pPr>
        <w:keepNext/>
        <w:rPr>
          <w:b/>
          <w:noProof/>
          <w:szCs w:val="22"/>
        </w:rPr>
      </w:pPr>
      <w:r w:rsidRPr="0047462D">
        <w:rPr>
          <w:b/>
          <w:noProof/>
          <w:szCs w:val="22"/>
        </w:rPr>
        <w:t>Άλλες πηγές πληροφοριών</w:t>
      </w:r>
    </w:p>
    <w:p w14:paraId="42743B77" w14:textId="77777777" w:rsidR="00DF274B" w:rsidRPr="0047462D" w:rsidRDefault="00DF274B" w:rsidP="001C01B6">
      <w:pPr>
        <w:keepNext/>
        <w:rPr>
          <w:szCs w:val="22"/>
          <w:lang w:eastAsia="en-US"/>
        </w:rPr>
      </w:pPr>
    </w:p>
    <w:p w14:paraId="547417E7" w14:textId="77777777" w:rsidR="00A67D3A" w:rsidRPr="009E50D2" w:rsidRDefault="0013252E" w:rsidP="001C01B6">
      <w:pPr>
        <w:ind w:right="-2"/>
        <w:rPr>
          <w:rFonts w:eastAsia="Times New Roman"/>
          <w:color w:val="000000"/>
          <w:szCs w:val="22"/>
        </w:rPr>
      </w:pPr>
      <w:r w:rsidRPr="0047462D">
        <w:rPr>
          <w:noProof/>
          <w:szCs w:val="22"/>
        </w:rPr>
        <w:t xml:space="preserve">Λεπτομερείς πληροφορίες για το φάρμακο </w:t>
      </w:r>
      <w:r w:rsidR="001C01B6" w:rsidRPr="0047462D">
        <w:rPr>
          <w:rFonts w:eastAsia="Times New Roman"/>
          <w:szCs w:val="22"/>
        </w:rPr>
        <w:t>αυτό είναι διαθέσιμ</w:t>
      </w:r>
      <w:r w:rsidRPr="0047462D">
        <w:rPr>
          <w:rFonts w:eastAsia="Times New Roman"/>
          <w:szCs w:val="22"/>
        </w:rPr>
        <w:t>ες</w:t>
      </w:r>
      <w:r w:rsidR="001C01B6" w:rsidRPr="0047462D">
        <w:rPr>
          <w:rFonts w:eastAsia="Times New Roman"/>
          <w:szCs w:val="22"/>
        </w:rPr>
        <w:t xml:space="preserve"> στο δικτυακό τόπο του Ευρωπαϊκού Οργανισμού Φαρμάκων:</w:t>
      </w:r>
      <w:r w:rsidR="001C01B6" w:rsidRPr="0047462D">
        <w:rPr>
          <w:rFonts w:eastAsia="Times New Roman"/>
          <w:szCs w:val="22"/>
          <w:lang w:eastAsia="en-US"/>
        </w:rPr>
        <w:t xml:space="preserve"> </w:t>
      </w:r>
      <w:hyperlink r:id="rId18" w:history="1">
        <w:r w:rsidR="001C01B6" w:rsidRPr="0047462D">
          <w:rPr>
            <w:rStyle w:val="Hyperlink"/>
          </w:rPr>
          <w:t>http://www.ema.europa.eu</w:t>
        </w:r>
      </w:hyperlink>
      <w:r w:rsidR="001C01B6" w:rsidRPr="0047462D">
        <w:rPr>
          <w:rFonts w:eastAsia="Times New Roman"/>
          <w:color w:val="0000FF"/>
          <w:szCs w:val="22"/>
        </w:rPr>
        <w:t>.</w:t>
      </w:r>
      <w:r w:rsidR="001C01B6" w:rsidRPr="0047462D">
        <w:rPr>
          <w:rFonts w:eastAsia="Times New Roman"/>
          <w:szCs w:val="22"/>
          <w:lang w:eastAsia="en-US"/>
        </w:rPr>
        <w:t xml:space="preserve"> </w:t>
      </w:r>
      <w:r w:rsidR="001C01B6" w:rsidRPr="0047462D">
        <w:rPr>
          <w:rFonts w:eastAsia="Times New Roman"/>
          <w:color w:val="000000"/>
          <w:szCs w:val="22"/>
        </w:rPr>
        <w:t xml:space="preserve">Υπάρχουν επίσης </w:t>
      </w:r>
      <w:r w:rsidR="001C01B6" w:rsidRPr="0047462D">
        <w:rPr>
          <w:rFonts w:eastAsia="Times New Roman"/>
          <w:szCs w:val="22"/>
        </w:rPr>
        <w:t>σύνδεσμοι με άλλες ιστοσελίδες που αφορούν σπάνιες ασθένειες και θεραπείες</w:t>
      </w:r>
      <w:r w:rsidR="001C01B6" w:rsidRPr="0047462D">
        <w:rPr>
          <w:rFonts w:eastAsia="Times New Roman"/>
          <w:color w:val="000000"/>
          <w:szCs w:val="22"/>
        </w:rPr>
        <w:t>.</w:t>
      </w:r>
    </w:p>
    <w:p w14:paraId="04C5DD53" w14:textId="64ECA4DF" w:rsidR="00D23A9F" w:rsidRPr="00D23A9F" w:rsidRDefault="00D23A9F" w:rsidP="001C01B6">
      <w:pPr>
        <w:ind w:right="-2"/>
        <w:rPr>
          <w:rFonts w:eastAsia="Times New Roman"/>
          <w:color w:val="000000"/>
          <w:szCs w:val="22"/>
        </w:rPr>
      </w:pPr>
    </w:p>
    <w:sectPr w:rsidR="00D23A9F" w:rsidRPr="00D23A9F" w:rsidSect="00ED7342">
      <w:headerReference w:type="even" r:id="rId19"/>
      <w:headerReference w:type="default" r:id="rId20"/>
      <w:footerReference w:type="even" r:id="rId21"/>
      <w:footerReference w:type="default" r:id="rId22"/>
      <w:headerReference w:type="first" r:id="rId23"/>
      <w:footerReference w:type="first" r:id="rId24"/>
      <w:pgSz w:w="11906" w:h="16838" w:code="9"/>
      <w:pgMar w:top="1134" w:right="1418" w:bottom="1134" w:left="1418" w:header="737" w:footer="73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E35D" w16cex:dateUtc="2020-10-09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65E644" w16cid:durableId="232AB45F"/>
  <w16cid:commentId w16cid:paraId="6328D7BB" w16cid:durableId="232AB456"/>
  <w16cid:commentId w16cid:paraId="59C95551" w16cid:durableId="232AB463"/>
  <w16cid:commentId w16cid:paraId="6FCE756E" w16cid:durableId="232AE3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9BD56" w14:textId="77777777" w:rsidR="005008D8" w:rsidRDefault="005008D8">
      <w:r>
        <w:separator/>
      </w:r>
    </w:p>
  </w:endnote>
  <w:endnote w:type="continuationSeparator" w:id="0">
    <w:p w14:paraId="6DDDEC78" w14:textId="77777777" w:rsidR="005008D8" w:rsidRDefault="005008D8">
      <w:r>
        <w:continuationSeparator/>
      </w:r>
    </w:p>
  </w:endnote>
  <w:endnote w:type="continuationNotice" w:id="1">
    <w:p w14:paraId="397FC904" w14:textId="77777777" w:rsidR="005008D8" w:rsidRDefault="0050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2020803070505020304"/>
    <w:charset w:val="00"/>
    <w:family w:val="roman"/>
    <w:notTrueType/>
    <w:pitch w:val="default"/>
    <w:sig w:usb0="01632867" w:usb1="002E0074" w:usb2="002E002E" w:usb3="00000000" w:csb0="00630061" w:csb1="0067006B"/>
  </w:font>
  <w:font w:name="MS Mincho">
    <w:altName w:val="MS Gothic"/>
    <w:panose1 w:val="02020609040205080304"/>
    <w:charset w:val="80"/>
    <w:family w:val="roman"/>
    <w:notTrueType/>
    <w:pitch w:val="fixed"/>
    <w:sig w:usb0="00000000" w:usb1="08070000" w:usb2="00000010" w:usb3="00000000" w:csb0="00020000" w:csb1="00000000"/>
  </w:font>
  <w:font w:name="WenQuanYi Zen Hei">
    <w:charset w:val="80"/>
    <w:family w:val="auto"/>
    <w:pitch w:val="variable"/>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TimesNewRoman">
    <w:altName w:val="Yu Gothic"/>
    <w:panose1 w:val="00000000000000000000"/>
    <w:charset w:val="00"/>
    <w:family w:val="roman"/>
    <w:notTrueType/>
    <w:pitch w:val="default"/>
    <w:sig w:usb0="00000001" w:usb1="08070000" w:usb2="00000010" w:usb3="00000000" w:csb0="00020000" w:csb1="00000000"/>
  </w:font>
  <w:font w:name="Arial0">
    <w:altName w:val="Arial Unicode MS"/>
    <w:panose1 w:val="00000000000000000000"/>
    <w:charset w:val="00"/>
    <w:family w:val="swiss"/>
    <w:notTrueType/>
    <w:pitch w:val="variable"/>
    <w:sig w:usb0="00000003" w:usb1="00000000" w:usb2="00000000" w:usb3="00000000" w:csb0="00000001" w:csb1="00000000"/>
  </w:font>
  <w:font w:name="TimesNewRomanPSMT">
    <w:altName w:val="MS Goth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92642" w14:textId="77777777" w:rsidR="00604911" w:rsidRDefault="006049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3D6BE5" w14:textId="77777777" w:rsidR="00604911" w:rsidRDefault="00604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37717" w14:textId="77777777" w:rsidR="00604911" w:rsidRDefault="006049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3ECE">
      <w:rPr>
        <w:rStyle w:val="PageNumber"/>
        <w:noProof/>
      </w:rPr>
      <w:t>92</w:t>
    </w:r>
    <w:r>
      <w:rPr>
        <w:rStyle w:val="PageNumber"/>
      </w:rPr>
      <w:fldChar w:fldCharType="end"/>
    </w:r>
  </w:p>
  <w:p w14:paraId="2F9C7464" w14:textId="77777777" w:rsidR="00604911" w:rsidRDefault="006049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ECA94" w14:textId="77777777" w:rsidR="00604911" w:rsidRDefault="00604911">
    <w:pPr>
      <w:pStyle w:val="Footer"/>
      <w:tabs>
        <w:tab w:val="right" w:pos="8931"/>
      </w:tabs>
      <w:ind w:right="96"/>
      <w:jc w:val="center"/>
    </w:pPr>
    <w:r>
      <w:rPr>
        <w:rStyle w:val="PageNumber"/>
        <w:lang w:val="el-GR"/>
      </w:rPr>
      <w:fldChar w:fldCharType="begin"/>
    </w:r>
    <w:r>
      <w:rPr>
        <w:rStyle w:val="PageNumber"/>
        <w:lang w:val="el-GR"/>
      </w:rPr>
      <w:instrText xml:space="preserve"> PAGE </w:instrText>
    </w:r>
    <w:r>
      <w:rPr>
        <w:rStyle w:val="PageNumber"/>
        <w:lang w:val="el-GR"/>
      </w:rPr>
      <w:fldChar w:fldCharType="separate"/>
    </w:r>
    <w:r>
      <w:rPr>
        <w:rStyle w:val="PageNumber"/>
        <w:noProof/>
        <w:lang w:val="el-GR"/>
      </w:rPr>
      <w:t>1</w:t>
    </w:r>
    <w:r>
      <w:rPr>
        <w:rStyle w:val="PageNumber"/>
        <w:lang w:val="el-G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04B59" w14:textId="77777777" w:rsidR="005008D8" w:rsidRDefault="005008D8">
      <w:r>
        <w:separator/>
      </w:r>
    </w:p>
  </w:footnote>
  <w:footnote w:type="continuationSeparator" w:id="0">
    <w:p w14:paraId="5773B17B" w14:textId="77777777" w:rsidR="005008D8" w:rsidRDefault="005008D8">
      <w:r>
        <w:continuationSeparator/>
      </w:r>
    </w:p>
  </w:footnote>
  <w:footnote w:type="continuationNotice" w:id="1">
    <w:p w14:paraId="3ECD6F0A" w14:textId="77777777" w:rsidR="005008D8" w:rsidRDefault="005008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AD01" w14:textId="77777777" w:rsidR="00604911" w:rsidRDefault="00604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8B2EB" w14:textId="77777777" w:rsidR="00604911" w:rsidRDefault="00604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70AB" w14:textId="77777777" w:rsidR="00604911" w:rsidRDefault="00604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15:restartNumberingAfterBreak="0">
    <w:nsid w:val="FFFFFF7C"/>
    <w:multiLevelType w:val="singleLevel"/>
    <w:tmpl w:val="47C6C4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C8A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C8FA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68DD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96AB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E5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EC17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DE7F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9C66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489A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0"/>
    <w:lvl w:ilvl="0">
      <w:start w:val="1"/>
      <w:numFmt w:val="bullet"/>
      <w:lvlText w:val=""/>
      <w:lvlJc w:val="left"/>
      <w:pPr>
        <w:tabs>
          <w:tab w:val="num" w:pos="360"/>
        </w:tabs>
        <w:ind w:left="360" w:hanging="360"/>
      </w:pPr>
      <w:rPr>
        <w:rFonts w:ascii="Symbol" w:hAnsi="Symbol" w:cs="Symbol"/>
        <w:sz w:val="16"/>
        <w:szCs w:val="16"/>
      </w:rPr>
    </w:lvl>
  </w:abstractNum>
  <w:abstractNum w:abstractNumId="12" w15:restartNumberingAfterBreak="0">
    <w:nsid w:val="00000003"/>
    <w:multiLevelType w:val="singleLevel"/>
    <w:tmpl w:val="00000003"/>
    <w:name w:val="WW8Num22"/>
    <w:lvl w:ilvl="0">
      <w:start w:val="1"/>
      <w:numFmt w:val="bullet"/>
      <w:lvlText w:val=""/>
      <w:lvlJc w:val="left"/>
      <w:pPr>
        <w:tabs>
          <w:tab w:val="num" w:pos="360"/>
        </w:tabs>
        <w:ind w:left="360" w:hanging="360"/>
      </w:pPr>
      <w:rPr>
        <w:rFonts w:ascii="Symbol" w:hAnsi="Symbol" w:cs="Symbol"/>
        <w:sz w:val="16"/>
        <w:szCs w:val="16"/>
      </w:rPr>
    </w:lvl>
  </w:abstractNum>
  <w:abstractNum w:abstractNumId="13" w15:restartNumberingAfterBreak="0">
    <w:nsid w:val="00000004"/>
    <w:multiLevelType w:val="singleLevel"/>
    <w:tmpl w:val="00000004"/>
    <w:name w:val="WW8Num24"/>
    <w:lvl w:ilvl="0">
      <w:start w:val="1"/>
      <w:numFmt w:val="bullet"/>
      <w:lvlText w:val=""/>
      <w:lvlJc w:val="left"/>
      <w:pPr>
        <w:tabs>
          <w:tab w:val="num" w:pos="720"/>
        </w:tabs>
        <w:ind w:left="720" w:hanging="360"/>
      </w:pPr>
      <w:rPr>
        <w:rFonts w:ascii="Symbol" w:hAnsi="Symbol" w:cs="Symbol"/>
        <w:sz w:val="16"/>
        <w:szCs w:val="16"/>
      </w:rPr>
    </w:lvl>
  </w:abstractNum>
  <w:abstractNum w:abstractNumId="14" w15:restartNumberingAfterBreak="0">
    <w:nsid w:val="00000005"/>
    <w:multiLevelType w:val="singleLevel"/>
    <w:tmpl w:val="00000005"/>
    <w:name w:val="WW8Num29"/>
    <w:lvl w:ilvl="0">
      <w:start w:val="1"/>
      <w:numFmt w:val="bullet"/>
      <w:lvlText w:val=""/>
      <w:lvlJc w:val="left"/>
      <w:pPr>
        <w:tabs>
          <w:tab w:val="num" w:pos="1440"/>
        </w:tabs>
        <w:ind w:left="1440" w:hanging="360"/>
      </w:pPr>
      <w:rPr>
        <w:rFonts w:ascii="Symbol" w:hAnsi="Symbol" w:cs="Symbol"/>
        <w:color w:val="auto"/>
        <w:sz w:val="20"/>
        <w:szCs w:val="20"/>
      </w:rPr>
    </w:lvl>
  </w:abstractNum>
  <w:abstractNum w:abstractNumId="15" w15:restartNumberingAfterBreak="0">
    <w:nsid w:val="00000006"/>
    <w:multiLevelType w:val="singleLevel"/>
    <w:tmpl w:val="00000006"/>
    <w:name w:val="WW8Num30"/>
    <w:lvl w:ilvl="0">
      <w:start w:val="1"/>
      <w:numFmt w:val="bullet"/>
      <w:lvlText w:val=""/>
      <w:lvlJc w:val="left"/>
      <w:pPr>
        <w:tabs>
          <w:tab w:val="num" w:pos="720"/>
        </w:tabs>
        <w:ind w:left="720" w:hanging="360"/>
      </w:pPr>
      <w:rPr>
        <w:rFonts w:ascii="Symbol" w:hAnsi="Symbol" w:cs="Symbol"/>
        <w:color w:val="auto"/>
        <w:sz w:val="20"/>
        <w:szCs w:val="20"/>
      </w:rPr>
    </w:lvl>
  </w:abstractNum>
  <w:abstractNum w:abstractNumId="16" w15:restartNumberingAfterBreak="0">
    <w:nsid w:val="00000007"/>
    <w:multiLevelType w:val="singleLevel"/>
    <w:tmpl w:val="00000007"/>
    <w:name w:val="WW8Num38"/>
    <w:lvl w:ilvl="0">
      <w:start w:val="1"/>
      <w:numFmt w:val="bullet"/>
      <w:lvlText w:val=""/>
      <w:lvlJc w:val="left"/>
      <w:pPr>
        <w:tabs>
          <w:tab w:val="num" w:pos="360"/>
        </w:tabs>
        <w:ind w:left="360" w:hanging="360"/>
      </w:pPr>
      <w:rPr>
        <w:rFonts w:ascii="Symbol" w:hAnsi="Symbol" w:cs="Symbol"/>
        <w:sz w:val="16"/>
        <w:szCs w:val="16"/>
      </w:rPr>
    </w:lvl>
  </w:abstractNum>
  <w:abstractNum w:abstractNumId="17" w15:restartNumberingAfterBreak="0">
    <w:nsid w:val="00000008"/>
    <w:multiLevelType w:val="singleLevel"/>
    <w:tmpl w:val="00000008"/>
    <w:name w:val="WW8Num42"/>
    <w:lvl w:ilvl="0">
      <w:start w:val="5"/>
      <w:numFmt w:val="bullet"/>
      <w:lvlText w:val="-"/>
      <w:lvlJc w:val="left"/>
      <w:pPr>
        <w:tabs>
          <w:tab w:val="num" w:pos="720"/>
        </w:tabs>
        <w:ind w:left="720" w:hanging="360"/>
      </w:pPr>
      <w:rPr>
        <w:rFonts w:ascii="Times New Roman" w:hAnsi="Times New Roman" w:cs="Times New Roman"/>
      </w:rPr>
    </w:lvl>
  </w:abstractNum>
  <w:abstractNum w:abstractNumId="18" w15:restartNumberingAfterBreak="0">
    <w:nsid w:val="00000009"/>
    <w:multiLevelType w:val="singleLevel"/>
    <w:tmpl w:val="00000009"/>
    <w:name w:val="WW8Num45"/>
    <w:lvl w:ilvl="0">
      <w:start w:val="1"/>
      <w:numFmt w:val="bullet"/>
      <w:lvlText w:val=""/>
      <w:lvlJc w:val="left"/>
      <w:pPr>
        <w:tabs>
          <w:tab w:val="num" w:pos="720"/>
        </w:tabs>
        <w:ind w:left="720" w:hanging="360"/>
      </w:pPr>
      <w:rPr>
        <w:rFonts w:ascii="Symbol" w:hAnsi="Symbol" w:cs="Symbol"/>
        <w:sz w:val="16"/>
        <w:szCs w:val="16"/>
      </w:rPr>
    </w:lvl>
  </w:abstractNum>
  <w:abstractNum w:abstractNumId="19" w15:restartNumberingAfterBreak="0">
    <w:nsid w:val="03C55CDB"/>
    <w:multiLevelType w:val="hybridMultilevel"/>
    <w:tmpl w:val="EE1AF7EA"/>
    <w:numStyleLink w:val="ImportedStyle17"/>
  </w:abstractNum>
  <w:abstractNum w:abstractNumId="2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AF87EFF"/>
    <w:multiLevelType w:val="hybridMultilevel"/>
    <w:tmpl w:val="995248D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0B6D74C6"/>
    <w:multiLevelType w:val="hybridMultilevel"/>
    <w:tmpl w:val="3F42228A"/>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0BC96080"/>
    <w:multiLevelType w:val="hybridMultilevel"/>
    <w:tmpl w:val="CCD0C1CE"/>
    <w:lvl w:ilvl="0" w:tplc="C052A424">
      <w:start w:val="1"/>
      <w:numFmt w:val="bullet"/>
      <w:lvlText w:val=""/>
      <w:lvlJc w:val="left"/>
      <w:pPr>
        <w:ind w:left="776" w:hanging="360"/>
      </w:pPr>
      <w:rPr>
        <w:rFonts w:ascii="Symbol" w:hAnsi="Symbol" w:hint="default"/>
      </w:rPr>
    </w:lvl>
    <w:lvl w:ilvl="1" w:tplc="709CAA0A" w:tentative="1">
      <w:start w:val="1"/>
      <w:numFmt w:val="bullet"/>
      <w:lvlText w:val="o"/>
      <w:lvlJc w:val="left"/>
      <w:pPr>
        <w:ind w:left="1496" w:hanging="360"/>
      </w:pPr>
      <w:rPr>
        <w:rFonts w:ascii="Courier New" w:hAnsi="Courier New" w:cs="Courier New" w:hint="default"/>
      </w:rPr>
    </w:lvl>
    <w:lvl w:ilvl="2" w:tplc="E496FAEE" w:tentative="1">
      <w:start w:val="1"/>
      <w:numFmt w:val="bullet"/>
      <w:lvlText w:val=""/>
      <w:lvlJc w:val="left"/>
      <w:pPr>
        <w:ind w:left="2216" w:hanging="360"/>
      </w:pPr>
      <w:rPr>
        <w:rFonts w:ascii="Wingdings" w:hAnsi="Wingdings" w:hint="default"/>
      </w:rPr>
    </w:lvl>
    <w:lvl w:ilvl="3" w:tplc="31C24D46" w:tentative="1">
      <w:start w:val="1"/>
      <w:numFmt w:val="bullet"/>
      <w:lvlText w:val=""/>
      <w:lvlJc w:val="left"/>
      <w:pPr>
        <w:ind w:left="2936" w:hanging="360"/>
      </w:pPr>
      <w:rPr>
        <w:rFonts w:ascii="Symbol" w:hAnsi="Symbol" w:hint="default"/>
      </w:rPr>
    </w:lvl>
    <w:lvl w:ilvl="4" w:tplc="F3E8ABC0" w:tentative="1">
      <w:start w:val="1"/>
      <w:numFmt w:val="bullet"/>
      <w:lvlText w:val="o"/>
      <w:lvlJc w:val="left"/>
      <w:pPr>
        <w:ind w:left="3656" w:hanging="360"/>
      </w:pPr>
      <w:rPr>
        <w:rFonts w:ascii="Courier New" w:hAnsi="Courier New" w:cs="Courier New" w:hint="default"/>
      </w:rPr>
    </w:lvl>
    <w:lvl w:ilvl="5" w:tplc="73365D88" w:tentative="1">
      <w:start w:val="1"/>
      <w:numFmt w:val="bullet"/>
      <w:lvlText w:val=""/>
      <w:lvlJc w:val="left"/>
      <w:pPr>
        <w:ind w:left="4376" w:hanging="360"/>
      </w:pPr>
      <w:rPr>
        <w:rFonts w:ascii="Wingdings" w:hAnsi="Wingdings" w:hint="default"/>
      </w:rPr>
    </w:lvl>
    <w:lvl w:ilvl="6" w:tplc="BDEEDEB4" w:tentative="1">
      <w:start w:val="1"/>
      <w:numFmt w:val="bullet"/>
      <w:lvlText w:val=""/>
      <w:lvlJc w:val="left"/>
      <w:pPr>
        <w:ind w:left="5096" w:hanging="360"/>
      </w:pPr>
      <w:rPr>
        <w:rFonts w:ascii="Symbol" w:hAnsi="Symbol" w:hint="default"/>
      </w:rPr>
    </w:lvl>
    <w:lvl w:ilvl="7" w:tplc="350A5224" w:tentative="1">
      <w:start w:val="1"/>
      <w:numFmt w:val="bullet"/>
      <w:lvlText w:val="o"/>
      <w:lvlJc w:val="left"/>
      <w:pPr>
        <w:ind w:left="5816" w:hanging="360"/>
      </w:pPr>
      <w:rPr>
        <w:rFonts w:ascii="Courier New" w:hAnsi="Courier New" w:cs="Courier New" w:hint="default"/>
      </w:rPr>
    </w:lvl>
    <w:lvl w:ilvl="8" w:tplc="82A6A150" w:tentative="1">
      <w:start w:val="1"/>
      <w:numFmt w:val="bullet"/>
      <w:lvlText w:val=""/>
      <w:lvlJc w:val="left"/>
      <w:pPr>
        <w:ind w:left="6536" w:hanging="360"/>
      </w:pPr>
      <w:rPr>
        <w:rFonts w:ascii="Wingdings" w:hAnsi="Wingdings" w:hint="default"/>
      </w:rPr>
    </w:lvl>
  </w:abstractNum>
  <w:abstractNum w:abstractNumId="24" w15:restartNumberingAfterBreak="0">
    <w:nsid w:val="0C0B379D"/>
    <w:multiLevelType w:val="hybridMultilevel"/>
    <w:tmpl w:val="62CEEA62"/>
    <w:lvl w:ilvl="0" w:tplc="4E20846C">
      <w:start w:val="1"/>
      <w:numFmt w:val="bullet"/>
      <w:lvlText w:val=""/>
      <w:lvlJc w:val="left"/>
      <w:pPr>
        <w:tabs>
          <w:tab w:val="num" w:pos="360"/>
        </w:tabs>
        <w:ind w:left="360" w:hanging="360"/>
      </w:pPr>
      <w:rPr>
        <w:rFonts w:ascii="Symbol" w:hAnsi="Symbol" w:cs="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0C920073"/>
    <w:multiLevelType w:val="hybridMultilevel"/>
    <w:tmpl w:val="F916518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0CBC3C1C"/>
    <w:multiLevelType w:val="hybridMultilevel"/>
    <w:tmpl w:val="3A6ED6A2"/>
    <w:lvl w:ilvl="0" w:tplc="00000006">
      <w:start w:val="1"/>
      <w:numFmt w:val="bullet"/>
      <w:lvlText w:val=""/>
      <w:lvlJc w:val="left"/>
      <w:pPr>
        <w:ind w:left="720" w:hanging="360"/>
      </w:pPr>
      <w:rPr>
        <w:rFonts w:ascii="Symbol" w:hAnsi="Symbol" w:cs="Symbol" w:hint="default"/>
        <w:color w:val="auto"/>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0D220C37"/>
    <w:multiLevelType w:val="hybridMultilevel"/>
    <w:tmpl w:val="A3928D62"/>
    <w:lvl w:ilvl="0" w:tplc="14D69A66">
      <w:start w:val="12"/>
      <w:numFmt w:val="bullet"/>
      <w:lvlText w:val="-"/>
      <w:lvlJc w:val="left"/>
      <w:pPr>
        <w:ind w:left="410" w:hanging="360"/>
      </w:pPr>
      <w:rPr>
        <w:rFonts w:ascii="Times New Roman" w:eastAsia="SimSu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8" w15:restartNumberingAfterBreak="0">
    <w:nsid w:val="0E7E2DC8"/>
    <w:multiLevelType w:val="hybridMultilevel"/>
    <w:tmpl w:val="8188CB7A"/>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0FE8728E"/>
    <w:multiLevelType w:val="hybridMultilevel"/>
    <w:tmpl w:val="82E878C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05427C3"/>
    <w:multiLevelType w:val="hybridMultilevel"/>
    <w:tmpl w:val="53C067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67F28A7"/>
    <w:multiLevelType w:val="hybridMultilevel"/>
    <w:tmpl w:val="9CF61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8733365"/>
    <w:multiLevelType w:val="hybridMultilevel"/>
    <w:tmpl w:val="CAF499BC"/>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1EAE3CDC"/>
    <w:multiLevelType w:val="hybridMultilevel"/>
    <w:tmpl w:val="55B2259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EF95B73"/>
    <w:multiLevelType w:val="hybridMultilevel"/>
    <w:tmpl w:val="2EE8DE2E"/>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207443A5"/>
    <w:multiLevelType w:val="hybridMultilevel"/>
    <w:tmpl w:val="C6BA7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3176E33"/>
    <w:multiLevelType w:val="hybridMultilevel"/>
    <w:tmpl w:val="B676406C"/>
    <w:lvl w:ilvl="0" w:tplc="14D69A66">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5F31A0"/>
    <w:multiLevelType w:val="hybridMultilevel"/>
    <w:tmpl w:val="10DC0FE2"/>
    <w:lvl w:ilvl="0" w:tplc="0409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8" w15:restartNumberingAfterBreak="0">
    <w:nsid w:val="2377336A"/>
    <w:multiLevelType w:val="hybridMultilevel"/>
    <w:tmpl w:val="6F22DB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26E2602B"/>
    <w:multiLevelType w:val="hybridMultilevel"/>
    <w:tmpl w:val="54A6E284"/>
    <w:lvl w:ilvl="0" w:tplc="B5F89E20">
      <w:start w:val="1"/>
      <w:numFmt w:val="bullet"/>
      <w:lvlText w:val=""/>
      <w:lvlJc w:val="left"/>
      <w:pPr>
        <w:tabs>
          <w:tab w:val="num" w:pos="360"/>
        </w:tabs>
        <w:ind w:left="360" w:hanging="360"/>
      </w:pPr>
      <w:rPr>
        <w:rFonts w:ascii="Symbol" w:hAnsi="Symbol" w:cs="Symbol" w:hint="default"/>
        <w:color w:val="auto"/>
        <w:sz w:val="20"/>
        <w:szCs w:val="20"/>
      </w:rPr>
    </w:lvl>
    <w:lvl w:ilvl="1" w:tplc="E0D6244C">
      <w:start w:val="1"/>
      <w:numFmt w:val="bullet"/>
      <w:lvlText w:val="o"/>
      <w:lvlJc w:val="left"/>
      <w:pPr>
        <w:tabs>
          <w:tab w:val="num" w:pos="1440"/>
        </w:tabs>
        <w:ind w:left="1440" w:hanging="360"/>
      </w:pPr>
      <w:rPr>
        <w:rFonts w:ascii="Courier New" w:hAnsi="Courier New" w:cs="Courier New" w:hint="default"/>
      </w:rPr>
    </w:lvl>
    <w:lvl w:ilvl="2" w:tplc="E22AF79A">
      <w:start w:val="1"/>
      <w:numFmt w:val="bullet"/>
      <w:lvlText w:val=""/>
      <w:lvlJc w:val="left"/>
      <w:pPr>
        <w:tabs>
          <w:tab w:val="num" w:pos="2160"/>
        </w:tabs>
        <w:ind w:left="2160" w:hanging="360"/>
      </w:pPr>
      <w:rPr>
        <w:rFonts w:ascii="Wingdings" w:hAnsi="Wingdings" w:cs="Wingdings" w:hint="default"/>
      </w:rPr>
    </w:lvl>
    <w:lvl w:ilvl="3" w:tplc="618007BC">
      <w:start w:val="1"/>
      <w:numFmt w:val="bullet"/>
      <w:lvlText w:val=""/>
      <w:lvlJc w:val="left"/>
      <w:pPr>
        <w:tabs>
          <w:tab w:val="num" w:pos="2880"/>
        </w:tabs>
        <w:ind w:left="2880" w:hanging="360"/>
      </w:pPr>
      <w:rPr>
        <w:rFonts w:ascii="Symbol" w:hAnsi="Symbol" w:cs="Symbol" w:hint="default"/>
      </w:rPr>
    </w:lvl>
    <w:lvl w:ilvl="4" w:tplc="1E448C3A">
      <w:start w:val="1"/>
      <w:numFmt w:val="bullet"/>
      <w:lvlText w:val="o"/>
      <w:lvlJc w:val="left"/>
      <w:pPr>
        <w:tabs>
          <w:tab w:val="num" w:pos="3600"/>
        </w:tabs>
        <w:ind w:left="3600" w:hanging="360"/>
      </w:pPr>
      <w:rPr>
        <w:rFonts w:ascii="Courier New" w:hAnsi="Courier New" w:cs="Courier New" w:hint="default"/>
      </w:rPr>
    </w:lvl>
    <w:lvl w:ilvl="5" w:tplc="0CDA5642">
      <w:start w:val="1"/>
      <w:numFmt w:val="bullet"/>
      <w:lvlText w:val=""/>
      <w:lvlJc w:val="left"/>
      <w:pPr>
        <w:tabs>
          <w:tab w:val="num" w:pos="4320"/>
        </w:tabs>
        <w:ind w:left="4320" w:hanging="360"/>
      </w:pPr>
      <w:rPr>
        <w:rFonts w:ascii="Wingdings" w:hAnsi="Wingdings" w:cs="Wingdings" w:hint="default"/>
      </w:rPr>
    </w:lvl>
    <w:lvl w:ilvl="6" w:tplc="968E6744">
      <w:start w:val="1"/>
      <w:numFmt w:val="bullet"/>
      <w:lvlText w:val=""/>
      <w:lvlJc w:val="left"/>
      <w:pPr>
        <w:tabs>
          <w:tab w:val="num" w:pos="5040"/>
        </w:tabs>
        <w:ind w:left="5040" w:hanging="360"/>
      </w:pPr>
      <w:rPr>
        <w:rFonts w:ascii="Symbol" w:hAnsi="Symbol" w:cs="Symbol" w:hint="default"/>
      </w:rPr>
    </w:lvl>
    <w:lvl w:ilvl="7" w:tplc="0DE457BC">
      <w:start w:val="1"/>
      <w:numFmt w:val="bullet"/>
      <w:lvlText w:val="o"/>
      <w:lvlJc w:val="left"/>
      <w:pPr>
        <w:tabs>
          <w:tab w:val="num" w:pos="5760"/>
        </w:tabs>
        <w:ind w:left="5760" w:hanging="360"/>
      </w:pPr>
      <w:rPr>
        <w:rFonts w:ascii="Courier New" w:hAnsi="Courier New" w:cs="Courier New" w:hint="default"/>
      </w:rPr>
    </w:lvl>
    <w:lvl w:ilvl="8" w:tplc="347244A8">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2CA60FFC"/>
    <w:multiLevelType w:val="multilevel"/>
    <w:tmpl w:val="1DA2506E"/>
    <w:lvl w:ilvl="0">
      <w:start w:val="1"/>
      <w:numFmt w:val="bullet"/>
      <w:lvlText w:val=""/>
      <w:lvlJc w:val="left"/>
      <w:pPr>
        <w:tabs>
          <w:tab w:val="num" w:pos="720"/>
        </w:tabs>
        <w:ind w:left="720" w:hanging="360"/>
      </w:pPr>
      <w:rPr>
        <w:rFonts w:ascii="Symbol" w:hAnsi="Symbol" w:hint="default"/>
        <w:color w:val="auto"/>
        <w:sz w:val="18"/>
      </w:rPr>
    </w:lvl>
    <w:lvl w:ilvl="1">
      <w:start w:val="1"/>
      <w:numFmt w:val="bullet"/>
      <w:lvlText w:val=""/>
      <w:lvlJc w:val="left"/>
      <w:pPr>
        <w:tabs>
          <w:tab w:val="num" w:pos="1080"/>
        </w:tabs>
        <w:ind w:left="1080" w:hanging="363"/>
      </w:pPr>
      <w:rPr>
        <w:rFonts w:ascii="Symbol" w:hAnsi="Symbol" w:hint="default"/>
        <w:color w:val="003399"/>
      </w:rPr>
    </w:lvl>
    <w:lvl w:ilvl="2">
      <w:start w:val="1"/>
      <w:numFmt w:val="none"/>
      <w:lvlText w:val=""/>
      <w:lvlJc w:val="left"/>
      <w:pPr>
        <w:tabs>
          <w:tab w:val="num" w:pos="1080"/>
        </w:tabs>
        <w:ind w:left="1080" w:firstLine="0"/>
      </w:pPr>
      <w:rPr>
        <w:rFonts w:hint="default"/>
      </w:rPr>
    </w:lvl>
    <w:lvl w:ilvl="3">
      <w:start w:val="1"/>
      <w:numFmt w:val="none"/>
      <w:lvlText w:val=""/>
      <w:lvlJc w:val="left"/>
      <w:pPr>
        <w:tabs>
          <w:tab w:val="num" w:pos="1080"/>
        </w:tabs>
        <w:ind w:left="108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080"/>
        </w:tabs>
        <w:ind w:left="1080" w:firstLine="0"/>
      </w:pPr>
      <w:rPr>
        <w:rFonts w:hint="default"/>
      </w:rPr>
    </w:lvl>
    <w:lvl w:ilvl="6">
      <w:start w:val="1"/>
      <w:numFmt w:val="none"/>
      <w:lvlText w:val=""/>
      <w:lvlJc w:val="left"/>
      <w:pPr>
        <w:tabs>
          <w:tab w:val="num" w:pos="1080"/>
        </w:tabs>
        <w:ind w:left="1080" w:firstLine="0"/>
      </w:pPr>
      <w:rPr>
        <w:rFonts w:hint="default"/>
      </w:rPr>
    </w:lvl>
    <w:lvl w:ilvl="7">
      <w:start w:val="1"/>
      <w:numFmt w:val="none"/>
      <w:lvlText w:val=""/>
      <w:lvlJc w:val="left"/>
      <w:pPr>
        <w:tabs>
          <w:tab w:val="num" w:pos="1080"/>
        </w:tabs>
        <w:ind w:left="1080" w:firstLine="0"/>
      </w:pPr>
      <w:rPr>
        <w:rFonts w:hint="default"/>
      </w:rPr>
    </w:lvl>
    <w:lvl w:ilvl="8">
      <w:start w:val="1"/>
      <w:numFmt w:val="none"/>
      <w:lvlText w:val=""/>
      <w:lvlJc w:val="left"/>
      <w:pPr>
        <w:tabs>
          <w:tab w:val="num" w:pos="1080"/>
        </w:tabs>
        <w:ind w:left="1080" w:firstLine="0"/>
      </w:pPr>
      <w:rPr>
        <w:rFonts w:hint="default"/>
      </w:rPr>
    </w:lvl>
  </w:abstractNum>
  <w:abstractNum w:abstractNumId="41" w15:restartNumberingAfterBreak="0">
    <w:nsid w:val="2CF6224D"/>
    <w:multiLevelType w:val="hybridMultilevel"/>
    <w:tmpl w:val="3640A94C"/>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2E17777D"/>
    <w:multiLevelType w:val="hybridMultilevel"/>
    <w:tmpl w:val="AE3E05E4"/>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2E541609"/>
    <w:multiLevelType w:val="hybridMultilevel"/>
    <w:tmpl w:val="1E5AABE8"/>
    <w:lvl w:ilvl="0" w:tplc="973A3584">
      <w:start w:val="1"/>
      <w:numFmt w:val="decimal"/>
      <w:lvlText w:val="%1."/>
      <w:lvlJc w:val="left"/>
      <w:pPr>
        <w:tabs>
          <w:tab w:val="num" w:pos="570"/>
        </w:tabs>
        <w:ind w:left="570" w:hanging="570"/>
      </w:pPr>
      <w:rPr>
        <w:rFonts w:hint="default"/>
      </w:rPr>
    </w:lvl>
    <w:lvl w:ilvl="1" w:tplc="96E69858">
      <w:start w:val="1"/>
      <w:numFmt w:val="lowerLetter"/>
      <w:lvlText w:val="%2."/>
      <w:lvlJc w:val="left"/>
      <w:pPr>
        <w:tabs>
          <w:tab w:val="num" w:pos="1080"/>
        </w:tabs>
        <w:ind w:left="1080" w:hanging="360"/>
      </w:pPr>
    </w:lvl>
    <w:lvl w:ilvl="2" w:tplc="17022846">
      <w:start w:val="1"/>
      <w:numFmt w:val="lowerRoman"/>
      <w:lvlText w:val="%3."/>
      <w:lvlJc w:val="right"/>
      <w:pPr>
        <w:tabs>
          <w:tab w:val="num" w:pos="1800"/>
        </w:tabs>
        <w:ind w:left="1800" w:hanging="180"/>
      </w:pPr>
    </w:lvl>
    <w:lvl w:ilvl="3" w:tplc="776AAA66">
      <w:start w:val="1"/>
      <w:numFmt w:val="decimal"/>
      <w:lvlText w:val="%4."/>
      <w:lvlJc w:val="left"/>
      <w:pPr>
        <w:tabs>
          <w:tab w:val="num" w:pos="2520"/>
        </w:tabs>
        <w:ind w:left="2520" w:hanging="360"/>
      </w:pPr>
    </w:lvl>
    <w:lvl w:ilvl="4" w:tplc="86B0716E">
      <w:start w:val="1"/>
      <w:numFmt w:val="lowerLetter"/>
      <w:lvlText w:val="%5."/>
      <w:lvlJc w:val="left"/>
      <w:pPr>
        <w:tabs>
          <w:tab w:val="num" w:pos="3240"/>
        </w:tabs>
        <w:ind w:left="3240" w:hanging="360"/>
      </w:pPr>
    </w:lvl>
    <w:lvl w:ilvl="5" w:tplc="0A82671C">
      <w:start w:val="1"/>
      <w:numFmt w:val="lowerRoman"/>
      <w:lvlText w:val="%6."/>
      <w:lvlJc w:val="right"/>
      <w:pPr>
        <w:tabs>
          <w:tab w:val="num" w:pos="3960"/>
        </w:tabs>
        <w:ind w:left="3960" w:hanging="180"/>
      </w:pPr>
    </w:lvl>
    <w:lvl w:ilvl="6" w:tplc="0B5C122A">
      <w:start w:val="1"/>
      <w:numFmt w:val="decimal"/>
      <w:lvlText w:val="%7."/>
      <w:lvlJc w:val="left"/>
      <w:pPr>
        <w:tabs>
          <w:tab w:val="num" w:pos="4680"/>
        </w:tabs>
        <w:ind w:left="4680" w:hanging="360"/>
      </w:pPr>
    </w:lvl>
    <w:lvl w:ilvl="7" w:tplc="31C4867C">
      <w:start w:val="1"/>
      <w:numFmt w:val="lowerLetter"/>
      <w:lvlText w:val="%8."/>
      <w:lvlJc w:val="left"/>
      <w:pPr>
        <w:tabs>
          <w:tab w:val="num" w:pos="5400"/>
        </w:tabs>
        <w:ind w:left="5400" w:hanging="360"/>
      </w:pPr>
    </w:lvl>
    <w:lvl w:ilvl="8" w:tplc="B6FA056E">
      <w:start w:val="1"/>
      <w:numFmt w:val="lowerRoman"/>
      <w:lvlText w:val="%9."/>
      <w:lvlJc w:val="right"/>
      <w:pPr>
        <w:tabs>
          <w:tab w:val="num" w:pos="6120"/>
        </w:tabs>
        <w:ind w:left="6120" w:hanging="180"/>
      </w:pPr>
    </w:lvl>
  </w:abstractNum>
  <w:abstractNum w:abstractNumId="44" w15:restartNumberingAfterBreak="0">
    <w:nsid w:val="32824FFA"/>
    <w:multiLevelType w:val="hybridMultilevel"/>
    <w:tmpl w:val="BD4A638A"/>
    <w:lvl w:ilvl="0" w:tplc="FA648CF2">
      <w:start w:val="1"/>
      <w:numFmt w:val="bullet"/>
      <w:lvlText w:val=""/>
      <w:lvlPicBulletId w:val="0"/>
      <w:lvlJc w:val="left"/>
      <w:pPr>
        <w:tabs>
          <w:tab w:val="num" w:pos="720"/>
        </w:tabs>
        <w:ind w:left="720" w:hanging="360"/>
      </w:pPr>
      <w:rPr>
        <w:rFonts w:ascii="Symbol" w:hAnsi="Symbol" w:hint="default"/>
      </w:rPr>
    </w:lvl>
    <w:lvl w:ilvl="1" w:tplc="C1382390" w:tentative="1">
      <w:start w:val="1"/>
      <w:numFmt w:val="bullet"/>
      <w:lvlText w:val=""/>
      <w:lvlJc w:val="left"/>
      <w:pPr>
        <w:tabs>
          <w:tab w:val="num" w:pos="1440"/>
        </w:tabs>
        <w:ind w:left="1440" w:hanging="360"/>
      </w:pPr>
      <w:rPr>
        <w:rFonts w:ascii="Symbol" w:hAnsi="Symbol" w:hint="default"/>
      </w:rPr>
    </w:lvl>
    <w:lvl w:ilvl="2" w:tplc="C08A18BC" w:tentative="1">
      <w:start w:val="1"/>
      <w:numFmt w:val="bullet"/>
      <w:lvlText w:val=""/>
      <w:lvlJc w:val="left"/>
      <w:pPr>
        <w:tabs>
          <w:tab w:val="num" w:pos="2160"/>
        </w:tabs>
        <w:ind w:left="2160" w:hanging="360"/>
      </w:pPr>
      <w:rPr>
        <w:rFonts w:ascii="Symbol" w:hAnsi="Symbol" w:hint="default"/>
      </w:rPr>
    </w:lvl>
    <w:lvl w:ilvl="3" w:tplc="3CEA59A0" w:tentative="1">
      <w:start w:val="1"/>
      <w:numFmt w:val="bullet"/>
      <w:lvlText w:val=""/>
      <w:lvlJc w:val="left"/>
      <w:pPr>
        <w:tabs>
          <w:tab w:val="num" w:pos="2880"/>
        </w:tabs>
        <w:ind w:left="2880" w:hanging="360"/>
      </w:pPr>
      <w:rPr>
        <w:rFonts w:ascii="Symbol" w:hAnsi="Symbol" w:hint="default"/>
      </w:rPr>
    </w:lvl>
    <w:lvl w:ilvl="4" w:tplc="C4D6D9AC" w:tentative="1">
      <w:start w:val="1"/>
      <w:numFmt w:val="bullet"/>
      <w:lvlText w:val=""/>
      <w:lvlJc w:val="left"/>
      <w:pPr>
        <w:tabs>
          <w:tab w:val="num" w:pos="3600"/>
        </w:tabs>
        <w:ind w:left="3600" w:hanging="360"/>
      </w:pPr>
      <w:rPr>
        <w:rFonts w:ascii="Symbol" w:hAnsi="Symbol" w:hint="default"/>
      </w:rPr>
    </w:lvl>
    <w:lvl w:ilvl="5" w:tplc="40B0FF10" w:tentative="1">
      <w:start w:val="1"/>
      <w:numFmt w:val="bullet"/>
      <w:lvlText w:val=""/>
      <w:lvlJc w:val="left"/>
      <w:pPr>
        <w:tabs>
          <w:tab w:val="num" w:pos="4320"/>
        </w:tabs>
        <w:ind w:left="4320" w:hanging="360"/>
      </w:pPr>
      <w:rPr>
        <w:rFonts w:ascii="Symbol" w:hAnsi="Symbol" w:hint="default"/>
      </w:rPr>
    </w:lvl>
    <w:lvl w:ilvl="6" w:tplc="904C2970" w:tentative="1">
      <w:start w:val="1"/>
      <w:numFmt w:val="bullet"/>
      <w:lvlText w:val=""/>
      <w:lvlJc w:val="left"/>
      <w:pPr>
        <w:tabs>
          <w:tab w:val="num" w:pos="5040"/>
        </w:tabs>
        <w:ind w:left="5040" w:hanging="360"/>
      </w:pPr>
      <w:rPr>
        <w:rFonts w:ascii="Symbol" w:hAnsi="Symbol" w:hint="default"/>
      </w:rPr>
    </w:lvl>
    <w:lvl w:ilvl="7" w:tplc="FF7CBE64" w:tentative="1">
      <w:start w:val="1"/>
      <w:numFmt w:val="bullet"/>
      <w:lvlText w:val=""/>
      <w:lvlJc w:val="left"/>
      <w:pPr>
        <w:tabs>
          <w:tab w:val="num" w:pos="5760"/>
        </w:tabs>
        <w:ind w:left="5760" w:hanging="360"/>
      </w:pPr>
      <w:rPr>
        <w:rFonts w:ascii="Symbol" w:hAnsi="Symbol" w:hint="default"/>
      </w:rPr>
    </w:lvl>
    <w:lvl w:ilvl="8" w:tplc="7436D702"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32CB5F7D"/>
    <w:multiLevelType w:val="hybridMultilevel"/>
    <w:tmpl w:val="EE1AF7EA"/>
    <w:styleLink w:val="ImportedStyle17"/>
    <w:lvl w:ilvl="0" w:tplc="9384C500">
      <w:start w:val="1"/>
      <w:numFmt w:val="bullet"/>
      <w:lvlText w:val="·"/>
      <w:lvlJc w:val="left"/>
      <w:pPr>
        <w:ind w:left="562" w:hanging="5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D0D4BE">
      <w:start w:val="1"/>
      <w:numFmt w:val="bullet"/>
      <w:lvlText w:val="o"/>
      <w:lvlJc w:val="left"/>
      <w:pPr>
        <w:ind w:left="128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A0840C">
      <w:start w:val="1"/>
      <w:numFmt w:val="bullet"/>
      <w:lvlText w:val="▪"/>
      <w:lvlJc w:val="left"/>
      <w:pPr>
        <w:ind w:left="200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BAC6A2">
      <w:start w:val="1"/>
      <w:numFmt w:val="bullet"/>
      <w:lvlText w:val="·"/>
      <w:lvlJc w:val="left"/>
      <w:pPr>
        <w:ind w:left="2722" w:hanging="5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983518">
      <w:start w:val="1"/>
      <w:numFmt w:val="bullet"/>
      <w:lvlText w:val="o"/>
      <w:lvlJc w:val="left"/>
      <w:pPr>
        <w:ind w:left="344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C053F2">
      <w:start w:val="1"/>
      <w:numFmt w:val="bullet"/>
      <w:lvlText w:val="▪"/>
      <w:lvlJc w:val="left"/>
      <w:pPr>
        <w:ind w:left="416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C0F488">
      <w:start w:val="1"/>
      <w:numFmt w:val="bullet"/>
      <w:lvlText w:val="·"/>
      <w:lvlJc w:val="left"/>
      <w:pPr>
        <w:ind w:left="4882" w:hanging="5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6863DE">
      <w:start w:val="1"/>
      <w:numFmt w:val="bullet"/>
      <w:lvlText w:val="o"/>
      <w:lvlJc w:val="left"/>
      <w:pPr>
        <w:ind w:left="560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4E84E8">
      <w:start w:val="1"/>
      <w:numFmt w:val="bullet"/>
      <w:lvlText w:val="▪"/>
      <w:lvlJc w:val="left"/>
      <w:pPr>
        <w:ind w:left="632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50F4471"/>
    <w:multiLevelType w:val="hybridMultilevel"/>
    <w:tmpl w:val="A62C99A6"/>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373A692F"/>
    <w:multiLevelType w:val="hybridMultilevel"/>
    <w:tmpl w:val="18DE7584"/>
    <w:lvl w:ilvl="0" w:tplc="0409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48" w15:restartNumberingAfterBreak="0">
    <w:nsid w:val="3C6A7CA1"/>
    <w:multiLevelType w:val="hybridMultilevel"/>
    <w:tmpl w:val="F7B0C1F2"/>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3D4536B2"/>
    <w:multiLevelType w:val="hybridMultilevel"/>
    <w:tmpl w:val="C1E876B6"/>
    <w:lvl w:ilvl="0" w:tplc="F8628C66">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F35134E"/>
    <w:multiLevelType w:val="hybridMultilevel"/>
    <w:tmpl w:val="7AA2F55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46601841"/>
    <w:multiLevelType w:val="hybridMultilevel"/>
    <w:tmpl w:val="70C6CA18"/>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4A9622BD"/>
    <w:multiLevelType w:val="hybridMultilevel"/>
    <w:tmpl w:val="DDACC5CC"/>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4B401842"/>
    <w:multiLevelType w:val="hybridMultilevel"/>
    <w:tmpl w:val="B944DAAE"/>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4CA467E7"/>
    <w:multiLevelType w:val="hybridMultilevel"/>
    <w:tmpl w:val="DA5455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5" w15:restartNumberingAfterBreak="0">
    <w:nsid w:val="4F5956FD"/>
    <w:multiLevelType w:val="hybridMultilevel"/>
    <w:tmpl w:val="0114B1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6" w15:restartNumberingAfterBreak="0">
    <w:nsid w:val="51BF57CA"/>
    <w:multiLevelType w:val="hybridMultilevel"/>
    <w:tmpl w:val="122A3A1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537B7007"/>
    <w:multiLevelType w:val="hybridMultilevel"/>
    <w:tmpl w:val="0538AE98"/>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8" w15:restartNumberingAfterBreak="0">
    <w:nsid w:val="56C92AD3"/>
    <w:multiLevelType w:val="hybridMultilevel"/>
    <w:tmpl w:val="459AA780"/>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9" w15:restartNumberingAfterBreak="0">
    <w:nsid w:val="57581F96"/>
    <w:multiLevelType w:val="hybridMultilevel"/>
    <w:tmpl w:val="D68067E4"/>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5B9A7F8F"/>
    <w:multiLevelType w:val="hybridMultilevel"/>
    <w:tmpl w:val="AC5A70C2"/>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5D7E7264"/>
    <w:multiLevelType w:val="hybridMultilevel"/>
    <w:tmpl w:val="82E878C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66261FAF"/>
    <w:multiLevelType w:val="hybridMultilevel"/>
    <w:tmpl w:val="647A28F4"/>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68610F37"/>
    <w:multiLevelType w:val="hybridMultilevel"/>
    <w:tmpl w:val="C4CECDD0"/>
    <w:lvl w:ilvl="0" w:tplc="0409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64" w15:restartNumberingAfterBreak="0">
    <w:nsid w:val="68C466C8"/>
    <w:multiLevelType w:val="hybridMultilevel"/>
    <w:tmpl w:val="F916518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6" w15:restartNumberingAfterBreak="0">
    <w:nsid w:val="6AC54EE8"/>
    <w:multiLevelType w:val="hybridMultilevel"/>
    <w:tmpl w:val="CD26C59C"/>
    <w:lvl w:ilvl="0" w:tplc="4B28A80C">
      <w:start w:val="1"/>
      <w:numFmt w:val="bullet"/>
      <w:lvlText w:val=""/>
      <w:lvlJc w:val="left"/>
      <w:pPr>
        <w:tabs>
          <w:tab w:val="num" w:pos="360"/>
        </w:tabs>
        <w:ind w:left="360" w:hanging="360"/>
      </w:pPr>
      <w:rPr>
        <w:rFonts w:ascii="Symbol" w:hAnsi="Symbol" w:cs="Symbol" w:hint="default"/>
        <w:color w:val="auto"/>
        <w:sz w:val="20"/>
        <w:szCs w:val="20"/>
      </w:rPr>
    </w:lvl>
    <w:lvl w:ilvl="1" w:tplc="58C298B6">
      <w:start w:val="1"/>
      <w:numFmt w:val="bullet"/>
      <w:lvlText w:val="o"/>
      <w:lvlJc w:val="left"/>
      <w:pPr>
        <w:tabs>
          <w:tab w:val="num" w:pos="1440"/>
        </w:tabs>
        <w:ind w:left="1440" w:hanging="360"/>
      </w:pPr>
      <w:rPr>
        <w:rFonts w:ascii="Courier New" w:hAnsi="Courier New" w:cs="Courier New" w:hint="default"/>
      </w:rPr>
    </w:lvl>
    <w:lvl w:ilvl="2" w:tplc="1A44E18C">
      <w:start w:val="1"/>
      <w:numFmt w:val="bullet"/>
      <w:lvlText w:val=""/>
      <w:lvlJc w:val="left"/>
      <w:pPr>
        <w:tabs>
          <w:tab w:val="num" w:pos="2160"/>
        </w:tabs>
        <w:ind w:left="2160" w:hanging="360"/>
      </w:pPr>
      <w:rPr>
        <w:rFonts w:ascii="Wingdings" w:hAnsi="Wingdings" w:cs="Wingdings" w:hint="default"/>
      </w:rPr>
    </w:lvl>
    <w:lvl w:ilvl="3" w:tplc="7B24743A">
      <w:start w:val="1"/>
      <w:numFmt w:val="bullet"/>
      <w:lvlText w:val=""/>
      <w:lvlJc w:val="left"/>
      <w:pPr>
        <w:tabs>
          <w:tab w:val="num" w:pos="2880"/>
        </w:tabs>
        <w:ind w:left="2880" w:hanging="360"/>
      </w:pPr>
      <w:rPr>
        <w:rFonts w:ascii="Symbol" w:hAnsi="Symbol" w:cs="Symbol" w:hint="default"/>
      </w:rPr>
    </w:lvl>
    <w:lvl w:ilvl="4" w:tplc="713EEE46">
      <w:start w:val="1"/>
      <w:numFmt w:val="bullet"/>
      <w:lvlText w:val="o"/>
      <w:lvlJc w:val="left"/>
      <w:pPr>
        <w:tabs>
          <w:tab w:val="num" w:pos="3600"/>
        </w:tabs>
        <w:ind w:left="3600" w:hanging="360"/>
      </w:pPr>
      <w:rPr>
        <w:rFonts w:ascii="Courier New" w:hAnsi="Courier New" w:cs="Courier New" w:hint="default"/>
      </w:rPr>
    </w:lvl>
    <w:lvl w:ilvl="5" w:tplc="846CBB8A">
      <w:start w:val="1"/>
      <w:numFmt w:val="bullet"/>
      <w:lvlText w:val=""/>
      <w:lvlJc w:val="left"/>
      <w:pPr>
        <w:tabs>
          <w:tab w:val="num" w:pos="4320"/>
        </w:tabs>
        <w:ind w:left="4320" w:hanging="360"/>
      </w:pPr>
      <w:rPr>
        <w:rFonts w:ascii="Wingdings" w:hAnsi="Wingdings" w:cs="Wingdings" w:hint="default"/>
      </w:rPr>
    </w:lvl>
    <w:lvl w:ilvl="6" w:tplc="108C1206">
      <w:start w:val="1"/>
      <w:numFmt w:val="bullet"/>
      <w:lvlText w:val=""/>
      <w:lvlJc w:val="left"/>
      <w:pPr>
        <w:tabs>
          <w:tab w:val="num" w:pos="5040"/>
        </w:tabs>
        <w:ind w:left="5040" w:hanging="360"/>
      </w:pPr>
      <w:rPr>
        <w:rFonts w:ascii="Symbol" w:hAnsi="Symbol" w:cs="Symbol" w:hint="default"/>
      </w:rPr>
    </w:lvl>
    <w:lvl w:ilvl="7" w:tplc="F26E2826">
      <w:start w:val="1"/>
      <w:numFmt w:val="bullet"/>
      <w:lvlText w:val="o"/>
      <w:lvlJc w:val="left"/>
      <w:pPr>
        <w:tabs>
          <w:tab w:val="num" w:pos="5760"/>
        </w:tabs>
        <w:ind w:left="5760" w:hanging="360"/>
      </w:pPr>
      <w:rPr>
        <w:rFonts w:ascii="Courier New" w:hAnsi="Courier New" w:cs="Courier New" w:hint="default"/>
      </w:rPr>
    </w:lvl>
    <w:lvl w:ilvl="8" w:tplc="87B2614A">
      <w:start w:val="1"/>
      <w:numFmt w:val="bullet"/>
      <w:lvlText w:val=""/>
      <w:lvlJc w:val="left"/>
      <w:pPr>
        <w:tabs>
          <w:tab w:val="num" w:pos="6480"/>
        </w:tabs>
        <w:ind w:left="6480" w:hanging="360"/>
      </w:pPr>
      <w:rPr>
        <w:rFonts w:ascii="Wingdings" w:hAnsi="Wingdings" w:cs="Wingdings" w:hint="default"/>
      </w:rPr>
    </w:lvl>
  </w:abstractNum>
  <w:abstractNum w:abstractNumId="67" w15:restartNumberingAfterBreak="0">
    <w:nsid w:val="6E4E7396"/>
    <w:multiLevelType w:val="hybridMultilevel"/>
    <w:tmpl w:val="740C63FA"/>
    <w:lvl w:ilvl="0" w:tplc="117AC44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0681955"/>
    <w:multiLevelType w:val="hybridMultilevel"/>
    <w:tmpl w:val="1342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DA53A3"/>
    <w:multiLevelType w:val="hybridMultilevel"/>
    <w:tmpl w:val="B4C43496"/>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1" w15:restartNumberingAfterBreak="0">
    <w:nsid w:val="78040CED"/>
    <w:multiLevelType w:val="hybridMultilevel"/>
    <w:tmpl w:val="305CA4A0"/>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2" w15:restartNumberingAfterBreak="0">
    <w:nsid w:val="7C89572F"/>
    <w:multiLevelType w:val="hybridMultilevel"/>
    <w:tmpl w:val="DB40B3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65"/>
  </w:num>
  <w:num w:numId="11">
    <w:abstractNumId w:val="52"/>
  </w:num>
  <w:num w:numId="12">
    <w:abstractNumId w:val="40"/>
  </w:num>
  <w:num w:numId="13">
    <w:abstractNumId w:val="68"/>
  </w:num>
  <w:num w:numId="14">
    <w:abstractNumId w:val="20"/>
  </w:num>
  <w:num w:numId="15">
    <w:abstractNumId w:val="44"/>
  </w:num>
  <w:num w:numId="16">
    <w:abstractNumId w:val="56"/>
  </w:num>
  <w:num w:numId="17">
    <w:abstractNumId w:val="55"/>
  </w:num>
  <w:num w:numId="18">
    <w:abstractNumId w:val="31"/>
  </w:num>
  <w:num w:numId="19">
    <w:abstractNumId w:val="54"/>
  </w:num>
  <w:num w:numId="20">
    <w:abstractNumId w:val="21"/>
  </w:num>
  <w:num w:numId="21">
    <w:abstractNumId w:val="49"/>
  </w:num>
  <w:num w:numId="22">
    <w:abstractNumId w:val="26"/>
  </w:num>
  <w:num w:numId="23">
    <w:abstractNumId w:val="35"/>
  </w:num>
  <w:num w:numId="24">
    <w:abstractNumId w:val="59"/>
  </w:num>
  <w:num w:numId="25">
    <w:abstractNumId w:val="6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50"/>
  </w:num>
  <w:num w:numId="37">
    <w:abstractNumId w:val="42"/>
  </w:num>
  <w:num w:numId="38">
    <w:abstractNumId w:val="71"/>
  </w:num>
  <w:num w:numId="39">
    <w:abstractNumId w:val="41"/>
  </w:num>
  <w:num w:numId="40">
    <w:abstractNumId w:val="51"/>
  </w:num>
  <w:num w:numId="41">
    <w:abstractNumId w:val="48"/>
  </w:num>
  <w:num w:numId="42">
    <w:abstractNumId w:val="62"/>
  </w:num>
  <w:num w:numId="43">
    <w:abstractNumId w:val="34"/>
  </w:num>
  <w:num w:numId="44">
    <w:abstractNumId w:val="24"/>
  </w:num>
  <w:num w:numId="45">
    <w:abstractNumId w:val="32"/>
  </w:num>
  <w:num w:numId="46">
    <w:abstractNumId w:val="47"/>
  </w:num>
  <w:num w:numId="47">
    <w:abstractNumId w:val="53"/>
  </w:num>
  <w:num w:numId="48">
    <w:abstractNumId w:val="58"/>
  </w:num>
  <w:num w:numId="49">
    <w:abstractNumId w:val="22"/>
  </w:num>
  <w:num w:numId="50">
    <w:abstractNumId w:val="70"/>
  </w:num>
  <w:num w:numId="51">
    <w:abstractNumId w:val="46"/>
  </w:num>
  <w:num w:numId="52">
    <w:abstractNumId w:val="30"/>
  </w:num>
  <w:num w:numId="53">
    <w:abstractNumId w:val="38"/>
  </w:num>
  <w:num w:numId="54">
    <w:abstractNumId w:val="67"/>
  </w:num>
  <w:num w:numId="55">
    <w:abstractNumId w:val="43"/>
  </w:num>
  <w:num w:numId="56">
    <w:abstractNumId w:val="29"/>
  </w:num>
  <w:num w:numId="57">
    <w:abstractNumId w:val="64"/>
  </w:num>
  <w:num w:numId="58">
    <w:abstractNumId w:val="61"/>
  </w:num>
  <w:num w:numId="59">
    <w:abstractNumId w:val="25"/>
  </w:num>
  <w:num w:numId="60">
    <w:abstractNumId w:val="33"/>
  </w:num>
  <w:num w:numId="61">
    <w:abstractNumId w:val="63"/>
  </w:num>
  <w:num w:numId="62">
    <w:abstractNumId w:val="60"/>
  </w:num>
  <w:num w:numId="63">
    <w:abstractNumId w:val="72"/>
  </w:num>
  <w:num w:numId="64">
    <w:abstractNumId w:val="27"/>
  </w:num>
  <w:num w:numId="65">
    <w:abstractNumId w:val="28"/>
  </w:num>
  <w:num w:numId="66">
    <w:abstractNumId w:val="37"/>
  </w:num>
  <w:num w:numId="67">
    <w:abstractNumId w:val="57"/>
  </w:num>
  <w:num w:numId="68">
    <w:abstractNumId w:val="39"/>
  </w:num>
  <w:num w:numId="69">
    <w:abstractNumId w:val="45"/>
  </w:num>
  <w:num w:numId="70">
    <w:abstractNumId w:val="19"/>
  </w:num>
  <w:num w:numId="71">
    <w:abstractNumId w:val="66"/>
  </w:num>
  <w:num w:numId="72">
    <w:abstractNumId w:val="69"/>
  </w:num>
  <w:num w:numId="73">
    <w:abstractNumId w:val="36"/>
  </w:num>
  <w:num w:numId="74">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72"/>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0MLI0MDI0NzEyMTRS0lEKTi0uzszPAykwMqkFALLTUvQtAAAA"/>
  </w:docVars>
  <w:rsids>
    <w:rsidRoot w:val="00DD704B"/>
    <w:rsid w:val="00001E17"/>
    <w:rsid w:val="00002155"/>
    <w:rsid w:val="0000288B"/>
    <w:rsid w:val="00002C1F"/>
    <w:rsid w:val="00003B86"/>
    <w:rsid w:val="00003D97"/>
    <w:rsid w:val="00003FCC"/>
    <w:rsid w:val="000041A9"/>
    <w:rsid w:val="00004A6E"/>
    <w:rsid w:val="000053D8"/>
    <w:rsid w:val="000065B4"/>
    <w:rsid w:val="000066C3"/>
    <w:rsid w:val="00010245"/>
    <w:rsid w:val="0001057F"/>
    <w:rsid w:val="000113A5"/>
    <w:rsid w:val="00011683"/>
    <w:rsid w:val="000116E8"/>
    <w:rsid w:val="000119BB"/>
    <w:rsid w:val="00013885"/>
    <w:rsid w:val="00013F78"/>
    <w:rsid w:val="000141EF"/>
    <w:rsid w:val="00015023"/>
    <w:rsid w:val="000153A1"/>
    <w:rsid w:val="000153A8"/>
    <w:rsid w:val="000156F4"/>
    <w:rsid w:val="000158D1"/>
    <w:rsid w:val="00015DDF"/>
    <w:rsid w:val="00016E90"/>
    <w:rsid w:val="000172D0"/>
    <w:rsid w:val="000232AB"/>
    <w:rsid w:val="00024E15"/>
    <w:rsid w:val="00024E85"/>
    <w:rsid w:val="000254DD"/>
    <w:rsid w:val="00026124"/>
    <w:rsid w:val="00026829"/>
    <w:rsid w:val="0002698E"/>
    <w:rsid w:val="00026C65"/>
    <w:rsid w:val="000271D3"/>
    <w:rsid w:val="0003028C"/>
    <w:rsid w:val="000302F2"/>
    <w:rsid w:val="000315DD"/>
    <w:rsid w:val="00032F07"/>
    <w:rsid w:val="0003367B"/>
    <w:rsid w:val="00034BDA"/>
    <w:rsid w:val="00034C35"/>
    <w:rsid w:val="000355B1"/>
    <w:rsid w:val="00035CB2"/>
    <w:rsid w:val="000363D8"/>
    <w:rsid w:val="00036C57"/>
    <w:rsid w:val="00036D01"/>
    <w:rsid w:val="000375A7"/>
    <w:rsid w:val="0003797A"/>
    <w:rsid w:val="00037AF9"/>
    <w:rsid w:val="00037B20"/>
    <w:rsid w:val="00040FC6"/>
    <w:rsid w:val="00041766"/>
    <w:rsid w:val="00041B0F"/>
    <w:rsid w:val="0004220F"/>
    <w:rsid w:val="000432E2"/>
    <w:rsid w:val="0004350D"/>
    <w:rsid w:val="00044791"/>
    <w:rsid w:val="00044FDC"/>
    <w:rsid w:val="000451FE"/>
    <w:rsid w:val="000458E1"/>
    <w:rsid w:val="00045B3D"/>
    <w:rsid w:val="0004620D"/>
    <w:rsid w:val="00047262"/>
    <w:rsid w:val="00047339"/>
    <w:rsid w:val="0005031F"/>
    <w:rsid w:val="00050AE4"/>
    <w:rsid w:val="00050D30"/>
    <w:rsid w:val="00051715"/>
    <w:rsid w:val="00051CA9"/>
    <w:rsid w:val="00053323"/>
    <w:rsid w:val="0005497B"/>
    <w:rsid w:val="0005573C"/>
    <w:rsid w:val="00055A21"/>
    <w:rsid w:val="00055C81"/>
    <w:rsid w:val="000560D5"/>
    <w:rsid w:val="00056296"/>
    <w:rsid w:val="00056656"/>
    <w:rsid w:val="00056D27"/>
    <w:rsid w:val="0005796D"/>
    <w:rsid w:val="00057A22"/>
    <w:rsid w:val="00060271"/>
    <w:rsid w:val="00060C6E"/>
    <w:rsid w:val="00061497"/>
    <w:rsid w:val="00061B8E"/>
    <w:rsid w:val="000626F1"/>
    <w:rsid w:val="00062C83"/>
    <w:rsid w:val="00063460"/>
    <w:rsid w:val="0006395A"/>
    <w:rsid w:val="00063C52"/>
    <w:rsid w:val="00063E22"/>
    <w:rsid w:val="00064C54"/>
    <w:rsid w:val="000660F4"/>
    <w:rsid w:val="00070670"/>
    <w:rsid w:val="000709CF"/>
    <w:rsid w:val="00070C06"/>
    <w:rsid w:val="00070E7D"/>
    <w:rsid w:val="000720D1"/>
    <w:rsid w:val="00072804"/>
    <w:rsid w:val="000734DF"/>
    <w:rsid w:val="000741D1"/>
    <w:rsid w:val="000744A1"/>
    <w:rsid w:val="00074835"/>
    <w:rsid w:val="00074CFF"/>
    <w:rsid w:val="00075865"/>
    <w:rsid w:val="00075A55"/>
    <w:rsid w:val="00075E0A"/>
    <w:rsid w:val="00077A66"/>
    <w:rsid w:val="00080B23"/>
    <w:rsid w:val="00080D68"/>
    <w:rsid w:val="00081DD7"/>
    <w:rsid w:val="00082C38"/>
    <w:rsid w:val="00083867"/>
    <w:rsid w:val="00084AEF"/>
    <w:rsid w:val="00085402"/>
    <w:rsid w:val="00086CA1"/>
    <w:rsid w:val="0009053D"/>
    <w:rsid w:val="00090B90"/>
    <w:rsid w:val="00090BAC"/>
    <w:rsid w:val="00090C0F"/>
    <w:rsid w:val="00091AF5"/>
    <w:rsid w:val="00091C63"/>
    <w:rsid w:val="000927CD"/>
    <w:rsid w:val="000936D3"/>
    <w:rsid w:val="00093972"/>
    <w:rsid w:val="00096650"/>
    <w:rsid w:val="0009693E"/>
    <w:rsid w:val="00096BFD"/>
    <w:rsid w:val="00096D8B"/>
    <w:rsid w:val="000A05C8"/>
    <w:rsid w:val="000A089F"/>
    <w:rsid w:val="000A0994"/>
    <w:rsid w:val="000A0A3A"/>
    <w:rsid w:val="000A15D5"/>
    <w:rsid w:val="000A1A42"/>
    <w:rsid w:val="000A32E4"/>
    <w:rsid w:val="000A3839"/>
    <w:rsid w:val="000A4068"/>
    <w:rsid w:val="000A4B24"/>
    <w:rsid w:val="000A557A"/>
    <w:rsid w:val="000A69C7"/>
    <w:rsid w:val="000A71FF"/>
    <w:rsid w:val="000A7BF9"/>
    <w:rsid w:val="000B1772"/>
    <w:rsid w:val="000B1D0E"/>
    <w:rsid w:val="000B1E07"/>
    <w:rsid w:val="000B24A6"/>
    <w:rsid w:val="000B437F"/>
    <w:rsid w:val="000B55D8"/>
    <w:rsid w:val="000B592C"/>
    <w:rsid w:val="000B626B"/>
    <w:rsid w:val="000B68ED"/>
    <w:rsid w:val="000B6C1F"/>
    <w:rsid w:val="000B701B"/>
    <w:rsid w:val="000C069E"/>
    <w:rsid w:val="000C1CB7"/>
    <w:rsid w:val="000C209F"/>
    <w:rsid w:val="000C21B6"/>
    <w:rsid w:val="000C2D8B"/>
    <w:rsid w:val="000C3BD8"/>
    <w:rsid w:val="000C43FE"/>
    <w:rsid w:val="000C4C9E"/>
    <w:rsid w:val="000C5DDA"/>
    <w:rsid w:val="000C6819"/>
    <w:rsid w:val="000D0799"/>
    <w:rsid w:val="000D1298"/>
    <w:rsid w:val="000D16CC"/>
    <w:rsid w:val="000D1743"/>
    <w:rsid w:val="000D24B9"/>
    <w:rsid w:val="000D31A2"/>
    <w:rsid w:val="000D357F"/>
    <w:rsid w:val="000D3C58"/>
    <w:rsid w:val="000D6148"/>
    <w:rsid w:val="000D61EB"/>
    <w:rsid w:val="000D7EA0"/>
    <w:rsid w:val="000E080B"/>
    <w:rsid w:val="000E0A05"/>
    <w:rsid w:val="000E15AE"/>
    <w:rsid w:val="000E16CC"/>
    <w:rsid w:val="000E199F"/>
    <w:rsid w:val="000E2512"/>
    <w:rsid w:val="000E2703"/>
    <w:rsid w:val="000E27D6"/>
    <w:rsid w:val="000E28DD"/>
    <w:rsid w:val="000E3B88"/>
    <w:rsid w:val="000E4617"/>
    <w:rsid w:val="000E4F06"/>
    <w:rsid w:val="000E5199"/>
    <w:rsid w:val="000E54E7"/>
    <w:rsid w:val="000E5840"/>
    <w:rsid w:val="000E633C"/>
    <w:rsid w:val="000E6E50"/>
    <w:rsid w:val="000F034D"/>
    <w:rsid w:val="000F07E4"/>
    <w:rsid w:val="000F0A70"/>
    <w:rsid w:val="000F0E6D"/>
    <w:rsid w:val="000F15DF"/>
    <w:rsid w:val="000F2645"/>
    <w:rsid w:val="000F2803"/>
    <w:rsid w:val="000F4309"/>
    <w:rsid w:val="000F741C"/>
    <w:rsid w:val="001001AE"/>
    <w:rsid w:val="0010082B"/>
    <w:rsid w:val="001009B3"/>
    <w:rsid w:val="001012C2"/>
    <w:rsid w:val="00101A03"/>
    <w:rsid w:val="00101ADD"/>
    <w:rsid w:val="00101F3A"/>
    <w:rsid w:val="00102726"/>
    <w:rsid w:val="00102A8E"/>
    <w:rsid w:val="00102F08"/>
    <w:rsid w:val="001030B0"/>
    <w:rsid w:val="001033F7"/>
    <w:rsid w:val="00103D3D"/>
    <w:rsid w:val="0010455A"/>
    <w:rsid w:val="00104F1A"/>
    <w:rsid w:val="00105938"/>
    <w:rsid w:val="001062BE"/>
    <w:rsid w:val="00107CBC"/>
    <w:rsid w:val="001102DD"/>
    <w:rsid w:val="001103B7"/>
    <w:rsid w:val="00110E88"/>
    <w:rsid w:val="0011127A"/>
    <w:rsid w:val="0011194C"/>
    <w:rsid w:val="00111965"/>
    <w:rsid w:val="00112535"/>
    <w:rsid w:val="00112AE6"/>
    <w:rsid w:val="00113334"/>
    <w:rsid w:val="001147D0"/>
    <w:rsid w:val="00114C5B"/>
    <w:rsid w:val="00115645"/>
    <w:rsid w:val="00116FCD"/>
    <w:rsid w:val="001171EF"/>
    <w:rsid w:val="00117A79"/>
    <w:rsid w:val="00117CE3"/>
    <w:rsid w:val="00117FE1"/>
    <w:rsid w:val="00120259"/>
    <w:rsid w:val="0012151B"/>
    <w:rsid w:val="001216A0"/>
    <w:rsid w:val="001218C4"/>
    <w:rsid w:val="00121F7C"/>
    <w:rsid w:val="00121FAE"/>
    <w:rsid w:val="001221EF"/>
    <w:rsid w:val="001238DB"/>
    <w:rsid w:val="00123C0A"/>
    <w:rsid w:val="00123F93"/>
    <w:rsid w:val="00124DEA"/>
    <w:rsid w:val="001255DB"/>
    <w:rsid w:val="001259AA"/>
    <w:rsid w:val="001260C5"/>
    <w:rsid w:val="001261F1"/>
    <w:rsid w:val="00126CD9"/>
    <w:rsid w:val="00127C01"/>
    <w:rsid w:val="00127FDB"/>
    <w:rsid w:val="0013001B"/>
    <w:rsid w:val="001301E8"/>
    <w:rsid w:val="00130328"/>
    <w:rsid w:val="00130872"/>
    <w:rsid w:val="00130972"/>
    <w:rsid w:val="0013140F"/>
    <w:rsid w:val="001317AB"/>
    <w:rsid w:val="00131805"/>
    <w:rsid w:val="001319AE"/>
    <w:rsid w:val="0013252E"/>
    <w:rsid w:val="0013338B"/>
    <w:rsid w:val="00133AC1"/>
    <w:rsid w:val="00133E2C"/>
    <w:rsid w:val="0013443B"/>
    <w:rsid w:val="00134FD1"/>
    <w:rsid w:val="0013524C"/>
    <w:rsid w:val="00135AD9"/>
    <w:rsid w:val="00135E7F"/>
    <w:rsid w:val="00136EA4"/>
    <w:rsid w:val="00136FF9"/>
    <w:rsid w:val="00140FE4"/>
    <w:rsid w:val="00141D20"/>
    <w:rsid w:val="00141D5B"/>
    <w:rsid w:val="00141E57"/>
    <w:rsid w:val="0014208B"/>
    <w:rsid w:val="00142846"/>
    <w:rsid w:val="00144907"/>
    <w:rsid w:val="00144A84"/>
    <w:rsid w:val="00145A71"/>
    <w:rsid w:val="00145F50"/>
    <w:rsid w:val="00146B38"/>
    <w:rsid w:val="001473DE"/>
    <w:rsid w:val="00147571"/>
    <w:rsid w:val="0015001A"/>
    <w:rsid w:val="00151560"/>
    <w:rsid w:val="001517DD"/>
    <w:rsid w:val="00151EF6"/>
    <w:rsid w:val="001524A6"/>
    <w:rsid w:val="001546E3"/>
    <w:rsid w:val="00155E32"/>
    <w:rsid w:val="001564CA"/>
    <w:rsid w:val="00156A78"/>
    <w:rsid w:val="00156E77"/>
    <w:rsid w:val="00157444"/>
    <w:rsid w:val="00157C37"/>
    <w:rsid w:val="00160309"/>
    <w:rsid w:val="001609B0"/>
    <w:rsid w:val="00161941"/>
    <w:rsid w:val="00162128"/>
    <w:rsid w:val="001624AA"/>
    <w:rsid w:val="00163C1F"/>
    <w:rsid w:val="00164F29"/>
    <w:rsid w:val="001655C7"/>
    <w:rsid w:val="00165C7F"/>
    <w:rsid w:val="00166294"/>
    <w:rsid w:val="00167A56"/>
    <w:rsid w:val="00171118"/>
    <w:rsid w:val="00172D82"/>
    <w:rsid w:val="00173FDF"/>
    <w:rsid w:val="0017507D"/>
    <w:rsid w:val="00175790"/>
    <w:rsid w:val="00176588"/>
    <w:rsid w:val="00176AF0"/>
    <w:rsid w:val="0017777B"/>
    <w:rsid w:val="00177CEC"/>
    <w:rsid w:val="00180C4D"/>
    <w:rsid w:val="00181490"/>
    <w:rsid w:val="001817B0"/>
    <w:rsid w:val="00182004"/>
    <w:rsid w:val="00182EA4"/>
    <w:rsid w:val="00184417"/>
    <w:rsid w:val="00184922"/>
    <w:rsid w:val="001850B3"/>
    <w:rsid w:val="00185857"/>
    <w:rsid w:val="00185CDE"/>
    <w:rsid w:val="00186408"/>
    <w:rsid w:val="00186C93"/>
    <w:rsid w:val="0019075D"/>
    <w:rsid w:val="0019112B"/>
    <w:rsid w:val="00191F47"/>
    <w:rsid w:val="0019223B"/>
    <w:rsid w:val="00192438"/>
    <w:rsid w:val="0019278C"/>
    <w:rsid w:val="0019299D"/>
    <w:rsid w:val="00192BFB"/>
    <w:rsid w:val="00194D3E"/>
    <w:rsid w:val="00195636"/>
    <w:rsid w:val="00195F2E"/>
    <w:rsid w:val="00196519"/>
    <w:rsid w:val="00196C31"/>
    <w:rsid w:val="001971BE"/>
    <w:rsid w:val="00197E09"/>
    <w:rsid w:val="001A0339"/>
    <w:rsid w:val="001A04FB"/>
    <w:rsid w:val="001A0A22"/>
    <w:rsid w:val="001A137E"/>
    <w:rsid w:val="001A20F8"/>
    <w:rsid w:val="001A2F3F"/>
    <w:rsid w:val="001A3494"/>
    <w:rsid w:val="001A41A2"/>
    <w:rsid w:val="001A41C2"/>
    <w:rsid w:val="001A5750"/>
    <w:rsid w:val="001A57E7"/>
    <w:rsid w:val="001A5ED7"/>
    <w:rsid w:val="001A6F86"/>
    <w:rsid w:val="001A712E"/>
    <w:rsid w:val="001A72B8"/>
    <w:rsid w:val="001A7749"/>
    <w:rsid w:val="001A7C63"/>
    <w:rsid w:val="001A7EAB"/>
    <w:rsid w:val="001B0488"/>
    <w:rsid w:val="001B0CD0"/>
    <w:rsid w:val="001B19C3"/>
    <w:rsid w:val="001B326F"/>
    <w:rsid w:val="001B3303"/>
    <w:rsid w:val="001B3411"/>
    <w:rsid w:val="001B3DBD"/>
    <w:rsid w:val="001B523F"/>
    <w:rsid w:val="001B5EC3"/>
    <w:rsid w:val="001B6B8A"/>
    <w:rsid w:val="001B6EEE"/>
    <w:rsid w:val="001B7AA6"/>
    <w:rsid w:val="001C01B6"/>
    <w:rsid w:val="001C0514"/>
    <w:rsid w:val="001C0B68"/>
    <w:rsid w:val="001C15E2"/>
    <w:rsid w:val="001C1A25"/>
    <w:rsid w:val="001C2CBC"/>
    <w:rsid w:val="001C3707"/>
    <w:rsid w:val="001C5E1E"/>
    <w:rsid w:val="001C651A"/>
    <w:rsid w:val="001C69C3"/>
    <w:rsid w:val="001C74EB"/>
    <w:rsid w:val="001C7563"/>
    <w:rsid w:val="001D0309"/>
    <w:rsid w:val="001D0811"/>
    <w:rsid w:val="001D08C2"/>
    <w:rsid w:val="001D1672"/>
    <w:rsid w:val="001D1F36"/>
    <w:rsid w:val="001D3028"/>
    <w:rsid w:val="001D3CE9"/>
    <w:rsid w:val="001D4FE5"/>
    <w:rsid w:val="001D6760"/>
    <w:rsid w:val="001D6A14"/>
    <w:rsid w:val="001E18E9"/>
    <w:rsid w:val="001E2659"/>
    <w:rsid w:val="001E2F9F"/>
    <w:rsid w:val="001E3FA9"/>
    <w:rsid w:val="001E41BF"/>
    <w:rsid w:val="001E4BCC"/>
    <w:rsid w:val="001E4D39"/>
    <w:rsid w:val="001E5982"/>
    <w:rsid w:val="001E66E3"/>
    <w:rsid w:val="001E6962"/>
    <w:rsid w:val="001E6F71"/>
    <w:rsid w:val="001E702B"/>
    <w:rsid w:val="001E70C2"/>
    <w:rsid w:val="001E7C77"/>
    <w:rsid w:val="001F03F8"/>
    <w:rsid w:val="001F06E3"/>
    <w:rsid w:val="001F0B56"/>
    <w:rsid w:val="001F0D7A"/>
    <w:rsid w:val="001F1148"/>
    <w:rsid w:val="001F11AC"/>
    <w:rsid w:val="001F15F2"/>
    <w:rsid w:val="001F2CD5"/>
    <w:rsid w:val="001F3DF1"/>
    <w:rsid w:val="001F4352"/>
    <w:rsid w:val="001F4F60"/>
    <w:rsid w:val="001F5843"/>
    <w:rsid w:val="001F5F6A"/>
    <w:rsid w:val="001F66C8"/>
    <w:rsid w:val="001F7ECC"/>
    <w:rsid w:val="002003CA"/>
    <w:rsid w:val="00201E3A"/>
    <w:rsid w:val="00202548"/>
    <w:rsid w:val="00202C55"/>
    <w:rsid w:val="00202F03"/>
    <w:rsid w:val="00203199"/>
    <w:rsid w:val="002039D5"/>
    <w:rsid w:val="00203BAA"/>
    <w:rsid w:val="0020439E"/>
    <w:rsid w:val="00205358"/>
    <w:rsid w:val="002058D5"/>
    <w:rsid w:val="00205A51"/>
    <w:rsid w:val="002065D8"/>
    <w:rsid w:val="002114EE"/>
    <w:rsid w:val="00211C4C"/>
    <w:rsid w:val="0021397A"/>
    <w:rsid w:val="00213FFA"/>
    <w:rsid w:val="0021564B"/>
    <w:rsid w:val="002156FF"/>
    <w:rsid w:val="00215832"/>
    <w:rsid w:val="002158E9"/>
    <w:rsid w:val="00215A44"/>
    <w:rsid w:val="00216350"/>
    <w:rsid w:val="00217A90"/>
    <w:rsid w:val="002215F7"/>
    <w:rsid w:val="00221812"/>
    <w:rsid w:val="002226F1"/>
    <w:rsid w:val="0022362B"/>
    <w:rsid w:val="00224449"/>
    <w:rsid w:val="002247F9"/>
    <w:rsid w:val="002254BE"/>
    <w:rsid w:val="002255D3"/>
    <w:rsid w:val="002261FB"/>
    <w:rsid w:val="00226E3C"/>
    <w:rsid w:val="0022785B"/>
    <w:rsid w:val="00227ADF"/>
    <w:rsid w:val="00231503"/>
    <w:rsid w:val="0023171D"/>
    <w:rsid w:val="00231DE8"/>
    <w:rsid w:val="00231F00"/>
    <w:rsid w:val="00231F0A"/>
    <w:rsid w:val="002320D9"/>
    <w:rsid w:val="002331FF"/>
    <w:rsid w:val="00234020"/>
    <w:rsid w:val="00236C40"/>
    <w:rsid w:val="002378F3"/>
    <w:rsid w:val="00237FE5"/>
    <w:rsid w:val="0024023C"/>
    <w:rsid w:val="002403F9"/>
    <w:rsid w:val="00240618"/>
    <w:rsid w:val="00241851"/>
    <w:rsid w:val="00242CEB"/>
    <w:rsid w:val="00242DC6"/>
    <w:rsid w:val="00242DF6"/>
    <w:rsid w:val="00243135"/>
    <w:rsid w:val="00244F62"/>
    <w:rsid w:val="00245041"/>
    <w:rsid w:val="00245348"/>
    <w:rsid w:val="002458B8"/>
    <w:rsid w:val="00246AF5"/>
    <w:rsid w:val="00246C09"/>
    <w:rsid w:val="00246CC3"/>
    <w:rsid w:val="00247DC0"/>
    <w:rsid w:val="002508A3"/>
    <w:rsid w:val="002509E5"/>
    <w:rsid w:val="00250DCA"/>
    <w:rsid w:val="0025300C"/>
    <w:rsid w:val="00253190"/>
    <w:rsid w:val="00253857"/>
    <w:rsid w:val="00253870"/>
    <w:rsid w:val="002545C2"/>
    <w:rsid w:val="00254C46"/>
    <w:rsid w:val="00254D2C"/>
    <w:rsid w:val="00254E8A"/>
    <w:rsid w:val="00255140"/>
    <w:rsid w:val="00256481"/>
    <w:rsid w:val="00256D6A"/>
    <w:rsid w:val="00257260"/>
    <w:rsid w:val="00260F4B"/>
    <w:rsid w:val="0026176D"/>
    <w:rsid w:val="00261FE6"/>
    <w:rsid w:val="00262B72"/>
    <w:rsid w:val="00263E81"/>
    <w:rsid w:val="00264B03"/>
    <w:rsid w:val="002652A9"/>
    <w:rsid w:val="002654A3"/>
    <w:rsid w:val="00267414"/>
    <w:rsid w:val="00267BEB"/>
    <w:rsid w:val="00267BFE"/>
    <w:rsid w:val="00267DBE"/>
    <w:rsid w:val="002707DE"/>
    <w:rsid w:val="00270C1B"/>
    <w:rsid w:val="00271919"/>
    <w:rsid w:val="00271C2C"/>
    <w:rsid w:val="0027236A"/>
    <w:rsid w:val="00272AFB"/>
    <w:rsid w:val="00273986"/>
    <w:rsid w:val="00273EC8"/>
    <w:rsid w:val="00273F44"/>
    <w:rsid w:val="00274C88"/>
    <w:rsid w:val="00274F51"/>
    <w:rsid w:val="00275020"/>
    <w:rsid w:val="0027549F"/>
    <w:rsid w:val="002756A5"/>
    <w:rsid w:val="002775D9"/>
    <w:rsid w:val="0027765A"/>
    <w:rsid w:val="0027790C"/>
    <w:rsid w:val="0028051A"/>
    <w:rsid w:val="0028094B"/>
    <w:rsid w:val="002819E7"/>
    <w:rsid w:val="00282B94"/>
    <w:rsid w:val="0028374A"/>
    <w:rsid w:val="00283911"/>
    <w:rsid w:val="00283D8D"/>
    <w:rsid w:val="0028438E"/>
    <w:rsid w:val="00285DF7"/>
    <w:rsid w:val="00286482"/>
    <w:rsid w:val="00286DF4"/>
    <w:rsid w:val="00287751"/>
    <w:rsid w:val="002877EB"/>
    <w:rsid w:val="002922AB"/>
    <w:rsid w:val="0029273A"/>
    <w:rsid w:val="00292EEB"/>
    <w:rsid w:val="00294991"/>
    <w:rsid w:val="00295822"/>
    <w:rsid w:val="00295E75"/>
    <w:rsid w:val="00296416"/>
    <w:rsid w:val="0029662A"/>
    <w:rsid w:val="00296AC7"/>
    <w:rsid w:val="00296C44"/>
    <w:rsid w:val="0029721F"/>
    <w:rsid w:val="0029762F"/>
    <w:rsid w:val="00297659"/>
    <w:rsid w:val="002978AD"/>
    <w:rsid w:val="002A0235"/>
    <w:rsid w:val="002A03AA"/>
    <w:rsid w:val="002A0431"/>
    <w:rsid w:val="002A0A00"/>
    <w:rsid w:val="002A1003"/>
    <w:rsid w:val="002A2F7F"/>
    <w:rsid w:val="002A39DF"/>
    <w:rsid w:val="002A5778"/>
    <w:rsid w:val="002A5B8B"/>
    <w:rsid w:val="002A5EB6"/>
    <w:rsid w:val="002A61C2"/>
    <w:rsid w:val="002A7B65"/>
    <w:rsid w:val="002B0633"/>
    <w:rsid w:val="002B083C"/>
    <w:rsid w:val="002B136D"/>
    <w:rsid w:val="002B35DA"/>
    <w:rsid w:val="002B371E"/>
    <w:rsid w:val="002B4907"/>
    <w:rsid w:val="002B4A4B"/>
    <w:rsid w:val="002B5B26"/>
    <w:rsid w:val="002B6004"/>
    <w:rsid w:val="002B736F"/>
    <w:rsid w:val="002B7B08"/>
    <w:rsid w:val="002B7EAC"/>
    <w:rsid w:val="002B7F06"/>
    <w:rsid w:val="002C02F5"/>
    <w:rsid w:val="002C030E"/>
    <w:rsid w:val="002C0392"/>
    <w:rsid w:val="002C1463"/>
    <w:rsid w:val="002C2346"/>
    <w:rsid w:val="002C26D0"/>
    <w:rsid w:val="002C3259"/>
    <w:rsid w:val="002C32E8"/>
    <w:rsid w:val="002C33FE"/>
    <w:rsid w:val="002C38CD"/>
    <w:rsid w:val="002C3901"/>
    <w:rsid w:val="002C4833"/>
    <w:rsid w:val="002C4D0A"/>
    <w:rsid w:val="002C4D5E"/>
    <w:rsid w:val="002C5212"/>
    <w:rsid w:val="002C5BDC"/>
    <w:rsid w:val="002C6BB9"/>
    <w:rsid w:val="002D1EA8"/>
    <w:rsid w:val="002D4149"/>
    <w:rsid w:val="002D7E40"/>
    <w:rsid w:val="002E0059"/>
    <w:rsid w:val="002E020A"/>
    <w:rsid w:val="002E1334"/>
    <w:rsid w:val="002E1700"/>
    <w:rsid w:val="002E18E3"/>
    <w:rsid w:val="002E1BAD"/>
    <w:rsid w:val="002E1EC2"/>
    <w:rsid w:val="002E5070"/>
    <w:rsid w:val="002E5DA8"/>
    <w:rsid w:val="002E62EB"/>
    <w:rsid w:val="002E6D24"/>
    <w:rsid w:val="002E7126"/>
    <w:rsid w:val="002E76A3"/>
    <w:rsid w:val="002F088D"/>
    <w:rsid w:val="002F2042"/>
    <w:rsid w:val="002F26DB"/>
    <w:rsid w:val="002F2900"/>
    <w:rsid w:val="002F29BE"/>
    <w:rsid w:val="002F2C45"/>
    <w:rsid w:val="002F3142"/>
    <w:rsid w:val="002F3E7C"/>
    <w:rsid w:val="002F402D"/>
    <w:rsid w:val="002F40CB"/>
    <w:rsid w:val="002F40D0"/>
    <w:rsid w:val="002F6F27"/>
    <w:rsid w:val="003001AE"/>
    <w:rsid w:val="00300385"/>
    <w:rsid w:val="00300B42"/>
    <w:rsid w:val="003020A1"/>
    <w:rsid w:val="00302790"/>
    <w:rsid w:val="00302905"/>
    <w:rsid w:val="003039D1"/>
    <w:rsid w:val="00305A2D"/>
    <w:rsid w:val="00305FCA"/>
    <w:rsid w:val="00307754"/>
    <w:rsid w:val="003078E6"/>
    <w:rsid w:val="00307D59"/>
    <w:rsid w:val="0031286C"/>
    <w:rsid w:val="003145BF"/>
    <w:rsid w:val="00314815"/>
    <w:rsid w:val="00314881"/>
    <w:rsid w:val="00314AED"/>
    <w:rsid w:val="0031643E"/>
    <w:rsid w:val="00316473"/>
    <w:rsid w:val="00316F1F"/>
    <w:rsid w:val="003173F9"/>
    <w:rsid w:val="00317600"/>
    <w:rsid w:val="00317E05"/>
    <w:rsid w:val="003203A0"/>
    <w:rsid w:val="0032089F"/>
    <w:rsid w:val="00320A88"/>
    <w:rsid w:val="00323447"/>
    <w:rsid w:val="003235AF"/>
    <w:rsid w:val="00323650"/>
    <w:rsid w:val="00324990"/>
    <w:rsid w:val="0032557F"/>
    <w:rsid w:val="0032576C"/>
    <w:rsid w:val="003261C7"/>
    <w:rsid w:val="003261FE"/>
    <w:rsid w:val="00326397"/>
    <w:rsid w:val="00327360"/>
    <w:rsid w:val="00327423"/>
    <w:rsid w:val="00327546"/>
    <w:rsid w:val="003276FD"/>
    <w:rsid w:val="00330C83"/>
    <w:rsid w:val="003319FD"/>
    <w:rsid w:val="003320DC"/>
    <w:rsid w:val="003327A1"/>
    <w:rsid w:val="00334111"/>
    <w:rsid w:val="00334391"/>
    <w:rsid w:val="0033466D"/>
    <w:rsid w:val="0033559A"/>
    <w:rsid w:val="003358F0"/>
    <w:rsid w:val="00335E7D"/>
    <w:rsid w:val="00336560"/>
    <w:rsid w:val="0033693D"/>
    <w:rsid w:val="0033699A"/>
    <w:rsid w:val="0033787D"/>
    <w:rsid w:val="00340352"/>
    <w:rsid w:val="00340767"/>
    <w:rsid w:val="003408E7"/>
    <w:rsid w:val="0034098A"/>
    <w:rsid w:val="00340EF7"/>
    <w:rsid w:val="00341CCE"/>
    <w:rsid w:val="00343528"/>
    <w:rsid w:val="003435A7"/>
    <w:rsid w:val="0034444F"/>
    <w:rsid w:val="00344FF0"/>
    <w:rsid w:val="00346095"/>
    <w:rsid w:val="0034683F"/>
    <w:rsid w:val="0034776D"/>
    <w:rsid w:val="00347CDF"/>
    <w:rsid w:val="00347F4B"/>
    <w:rsid w:val="00351CE4"/>
    <w:rsid w:val="0035224F"/>
    <w:rsid w:val="0035266B"/>
    <w:rsid w:val="00354187"/>
    <w:rsid w:val="00354293"/>
    <w:rsid w:val="0035430E"/>
    <w:rsid w:val="0035572F"/>
    <w:rsid w:val="00360744"/>
    <w:rsid w:val="003620B7"/>
    <w:rsid w:val="00363150"/>
    <w:rsid w:val="003655DE"/>
    <w:rsid w:val="003655F2"/>
    <w:rsid w:val="00365BFA"/>
    <w:rsid w:val="003664F8"/>
    <w:rsid w:val="0036654B"/>
    <w:rsid w:val="00366A44"/>
    <w:rsid w:val="00366B55"/>
    <w:rsid w:val="00370114"/>
    <w:rsid w:val="00370DF7"/>
    <w:rsid w:val="00373053"/>
    <w:rsid w:val="00373A54"/>
    <w:rsid w:val="00373D0F"/>
    <w:rsid w:val="00373F44"/>
    <w:rsid w:val="00375259"/>
    <w:rsid w:val="003752F1"/>
    <w:rsid w:val="003769DA"/>
    <w:rsid w:val="00376A46"/>
    <w:rsid w:val="00377477"/>
    <w:rsid w:val="003778F6"/>
    <w:rsid w:val="00377BE3"/>
    <w:rsid w:val="00377C5C"/>
    <w:rsid w:val="003808CD"/>
    <w:rsid w:val="00380D2B"/>
    <w:rsid w:val="00381248"/>
    <w:rsid w:val="0038143B"/>
    <w:rsid w:val="00381C13"/>
    <w:rsid w:val="00384D94"/>
    <w:rsid w:val="00385956"/>
    <w:rsid w:val="00387EAA"/>
    <w:rsid w:val="00391430"/>
    <w:rsid w:val="00391909"/>
    <w:rsid w:val="00392A59"/>
    <w:rsid w:val="00393402"/>
    <w:rsid w:val="0039357A"/>
    <w:rsid w:val="00394387"/>
    <w:rsid w:val="00395414"/>
    <w:rsid w:val="0039554E"/>
    <w:rsid w:val="00396002"/>
    <w:rsid w:val="003961D0"/>
    <w:rsid w:val="00396C61"/>
    <w:rsid w:val="003A18F6"/>
    <w:rsid w:val="003A215F"/>
    <w:rsid w:val="003A389D"/>
    <w:rsid w:val="003A44A7"/>
    <w:rsid w:val="003A4820"/>
    <w:rsid w:val="003A4AFF"/>
    <w:rsid w:val="003A4BB3"/>
    <w:rsid w:val="003A5A49"/>
    <w:rsid w:val="003A66B9"/>
    <w:rsid w:val="003A6BBD"/>
    <w:rsid w:val="003B0127"/>
    <w:rsid w:val="003B0E92"/>
    <w:rsid w:val="003B1812"/>
    <w:rsid w:val="003B27E7"/>
    <w:rsid w:val="003B3EFD"/>
    <w:rsid w:val="003B40B3"/>
    <w:rsid w:val="003B4BFC"/>
    <w:rsid w:val="003B5221"/>
    <w:rsid w:val="003B54D7"/>
    <w:rsid w:val="003B56DC"/>
    <w:rsid w:val="003B6098"/>
    <w:rsid w:val="003B628D"/>
    <w:rsid w:val="003B6D47"/>
    <w:rsid w:val="003B7703"/>
    <w:rsid w:val="003C07A7"/>
    <w:rsid w:val="003C0ADB"/>
    <w:rsid w:val="003C0E64"/>
    <w:rsid w:val="003C105A"/>
    <w:rsid w:val="003C1118"/>
    <w:rsid w:val="003C12F6"/>
    <w:rsid w:val="003C13D2"/>
    <w:rsid w:val="003C1ABF"/>
    <w:rsid w:val="003C1DB0"/>
    <w:rsid w:val="003C20CE"/>
    <w:rsid w:val="003C25BE"/>
    <w:rsid w:val="003C261E"/>
    <w:rsid w:val="003C320D"/>
    <w:rsid w:val="003C33A7"/>
    <w:rsid w:val="003C3553"/>
    <w:rsid w:val="003C3E30"/>
    <w:rsid w:val="003C45F4"/>
    <w:rsid w:val="003C4F9F"/>
    <w:rsid w:val="003C4FE2"/>
    <w:rsid w:val="003C65D0"/>
    <w:rsid w:val="003C6680"/>
    <w:rsid w:val="003C78D1"/>
    <w:rsid w:val="003C7B76"/>
    <w:rsid w:val="003D00D5"/>
    <w:rsid w:val="003D018F"/>
    <w:rsid w:val="003D073E"/>
    <w:rsid w:val="003D135F"/>
    <w:rsid w:val="003D1E90"/>
    <w:rsid w:val="003D5B1C"/>
    <w:rsid w:val="003D6884"/>
    <w:rsid w:val="003E0B49"/>
    <w:rsid w:val="003E0C86"/>
    <w:rsid w:val="003E10B8"/>
    <w:rsid w:val="003E22B7"/>
    <w:rsid w:val="003E2A1B"/>
    <w:rsid w:val="003E334B"/>
    <w:rsid w:val="003E5217"/>
    <w:rsid w:val="003E5BBF"/>
    <w:rsid w:val="003E5BE1"/>
    <w:rsid w:val="003E6F29"/>
    <w:rsid w:val="003F0C8B"/>
    <w:rsid w:val="003F119C"/>
    <w:rsid w:val="003F2515"/>
    <w:rsid w:val="003F27E2"/>
    <w:rsid w:val="003F2D56"/>
    <w:rsid w:val="003F35F2"/>
    <w:rsid w:val="003F3C00"/>
    <w:rsid w:val="003F3F8E"/>
    <w:rsid w:val="003F5C65"/>
    <w:rsid w:val="003F64AD"/>
    <w:rsid w:val="003F71E1"/>
    <w:rsid w:val="00400CB3"/>
    <w:rsid w:val="004013F1"/>
    <w:rsid w:val="00402480"/>
    <w:rsid w:val="00402E9F"/>
    <w:rsid w:val="00403A0E"/>
    <w:rsid w:val="00403ACC"/>
    <w:rsid w:val="0040462F"/>
    <w:rsid w:val="0040466E"/>
    <w:rsid w:val="00406B6E"/>
    <w:rsid w:val="00406F2F"/>
    <w:rsid w:val="004073D4"/>
    <w:rsid w:val="004112A2"/>
    <w:rsid w:val="00411521"/>
    <w:rsid w:val="00412600"/>
    <w:rsid w:val="00413DC0"/>
    <w:rsid w:val="00414F33"/>
    <w:rsid w:val="004150D4"/>
    <w:rsid w:val="004166E3"/>
    <w:rsid w:val="0041689A"/>
    <w:rsid w:val="00416C88"/>
    <w:rsid w:val="00417062"/>
    <w:rsid w:val="00417BAC"/>
    <w:rsid w:val="004201DE"/>
    <w:rsid w:val="004212CD"/>
    <w:rsid w:val="00421A8A"/>
    <w:rsid w:val="0042213A"/>
    <w:rsid w:val="0042226E"/>
    <w:rsid w:val="00423AD1"/>
    <w:rsid w:val="00425566"/>
    <w:rsid w:val="00425847"/>
    <w:rsid w:val="00426891"/>
    <w:rsid w:val="004279C4"/>
    <w:rsid w:val="00427FD4"/>
    <w:rsid w:val="004308E5"/>
    <w:rsid w:val="00430910"/>
    <w:rsid w:val="00431358"/>
    <w:rsid w:val="00431520"/>
    <w:rsid w:val="00431BAD"/>
    <w:rsid w:val="00431C96"/>
    <w:rsid w:val="004343C6"/>
    <w:rsid w:val="00435892"/>
    <w:rsid w:val="00435AC9"/>
    <w:rsid w:val="00435D31"/>
    <w:rsid w:val="004368C8"/>
    <w:rsid w:val="0043760C"/>
    <w:rsid w:val="00437C36"/>
    <w:rsid w:val="00437D38"/>
    <w:rsid w:val="00437DFD"/>
    <w:rsid w:val="00440A1D"/>
    <w:rsid w:val="004412F0"/>
    <w:rsid w:val="00441E9C"/>
    <w:rsid w:val="00442E6C"/>
    <w:rsid w:val="004437B5"/>
    <w:rsid w:val="00443D4F"/>
    <w:rsid w:val="00444F7A"/>
    <w:rsid w:val="00445191"/>
    <w:rsid w:val="00445E87"/>
    <w:rsid w:val="00445EEB"/>
    <w:rsid w:val="004460CA"/>
    <w:rsid w:val="00446DEC"/>
    <w:rsid w:val="00447181"/>
    <w:rsid w:val="0044758E"/>
    <w:rsid w:val="00447796"/>
    <w:rsid w:val="00447B18"/>
    <w:rsid w:val="0045069B"/>
    <w:rsid w:val="004510AC"/>
    <w:rsid w:val="00451D96"/>
    <w:rsid w:val="00451EC8"/>
    <w:rsid w:val="00453A1F"/>
    <w:rsid w:val="00455377"/>
    <w:rsid w:val="00455C80"/>
    <w:rsid w:val="00456024"/>
    <w:rsid w:val="004561FB"/>
    <w:rsid w:val="00457129"/>
    <w:rsid w:val="00457337"/>
    <w:rsid w:val="00457516"/>
    <w:rsid w:val="004578EB"/>
    <w:rsid w:val="00457E52"/>
    <w:rsid w:val="00460EF4"/>
    <w:rsid w:val="00461854"/>
    <w:rsid w:val="00461CA2"/>
    <w:rsid w:val="00462FF8"/>
    <w:rsid w:val="00463DA8"/>
    <w:rsid w:val="004656C3"/>
    <w:rsid w:val="004659E2"/>
    <w:rsid w:val="0046727D"/>
    <w:rsid w:val="00467442"/>
    <w:rsid w:val="00467924"/>
    <w:rsid w:val="00470CE0"/>
    <w:rsid w:val="0047124C"/>
    <w:rsid w:val="00471AD9"/>
    <w:rsid w:val="0047236B"/>
    <w:rsid w:val="00473280"/>
    <w:rsid w:val="004735D4"/>
    <w:rsid w:val="00473D53"/>
    <w:rsid w:val="00473EA9"/>
    <w:rsid w:val="00474005"/>
    <w:rsid w:val="0047462D"/>
    <w:rsid w:val="00475B80"/>
    <w:rsid w:val="0047791A"/>
    <w:rsid w:val="00477A3D"/>
    <w:rsid w:val="00477BB1"/>
    <w:rsid w:val="00477CA6"/>
    <w:rsid w:val="00477CF3"/>
    <w:rsid w:val="00477D65"/>
    <w:rsid w:val="00480AAF"/>
    <w:rsid w:val="004816E3"/>
    <w:rsid w:val="004819F3"/>
    <w:rsid w:val="004821EC"/>
    <w:rsid w:val="0048291D"/>
    <w:rsid w:val="00483481"/>
    <w:rsid w:val="004837C2"/>
    <w:rsid w:val="00483FB0"/>
    <w:rsid w:val="004843A9"/>
    <w:rsid w:val="00485C20"/>
    <w:rsid w:val="004861A5"/>
    <w:rsid w:val="00487E76"/>
    <w:rsid w:val="00490B31"/>
    <w:rsid w:val="00491801"/>
    <w:rsid w:val="00492730"/>
    <w:rsid w:val="0049299E"/>
    <w:rsid w:val="004936B3"/>
    <w:rsid w:val="00493CB2"/>
    <w:rsid w:val="00494AAD"/>
    <w:rsid w:val="00495C8E"/>
    <w:rsid w:val="0049615C"/>
    <w:rsid w:val="004961F7"/>
    <w:rsid w:val="00496655"/>
    <w:rsid w:val="00496D1A"/>
    <w:rsid w:val="004A0709"/>
    <w:rsid w:val="004A0857"/>
    <w:rsid w:val="004A0D66"/>
    <w:rsid w:val="004A157E"/>
    <w:rsid w:val="004A1999"/>
    <w:rsid w:val="004A1C23"/>
    <w:rsid w:val="004A1E1E"/>
    <w:rsid w:val="004A228B"/>
    <w:rsid w:val="004A5487"/>
    <w:rsid w:val="004A57BA"/>
    <w:rsid w:val="004A5B00"/>
    <w:rsid w:val="004A66CB"/>
    <w:rsid w:val="004A6F5C"/>
    <w:rsid w:val="004A7164"/>
    <w:rsid w:val="004B0A61"/>
    <w:rsid w:val="004B0C39"/>
    <w:rsid w:val="004B0EB8"/>
    <w:rsid w:val="004B25D0"/>
    <w:rsid w:val="004B2B89"/>
    <w:rsid w:val="004B31FC"/>
    <w:rsid w:val="004B4307"/>
    <w:rsid w:val="004B467B"/>
    <w:rsid w:val="004B47B0"/>
    <w:rsid w:val="004B47E1"/>
    <w:rsid w:val="004B4D5E"/>
    <w:rsid w:val="004B6265"/>
    <w:rsid w:val="004B6299"/>
    <w:rsid w:val="004B6358"/>
    <w:rsid w:val="004B6A7A"/>
    <w:rsid w:val="004B6CE8"/>
    <w:rsid w:val="004C0389"/>
    <w:rsid w:val="004C1045"/>
    <w:rsid w:val="004C123D"/>
    <w:rsid w:val="004C1466"/>
    <w:rsid w:val="004C1623"/>
    <w:rsid w:val="004C28F9"/>
    <w:rsid w:val="004C46F2"/>
    <w:rsid w:val="004C5B69"/>
    <w:rsid w:val="004C632C"/>
    <w:rsid w:val="004C6903"/>
    <w:rsid w:val="004C706C"/>
    <w:rsid w:val="004C70C1"/>
    <w:rsid w:val="004C73DB"/>
    <w:rsid w:val="004C7676"/>
    <w:rsid w:val="004D207E"/>
    <w:rsid w:val="004D2F64"/>
    <w:rsid w:val="004D311B"/>
    <w:rsid w:val="004D3FF0"/>
    <w:rsid w:val="004D470A"/>
    <w:rsid w:val="004D49AE"/>
    <w:rsid w:val="004D4CBD"/>
    <w:rsid w:val="004D4E7B"/>
    <w:rsid w:val="004D5B17"/>
    <w:rsid w:val="004E064B"/>
    <w:rsid w:val="004E1034"/>
    <w:rsid w:val="004E13A1"/>
    <w:rsid w:val="004E160B"/>
    <w:rsid w:val="004E1E61"/>
    <w:rsid w:val="004E223C"/>
    <w:rsid w:val="004E225B"/>
    <w:rsid w:val="004E34F3"/>
    <w:rsid w:val="004E39F0"/>
    <w:rsid w:val="004E3D68"/>
    <w:rsid w:val="004E40EE"/>
    <w:rsid w:val="004E4833"/>
    <w:rsid w:val="004E5B43"/>
    <w:rsid w:val="004E6B86"/>
    <w:rsid w:val="004E717C"/>
    <w:rsid w:val="004E7300"/>
    <w:rsid w:val="004F043F"/>
    <w:rsid w:val="004F11F1"/>
    <w:rsid w:val="004F12E8"/>
    <w:rsid w:val="004F4553"/>
    <w:rsid w:val="004F49F9"/>
    <w:rsid w:val="004F4A25"/>
    <w:rsid w:val="004F4E03"/>
    <w:rsid w:val="004F598E"/>
    <w:rsid w:val="004F6D08"/>
    <w:rsid w:val="004F700E"/>
    <w:rsid w:val="004F7B8E"/>
    <w:rsid w:val="004F7F7E"/>
    <w:rsid w:val="0050046E"/>
    <w:rsid w:val="005004F9"/>
    <w:rsid w:val="005008D8"/>
    <w:rsid w:val="00501B43"/>
    <w:rsid w:val="00502B1F"/>
    <w:rsid w:val="005037FD"/>
    <w:rsid w:val="00503AF0"/>
    <w:rsid w:val="00503AFA"/>
    <w:rsid w:val="00504799"/>
    <w:rsid w:val="00506F4E"/>
    <w:rsid w:val="005071FA"/>
    <w:rsid w:val="00510012"/>
    <w:rsid w:val="00510F89"/>
    <w:rsid w:val="005110C6"/>
    <w:rsid w:val="00511175"/>
    <w:rsid w:val="005128C1"/>
    <w:rsid w:val="00512DE3"/>
    <w:rsid w:val="00513612"/>
    <w:rsid w:val="005138FD"/>
    <w:rsid w:val="005164F1"/>
    <w:rsid w:val="005168E7"/>
    <w:rsid w:val="0051718D"/>
    <w:rsid w:val="00517FDB"/>
    <w:rsid w:val="00520229"/>
    <w:rsid w:val="00520329"/>
    <w:rsid w:val="0052049E"/>
    <w:rsid w:val="00520774"/>
    <w:rsid w:val="00521130"/>
    <w:rsid w:val="00521BA0"/>
    <w:rsid w:val="00521D2E"/>
    <w:rsid w:val="0052297F"/>
    <w:rsid w:val="00523D8F"/>
    <w:rsid w:val="00523EC9"/>
    <w:rsid w:val="00524DA9"/>
    <w:rsid w:val="005256D6"/>
    <w:rsid w:val="00525783"/>
    <w:rsid w:val="0052683F"/>
    <w:rsid w:val="00526B74"/>
    <w:rsid w:val="0052774B"/>
    <w:rsid w:val="00527D93"/>
    <w:rsid w:val="0053019D"/>
    <w:rsid w:val="00530218"/>
    <w:rsid w:val="005310EA"/>
    <w:rsid w:val="005319F2"/>
    <w:rsid w:val="00531B2E"/>
    <w:rsid w:val="005322BF"/>
    <w:rsid w:val="00533E0B"/>
    <w:rsid w:val="00533EFC"/>
    <w:rsid w:val="00533F75"/>
    <w:rsid w:val="0053680E"/>
    <w:rsid w:val="0053743F"/>
    <w:rsid w:val="00540E70"/>
    <w:rsid w:val="005416C0"/>
    <w:rsid w:val="0054312F"/>
    <w:rsid w:val="00543896"/>
    <w:rsid w:val="005446AF"/>
    <w:rsid w:val="00545ADB"/>
    <w:rsid w:val="00545C70"/>
    <w:rsid w:val="00547010"/>
    <w:rsid w:val="005470DD"/>
    <w:rsid w:val="005474A2"/>
    <w:rsid w:val="00550AC2"/>
    <w:rsid w:val="00550D58"/>
    <w:rsid w:val="00551AD7"/>
    <w:rsid w:val="00551B0D"/>
    <w:rsid w:val="00551D12"/>
    <w:rsid w:val="00551E23"/>
    <w:rsid w:val="005527A2"/>
    <w:rsid w:val="00553652"/>
    <w:rsid w:val="00554C45"/>
    <w:rsid w:val="00555A8F"/>
    <w:rsid w:val="00556BF2"/>
    <w:rsid w:val="00556F8D"/>
    <w:rsid w:val="00560113"/>
    <w:rsid w:val="00560C43"/>
    <w:rsid w:val="005623EF"/>
    <w:rsid w:val="00562ADC"/>
    <w:rsid w:val="00563556"/>
    <w:rsid w:val="00563C4A"/>
    <w:rsid w:val="005652E3"/>
    <w:rsid w:val="00565DEF"/>
    <w:rsid w:val="0056647A"/>
    <w:rsid w:val="00566A2D"/>
    <w:rsid w:val="00566B5D"/>
    <w:rsid w:val="005670EF"/>
    <w:rsid w:val="005701E9"/>
    <w:rsid w:val="005707FB"/>
    <w:rsid w:val="00571258"/>
    <w:rsid w:val="00571603"/>
    <w:rsid w:val="00571EEF"/>
    <w:rsid w:val="00572599"/>
    <w:rsid w:val="00572B07"/>
    <w:rsid w:val="0057379F"/>
    <w:rsid w:val="00573BD9"/>
    <w:rsid w:val="005749D0"/>
    <w:rsid w:val="005751E4"/>
    <w:rsid w:val="0057584F"/>
    <w:rsid w:val="0057593E"/>
    <w:rsid w:val="0057660B"/>
    <w:rsid w:val="00576A17"/>
    <w:rsid w:val="00577A3F"/>
    <w:rsid w:val="0058006B"/>
    <w:rsid w:val="00580425"/>
    <w:rsid w:val="00580CE4"/>
    <w:rsid w:val="00580F4A"/>
    <w:rsid w:val="00581C15"/>
    <w:rsid w:val="005820FB"/>
    <w:rsid w:val="005826C8"/>
    <w:rsid w:val="00582F38"/>
    <w:rsid w:val="00583203"/>
    <w:rsid w:val="005833A5"/>
    <w:rsid w:val="00583717"/>
    <w:rsid w:val="0058466E"/>
    <w:rsid w:val="005851F3"/>
    <w:rsid w:val="005865F4"/>
    <w:rsid w:val="00586D27"/>
    <w:rsid w:val="0058716D"/>
    <w:rsid w:val="0058763F"/>
    <w:rsid w:val="005919C3"/>
    <w:rsid w:val="00591CC7"/>
    <w:rsid w:val="005924CB"/>
    <w:rsid w:val="00592A54"/>
    <w:rsid w:val="00593192"/>
    <w:rsid w:val="00593A84"/>
    <w:rsid w:val="00594C7A"/>
    <w:rsid w:val="005959C6"/>
    <w:rsid w:val="00595E89"/>
    <w:rsid w:val="005963D4"/>
    <w:rsid w:val="0059720C"/>
    <w:rsid w:val="00597291"/>
    <w:rsid w:val="00597786"/>
    <w:rsid w:val="00597F37"/>
    <w:rsid w:val="005A0327"/>
    <w:rsid w:val="005A0EE4"/>
    <w:rsid w:val="005A16FC"/>
    <w:rsid w:val="005A1925"/>
    <w:rsid w:val="005A337E"/>
    <w:rsid w:val="005A3D35"/>
    <w:rsid w:val="005A5B1F"/>
    <w:rsid w:val="005A6445"/>
    <w:rsid w:val="005A6F02"/>
    <w:rsid w:val="005A740B"/>
    <w:rsid w:val="005A7953"/>
    <w:rsid w:val="005A7C83"/>
    <w:rsid w:val="005B0CF1"/>
    <w:rsid w:val="005B1788"/>
    <w:rsid w:val="005B1B70"/>
    <w:rsid w:val="005B1E5A"/>
    <w:rsid w:val="005B24C9"/>
    <w:rsid w:val="005B32EF"/>
    <w:rsid w:val="005B37EB"/>
    <w:rsid w:val="005B3919"/>
    <w:rsid w:val="005B398D"/>
    <w:rsid w:val="005B4032"/>
    <w:rsid w:val="005B5F9A"/>
    <w:rsid w:val="005B719B"/>
    <w:rsid w:val="005B7862"/>
    <w:rsid w:val="005B7B07"/>
    <w:rsid w:val="005B7C33"/>
    <w:rsid w:val="005C0AFF"/>
    <w:rsid w:val="005C357E"/>
    <w:rsid w:val="005C3DB8"/>
    <w:rsid w:val="005C4AAA"/>
    <w:rsid w:val="005C579F"/>
    <w:rsid w:val="005C5884"/>
    <w:rsid w:val="005C5A2A"/>
    <w:rsid w:val="005C5D30"/>
    <w:rsid w:val="005C6208"/>
    <w:rsid w:val="005C78A4"/>
    <w:rsid w:val="005C7D0B"/>
    <w:rsid w:val="005D04A7"/>
    <w:rsid w:val="005D0B7F"/>
    <w:rsid w:val="005D1628"/>
    <w:rsid w:val="005D1F35"/>
    <w:rsid w:val="005D2057"/>
    <w:rsid w:val="005D27F3"/>
    <w:rsid w:val="005D29BD"/>
    <w:rsid w:val="005D2D5E"/>
    <w:rsid w:val="005D4661"/>
    <w:rsid w:val="005D478E"/>
    <w:rsid w:val="005D5499"/>
    <w:rsid w:val="005D7053"/>
    <w:rsid w:val="005D730A"/>
    <w:rsid w:val="005D7799"/>
    <w:rsid w:val="005D77F2"/>
    <w:rsid w:val="005E1709"/>
    <w:rsid w:val="005E1C93"/>
    <w:rsid w:val="005E2335"/>
    <w:rsid w:val="005E2A58"/>
    <w:rsid w:val="005E2C1B"/>
    <w:rsid w:val="005E2ED8"/>
    <w:rsid w:val="005E47BA"/>
    <w:rsid w:val="005E6454"/>
    <w:rsid w:val="005E7331"/>
    <w:rsid w:val="005E795F"/>
    <w:rsid w:val="005E7B0D"/>
    <w:rsid w:val="005F0ABA"/>
    <w:rsid w:val="005F1772"/>
    <w:rsid w:val="005F46C4"/>
    <w:rsid w:val="005F4D74"/>
    <w:rsid w:val="005F7A51"/>
    <w:rsid w:val="0060061A"/>
    <w:rsid w:val="00600C64"/>
    <w:rsid w:val="006016FB"/>
    <w:rsid w:val="0060172A"/>
    <w:rsid w:val="006028F8"/>
    <w:rsid w:val="00602C10"/>
    <w:rsid w:val="00603BB8"/>
    <w:rsid w:val="006042BD"/>
    <w:rsid w:val="00604320"/>
    <w:rsid w:val="0060440E"/>
    <w:rsid w:val="00604473"/>
    <w:rsid w:val="00604514"/>
    <w:rsid w:val="00604911"/>
    <w:rsid w:val="00605EC7"/>
    <w:rsid w:val="0060637A"/>
    <w:rsid w:val="00606C82"/>
    <w:rsid w:val="00607A31"/>
    <w:rsid w:val="00607A77"/>
    <w:rsid w:val="00607FE1"/>
    <w:rsid w:val="00610C88"/>
    <w:rsid w:val="0061124F"/>
    <w:rsid w:val="00611D36"/>
    <w:rsid w:val="0061202F"/>
    <w:rsid w:val="0061213A"/>
    <w:rsid w:val="00612C6E"/>
    <w:rsid w:val="00612D9B"/>
    <w:rsid w:val="00612DC6"/>
    <w:rsid w:val="00613ADC"/>
    <w:rsid w:val="00613D20"/>
    <w:rsid w:val="006147D9"/>
    <w:rsid w:val="006148DC"/>
    <w:rsid w:val="00614F9C"/>
    <w:rsid w:val="00615664"/>
    <w:rsid w:val="00615D06"/>
    <w:rsid w:val="0061691A"/>
    <w:rsid w:val="00620152"/>
    <w:rsid w:val="00620594"/>
    <w:rsid w:val="00620B07"/>
    <w:rsid w:val="00620E11"/>
    <w:rsid w:val="006225B2"/>
    <w:rsid w:val="00622668"/>
    <w:rsid w:val="00627A05"/>
    <w:rsid w:val="006309A6"/>
    <w:rsid w:val="006315C7"/>
    <w:rsid w:val="006318B5"/>
    <w:rsid w:val="006326AC"/>
    <w:rsid w:val="006334C1"/>
    <w:rsid w:val="006337C6"/>
    <w:rsid w:val="006344EA"/>
    <w:rsid w:val="00634E14"/>
    <w:rsid w:val="00635265"/>
    <w:rsid w:val="00635505"/>
    <w:rsid w:val="006362F5"/>
    <w:rsid w:val="0063774A"/>
    <w:rsid w:val="0064001E"/>
    <w:rsid w:val="006401C8"/>
    <w:rsid w:val="006409F0"/>
    <w:rsid w:val="0064136A"/>
    <w:rsid w:val="006432FE"/>
    <w:rsid w:val="006436C8"/>
    <w:rsid w:val="00644523"/>
    <w:rsid w:val="00645718"/>
    <w:rsid w:val="006469EE"/>
    <w:rsid w:val="00646A3B"/>
    <w:rsid w:val="006475C4"/>
    <w:rsid w:val="00647D95"/>
    <w:rsid w:val="00647DE1"/>
    <w:rsid w:val="00650B4B"/>
    <w:rsid w:val="00650DD1"/>
    <w:rsid w:val="0065180A"/>
    <w:rsid w:val="0065349C"/>
    <w:rsid w:val="0065414E"/>
    <w:rsid w:val="00654165"/>
    <w:rsid w:val="00654E97"/>
    <w:rsid w:val="00655467"/>
    <w:rsid w:val="0065596C"/>
    <w:rsid w:val="00655BE1"/>
    <w:rsid w:val="0065706F"/>
    <w:rsid w:val="00660934"/>
    <w:rsid w:val="00660BFC"/>
    <w:rsid w:val="006613B1"/>
    <w:rsid w:val="00661904"/>
    <w:rsid w:val="00661A54"/>
    <w:rsid w:val="00661AB6"/>
    <w:rsid w:val="006620CE"/>
    <w:rsid w:val="00662F75"/>
    <w:rsid w:val="006635E6"/>
    <w:rsid w:val="006637B6"/>
    <w:rsid w:val="00663891"/>
    <w:rsid w:val="006638F3"/>
    <w:rsid w:val="00664070"/>
    <w:rsid w:val="006647FE"/>
    <w:rsid w:val="00664EC2"/>
    <w:rsid w:val="00665285"/>
    <w:rsid w:val="00670544"/>
    <w:rsid w:val="00670ACE"/>
    <w:rsid w:val="006714B1"/>
    <w:rsid w:val="006728D5"/>
    <w:rsid w:val="00673280"/>
    <w:rsid w:val="00673BDF"/>
    <w:rsid w:val="00673DA3"/>
    <w:rsid w:val="006740CB"/>
    <w:rsid w:val="00674DC2"/>
    <w:rsid w:val="00675CA6"/>
    <w:rsid w:val="006766BD"/>
    <w:rsid w:val="00676C24"/>
    <w:rsid w:val="00677D05"/>
    <w:rsid w:val="00680016"/>
    <w:rsid w:val="00681125"/>
    <w:rsid w:val="00684586"/>
    <w:rsid w:val="00684B2E"/>
    <w:rsid w:val="006863BE"/>
    <w:rsid w:val="006868D7"/>
    <w:rsid w:val="00686F09"/>
    <w:rsid w:val="0068771C"/>
    <w:rsid w:val="00690860"/>
    <w:rsid w:val="00690AD6"/>
    <w:rsid w:val="00690F72"/>
    <w:rsid w:val="00691902"/>
    <w:rsid w:val="00692641"/>
    <w:rsid w:val="006928B9"/>
    <w:rsid w:val="00692962"/>
    <w:rsid w:val="00692F54"/>
    <w:rsid w:val="006939DF"/>
    <w:rsid w:val="00694102"/>
    <w:rsid w:val="0069431C"/>
    <w:rsid w:val="006951A5"/>
    <w:rsid w:val="00695779"/>
    <w:rsid w:val="0069579B"/>
    <w:rsid w:val="00696338"/>
    <w:rsid w:val="0069654B"/>
    <w:rsid w:val="00697249"/>
    <w:rsid w:val="00697661"/>
    <w:rsid w:val="006A000C"/>
    <w:rsid w:val="006A005C"/>
    <w:rsid w:val="006A0651"/>
    <w:rsid w:val="006A0AD3"/>
    <w:rsid w:val="006A0C0C"/>
    <w:rsid w:val="006A120B"/>
    <w:rsid w:val="006A29B6"/>
    <w:rsid w:val="006A318D"/>
    <w:rsid w:val="006A36DB"/>
    <w:rsid w:val="006A3D1F"/>
    <w:rsid w:val="006A43FD"/>
    <w:rsid w:val="006A480D"/>
    <w:rsid w:val="006A4A80"/>
    <w:rsid w:val="006B001C"/>
    <w:rsid w:val="006B0100"/>
    <w:rsid w:val="006B0245"/>
    <w:rsid w:val="006B0267"/>
    <w:rsid w:val="006B0AD4"/>
    <w:rsid w:val="006B0BC2"/>
    <w:rsid w:val="006B0EED"/>
    <w:rsid w:val="006B101B"/>
    <w:rsid w:val="006B101D"/>
    <w:rsid w:val="006B2793"/>
    <w:rsid w:val="006B2EAE"/>
    <w:rsid w:val="006B2F58"/>
    <w:rsid w:val="006B301C"/>
    <w:rsid w:val="006B385D"/>
    <w:rsid w:val="006B39C8"/>
    <w:rsid w:val="006B4EB6"/>
    <w:rsid w:val="006B5A0E"/>
    <w:rsid w:val="006B644E"/>
    <w:rsid w:val="006B68E1"/>
    <w:rsid w:val="006B6C16"/>
    <w:rsid w:val="006B7E64"/>
    <w:rsid w:val="006C0081"/>
    <w:rsid w:val="006C07F7"/>
    <w:rsid w:val="006C0EAC"/>
    <w:rsid w:val="006C14CF"/>
    <w:rsid w:val="006C1858"/>
    <w:rsid w:val="006C1CF4"/>
    <w:rsid w:val="006C1F11"/>
    <w:rsid w:val="006C2CA5"/>
    <w:rsid w:val="006C2D93"/>
    <w:rsid w:val="006C3AA7"/>
    <w:rsid w:val="006C4AF3"/>
    <w:rsid w:val="006C4E2A"/>
    <w:rsid w:val="006C52A5"/>
    <w:rsid w:val="006C52CE"/>
    <w:rsid w:val="006C5B9F"/>
    <w:rsid w:val="006C64C7"/>
    <w:rsid w:val="006C6EB4"/>
    <w:rsid w:val="006C6FBF"/>
    <w:rsid w:val="006D19BD"/>
    <w:rsid w:val="006D1B71"/>
    <w:rsid w:val="006D2376"/>
    <w:rsid w:val="006D27A9"/>
    <w:rsid w:val="006D2C51"/>
    <w:rsid w:val="006D3BEB"/>
    <w:rsid w:val="006D4248"/>
    <w:rsid w:val="006D436F"/>
    <w:rsid w:val="006D5257"/>
    <w:rsid w:val="006D5718"/>
    <w:rsid w:val="006D5FA1"/>
    <w:rsid w:val="006D73D6"/>
    <w:rsid w:val="006D74B3"/>
    <w:rsid w:val="006E0075"/>
    <w:rsid w:val="006E0A10"/>
    <w:rsid w:val="006E1604"/>
    <w:rsid w:val="006E1907"/>
    <w:rsid w:val="006E1BE8"/>
    <w:rsid w:val="006E25CF"/>
    <w:rsid w:val="006E26C5"/>
    <w:rsid w:val="006E2CA7"/>
    <w:rsid w:val="006E2F95"/>
    <w:rsid w:val="006E341D"/>
    <w:rsid w:val="006E4E77"/>
    <w:rsid w:val="006E5CE1"/>
    <w:rsid w:val="006E6331"/>
    <w:rsid w:val="006E674D"/>
    <w:rsid w:val="006E68A7"/>
    <w:rsid w:val="006E7018"/>
    <w:rsid w:val="006E74C7"/>
    <w:rsid w:val="006E76DD"/>
    <w:rsid w:val="006F04EF"/>
    <w:rsid w:val="006F11D8"/>
    <w:rsid w:val="006F2409"/>
    <w:rsid w:val="006F2A60"/>
    <w:rsid w:val="006F2CF4"/>
    <w:rsid w:val="006F35DC"/>
    <w:rsid w:val="006F3DAA"/>
    <w:rsid w:val="006F402D"/>
    <w:rsid w:val="006F4F21"/>
    <w:rsid w:val="006F60B5"/>
    <w:rsid w:val="006F6104"/>
    <w:rsid w:val="006F6A98"/>
    <w:rsid w:val="006F737E"/>
    <w:rsid w:val="00701289"/>
    <w:rsid w:val="00701C8A"/>
    <w:rsid w:val="00702004"/>
    <w:rsid w:val="00702630"/>
    <w:rsid w:val="007028FE"/>
    <w:rsid w:val="0070296C"/>
    <w:rsid w:val="00702C36"/>
    <w:rsid w:val="00703553"/>
    <w:rsid w:val="00703772"/>
    <w:rsid w:val="00705A7B"/>
    <w:rsid w:val="00705BA3"/>
    <w:rsid w:val="00706AC2"/>
    <w:rsid w:val="00710DEB"/>
    <w:rsid w:val="007111EC"/>
    <w:rsid w:val="007114C3"/>
    <w:rsid w:val="00712801"/>
    <w:rsid w:val="00712A88"/>
    <w:rsid w:val="0071379A"/>
    <w:rsid w:val="0071412B"/>
    <w:rsid w:val="0071480B"/>
    <w:rsid w:val="00714E1A"/>
    <w:rsid w:val="00715979"/>
    <w:rsid w:val="007160F9"/>
    <w:rsid w:val="00716B1E"/>
    <w:rsid w:val="00716D4B"/>
    <w:rsid w:val="007171D4"/>
    <w:rsid w:val="00717379"/>
    <w:rsid w:val="0072053C"/>
    <w:rsid w:val="00721200"/>
    <w:rsid w:val="00721BCD"/>
    <w:rsid w:val="00722183"/>
    <w:rsid w:val="007225BC"/>
    <w:rsid w:val="00722A08"/>
    <w:rsid w:val="00722C93"/>
    <w:rsid w:val="007231AF"/>
    <w:rsid w:val="007234A9"/>
    <w:rsid w:val="0072380F"/>
    <w:rsid w:val="00723CF3"/>
    <w:rsid w:val="007250ED"/>
    <w:rsid w:val="00725C8C"/>
    <w:rsid w:val="0073005A"/>
    <w:rsid w:val="00730409"/>
    <w:rsid w:val="007306A6"/>
    <w:rsid w:val="007307BE"/>
    <w:rsid w:val="007308E1"/>
    <w:rsid w:val="007314D0"/>
    <w:rsid w:val="00731C43"/>
    <w:rsid w:val="00732016"/>
    <w:rsid w:val="007332BA"/>
    <w:rsid w:val="007334B0"/>
    <w:rsid w:val="00734600"/>
    <w:rsid w:val="007350B7"/>
    <w:rsid w:val="00735E43"/>
    <w:rsid w:val="00735E46"/>
    <w:rsid w:val="00736C8E"/>
    <w:rsid w:val="0073704C"/>
    <w:rsid w:val="00737730"/>
    <w:rsid w:val="007403AF"/>
    <w:rsid w:val="00741265"/>
    <w:rsid w:val="00742AAC"/>
    <w:rsid w:val="00742D5C"/>
    <w:rsid w:val="00744552"/>
    <w:rsid w:val="00744FAC"/>
    <w:rsid w:val="00745AD2"/>
    <w:rsid w:val="00745DE7"/>
    <w:rsid w:val="007467DB"/>
    <w:rsid w:val="007477DD"/>
    <w:rsid w:val="00747C1F"/>
    <w:rsid w:val="00751897"/>
    <w:rsid w:val="00751BA7"/>
    <w:rsid w:val="0075268E"/>
    <w:rsid w:val="00752CFA"/>
    <w:rsid w:val="0075307D"/>
    <w:rsid w:val="007530EA"/>
    <w:rsid w:val="00753692"/>
    <w:rsid w:val="007536D6"/>
    <w:rsid w:val="0075372B"/>
    <w:rsid w:val="00753C79"/>
    <w:rsid w:val="007543B3"/>
    <w:rsid w:val="007543F4"/>
    <w:rsid w:val="00755BFB"/>
    <w:rsid w:val="007567D8"/>
    <w:rsid w:val="00756D10"/>
    <w:rsid w:val="0075778E"/>
    <w:rsid w:val="00760609"/>
    <w:rsid w:val="007612DF"/>
    <w:rsid w:val="00761557"/>
    <w:rsid w:val="00761AED"/>
    <w:rsid w:val="00761E0B"/>
    <w:rsid w:val="007625E3"/>
    <w:rsid w:val="00762F93"/>
    <w:rsid w:val="00764A6B"/>
    <w:rsid w:val="00764CC6"/>
    <w:rsid w:val="0076529D"/>
    <w:rsid w:val="007655E7"/>
    <w:rsid w:val="0076571E"/>
    <w:rsid w:val="00765A90"/>
    <w:rsid w:val="007677F0"/>
    <w:rsid w:val="00767CF4"/>
    <w:rsid w:val="00770C73"/>
    <w:rsid w:val="00771A12"/>
    <w:rsid w:val="00771D37"/>
    <w:rsid w:val="00771D57"/>
    <w:rsid w:val="00772E53"/>
    <w:rsid w:val="00773103"/>
    <w:rsid w:val="0077348F"/>
    <w:rsid w:val="0077388C"/>
    <w:rsid w:val="007748E1"/>
    <w:rsid w:val="0077502E"/>
    <w:rsid w:val="00775539"/>
    <w:rsid w:val="00777BD3"/>
    <w:rsid w:val="007805A5"/>
    <w:rsid w:val="007813C0"/>
    <w:rsid w:val="0078231D"/>
    <w:rsid w:val="00782328"/>
    <w:rsid w:val="00782A3C"/>
    <w:rsid w:val="00783346"/>
    <w:rsid w:val="00783571"/>
    <w:rsid w:val="00784682"/>
    <w:rsid w:val="00784D23"/>
    <w:rsid w:val="00785142"/>
    <w:rsid w:val="00786607"/>
    <w:rsid w:val="00786BB7"/>
    <w:rsid w:val="0078768F"/>
    <w:rsid w:val="007900D7"/>
    <w:rsid w:val="00790A3C"/>
    <w:rsid w:val="00791793"/>
    <w:rsid w:val="007925EE"/>
    <w:rsid w:val="00792A35"/>
    <w:rsid w:val="00792C3B"/>
    <w:rsid w:val="00793ED2"/>
    <w:rsid w:val="0079457C"/>
    <w:rsid w:val="007953E7"/>
    <w:rsid w:val="00795976"/>
    <w:rsid w:val="007963F3"/>
    <w:rsid w:val="00797045"/>
    <w:rsid w:val="0079725A"/>
    <w:rsid w:val="007972C4"/>
    <w:rsid w:val="007A04E2"/>
    <w:rsid w:val="007A0DE5"/>
    <w:rsid w:val="007A1991"/>
    <w:rsid w:val="007A19F9"/>
    <w:rsid w:val="007A1DBB"/>
    <w:rsid w:val="007A2190"/>
    <w:rsid w:val="007A315E"/>
    <w:rsid w:val="007A3A47"/>
    <w:rsid w:val="007A472D"/>
    <w:rsid w:val="007A4AAC"/>
    <w:rsid w:val="007A4B3C"/>
    <w:rsid w:val="007A5528"/>
    <w:rsid w:val="007A5AE7"/>
    <w:rsid w:val="007A5F59"/>
    <w:rsid w:val="007A6E48"/>
    <w:rsid w:val="007A7B71"/>
    <w:rsid w:val="007A7D01"/>
    <w:rsid w:val="007B073F"/>
    <w:rsid w:val="007B0DF1"/>
    <w:rsid w:val="007B22D5"/>
    <w:rsid w:val="007B2D92"/>
    <w:rsid w:val="007B3028"/>
    <w:rsid w:val="007B34A1"/>
    <w:rsid w:val="007B53C0"/>
    <w:rsid w:val="007B5AE0"/>
    <w:rsid w:val="007B5CDB"/>
    <w:rsid w:val="007B7147"/>
    <w:rsid w:val="007B7DF3"/>
    <w:rsid w:val="007C032A"/>
    <w:rsid w:val="007C0A4C"/>
    <w:rsid w:val="007C0A66"/>
    <w:rsid w:val="007C1D4F"/>
    <w:rsid w:val="007C2A8F"/>
    <w:rsid w:val="007C3EE8"/>
    <w:rsid w:val="007C4048"/>
    <w:rsid w:val="007C4531"/>
    <w:rsid w:val="007C4D50"/>
    <w:rsid w:val="007C528C"/>
    <w:rsid w:val="007C5A2E"/>
    <w:rsid w:val="007C6641"/>
    <w:rsid w:val="007C66E5"/>
    <w:rsid w:val="007D0879"/>
    <w:rsid w:val="007D09BA"/>
    <w:rsid w:val="007D09CD"/>
    <w:rsid w:val="007D155D"/>
    <w:rsid w:val="007D2C82"/>
    <w:rsid w:val="007D31EA"/>
    <w:rsid w:val="007D3AC5"/>
    <w:rsid w:val="007D5E5D"/>
    <w:rsid w:val="007D6244"/>
    <w:rsid w:val="007D6767"/>
    <w:rsid w:val="007D6E4C"/>
    <w:rsid w:val="007D7E5F"/>
    <w:rsid w:val="007E11E7"/>
    <w:rsid w:val="007E1D84"/>
    <w:rsid w:val="007E1EEC"/>
    <w:rsid w:val="007E1F42"/>
    <w:rsid w:val="007E20F2"/>
    <w:rsid w:val="007E355D"/>
    <w:rsid w:val="007E5203"/>
    <w:rsid w:val="007E54BD"/>
    <w:rsid w:val="007E61D1"/>
    <w:rsid w:val="007E72E2"/>
    <w:rsid w:val="007E77A3"/>
    <w:rsid w:val="007F00C8"/>
    <w:rsid w:val="007F05ED"/>
    <w:rsid w:val="007F0F7A"/>
    <w:rsid w:val="007F17E2"/>
    <w:rsid w:val="007F1A84"/>
    <w:rsid w:val="007F2E45"/>
    <w:rsid w:val="007F3D9D"/>
    <w:rsid w:val="007F4B42"/>
    <w:rsid w:val="007F4BE9"/>
    <w:rsid w:val="007F561E"/>
    <w:rsid w:val="007F567C"/>
    <w:rsid w:val="007F5C3F"/>
    <w:rsid w:val="007F5C75"/>
    <w:rsid w:val="007F646F"/>
    <w:rsid w:val="007F7380"/>
    <w:rsid w:val="008006C8"/>
    <w:rsid w:val="00801CC8"/>
    <w:rsid w:val="00803E09"/>
    <w:rsid w:val="0080489B"/>
    <w:rsid w:val="008060CC"/>
    <w:rsid w:val="008070C7"/>
    <w:rsid w:val="00810314"/>
    <w:rsid w:val="008113BF"/>
    <w:rsid w:val="008116CC"/>
    <w:rsid w:val="00812069"/>
    <w:rsid w:val="00812782"/>
    <w:rsid w:val="00812A3D"/>
    <w:rsid w:val="008140EB"/>
    <w:rsid w:val="00814FF4"/>
    <w:rsid w:val="008157A1"/>
    <w:rsid w:val="0081732C"/>
    <w:rsid w:val="00817397"/>
    <w:rsid w:val="008174CE"/>
    <w:rsid w:val="00817796"/>
    <w:rsid w:val="00820248"/>
    <w:rsid w:val="0082093D"/>
    <w:rsid w:val="00820AEB"/>
    <w:rsid w:val="00820CCB"/>
    <w:rsid w:val="00821A2D"/>
    <w:rsid w:val="0082305E"/>
    <w:rsid w:val="00824763"/>
    <w:rsid w:val="00825304"/>
    <w:rsid w:val="008273DC"/>
    <w:rsid w:val="00827483"/>
    <w:rsid w:val="00827D57"/>
    <w:rsid w:val="00827E04"/>
    <w:rsid w:val="008300C7"/>
    <w:rsid w:val="00830499"/>
    <w:rsid w:val="008304C9"/>
    <w:rsid w:val="0083086A"/>
    <w:rsid w:val="00831B8E"/>
    <w:rsid w:val="00831C98"/>
    <w:rsid w:val="008326EB"/>
    <w:rsid w:val="0083273A"/>
    <w:rsid w:val="00832B5C"/>
    <w:rsid w:val="00832D34"/>
    <w:rsid w:val="00833198"/>
    <w:rsid w:val="008331A0"/>
    <w:rsid w:val="00836514"/>
    <w:rsid w:val="008371F4"/>
    <w:rsid w:val="00837C90"/>
    <w:rsid w:val="00837F58"/>
    <w:rsid w:val="00840499"/>
    <w:rsid w:val="0084069C"/>
    <w:rsid w:val="00841B9E"/>
    <w:rsid w:val="008421BD"/>
    <w:rsid w:val="00843278"/>
    <w:rsid w:val="00843B99"/>
    <w:rsid w:val="00844567"/>
    <w:rsid w:val="0084490D"/>
    <w:rsid w:val="00844946"/>
    <w:rsid w:val="00844974"/>
    <w:rsid w:val="00844D37"/>
    <w:rsid w:val="00844E36"/>
    <w:rsid w:val="008457AE"/>
    <w:rsid w:val="008460AD"/>
    <w:rsid w:val="00846C71"/>
    <w:rsid w:val="00850C4D"/>
    <w:rsid w:val="00851216"/>
    <w:rsid w:val="008521B3"/>
    <w:rsid w:val="008527AF"/>
    <w:rsid w:val="00852857"/>
    <w:rsid w:val="00853801"/>
    <w:rsid w:val="00853E3E"/>
    <w:rsid w:val="00853F7B"/>
    <w:rsid w:val="0085411E"/>
    <w:rsid w:val="008550E2"/>
    <w:rsid w:val="00856C18"/>
    <w:rsid w:val="00856C46"/>
    <w:rsid w:val="008579D4"/>
    <w:rsid w:val="00857CA7"/>
    <w:rsid w:val="00857D62"/>
    <w:rsid w:val="00860772"/>
    <w:rsid w:val="00860EAD"/>
    <w:rsid w:val="00861965"/>
    <w:rsid w:val="00862FF6"/>
    <w:rsid w:val="008645B2"/>
    <w:rsid w:val="00864D17"/>
    <w:rsid w:val="0086610B"/>
    <w:rsid w:val="008662EB"/>
    <w:rsid w:val="008672CD"/>
    <w:rsid w:val="008673F4"/>
    <w:rsid w:val="00867649"/>
    <w:rsid w:val="00872629"/>
    <w:rsid w:val="00872924"/>
    <w:rsid w:val="00872D47"/>
    <w:rsid w:val="008731AE"/>
    <w:rsid w:val="00873EE7"/>
    <w:rsid w:val="008746DE"/>
    <w:rsid w:val="00874922"/>
    <w:rsid w:val="00874C4F"/>
    <w:rsid w:val="00874DA3"/>
    <w:rsid w:val="00875809"/>
    <w:rsid w:val="008759F7"/>
    <w:rsid w:val="00875D1E"/>
    <w:rsid w:val="00876BC0"/>
    <w:rsid w:val="00876F87"/>
    <w:rsid w:val="00877A81"/>
    <w:rsid w:val="00877C69"/>
    <w:rsid w:val="00877FDC"/>
    <w:rsid w:val="008808C5"/>
    <w:rsid w:val="008811F3"/>
    <w:rsid w:val="0088167C"/>
    <w:rsid w:val="00882764"/>
    <w:rsid w:val="00883063"/>
    <w:rsid w:val="008832C2"/>
    <w:rsid w:val="00883558"/>
    <w:rsid w:val="008851EC"/>
    <w:rsid w:val="00885507"/>
    <w:rsid w:val="0088628B"/>
    <w:rsid w:val="008873A5"/>
    <w:rsid w:val="00887783"/>
    <w:rsid w:val="00887FC4"/>
    <w:rsid w:val="0089116A"/>
    <w:rsid w:val="0089239B"/>
    <w:rsid w:val="00892454"/>
    <w:rsid w:val="00892684"/>
    <w:rsid w:val="00892E55"/>
    <w:rsid w:val="00892E8D"/>
    <w:rsid w:val="0089434D"/>
    <w:rsid w:val="00894B78"/>
    <w:rsid w:val="008953AC"/>
    <w:rsid w:val="008955AB"/>
    <w:rsid w:val="0089575E"/>
    <w:rsid w:val="008959AE"/>
    <w:rsid w:val="00896BAF"/>
    <w:rsid w:val="008A0454"/>
    <w:rsid w:val="008A058E"/>
    <w:rsid w:val="008A1A8D"/>
    <w:rsid w:val="008A22FB"/>
    <w:rsid w:val="008A2759"/>
    <w:rsid w:val="008A2A2A"/>
    <w:rsid w:val="008A3490"/>
    <w:rsid w:val="008A7506"/>
    <w:rsid w:val="008A7CDA"/>
    <w:rsid w:val="008B0DA3"/>
    <w:rsid w:val="008B1307"/>
    <w:rsid w:val="008B1B74"/>
    <w:rsid w:val="008B1D0D"/>
    <w:rsid w:val="008B288D"/>
    <w:rsid w:val="008B3690"/>
    <w:rsid w:val="008B4641"/>
    <w:rsid w:val="008B465C"/>
    <w:rsid w:val="008B47EB"/>
    <w:rsid w:val="008B5B07"/>
    <w:rsid w:val="008B609B"/>
    <w:rsid w:val="008B652D"/>
    <w:rsid w:val="008B6D9F"/>
    <w:rsid w:val="008B7119"/>
    <w:rsid w:val="008B74A6"/>
    <w:rsid w:val="008B7979"/>
    <w:rsid w:val="008C0ACE"/>
    <w:rsid w:val="008C20D3"/>
    <w:rsid w:val="008C2D98"/>
    <w:rsid w:val="008C3B2C"/>
    <w:rsid w:val="008C4AFC"/>
    <w:rsid w:val="008C5283"/>
    <w:rsid w:val="008C57B4"/>
    <w:rsid w:val="008C5BC7"/>
    <w:rsid w:val="008C6690"/>
    <w:rsid w:val="008C6821"/>
    <w:rsid w:val="008C6B97"/>
    <w:rsid w:val="008C7489"/>
    <w:rsid w:val="008C7874"/>
    <w:rsid w:val="008D0198"/>
    <w:rsid w:val="008D10C2"/>
    <w:rsid w:val="008D10E3"/>
    <w:rsid w:val="008D15C6"/>
    <w:rsid w:val="008D1CD4"/>
    <w:rsid w:val="008D1DAC"/>
    <w:rsid w:val="008D1F6E"/>
    <w:rsid w:val="008D2FF2"/>
    <w:rsid w:val="008D3778"/>
    <w:rsid w:val="008D4E4E"/>
    <w:rsid w:val="008D4F8A"/>
    <w:rsid w:val="008D4F98"/>
    <w:rsid w:val="008D52AF"/>
    <w:rsid w:val="008D52BA"/>
    <w:rsid w:val="008D6A4C"/>
    <w:rsid w:val="008D6FBC"/>
    <w:rsid w:val="008E07F4"/>
    <w:rsid w:val="008E12BA"/>
    <w:rsid w:val="008E2071"/>
    <w:rsid w:val="008E25A4"/>
    <w:rsid w:val="008E344C"/>
    <w:rsid w:val="008E3A1D"/>
    <w:rsid w:val="008E4AAD"/>
    <w:rsid w:val="008E5620"/>
    <w:rsid w:val="008E62FD"/>
    <w:rsid w:val="008E63FF"/>
    <w:rsid w:val="008E64E6"/>
    <w:rsid w:val="008E6BDA"/>
    <w:rsid w:val="008E754E"/>
    <w:rsid w:val="008E7AAA"/>
    <w:rsid w:val="008F0285"/>
    <w:rsid w:val="008F171E"/>
    <w:rsid w:val="008F178A"/>
    <w:rsid w:val="008F2431"/>
    <w:rsid w:val="008F2FE0"/>
    <w:rsid w:val="008F3358"/>
    <w:rsid w:val="008F3C67"/>
    <w:rsid w:val="008F4152"/>
    <w:rsid w:val="008F43D6"/>
    <w:rsid w:val="008F45D9"/>
    <w:rsid w:val="008F4B0A"/>
    <w:rsid w:val="008F4EE9"/>
    <w:rsid w:val="008F6767"/>
    <w:rsid w:val="008F693B"/>
    <w:rsid w:val="008F6EC4"/>
    <w:rsid w:val="008F7739"/>
    <w:rsid w:val="00900398"/>
    <w:rsid w:val="00900795"/>
    <w:rsid w:val="00901A43"/>
    <w:rsid w:val="00903A68"/>
    <w:rsid w:val="00904427"/>
    <w:rsid w:val="00904FDA"/>
    <w:rsid w:val="00905BDE"/>
    <w:rsid w:val="00905EAD"/>
    <w:rsid w:val="00906671"/>
    <w:rsid w:val="00906F22"/>
    <w:rsid w:val="00907829"/>
    <w:rsid w:val="00907836"/>
    <w:rsid w:val="00910387"/>
    <w:rsid w:val="009111E8"/>
    <w:rsid w:val="00911341"/>
    <w:rsid w:val="00912BD8"/>
    <w:rsid w:val="00914012"/>
    <w:rsid w:val="0091470F"/>
    <w:rsid w:val="00914D53"/>
    <w:rsid w:val="009157A6"/>
    <w:rsid w:val="00916141"/>
    <w:rsid w:val="00916623"/>
    <w:rsid w:val="009206C0"/>
    <w:rsid w:val="00921351"/>
    <w:rsid w:val="00923AB3"/>
    <w:rsid w:val="00925C73"/>
    <w:rsid w:val="00926011"/>
    <w:rsid w:val="00926465"/>
    <w:rsid w:val="0092693F"/>
    <w:rsid w:val="009323E3"/>
    <w:rsid w:val="0093370D"/>
    <w:rsid w:val="00936564"/>
    <w:rsid w:val="009367A1"/>
    <w:rsid w:val="00936E33"/>
    <w:rsid w:val="00937307"/>
    <w:rsid w:val="00937319"/>
    <w:rsid w:val="00937D2B"/>
    <w:rsid w:val="00940FA0"/>
    <w:rsid w:val="00941741"/>
    <w:rsid w:val="00941B49"/>
    <w:rsid w:val="00942712"/>
    <w:rsid w:val="00942A98"/>
    <w:rsid w:val="00943AAA"/>
    <w:rsid w:val="00943AEC"/>
    <w:rsid w:val="00944E89"/>
    <w:rsid w:val="00945A25"/>
    <w:rsid w:val="00945D00"/>
    <w:rsid w:val="00946122"/>
    <w:rsid w:val="00947078"/>
    <w:rsid w:val="009471C9"/>
    <w:rsid w:val="00950137"/>
    <w:rsid w:val="00950198"/>
    <w:rsid w:val="009509A8"/>
    <w:rsid w:val="00951486"/>
    <w:rsid w:val="00951832"/>
    <w:rsid w:val="009524E5"/>
    <w:rsid w:val="00952BA4"/>
    <w:rsid w:val="00952F83"/>
    <w:rsid w:val="00954742"/>
    <w:rsid w:val="00955728"/>
    <w:rsid w:val="00955AC7"/>
    <w:rsid w:val="0095613C"/>
    <w:rsid w:val="00956611"/>
    <w:rsid w:val="0095697A"/>
    <w:rsid w:val="0095741B"/>
    <w:rsid w:val="00957888"/>
    <w:rsid w:val="00957CA7"/>
    <w:rsid w:val="00960C81"/>
    <w:rsid w:val="00960CCD"/>
    <w:rsid w:val="00960F9B"/>
    <w:rsid w:val="0096153F"/>
    <w:rsid w:val="0096228C"/>
    <w:rsid w:val="00962566"/>
    <w:rsid w:val="00964438"/>
    <w:rsid w:val="00964B1B"/>
    <w:rsid w:val="00966AD9"/>
    <w:rsid w:val="00966B5F"/>
    <w:rsid w:val="009674A1"/>
    <w:rsid w:val="009705D1"/>
    <w:rsid w:val="00970A61"/>
    <w:rsid w:val="009718F8"/>
    <w:rsid w:val="00972A1E"/>
    <w:rsid w:val="00973BAC"/>
    <w:rsid w:val="00974F7A"/>
    <w:rsid w:val="00975A34"/>
    <w:rsid w:val="00977485"/>
    <w:rsid w:val="009774C2"/>
    <w:rsid w:val="00980F4F"/>
    <w:rsid w:val="00981377"/>
    <w:rsid w:val="00981998"/>
    <w:rsid w:val="00981B17"/>
    <w:rsid w:val="00981CE5"/>
    <w:rsid w:val="00981EBC"/>
    <w:rsid w:val="00982E99"/>
    <w:rsid w:val="00982EB6"/>
    <w:rsid w:val="0098310D"/>
    <w:rsid w:val="0098595A"/>
    <w:rsid w:val="00985AEC"/>
    <w:rsid w:val="00986607"/>
    <w:rsid w:val="00986E07"/>
    <w:rsid w:val="0098713D"/>
    <w:rsid w:val="00987678"/>
    <w:rsid w:val="00987CBB"/>
    <w:rsid w:val="00987F2E"/>
    <w:rsid w:val="00990CF6"/>
    <w:rsid w:val="009913A7"/>
    <w:rsid w:val="00991536"/>
    <w:rsid w:val="00991AD3"/>
    <w:rsid w:val="00992CCF"/>
    <w:rsid w:val="00993665"/>
    <w:rsid w:val="00994CE2"/>
    <w:rsid w:val="009958AE"/>
    <w:rsid w:val="00996E73"/>
    <w:rsid w:val="00997069"/>
    <w:rsid w:val="0099752B"/>
    <w:rsid w:val="00997A3F"/>
    <w:rsid w:val="009A01FB"/>
    <w:rsid w:val="009A0E83"/>
    <w:rsid w:val="009A10C6"/>
    <w:rsid w:val="009A18D7"/>
    <w:rsid w:val="009A1E31"/>
    <w:rsid w:val="009A2E30"/>
    <w:rsid w:val="009A2EEC"/>
    <w:rsid w:val="009A3214"/>
    <w:rsid w:val="009A4BEB"/>
    <w:rsid w:val="009A4E3A"/>
    <w:rsid w:val="009A5C29"/>
    <w:rsid w:val="009A6916"/>
    <w:rsid w:val="009A6C92"/>
    <w:rsid w:val="009A71A9"/>
    <w:rsid w:val="009A7400"/>
    <w:rsid w:val="009B0579"/>
    <w:rsid w:val="009B0708"/>
    <w:rsid w:val="009B125B"/>
    <w:rsid w:val="009B1D22"/>
    <w:rsid w:val="009B3615"/>
    <w:rsid w:val="009B3721"/>
    <w:rsid w:val="009B437C"/>
    <w:rsid w:val="009B6A05"/>
    <w:rsid w:val="009B7473"/>
    <w:rsid w:val="009C0F83"/>
    <w:rsid w:val="009C0FAD"/>
    <w:rsid w:val="009C2879"/>
    <w:rsid w:val="009C3D2F"/>
    <w:rsid w:val="009C41DE"/>
    <w:rsid w:val="009C4FCB"/>
    <w:rsid w:val="009C563D"/>
    <w:rsid w:val="009C606B"/>
    <w:rsid w:val="009C65C2"/>
    <w:rsid w:val="009C74B8"/>
    <w:rsid w:val="009C7534"/>
    <w:rsid w:val="009C7A55"/>
    <w:rsid w:val="009D1620"/>
    <w:rsid w:val="009D194F"/>
    <w:rsid w:val="009D2633"/>
    <w:rsid w:val="009D2DD8"/>
    <w:rsid w:val="009D374E"/>
    <w:rsid w:val="009D3E55"/>
    <w:rsid w:val="009D3F7C"/>
    <w:rsid w:val="009D413A"/>
    <w:rsid w:val="009D44A9"/>
    <w:rsid w:val="009D4580"/>
    <w:rsid w:val="009D48E5"/>
    <w:rsid w:val="009D5E11"/>
    <w:rsid w:val="009D660D"/>
    <w:rsid w:val="009D75ED"/>
    <w:rsid w:val="009D7EDC"/>
    <w:rsid w:val="009E003D"/>
    <w:rsid w:val="009E012D"/>
    <w:rsid w:val="009E0463"/>
    <w:rsid w:val="009E0E1F"/>
    <w:rsid w:val="009E117B"/>
    <w:rsid w:val="009E2ACA"/>
    <w:rsid w:val="009E2BD3"/>
    <w:rsid w:val="009E3524"/>
    <w:rsid w:val="009E50D2"/>
    <w:rsid w:val="009E5432"/>
    <w:rsid w:val="009E5DAF"/>
    <w:rsid w:val="009E6B73"/>
    <w:rsid w:val="009E6F10"/>
    <w:rsid w:val="009E7636"/>
    <w:rsid w:val="009E7E92"/>
    <w:rsid w:val="009F1465"/>
    <w:rsid w:val="009F1C64"/>
    <w:rsid w:val="009F20F9"/>
    <w:rsid w:val="009F28B9"/>
    <w:rsid w:val="009F35D3"/>
    <w:rsid w:val="009F3BE7"/>
    <w:rsid w:val="009F4711"/>
    <w:rsid w:val="009F4F8C"/>
    <w:rsid w:val="009F7FA3"/>
    <w:rsid w:val="00A004BC"/>
    <w:rsid w:val="00A019F7"/>
    <w:rsid w:val="00A0229D"/>
    <w:rsid w:val="00A025B8"/>
    <w:rsid w:val="00A02831"/>
    <w:rsid w:val="00A02B4A"/>
    <w:rsid w:val="00A02CDB"/>
    <w:rsid w:val="00A033BA"/>
    <w:rsid w:val="00A03C42"/>
    <w:rsid w:val="00A03F57"/>
    <w:rsid w:val="00A04DCE"/>
    <w:rsid w:val="00A05A4E"/>
    <w:rsid w:val="00A05EFB"/>
    <w:rsid w:val="00A06A70"/>
    <w:rsid w:val="00A07292"/>
    <w:rsid w:val="00A07422"/>
    <w:rsid w:val="00A07D43"/>
    <w:rsid w:val="00A07D4A"/>
    <w:rsid w:val="00A11C1B"/>
    <w:rsid w:val="00A12A87"/>
    <w:rsid w:val="00A12ADB"/>
    <w:rsid w:val="00A1389F"/>
    <w:rsid w:val="00A13D30"/>
    <w:rsid w:val="00A15241"/>
    <w:rsid w:val="00A15E1A"/>
    <w:rsid w:val="00A160A0"/>
    <w:rsid w:val="00A16507"/>
    <w:rsid w:val="00A16B54"/>
    <w:rsid w:val="00A17374"/>
    <w:rsid w:val="00A17486"/>
    <w:rsid w:val="00A17A23"/>
    <w:rsid w:val="00A20A5B"/>
    <w:rsid w:val="00A20AEC"/>
    <w:rsid w:val="00A21798"/>
    <w:rsid w:val="00A22568"/>
    <w:rsid w:val="00A22756"/>
    <w:rsid w:val="00A22CFC"/>
    <w:rsid w:val="00A23761"/>
    <w:rsid w:val="00A23F4A"/>
    <w:rsid w:val="00A240EC"/>
    <w:rsid w:val="00A256CD"/>
    <w:rsid w:val="00A27000"/>
    <w:rsid w:val="00A27C67"/>
    <w:rsid w:val="00A30A6D"/>
    <w:rsid w:val="00A31F2A"/>
    <w:rsid w:val="00A32003"/>
    <w:rsid w:val="00A3231B"/>
    <w:rsid w:val="00A327CD"/>
    <w:rsid w:val="00A32AB8"/>
    <w:rsid w:val="00A33623"/>
    <w:rsid w:val="00A34B32"/>
    <w:rsid w:val="00A34FB5"/>
    <w:rsid w:val="00A36A94"/>
    <w:rsid w:val="00A36D75"/>
    <w:rsid w:val="00A373F1"/>
    <w:rsid w:val="00A4021B"/>
    <w:rsid w:val="00A4093C"/>
    <w:rsid w:val="00A40E4A"/>
    <w:rsid w:val="00A40F33"/>
    <w:rsid w:val="00A4147B"/>
    <w:rsid w:val="00A41DF6"/>
    <w:rsid w:val="00A41E8F"/>
    <w:rsid w:val="00A420C3"/>
    <w:rsid w:val="00A42D5A"/>
    <w:rsid w:val="00A43541"/>
    <w:rsid w:val="00A4517F"/>
    <w:rsid w:val="00A454EC"/>
    <w:rsid w:val="00A45C7F"/>
    <w:rsid w:val="00A470BB"/>
    <w:rsid w:val="00A47FC4"/>
    <w:rsid w:val="00A50DFF"/>
    <w:rsid w:val="00A50EE0"/>
    <w:rsid w:val="00A53A80"/>
    <w:rsid w:val="00A54A2A"/>
    <w:rsid w:val="00A55F4D"/>
    <w:rsid w:val="00A56BB6"/>
    <w:rsid w:val="00A60275"/>
    <w:rsid w:val="00A605F7"/>
    <w:rsid w:val="00A60CDC"/>
    <w:rsid w:val="00A6120C"/>
    <w:rsid w:val="00A61C12"/>
    <w:rsid w:val="00A6265F"/>
    <w:rsid w:val="00A63839"/>
    <w:rsid w:val="00A63A41"/>
    <w:rsid w:val="00A6443C"/>
    <w:rsid w:val="00A64CB3"/>
    <w:rsid w:val="00A64DCD"/>
    <w:rsid w:val="00A663E5"/>
    <w:rsid w:val="00A66B61"/>
    <w:rsid w:val="00A67195"/>
    <w:rsid w:val="00A673C8"/>
    <w:rsid w:val="00A67D3A"/>
    <w:rsid w:val="00A70233"/>
    <w:rsid w:val="00A70A86"/>
    <w:rsid w:val="00A70EE2"/>
    <w:rsid w:val="00A72216"/>
    <w:rsid w:val="00A722BE"/>
    <w:rsid w:val="00A73633"/>
    <w:rsid w:val="00A73D5A"/>
    <w:rsid w:val="00A74E3D"/>
    <w:rsid w:val="00A756C7"/>
    <w:rsid w:val="00A75779"/>
    <w:rsid w:val="00A779EC"/>
    <w:rsid w:val="00A80FD7"/>
    <w:rsid w:val="00A8128D"/>
    <w:rsid w:val="00A82966"/>
    <w:rsid w:val="00A82B08"/>
    <w:rsid w:val="00A83417"/>
    <w:rsid w:val="00A83597"/>
    <w:rsid w:val="00A84752"/>
    <w:rsid w:val="00A87858"/>
    <w:rsid w:val="00A87985"/>
    <w:rsid w:val="00A87FCD"/>
    <w:rsid w:val="00A91046"/>
    <w:rsid w:val="00A916FA"/>
    <w:rsid w:val="00A9171F"/>
    <w:rsid w:val="00A91D1D"/>
    <w:rsid w:val="00A920CD"/>
    <w:rsid w:val="00A9227F"/>
    <w:rsid w:val="00A937F2"/>
    <w:rsid w:val="00A93F21"/>
    <w:rsid w:val="00A94579"/>
    <w:rsid w:val="00A9592B"/>
    <w:rsid w:val="00A96C2A"/>
    <w:rsid w:val="00A96F49"/>
    <w:rsid w:val="00A97613"/>
    <w:rsid w:val="00AA057D"/>
    <w:rsid w:val="00AA0EA4"/>
    <w:rsid w:val="00AA12CE"/>
    <w:rsid w:val="00AA1815"/>
    <w:rsid w:val="00AA2367"/>
    <w:rsid w:val="00AA24BA"/>
    <w:rsid w:val="00AA2671"/>
    <w:rsid w:val="00AA2AB7"/>
    <w:rsid w:val="00AA31B5"/>
    <w:rsid w:val="00AA370E"/>
    <w:rsid w:val="00AA38DE"/>
    <w:rsid w:val="00AA59EE"/>
    <w:rsid w:val="00AA5F74"/>
    <w:rsid w:val="00AA7B2E"/>
    <w:rsid w:val="00AA7C2D"/>
    <w:rsid w:val="00AB088E"/>
    <w:rsid w:val="00AB1631"/>
    <w:rsid w:val="00AB1D14"/>
    <w:rsid w:val="00AB2762"/>
    <w:rsid w:val="00AB2E02"/>
    <w:rsid w:val="00AB3D36"/>
    <w:rsid w:val="00AB40BF"/>
    <w:rsid w:val="00AB45F8"/>
    <w:rsid w:val="00AB508E"/>
    <w:rsid w:val="00AB5252"/>
    <w:rsid w:val="00AB59E2"/>
    <w:rsid w:val="00AB5C24"/>
    <w:rsid w:val="00AB6317"/>
    <w:rsid w:val="00AB658B"/>
    <w:rsid w:val="00AC0090"/>
    <w:rsid w:val="00AC0213"/>
    <w:rsid w:val="00AC092B"/>
    <w:rsid w:val="00AC0C22"/>
    <w:rsid w:val="00AC1882"/>
    <w:rsid w:val="00AC1C41"/>
    <w:rsid w:val="00AC2290"/>
    <w:rsid w:val="00AC3630"/>
    <w:rsid w:val="00AC3B20"/>
    <w:rsid w:val="00AC4158"/>
    <w:rsid w:val="00AC4516"/>
    <w:rsid w:val="00AC4936"/>
    <w:rsid w:val="00AC535A"/>
    <w:rsid w:val="00AC6456"/>
    <w:rsid w:val="00AC68E6"/>
    <w:rsid w:val="00AC713E"/>
    <w:rsid w:val="00AC7A36"/>
    <w:rsid w:val="00AD067A"/>
    <w:rsid w:val="00AD157E"/>
    <w:rsid w:val="00AD1B9B"/>
    <w:rsid w:val="00AD1E64"/>
    <w:rsid w:val="00AD295D"/>
    <w:rsid w:val="00AD30A7"/>
    <w:rsid w:val="00AD331E"/>
    <w:rsid w:val="00AD5112"/>
    <w:rsid w:val="00AD55BE"/>
    <w:rsid w:val="00AD616C"/>
    <w:rsid w:val="00AD67EF"/>
    <w:rsid w:val="00AD78FA"/>
    <w:rsid w:val="00AE0285"/>
    <w:rsid w:val="00AE0331"/>
    <w:rsid w:val="00AE07FE"/>
    <w:rsid w:val="00AE0FEB"/>
    <w:rsid w:val="00AE147E"/>
    <w:rsid w:val="00AE1F33"/>
    <w:rsid w:val="00AE2E1A"/>
    <w:rsid w:val="00AE4AA6"/>
    <w:rsid w:val="00AE5A8F"/>
    <w:rsid w:val="00AE5C8F"/>
    <w:rsid w:val="00AE5DC3"/>
    <w:rsid w:val="00AE64C6"/>
    <w:rsid w:val="00AE680C"/>
    <w:rsid w:val="00AE6E13"/>
    <w:rsid w:val="00AE740E"/>
    <w:rsid w:val="00AE7D23"/>
    <w:rsid w:val="00AF04F8"/>
    <w:rsid w:val="00AF0ABA"/>
    <w:rsid w:val="00AF0D37"/>
    <w:rsid w:val="00AF216D"/>
    <w:rsid w:val="00AF2F17"/>
    <w:rsid w:val="00AF47BC"/>
    <w:rsid w:val="00AF5698"/>
    <w:rsid w:val="00AF5A59"/>
    <w:rsid w:val="00AF6655"/>
    <w:rsid w:val="00AF6CEA"/>
    <w:rsid w:val="00AF6F4E"/>
    <w:rsid w:val="00AF7411"/>
    <w:rsid w:val="00AF7AC9"/>
    <w:rsid w:val="00AF7CB6"/>
    <w:rsid w:val="00AF7E02"/>
    <w:rsid w:val="00B018B5"/>
    <w:rsid w:val="00B01942"/>
    <w:rsid w:val="00B0197C"/>
    <w:rsid w:val="00B01BD4"/>
    <w:rsid w:val="00B025D9"/>
    <w:rsid w:val="00B0266D"/>
    <w:rsid w:val="00B02A9F"/>
    <w:rsid w:val="00B037A8"/>
    <w:rsid w:val="00B04948"/>
    <w:rsid w:val="00B06401"/>
    <w:rsid w:val="00B06A87"/>
    <w:rsid w:val="00B06F56"/>
    <w:rsid w:val="00B103DD"/>
    <w:rsid w:val="00B10B70"/>
    <w:rsid w:val="00B10C69"/>
    <w:rsid w:val="00B10DF7"/>
    <w:rsid w:val="00B1333E"/>
    <w:rsid w:val="00B13373"/>
    <w:rsid w:val="00B1376D"/>
    <w:rsid w:val="00B1387F"/>
    <w:rsid w:val="00B139A2"/>
    <w:rsid w:val="00B161A9"/>
    <w:rsid w:val="00B17D61"/>
    <w:rsid w:val="00B20945"/>
    <w:rsid w:val="00B2096F"/>
    <w:rsid w:val="00B20BA4"/>
    <w:rsid w:val="00B21141"/>
    <w:rsid w:val="00B21205"/>
    <w:rsid w:val="00B21FDE"/>
    <w:rsid w:val="00B223CC"/>
    <w:rsid w:val="00B22623"/>
    <w:rsid w:val="00B23206"/>
    <w:rsid w:val="00B234EF"/>
    <w:rsid w:val="00B23991"/>
    <w:rsid w:val="00B23D73"/>
    <w:rsid w:val="00B26FD5"/>
    <w:rsid w:val="00B27117"/>
    <w:rsid w:val="00B274D6"/>
    <w:rsid w:val="00B27507"/>
    <w:rsid w:val="00B275ED"/>
    <w:rsid w:val="00B309DE"/>
    <w:rsid w:val="00B30B2F"/>
    <w:rsid w:val="00B30EC5"/>
    <w:rsid w:val="00B31047"/>
    <w:rsid w:val="00B321F1"/>
    <w:rsid w:val="00B3263D"/>
    <w:rsid w:val="00B340E4"/>
    <w:rsid w:val="00B343AA"/>
    <w:rsid w:val="00B3605B"/>
    <w:rsid w:val="00B36279"/>
    <w:rsid w:val="00B36F53"/>
    <w:rsid w:val="00B37958"/>
    <w:rsid w:val="00B40728"/>
    <w:rsid w:val="00B40977"/>
    <w:rsid w:val="00B42EA5"/>
    <w:rsid w:val="00B438AD"/>
    <w:rsid w:val="00B456E9"/>
    <w:rsid w:val="00B4682B"/>
    <w:rsid w:val="00B468B0"/>
    <w:rsid w:val="00B5000B"/>
    <w:rsid w:val="00B50569"/>
    <w:rsid w:val="00B50F17"/>
    <w:rsid w:val="00B51C6C"/>
    <w:rsid w:val="00B51CBF"/>
    <w:rsid w:val="00B51D61"/>
    <w:rsid w:val="00B52D7A"/>
    <w:rsid w:val="00B559E4"/>
    <w:rsid w:val="00B56E6E"/>
    <w:rsid w:val="00B57037"/>
    <w:rsid w:val="00B57DB3"/>
    <w:rsid w:val="00B60D15"/>
    <w:rsid w:val="00B6142B"/>
    <w:rsid w:val="00B62A8E"/>
    <w:rsid w:val="00B63E39"/>
    <w:rsid w:val="00B64C38"/>
    <w:rsid w:val="00B65E07"/>
    <w:rsid w:val="00B6793B"/>
    <w:rsid w:val="00B67AEA"/>
    <w:rsid w:val="00B67C5E"/>
    <w:rsid w:val="00B702F4"/>
    <w:rsid w:val="00B70621"/>
    <w:rsid w:val="00B70EB8"/>
    <w:rsid w:val="00B7203B"/>
    <w:rsid w:val="00B7248B"/>
    <w:rsid w:val="00B728E9"/>
    <w:rsid w:val="00B72B5C"/>
    <w:rsid w:val="00B73091"/>
    <w:rsid w:val="00B73CBB"/>
    <w:rsid w:val="00B7560B"/>
    <w:rsid w:val="00B75FB7"/>
    <w:rsid w:val="00B76371"/>
    <w:rsid w:val="00B76B10"/>
    <w:rsid w:val="00B8042B"/>
    <w:rsid w:val="00B80957"/>
    <w:rsid w:val="00B828FA"/>
    <w:rsid w:val="00B8464E"/>
    <w:rsid w:val="00B85583"/>
    <w:rsid w:val="00B85693"/>
    <w:rsid w:val="00B85EBD"/>
    <w:rsid w:val="00B873BF"/>
    <w:rsid w:val="00B87EB0"/>
    <w:rsid w:val="00B905C3"/>
    <w:rsid w:val="00B908B6"/>
    <w:rsid w:val="00B912C4"/>
    <w:rsid w:val="00B9180D"/>
    <w:rsid w:val="00B918A7"/>
    <w:rsid w:val="00B91B5F"/>
    <w:rsid w:val="00B92435"/>
    <w:rsid w:val="00B93945"/>
    <w:rsid w:val="00B93C50"/>
    <w:rsid w:val="00B9437C"/>
    <w:rsid w:val="00B94E2C"/>
    <w:rsid w:val="00B95B43"/>
    <w:rsid w:val="00B95F3F"/>
    <w:rsid w:val="00B96276"/>
    <w:rsid w:val="00B96686"/>
    <w:rsid w:val="00B96C78"/>
    <w:rsid w:val="00B973BC"/>
    <w:rsid w:val="00B97E7D"/>
    <w:rsid w:val="00B97F44"/>
    <w:rsid w:val="00BA074F"/>
    <w:rsid w:val="00BA15EF"/>
    <w:rsid w:val="00BA27AD"/>
    <w:rsid w:val="00BA2AB6"/>
    <w:rsid w:val="00BA30EA"/>
    <w:rsid w:val="00BA6D10"/>
    <w:rsid w:val="00BA75BB"/>
    <w:rsid w:val="00BB0373"/>
    <w:rsid w:val="00BB03BF"/>
    <w:rsid w:val="00BB101E"/>
    <w:rsid w:val="00BB194E"/>
    <w:rsid w:val="00BB1AF3"/>
    <w:rsid w:val="00BB22C3"/>
    <w:rsid w:val="00BB2D85"/>
    <w:rsid w:val="00BB2F08"/>
    <w:rsid w:val="00BB4421"/>
    <w:rsid w:val="00BB4FF6"/>
    <w:rsid w:val="00BB531F"/>
    <w:rsid w:val="00BB5865"/>
    <w:rsid w:val="00BB6040"/>
    <w:rsid w:val="00BB6327"/>
    <w:rsid w:val="00BC296C"/>
    <w:rsid w:val="00BC2C80"/>
    <w:rsid w:val="00BC2DCD"/>
    <w:rsid w:val="00BC4260"/>
    <w:rsid w:val="00BC5DAA"/>
    <w:rsid w:val="00BC6419"/>
    <w:rsid w:val="00BC7AE3"/>
    <w:rsid w:val="00BD0A25"/>
    <w:rsid w:val="00BD1515"/>
    <w:rsid w:val="00BD30A6"/>
    <w:rsid w:val="00BD3681"/>
    <w:rsid w:val="00BD49E3"/>
    <w:rsid w:val="00BD5123"/>
    <w:rsid w:val="00BD63E8"/>
    <w:rsid w:val="00BD65A9"/>
    <w:rsid w:val="00BD6921"/>
    <w:rsid w:val="00BD69C5"/>
    <w:rsid w:val="00BD6B05"/>
    <w:rsid w:val="00BD73CF"/>
    <w:rsid w:val="00BE0306"/>
    <w:rsid w:val="00BE06A8"/>
    <w:rsid w:val="00BE2462"/>
    <w:rsid w:val="00BE2A2D"/>
    <w:rsid w:val="00BE30D3"/>
    <w:rsid w:val="00BE3AE4"/>
    <w:rsid w:val="00BE430D"/>
    <w:rsid w:val="00BE4692"/>
    <w:rsid w:val="00BE4BDD"/>
    <w:rsid w:val="00BE55AB"/>
    <w:rsid w:val="00BE5A8E"/>
    <w:rsid w:val="00BE77C8"/>
    <w:rsid w:val="00BF01A6"/>
    <w:rsid w:val="00BF02D3"/>
    <w:rsid w:val="00BF0604"/>
    <w:rsid w:val="00BF0D5E"/>
    <w:rsid w:val="00BF0F80"/>
    <w:rsid w:val="00BF1974"/>
    <w:rsid w:val="00BF2254"/>
    <w:rsid w:val="00BF299F"/>
    <w:rsid w:val="00BF3654"/>
    <w:rsid w:val="00BF3CFB"/>
    <w:rsid w:val="00BF4713"/>
    <w:rsid w:val="00BF49BB"/>
    <w:rsid w:val="00BF4CD1"/>
    <w:rsid w:val="00BF6D82"/>
    <w:rsid w:val="00C006EE"/>
    <w:rsid w:val="00C01EB9"/>
    <w:rsid w:val="00C021DE"/>
    <w:rsid w:val="00C034AA"/>
    <w:rsid w:val="00C0389D"/>
    <w:rsid w:val="00C03DA1"/>
    <w:rsid w:val="00C04360"/>
    <w:rsid w:val="00C04AF6"/>
    <w:rsid w:val="00C06A54"/>
    <w:rsid w:val="00C112B4"/>
    <w:rsid w:val="00C12F8B"/>
    <w:rsid w:val="00C13702"/>
    <w:rsid w:val="00C13901"/>
    <w:rsid w:val="00C139B0"/>
    <w:rsid w:val="00C15002"/>
    <w:rsid w:val="00C15E81"/>
    <w:rsid w:val="00C15F6B"/>
    <w:rsid w:val="00C16326"/>
    <w:rsid w:val="00C20592"/>
    <w:rsid w:val="00C205C0"/>
    <w:rsid w:val="00C20DDA"/>
    <w:rsid w:val="00C218E3"/>
    <w:rsid w:val="00C21EBA"/>
    <w:rsid w:val="00C21FBF"/>
    <w:rsid w:val="00C223CC"/>
    <w:rsid w:val="00C22920"/>
    <w:rsid w:val="00C234F7"/>
    <w:rsid w:val="00C23672"/>
    <w:rsid w:val="00C23AB7"/>
    <w:rsid w:val="00C246B6"/>
    <w:rsid w:val="00C246E2"/>
    <w:rsid w:val="00C24A37"/>
    <w:rsid w:val="00C250C1"/>
    <w:rsid w:val="00C25C59"/>
    <w:rsid w:val="00C25E83"/>
    <w:rsid w:val="00C260FF"/>
    <w:rsid w:val="00C2636A"/>
    <w:rsid w:val="00C267B6"/>
    <w:rsid w:val="00C2681B"/>
    <w:rsid w:val="00C27CB7"/>
    <w:rsid w:val="00C3023A"/>
    <w:rsid w:val="00C30385"/>
    <w:rsid w:val="00C304B3"/>
    <w:rsid w:val="00C318F1"/>
    <w:rsid w:val="00C33F1A"/>
    <w:rsid w:val="00C34384"/>
    <w:rsid w:val="00C349AB"/>
    <w:rsid w:val="00C358C9"/>
    <w:rsid w:val="00C35A0A"/>
    <w:rsid w:val="00C37255"/>
    <w:rsid w:val="00C378B2"/>
    <w:rsid w:val="00C37E20"/>
    <w:rsid w:val="00C400E8"/>
    <w:rsid w:val="00C407BC"/>
    <w:rsid w:val="00C40889"/>
    <w:rsid w:val="00C4174E"/>
    <w:rsid w:val="00C43169"/>
    <w:rsid w:val="00C437F1"/>
    <w:rsid w:val="00C4428D"/>
    <w:rsid w:val="00C44501"/>
    <w:rsid w:val="00C44F4F"/>
    <w:rsid w:val="00C46092"/>
    <w:rsid w:val="00C464B2"/>
    <w:rsid w:val="00C4673B"/>
    <w:rsid w:val="00C4740C"/>
    <w:rsid w:val="00C4753D"/>
    <w:rsid w:val="00C476AE"/>
    <w:rsid w:val="00C47F49"/>
    <w:rsid w:val="00C51047"/>
    <w:rsid w:val="00C5111E"/>
    <w:rsid w:val="00C52701"/>
    <w:rsid w:val="00C533D9"/>
    <w:rsid w:val="00C53F79"/>
    <w:rsid w:val="00C53F89"/>
    <w:rsid w:val="00C54AED"/>
    <w:rsid w:val="00C54B47"/>
    <w:rsid w:val="00C54F5E"/>
    <w:rsid w:val="00C55821"/>
    <w:rsid w:val="00C55879"/>
    <w:rsid w:val="00C55DEE"/>
    <w:rsid w:val="00C562F5"/>
    <w:rsid w:val="00C5633A"/>
    <w:rsid w:val="00C56B7E"/>
    <w:rsid w:val="00C579F4"/>
    <w:rsid w:val="00C616F1"/>
    <w:rsid w:val="00C61D9F"/>
    <w:rsid w:val="00C62342"/>
    <w:rsid w:val="00C623B0"/>
    <w:rsid w:val="00C624E2"/>
    <w:rsid w:val="00C64505"/>
    <w:rsid w:val="00C64A1B"/>
    <w:rsid w:val="00C64FBB"/>
    <w:rsid w:val="00C6517B"/>
    <w:rsid w:val="00C6521E"/>
    <w:rsid w:val="00C65528"/>
    <w:rsid w:val="00C655D4"/>
    <w:rsid w:val="00C66554"/>
    <w:rsid w:val="00C6672C"/>
    <w:rsid w:val="00C67E4B"/>
    <w:rsid w:val="00C701D5"/>
    <w:rsid w:val="00C70323"/>
    <w:rsid w:val="00C72873"/>
    <w:rsid w:val="00C72A1B"/>
    <w:rsid w:val="00C73072"/>
    <w:rsid w:val="00C7337C"/>
    <w:rsid w:val="00C73A36"/>
    <w:rsid w:val="00C73B2C"/>
    <w:rsid w:val="00C742EC"/>
    <w:rsid w:val="00C74303"/>
    <w:rsid w:val="00C7475A"/>
    <w:rsid w:val="00C749BA"/>
    <w:rsid w:val="00C74DCC"/>
    <w:rsid w:val="00C7516E"/>
    <w:rsid w:val="00C75543"/>
    <w:rsid w:val="00C76948"/>
    <w:rsid w:val="00C804BE"/>
    <w:rsid w:val="00C80678"/>
    <w:rsid w:val="00C806ED"/>
    <w:rsid w:val="00C813F4"/>
    <w:rsid w:val="00C8319F"/>
    <w:rsid w:val="00C8467B"/>
    <w:rsid w:val="00C84EA1"/>
    <w:rsid w:val="00C8524B"/>
    <w:rsid w:val="00C8572A"/>
    <w:rsid w:val="00C85DA0"/>
    <w:rsid w:val="00C86669"/>
    <w:rsid w:val="00C86DDC"/>
    <w:rsid w:val="00C86DE5"/>
    <w:rsid w:val="00C870F0"/>
    <w:rsid w:val="00C873E1"/>
    <w:rsid w:val="00C87A93"/>
    <w:rsid w:val="00C87F43"/>
    <w:rsid w:val="00C902A2"/>
    <w:rsid w:val="00C913D6"/>
    <w:rsid w:val="00C929D6"/>
    <w:rsid w:val="00C94E82"/>
    <w:rsid w:val="00C95555"/>
    <w:rsid w:val="00C95E7E"/>
    <w:rsid w:val="00C95F36"/>
    <w:rsid w:val="00C96D00"/>
    <w:rsid w:val="00CA0CFA"/>
    <w:rsid w:val="00CA10C8"/>
    <w:rsid w:val="00CA22C4"/>
    <w:rsid w:val="00CA2A46"/>
    <w:rsid w:val="00CA31D0"/>
    <w:rsid w:val="00CA3438"/>
    <w:rsid w:val="00CA3450"/>
    <w:rsid w:val="00CA34A9"/>
    <w:rsid w:val="00CA40F5"/>
    <w:rsid w:val="00CA69B6"/>
    <w:rsid w:val="00CB0302"/>
    <w:rsid w:val="00CB144E"/>
    <w:rsid w:val="00CB23D9"/>
    <w:rsid w:val="00CB30D5"/>
    <w:rsid w:val="00CB3C2A"/>
    <w:rsid w:val="00CB3D30"/>
    <w:rsid w:val="00CB3D31"/>
    <w:rsid w:val="00CB4B3E"/>
    <w:rsid w:val="00CB61A9"/>
    <w:rsid w:val="00CB68A0"/>
    <w:rsid w:val="00CB7CB4"/>
    <w:rsid w:val="00CC011B"/>
    <w:rsid w:val="00CC0F8D"/>
    <w:rsid w:val="00CC1935"/>
    <w:rsid w:val="00CC3AD8"/>
    <w:rsid w:val="00CC3BF4"/>
    <w:rsid w:val="00CC47FB"/>
    <w:rsid w:val="00CC486D"/>
    <w:rsid w:val="00CC535F"/>
    <w:rsid w:val="00CC6985"/>
    <w:rsid w:val="00CC6C92"/>
    <w:rsid w:val="00CD002A"/>
    <w:rsid w:val="00CD092A"/>
    <w:rsid w:val="00CD0EC9"/>
    <w:rsid w:val="00CD110D"/>
    <w:rsid w:val="00CD18E1"/>
    <w:rsid w:val="00CD1A05"/>
    <w:rsid w:val="00CD1BF2"/>
    <w:rsid w:val="00CD4843"/>
    <w:rsid w:val="00CD4D13"/>
    <w:rsid w:val="00CD5120"/>
    <w:rsid w:val="00CD536F"/>
    <w:rsid w:val="00CD54D4"/>
    <w:rsid w:val="00CD5E1C"/>
    <w:rsid w:val="00CD60BA"/>
    <w:rsid w:val="00CD6444"/>
    <w:rsid w:val="00CD7370"/>
    <w:rsid w:val="00CD7862"/>
    <w:rsid w:val="00CE0312"/>
    <w:rsid w:val="00CE1588"/>
    <w:rsid w:val="00CE1ED9"/>
    <w:rsid w:val="00CE2921"/>
    <w:rsid w:val="00CE2D6D"/>
    <w:rsid w:val="00CE2EA2"/>
    <w:rsid w:val="00CE3028"/>
    <w:rsid w:val="00CE7951"/>
    <w:rsid w:val="00CE7E67"/>
    <w:rsid w:val="00CF0980"/>
    <w:rsid w:val="00CF19D1"/>
    <w:rsid w:val="00CF1F60"/>
    <w:rsid w:val="00CF30A6"/>
    <w:rsid w:val="00CF4123"/>
    <w:rsid w:val="00CF4325"/>
    <w:rsid w:val="00CF442D"/>
    <w:rsid w:val="00CF45BF"/>
    <w:rsid w:val="00CF4789"/>
    <w:rsid w:val="00CF6D4C"/>
    <w:rsid w:val="00CF6D8D"/>
    <w:rsid w:val="00D00420"/>
    <w:rsid w:val="00D00663"/>
    <w:rsid w:val="00D00DDE"/>
    <w:rsid w:val="00D01767"/>
    <w:rsid w:val="00D01E89"/>
    <w:rsid w:val="00D0273F"/>
    <w:rsid w:val="00D02B42"/>
    <w:rsid w:val="00D0316F"/>
    <w:rsid w:val="00D0340E"/>
    <w:rsid w:val="00D03AFD"/>
    <w:rsid w:val="00D03BE2"/>
    <w:rsid w:val="00D04308"/>
    <w:rsid w:val="00D04346"/>
    <w:rsid w:val="00D0552D"/>
    <w:rsid w:val="00D05AF9"/>
    <w:rsid w:val="00D05EC1"/>
    <w:rsid w:val="00D06601"/>
    <w:rsid w:val="00D066F7"/>
    <w:rsid w:val="00D06BB2"/>
    <w:rsid w:val="00D070CA"/>
    <w:rsid w:val="00D075AB"/>
    <w:rsid w:val="00D07BCE"/>
    <w:rsid w:val="00D07E1D"/>
    <w:rsid w:val="00D07F14"/>
    <w:rsid w:val="00D104CC"/>
    <w:rsid w:val="00D10B8B"/>
    <w:rsid w:val="00D11191"/>
    <w:rsid w:val="00D12841"/>
    <w:rsid w:val="00D12F2F"/>
    <w:rsid w:val="00D14618"/>
    <w:rsid w:val="00D1483B"/>
    <w:rsid w:val="00D14896"/>
    <w:rsid w:val="00D14EC0"/>
    <w:rsid w:val="00D14FF4"/>
    <w:rsid w:val="00D15B26"/>
    <w:rsid w:val="00D16018"/>
    <w:rsid w:val="00D160E6"/>
    <w:rsid w:val="00D16E33"/>
    <w:rsid w:val="00D17F24"/>
    <w:rsid w:val="00D17FBA"/>
    <w:rsid w:val="00D20660"/>
    <w:rsid w:val="00D213D6"/>
    <w:rsid w:val="00D216C2"/>
    <w:rsid w:val="00D2201F"/>
    <w:rsid w:val="00D225D1"/>
    <w:rsid w:val="00D22F25"/>
    <w:rsid w:val="00D23A9F"/>
    <w:rsid w:val="00D24498"/>
    <w:rsid w:val="00D25A1A"/>
    <w:rsid w:val="00D25B0A"/>
    <w:rsid w:val="00D260D3"/>
    <w:rsid w:val="00D26937"/>
    <w:rsid w:val="00D317AA"/>
    <w:rsid w:val="00D31A1A"/>
    <w:rsid w:val="00D31CDF"/>
    <w:rsid w:val="00D3539C"/>
    <w:rsid w:val="00D35B2E"/>
    <w:rsid w:val="00D37242"/>
    <w:rsid w:val="00D37B69"/>
    <w:rsid w:val="00D37C77"/>
    <w:rsid w:val="00D37CD7"/>
    <w:rsid w:val="00D408C1"/>
    <w:rsid w:val="00D4153E"/>
    <w:rsid w:val="00D42608"/>
    <w:rsid w:val="00D43267"/>
    <w:rsid w:val="00D43488"/>
    <w:rsid w:val="00D4379A"/>
    <w:rsid w:val="00D43D38"/>
    <w:rsid w:val="00D44E81"/>
    <w:rsid w:val="00D46765"/>
    <w:rsid w:val="00D46816"/>
    <w:rsid w:val="00D46CFF"/>
    <w:rsid w:val="00D46ECC"/>
    <w:rsid w:val="00D478B4"/>
    <w:rsid w:val="00D47C40"/>
    <w:rsid w:val="00D50140"/>
    <w:rsid w:val="00D502D5"/>
    <w:rsid w:val="00D50CFB"/>
    <w:rsid w:val="00D51467"/>
    <w:rsid w:val="00D51E51"/>
    <w:rsid w:val="00D52CB0"/>
    <w:rsid w:val="00D532DD"/>
    <w:rsid w:val="00D54590"/>
    <w:rsid w:val="00D54B9D"/>
    <w:rsid w:val="00D55234"/>
    <w:rsid w:val="00D55865"/>
    <w:rsid w:val="00D56898"/>
    <w:rsid w:val="00D57007"/>
    <w:rsid w:val="00D5702C"/>
    <w:rsid w:val="00D57F0D"/>
    <w:rsid w:val="00D601FF"/>
    <w:rsid w:val="00D6093E"/>
    <w:rsid w:val="00D60CBC"/>
    <w:rsid w:val="00D60E23"/>
    <w:rsid w:val="00D61DC8"/>
    <w:rsid w:val="00D63237"/>
    <w:rsid w:val="00D636FA"/>
    <w:rsid w:val="00D64A11"/>
    <w:rsid w:val="00D64CA1"/>
    <w:rsid w:val="00D65032"/>
    <w:rsid w:val="00D65275"/>
    <w:rsid w:val="00D664D8"/>
    <w:rsid w:val="00D67693"/>
    <w:rsid w:val="00D70AEF"/>
    <w:rsid w:val="00D710B3"/>
    <w:rsid w:val="00D714CA"/>
    <w:rsid w:val="00D7247D"/>
    <w:rsid w:val="00D724DA"/>
    <w:rsid w:val="00D727A1"/>
    <w:rsid w:val="00D72899"/>
    <w:rsid w:val="00D72C62"/>
    <w:rsid w:val="00D73021"/>
    <w:rsid w:val="00D73254"/>
    <w:rsid w:val="00D737E9"/>
    <w:rsid w:val="00D73B42"/>
    <w:rsid w:val="00D74452"/>
    <w:rsid w:val="00D74BAD"/>
    <w:rsid w:val="00D751FD"/>
    <w:rsid w:val="00D75872"/>
    <w:rsid w:val="00D7627A"/>
    <w:rsid w:val="00D76675"/>
    <w:rsid w:val="00D77DD4"/>
    <w:rsid w:val="00D800AC"/>
    <w:rsid w:val="00D80D23"/>
    <w:rsid w:val="00D80F0E"/>
    <w:rsid w:val="00D814A5"/>
    <w:rsid w:val="00D823AA"/>
    <w:rsid w:val="00D82483"/>
    <w:rsid w:val="00D8309F"/>
    <w:rsid w:val="00D836A7"/>
    <w:rsid w:val="00D83798"/>
    <w:rsid w:val="00D83D42"/>
    <w:rsid w:val="00D83F2B"/>
    <w:rsid w:val="00D8422D"/>
    <w:rsid w:val="00D8482A"/>
    <w:rsid w:val="00D85450"/>
    <w:rsid w:val="00D8652D"/>
    <w:rsid w:val="00D870B5"/>
    <w:rsid w:val="00D87ECC"/>
    <w:rsid w:val="00D90864"/>
    <w:rsid w:val="00D90A51"/>
    <w:rsid w:val="00D90BCC"/>
    <w:rsid w:val="00D913C2"/>
    <w:rsid w:val="00D91C4A"/>
    <w:rsid w:val="00D9288C"/>
    <w:rsid w:val="00D92AF4"/>
    <w:rsid w:val="00D92BED"/>
    <w:rsid w:val="00D92F09"/>
    <w:rsid w:val="00D930A0"/>
    <w:rsid w:val="00D93650"/>
    <w:rsid w:val="00D94EC8"/>
    <w:rsid w:val="00D9508D"/>
    <w:rsid w:val="00D95B9B"/>
    <w:rsid w:val="00D96954"/>
    <w:rsid w:val="00D96DCF"/>
    <w:rsid w:val="00D9772A"/>
    <w:rsid w:val="00D979A8"/>
    <w:rsid w:val="00DA037F"/>
    <w:rsid w:val="00DA04B5"/>
    <w:rsid w:val="00DA1068"/>
    <w:rsid w:val="00DA190D"/>
    <w:rsid w:val="00DA1F1C"/>
    <w:rsid w:val="00DA2ACD"/>
    <w:rsid w:val="00DA3015"/>
    <w:rsid w:val="00DA39E5"/>
    <w:rsid w:val="00DA6B09"/>
    <w:rsid w:val="00DA7828"/>
    <w:rsid w:val="00DA7E4F"/>
    <w:rsid w:val="00DB0B92"/>
    <w:rsid w:val="00DB1753"/>
    <w:rsid w:val="00DB2FF1"/>
    <w:rsid w:val="00DB322B"/>
    <w:rsid w:val="00DB3A0A"/>
    <w:rsid w:val="00DB547B"/>
    <w:rsid w:val="00DB59C0"/>
    <w:rsid w:val="00DB73EE"/>
    <w:rsid w:val="00DB76D4"/>
    <w:rsid w:val="00DB7A33"/>
    <w:rsid w:val="00DB7A34"/>
    <w:rsid w:val="00DB7E54"/>
    <w:rsid w:val="00DC0141"/>
    <w:rsid w:val="00DC337F"/>
    <w:rsid w:val="00DC42B2"/>
    <w:rsid w:val="00DC6191"/>
    <w:rsid w:val="00DC6952"/>
    <w:rsid w:val="00DD0CDA"/>
    <w:rsid w:val="00DD0E87"/>
    <w:rsid w:val="00DD20CA"/>
    <w:rsid w:val="00DD21E7"/>
    <w:rsid w:val="00DD2727"/>
    <w:rsid w:val="00DD32A1"/>
    <w:rsid w:val="00DD44CB"/>
    <w:rsid w:val="00DD45E1"/>
    <w:rsid w:val="00DD4DDC"/>
    <w:rsid w:val="00DD4ECE"/>
    <w:rsid w:val="00DD506A"/>
    <w:rsid w:val="00DD52D6"/>
    <w:rsid w:val="00DD57AA"/>
    <w:rsid w:val="00DD5F09"/>
    <w:rsid w:val="00DD6212"/>
    <w:rsid w:val="00DD66D1"/>
    <w:rsid w:val="00DD704B"/>
    <w:rsid w:val="00DD7055"/>
    <w:rsid w:val="00DD764B"/>
    <w:rsid w:val="00DD7EB2"/>
    <w:rsid w:val="00DE11A4"/>
    <w:rsid w:val="00DE2101"/>
    <w:rsid w:val="00DE2D29"/>
    <w:rsid w:val="00DE523E"/>
    <w:rsid w:val="00DE579E"/>
    <w:rsid w:val="00DE67B8"/>
    <w:rsid w:val="00DE73E5"/>
    <w:rsid w:val="00DE7710"/>
    <w:rsid w:val="00DE7B11"/>
    <w:rsid w:val="00DF1365"/>
    <w:rsid w:val="00DF21F6"/>
    <w:rsid w:val="00DF24F5"/>
    <w:rsid w:val="00DF274B"/>
    <w:rsid w:val="00DF2C29"/>
    <w:rsid w:val="00DF50D9"/>
    <w:rsid w:val="00DF6323"/>
    <w:rsid w:val="00DF6378"/>
    <w:rsid w:val="00DF6734"/>
    <w:rsid w:val="00DF76DC"/>
    <w:rsid w:val="00DF77EB"/>
    <w:rsid w:val="00E0038B"/>
    <w:rsid w:val="00E013B0"/>
    <w:rsid w:val="00E01786"/>
    <w:rsid w:val="00E01EC8"/>
    <w:rsid w:val="00E020BF"/>
    <w:rsid w:val="00E029FD"/>
    <w:rsid w:val="00E02D35"/>
    <w:rsid w:val="00E033D7"/>
    <w:rsid w:val="00E043B2"/>
    <w:rsid w:val="00E07B73"/>
    <w:rsid w:val="00E07D52"/>
    <w:rsid w:val="00E10B9B"/>
    <w:rsid w:val="00E113E5"/>
    <w:rsid w:val="00E1210A"/>
    <w:rsid w:val="00E128D6"/>
    <w:rsid w:val="00E15432"/>
    <w:rsid w:val="00E16B46"/>
    <w:rsid w:val="00E16DCB"/>
    <w:rsid w:val="00E17E51"/>
    <w:rsid w:val="00E207E3"/>
    <w:rsid w:val="00E20E13"/>
    <w:rsid w:val="00E2226D"/>
    <w:rsid w:val="00E22723"/>
    <w:rsid w:val="00E22FF4"/>
    <w:rsid w:val="00E23A9D"/>
    <w:rsid w:val="00E23CF2"/>
    <w:rsid w:val="00E23F8E"/>
    <w:rsid w:val="00E24043"/>
    <w:rsid w:val="00E24B4B"/>
    <w:rsid w:val="00E24C42"/>
    <w:rsid w:val="00E25072"/>
    <w:rsid w:val="00E25196"/>
    <w:rsid w:val="00E25503"/>
    <w:rsid w:val="00E25DA5"/>
    <w:rsid w:val="00E26AC2"/>
    <w:rsid w:val="00E275F4"/>
    <w:rsid w:val="00E27FC7"/>
    <w:rsid w:val="00E312F0"/>
    <w:rsid w:val="00E31A88"/>
    <w:rsid w:val="00E3211B"/>
    <w:rsid w:val="00E3328B"/>
    <w:rsid w:val="00E33929"/>
    <w:rsid w:val="00E33B4A"/>
    <w:rsid w:val="00E34431"/>
    <w:rsid w:val="00E34514"/>
    <w:rsid w:val="00E352A5"/>
    <w:rsid w:val="00E355FA"/>
    <w:rsid w:val="00E35F64"/>
    <w:rsid w:val="00E3668E"/>
    <w:rsid w:val="00E37B6E"/>
    <w:rsid w:val="00E40514"/>
    <w:rsid w:val="00E406BC"/>
    <w:rsid w:val="00E41187"/>
    <w:rsid w:val="00E42691"/>
    <w:rsid w:val="00E42F6A"/>
    <w:rsid w:val="00E446B3"/>
    <w:rsid w:val="00E44D6E"/>
    <w:rsid w:val="00E4732C"/>
    <w:rsid w:val="00E4767F"/>
    <w:rsid w:val="00E513F2"/>
    <w:rsid w:val="00E518CF"/>
    <w:rsid w:val="00E5320C"/>
    <w:rsid w:val="00E5355B"/>
    <w:rsid w:val="00E536BC"/>
    <w:rsid w:val="00E53E6B"/>
    <w:rsid w:val="00E54BEC"/>
    <w:rsid w:val="00E54C91"/>
    <w:rsid w:val="00E55ADA"/>
    <w:rsid w:val="00E55D78"/>
    <w:rsid w:val="00E55EDE"/>
    <w:rsid w:val="00E56071"/>
    <w:rsid w:val="00E56B77"/>
    <w:rsid w:val="00E573AD"/>
    <w:rsid w:val="00E575AD"/>
    <w:rsid w:val="00E57923"/>
    <w:rsid w:val="00E601B2"/>
    <w:rsid w:val="00E602A2"/>
    <w:rsid w:val="00E60B3A"/>
    <w:rsid w:val="00E60B54"/>
    <w:rsid w:val="00E6153A"/>
    <w:rsid w:val="00E62EDD"/>
    <w:rsid w:val="00E639E6"/>
    <w:rsid w:val="00E63F94"/>
    <w:rsid w:val="00E64AAF"/>
    <w:rsid w:val="00E64AC0"/>
    <w:rsid w:val="00E65E09"/>
    <w:rsid w:val="00E677B5"/>
    <w:rsid w:val="00E70D5A"/>
    <w:rsid w:val="00E717AF"/>
    <w:rsid w:val="00E7199C"/>
    <w:rsid w:val="00E72227"/>
    <w:rsid w:val="00E730D1"/>
    <w:rsid w:val="00E73E41"/>
    <w:rsid w:val="00E749EF"/>
    <w:rsid w:val="00E74D2B"/>
    <w:rsid w:val="00E75513"/>
    <w:rsid w:val="00E76847"/>
    <w:rsid w:val="00E76971"/>
    <w:rsid w:val="00E7763E"/>
    <w:rsid w:val="00E77ED8"/>
    <w:rsid w:val="00E80023"/>
    <w:rsid w:val="00E80D9A"/>
    <w:rsid w:val="00E80F51"/>
    <w:rsid w:val="00E814F1"/>
    <w:rsid w:val="00E815ED"/>
    <w:rsid w:val="00E81A12"/>
    <w:rsid w:val="00E822D8"/>
    <w:rsid w:val="00E825E7"/>
    <w:rsid w:val="00E830A5"/>
    <w:rsid w:val="00E841B1"/>
    <w:rsid w:val="00E84CBF"/>
    <w:rsid w:val="00E84F90"/>
    <w:rsid w:val="00E85C59"/>
    <w:rsid w:val="00E86671"/>
    <w:rsid w:val="00E86E6A"/>
    <w:rsid w:val="00E87B42"/>
    <w:rsid w:val="00E90C5B"/>
    <w:rsid w:val="00E90E8C"/>
    <w:rsid w:val="00E90EE2"/>
    <w:rsid w:val="00E91DE8"/>
    <w:rsid w:val="00E9237E"/>
    <w:rsid w:val="00E9278A"/>
    <w:rsid w:val="00E93FC5"/>
    <w:rsid w:val="00E9519F"/>
    <w:rsid w:val="00E95B4C"/>
    <w:rsid w:val="00E95DC2"/>
    <w:rsid w:val="00E9615D"/>
    <w:rsid w:val="00E964AB"/>
    <w:rsid w:val="00E9711B"/>
    <w:rsid w:val="00E977CC"/>
    <w:rsid w:val="00EA0217"/>
    <w:rsid w:val="00EA028D"/>
    <w:rsid w:val="00EA0559"/>
    <w:rsid w:val="00EA07A7"/>
    <w:rsid w:val="00EA146C"/>
    <w:rsid w:val="00EA1CC7"/>
    <w:rsid w:val="00EA31B8"/>
    <w:rsid w:val="00EA3835"/>
    <w:rsid w:val="00EA4539"/>
    <w:rsid w:val="00EA4540"/>
    <w:rsid w:val="00EA4E13"/>
    <w:rsid w:val="00EA5329"/>
    <w:rsid w:val="00EA73A2"/>
    <w:rsid w:val="00EA7AED"/>
    <w:rsid w:val="00EB1CF3"/>
    <w:rsid w:val="00EB2D47"/>
    <w:rsid w:val="00EB3336"/>
    <w:rsid w:val="00EB4173"/>
    <w:rsid w:val="00EB4A66"/>
    <w:rsid w:val="00EB51F0"/>
    <w:rsid w:val="00EB5A36"/>
    <w:rsid w:val="00EB5B5E"/>
    <w:rsid w:val="00EB5D0D"/>
    <w:rsid w:val="00EB63CD"/>
    <w:rsid w:val="00EB64F2"/>
    <w:rsid w:val="00EB6AF9"/>
    <w:rsid w:val="00EB74B1"/>
    <w:rsid w:val="00EB78B2"/>
    <w:rsid w:val="00EB79F1"/>
    <w:rsid w:val="00EB7B46"/>
    <w:rsid w:val="00EC0BDD"/>
    <w:rsid w:val="00EC1091"/>
    <w:rsid w:val="00EC11A2"/>
    <w:rsid w:val="00EC2ACE"/>
    <w:rsid w:val="00EC4B78"/>
    <w:rsid w:val="00EC4B98"/>
    <w:rsid w:val="00EC4BA5"/>
    <w:rsid w:val="00EC5C63"/>
    <w:rsid w:val="00EC74E4"/>
    <w:rsid w:val="00EC7D17"/>
    <w:rsid w:val="00EC7F36"/>
    <w:rsid w:val="00ED0002"/>
    <w:rsid w:val="00ED20DD"/>
    <w:rsid w:val="00ED2535"/>
    <w:rsid w:val="00ED2A21"/>
    <w:rsid w:val="00ED37FC"/>
    <w:rsid w:val="00ED4326"/>
    <w:rsid w:val="00ED4847"/>
    <w:rsid w:val="00ED49A2"/>
    <w:rsid w:val="00ED49D1"/>
    <w:rsid w:val="00ED4BAA"/>
    <w:rsid w:val="00ED716E"/>
    <w:rsid w:val="00ED7342"/>
    <w:rsid w:val="00ED79EC"/>
    <w:rsid w:val="00EE0164"/>
    <w:rsid w:val="00EE1607"/>
    <w:rsid w:val="00EE2A20"/>
    <w:rsid w:val="00EE2AE2"/>
    <w:rsid w:val="00EE549F"/>
    <w:rsid w:val="00EE7475"/>
    <w:rsid w:val="00EE7DFA"/>
    <w:rsid w:val="00EF02BD"/>
    <w:rsid w:val="00EF061C"/>
    <w:rsid w:val="00EF07F7"/>
    <w:rsid w:val="00EF0B12"/>
    <w:rsid w:val="00EF21F2"/>
    <w:rsid w:val="00EF2C91"/>
    <w:rsid w:val="00EF2F5C"/>
    <w:rsid w:val="00EF306E"/>
    <w:rsid w:val="00EF31CF"/>
    <w:rsid w:val="00EF586D"/>
    <w:rsid w:val="00EF5946"/>
    <w:rsid w:val="00EF672D"/>
    <w:rsid w:val="00EF68DC"/>
    <w:rsid w:val="00EF7E2E"/>
    <w:rsid w:val="00F0014E"/>
    <w:rsid w:val="00F01053"/>
    <w:rsid w:val="00F0127D"/>
    <w:rsid w:val="00F01D58"/>
    <w:rsid w:val="00F02E12"/>
    <w:rsid w:val="00F03B21"/>
    <w:rsid w:val="00F06864"/>
    <w:rsid w:val="00F0731F"/>
    <w:rsid w:val="00F10867"/>
    <w:rsid w:val="00F11668"/>
    <w:rsid w:val="00F118A4"/>
    <w:rsid w:val="00F127B7"/>
    <w:rsid w:val="00F129FC"/>
    <w:rsid w:val="00F13505"/>
    <w:rsid w:val="00F139E9"/>
    <w:rsid w:val="00F14247"/>
    <w:rsid w:val="00F14731"/>
    <w:rsid w:val="00F147D4"/>
    <w:rsid w:val="00F150D8"/>
    <w:rsid w:val="00F15739"/>
    <w:rsid w:val="00F15E08"/>
    <w:rsid w:val="00F1642F"/>
    <w:rsid w:val="00F20298"/>
    <w:rsid w:val="00F20750"/>
    <w:rsid w:val="00F21E7F"/>
    <w:rsid w:val="00F221AF"/>
    <w:rsid w:val="00F2229A"/>
    <w:rsid w:val="00F23588"/>
    <w:rsid w:val="00F23A60"/>
    <w:rsid w:val="00F243E5"/>
    <w:rsid w:val="00F2544E"/>
    <w:rsid w:val="00F25D6B"/>
    <w:rsid w:val="00F260A2"/>
    <w:rsid w:val="00F2646B"/>
    <w:rsid w:val="00F27F50"/>
    <w:rsid w:val="00F30357"/>
    <w:rsid w:val="00F303D2"/>
    <w:rsid w:val="00F3152C"/>
    <w:rsid w:val="00F315B1"/>
    <w:rsid w:val="00F324D4"/>
    <w:rsid w:val="00F32940"/>
    <w:rsid w:val="00F334FB"/>
    <w:rsid w:val="00F35AC8"/>
    <w:rsid w:val="00F368F0"/>
    <w:rsid w:val="00F36DC8"/>
    <w:rsid w:val="00F374B7"/>
    <w:rsid w:val="00F37A49"/>
    <w:rsid w:val="00F37D49"/>
    <w:rsid w:val="00F40926"/>
    <w:rsid w:val="00F409D5"/>
    <w:rsid w:val="00F40AFA"/>
    <w:rsid w:val="00F40B4C"/>
    <w:rsid w:val="00F42BA3"/>
    <w:rsid w:val="00F4326D"/>
    <w:rsid w:val="00F4458A"/>
    <w:rsid w:val="00F44DD5"/>
    <w:rsid w:val="00F45708"/>
    <w:rsid w:val="00F47842"/>
    <w:rsid w:val="00F478FF"/>
    <w:rsid w:val="00F510BE"/>
    <w:rsid w:val="00F515ED"/>
    <w:rsid w:val="00F5198E"/>
    <w:rsid w:val="00F51A19"/>
    <w:rsid w:val="00F52693"/>
    <w:rsid w:val="00F52895"/>
    <w:rsid w:val="00F52E1C"/>
    <w:rsid w:val="00F52F74"/>
    <w:rsid w:val="00F533F2"/>
    <w:rsid w:val="00F53C78"/>
    <w:rsid w:val="00F53FFB"/>
    <w:rsid w:val="00F54A48"/>
    <w:rsid w:val="00F54F1E"/>
    <w:rsid w:val="00F54F37"/>
    <w:rsid w:val="00F5599D"/>
    <w:rsid w:val="00F60166"/>
    <w:rsid w:val="00F60A28"/>
    <w:rsid w:val="00F6142D"/>
    <w:rsid w:val="00F61B35"/>
    <w:rsid w:val="00F61D31"/>
    <w:rsid w:val="00F61E25"/>
    <w:rsid w:val="00F62B2D"/>
    <w:rsid w:val="00F6352B"/>
    <w:rsid w:val="00F63F65"/>
    <w:rsid w:val="00F649B7"/>
    <w:rsid w:val="00F67315"/>
    <w:rsid w:val="00F7148C"/>
    <w:rsid w:val="00F7185D"/>
    <w:rsid w:val="00F71B24"/>
    <w:rsid w:val="00F71EBB"/>
    <w:rsid w:val="00F738E0"/>
    <w:rsid w:val="00F74481"/>
    <w:rsid w:val="00F74793"/>
    <w:rsid w:val="00F74C9D"/>
    <w:rsid w:val="00F75D7B"/>
    <w:rsid w:val="00F75EEC"/>
    <w:rsid w:val="00F76B8A"/>
    <w:rsid w:val="00F76F5B"/>
    <w:rsid w:val="00F76F75"/>
    <w:rsid w:val="00F77274"/>
    <w:rsid w:val="00F77E6B"/>
    <w:rsid w:val="00F77FD3"/>
    <w:rsid w:val="00F804B2"/>
    <w:rsid w:val="00F81F88"/>
    <w:rsid w:val="00F82400"/>
    <w:rsid w:val="00F824D8"/>
    <w:rsid w:val="00F8296B"/>
    <w:rsid w:val="00F84D2B"/>
    <w:rsid w:val="00F856F0"/>
    <w:rsid w:val="00F85D96"/>
    <w:rsid w:val="00F86225"/>
    <w:rsid w:val="00F86800"/>
    <w:rsid w:val="00F86BB9"/>
    <w:rsid w:val="00F86F4A"/>
    <w:rsid w:val="00F9024F"/>
    <w:rsid w:val="00F912FA"/>
    <w:rsid w:val="00F926CC"/>
    <w:rsid w:val="00F93179"/>
    <w:rsid w:val="00F939CD"/>
    <w:rsid w:val="00F93DE0"/>
    <w:rsid w:val="00F93ECE"/>
    <w:rsid w:val="00F940BA"/>
    <w:rsid w:val="00F94324"/>
    <w:rsid w:val="00F94353"/>
    <w:rsid w:val="00F95687"/>
    <w:rsid w:val="00F979E0"/>
    <w:rsid w:val="00FA013F"/>
    <w:rsid w:val="00FA0FC8"/>
    <w:rsid w:val="00FA10B4"/>
    <w:rsid w:val="00FA16C3"/>
    <w:rsid w:val="00FA2A89"/>
    <w:rsid w:val="00FA4F12"/>
    <w:rsid w:val="00FA676B"/>
    <w:rsid w:val="00FA67FA"/>
    <w:rsid w:val="00FA6899"/>
    <w:rsid w:val="00FA77DE"/>
    <w:rsid w:val="00FA7A44"/>
    <w:rsid w:val="00FB060D"/>
    <w:rsid w:val="00FB0D1B"/>
    <w:rsid w:val="00FB267C"/>
    <w:rsid w:val="00FB288B"/>
    <w:rsid w:val="00FB2CF5"/>
    <w:rsid w:val="00FB3104"/>
    <w:rsid w:val="00FB3155"/>
    <w:rsid w:val="00FB3269"/>
    <w:rsid w:val="00FB338D"/>
    <w:rsid w:val="00FB33BA"/>
    <w:rsid w:val="00FB4F02"/>
    <w:rsid w:val="00FB75C5"/>
    <w:rsid w:val="00FB7ACB"/>
    <w:rsid w:val="00FC0D6C"/>
    <w:rsid w:val="00FC12BF"/>
    <w:rsid w:val="00FC1967"/>
    <w:rsid w:val="00FC2395"/>
    <w:rsid w:val="00FC243F"/>
    <w:rsid w:val="00FC32C0"/>
    <w:rsid w:val="00FC381C"/>
    <w:rsid w:val="00FC4221"/>
    <w:rsid w:val="00FC488E"/>
    <w:rsid w:val="00FC4B86"/>
    <w:rsid w:val="00FC56B1"/>
    <w:rsid w:val="00FC5B30"/>
    <w:rsid w:val="00FC5DBE"/>
    <w:rsid w:val="00FC5EAE"/>
    <w:rsid w:val="00FC6544"/>
    <w:rsid w:val="00FC70AA"/>
    <w:rsid w:val="00FD0233"/>
    <w:rsid w:val="00FD08FA"/>
    <w:rsid w:val="00FD0919"/>
    <w:rsid w:val="00FD22F9"/>
    <w:rsid w:val="00FD256D"/>
    <w:rsid w:val="00FD29CD"/>
    <w:rsid w:val="00FD30A5"/>
    <w:rsid w:val="00FD332A"/>
    <w:rsid w:val="00FD37FA"/>
    <w:rsid w:val="00FD3D53"/>
    <w:rsid w:val="00FD3FCD"/>
    <w:rsid w:val="00FD4970"/>
    <w:rsid w:val="00FD5523"/>
    <w:rsid w:val="00FD5561"/>
    <w:rsid w:val="00FD5E05"/>
    <w:rsid w:val="00FD77BC"/>
    <w:rsid w:val="00FE061B"/>
    <w:rsid w:val="00FE0992"/>
    <w:rsid w:val="00FE1693"/>
    <w:rsid w:val="00FE1D32"/>
    <w:rsid w:val="00FE4493"/>
    <w:rsid w:val="00FE4E65"/>
    <w:rsid w:val="00FE7A2F"/>
    <w:rsid w:val="00FE7BA6"/>
    <w:rsid w:val="00FE7CD0"/>
    <w:rsid w:val="00FE7E92"/>
    <w:rsid w:val="00FF16BD"/>
    <w:rsid w:val="00FF1B71"/>
    <w:rsid w:val="00FF217E"/>
    <w:rsid w:val="00FF22E2"/>
    <w:rsid w:val="00FF4BD8"/>
    <w:rsid w:val="00FF4CC7"/>
    <w:rsid w:val="00FF70F7"/>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4FB182"/>
  <w15:docId w15:val="{96018B51-43E4-4202-9DBC-87E6BC32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el-GR" w:eastAsia="zh-CN"/>
    </w:rPr>
  </w:style>
  <w:style w:type="paragraph" w:styleId="Heading1">
    <w:name w:val="heading 1"/>
    <w:basedOn w:val="Normal"/>
    <w:next w:val="Normal"/>
    <w:qFormat/>
    <w:pPr>
      <w:keepNext/>
      <w:outlineLvl w:val="0"/>
    </w:pPr>
    <w:rPr>
      <w:rFonts w:ascii="Arial" w:hAnsi="Arial" w:cs="Arial"/>
      <w:b/>
      <w:bCs/>
      <w:kern w:val="1"/>
      <w:sz w:val="32"/>
      <w:szCs w:val="32"/>
    </w:rPr>
  </w:style>
  <w:style w:type="paragraph" w:styleId="Heading2">
    <w:name w:val="heading 2"/>
    <w:basedOn w:val="Normal"/>
    <w:next w:val="1"/>
    <w:qFormat/>
    <w:pPr>
      <w:keepNext/>
      <w:numPr>
        <w:ilvl w:val="1"/>
        <w:numId w:val="1"/>
      </w:numPr>
      <w:spacing w:before="240" w:after="60"/>
      <w:outlineLvl w:val="1"/>
    </w:pPr>
    <w:rPr>
      <w:rFonts w:ascii="Cambria" w:eastAsia="Times New Roma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sz w:val="16"/>
      <w:szCs w:val="16"/>
    </w:rPr>
  </w:style>
  <w:style w:type="character" w:customStyle="1" w:styleId="WW8Num20z1">
    <w:name w:val="WW8Num20z1"/>
    <w:rPr>
      <w:rFonts w:ascii="Courier New" w:hAnsi="Courier New" w:cs="Courier New"/>
      <w:sz w:val="16"/>
      <w:szCs w:val="16"/>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0z4">
    <w:name w:val="WW8Num20z4"/>
    <w:rPr>
      <w:rFonts w:ascii="Courier New" w:hAnsi="Courier New" w:cs="Courier New"/>
    </w:rPr>
  </w:style>
  <w:style w:type="character" w:customStyle="1" w:styleId="WW8Num22z0">
    <w:name w:val="WW8Num22z0"/>
    <w:rPr>
      <w:rFonts w:ascii="Symbol" w:hAnsi="Symbol" w:cs="Symbol"/>
      <w:sz w:val="16"/>
      <w:szCs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sz w:val="16"/>
      <w:szCs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9z0">
    <w:name w:val="WW8Num29z0"/>
    <w:rPr>
      <w:rFonts w:ascii="Symbol" w:hAnsi="Symbol" w:cs="Symbol"/>
      <w:color w:val="auto"/>
      <w:sz w:val="20"/>
      <w:szCs w:val="20"/>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rPr>
      <w:rFonts w:ascii="Symbol" w:hAnsi="Symbol" w:cs="Symbol"/>
      <w:color w:val="auto"/>
      <w:sz w:val="20"/>
      <w:szCs w:val="20"/>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Verdana" w:eastAsia="SimSun" w:hAnsi="Verdana" w:cs="Verdana"/>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7z0">
    <w:name w:val="WW8Num37z0"/>
    <w:rPr>
      <w:b/>
      <w:bCs/>
    </w:rPr>
  </w:style>
  <w:style w:type="character" w:customStyle="1" w:styleId="WW8Num38z0">
    <w:name w:val="WW8Num38z0"/>
    <w:rPr>
      <w:rFonts w:ascii="Symbol" w:hAnsi="Symbol" w:cs="Symbol"/>
      <w:sz w:val="16"/>
      <w:szCs w:val="16"/>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eastAsia="Times New Roman"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2z0">
    <w:name w:val="WW8Num42z0"/>
    <w:rPr>
      <w:rFonts w:ascii="Times New Roman" w:eastAsia="Times New Roman" w:hAnsi="Times New Roman" w:cs="Times New Roman"/>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5z0">
    <w:name w:val="WW8Num45z0"/>
    <w:rPr>
      <w:rFonts w:ascii="Symbol" w:hAnsi="Symbol" w:cs="Symbol"/>
      <w:sz w:val="16"/>
      <w:szCs w:val="16"/>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rPr>
      <w:rFonts w:ascii="Symbol" w:hAnsi="Symbol" w:cs="Symbol"/>
      <w:color w:val="auto"/>
      <w:sz w:val="20"/>
      <w:szCs w:val="20"/>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cs="Wingdings"/>
    </w:rPr>
  </w:style>
  <w:style w:type="character" w:customStyle="1" w:styleId="WW8Num46z3">
    <w:name w:val="WW8Num46z3"/>
    <w:rPr>
      <w:rFonts w:ascii="Symbol" w:hAnsi="Symbol" w:cs="Symbol"/>
    </w:rPr>
  </w:style>
  <w:style w:type="character" w:customStyle="1" w:styleId="WW8NumSt3z1">
    <w:name w:val="WW8NumSt3z1"/>
    <w:rPr>
      <w:rFonts w:ascii="Courier New" w:hAnsi="Courier New" w:cs="Courier New"/>
    </w:rPr>
  </w:style>
  <w:style w:type="character" w:customStyle="1" w:styleId="WW8NumSt3z2">
    <w:name w:val="WW8NumSt3z2"/>
    <w:rPr>
      <w:rFonts w:ascii="Wingdings" w:hAnsi="Wingdings" w:cs="Wingdings"/>
    </w:rPr>
  </w:style>
  <w:style w:type="character" w:customStyle="1" w:styleId="WW8NumSt3z3">
    <w:name w:val="WW8NumSt3z3"/>
    <w:rPr>
      <w:rFonts w:ascii="Symbol" w:hAnsi="Symbol" w:cs="Symbol"/>
    </w:rPr>
  </w:style>
  <w:style w:type="character" w:customStyle="1" w:styleId="WW8NumSt4z0">
    <w:name w:val="WW8NumSt4z0"/>
    <w:rPr>
      <w:rFonts w:ascii="Symbol" w:hAnsi="Symbol" w:cs="Symbol"/>
    </w:rPr>
  </w:style>
  <w:style w:type="character" w:customStyle="1" w:styleId="WW8NumSt30z0">
    <w:name w:val="WW8NumSt30z0"/>
    <w:rPr>
      <w:rFonts w:ascii="Symbol" w:hAnsi="Symbol" w:cs="Symbol"/>
      <w:sz w:val="22"/>
      <w:szCs w:val="22"/>
    </w:rPr>
  </w:style>
  <w:style w:type="character" w:customStyle="1" w:styleId="10">
    <w:name w:val="Προεπιλεγμένη γραμματοσειρά1"/>
  </w:style>
  <w:style w:type="character" w:customStyle="1" w:styleId="Heading2Char">
    <w:name w:val="Heading 2 Char"/>
    <w:rPr>
      <w:rFonts w:ascii="Cambria" w:eastAsia="Times New Roman" w:hAnsi="Cambria" w:cs="Times New Roman"/>
      <w:b/>
      <w:bCs/>
      <w:i/>
      <w:iCs/>
      <w:sz w:val="28"/>
      <w:szCs w:val="28"/>
      <w:lang w:val="en-GB"/>
    </w:rPr>
  </w:style>
  <w:style w:type="character" w:customStyle="1" w:styleId="Char">
    <w:name w:val="Υποσέλιδο Char"/>
    <w:rPr>
      <w:lang w:val="en-GB"/>
    </w:rPr>
  </w:style>
  <w:style w:type="character" w:customStyle="1" w:styleId="Char0">
    <w:name w:val="Κεφαλίδα Char"/>
    <w:rPr>
      <w:lang w:val="en-GB"/>
    </w:rPr>
  </w:style>
  <w:style w:type="character" w:styleId="PageNumber">
    <w:name w:val="page number"/>
    <w:basedOn w:val="10"/>
  </w:style>
  <w:style w:type="character" w:customStyle="1" w:styleId="Char1">
    <w:name w:val="Σώμα κειμένου Char"/>
    <w:rPr>
      <w:lang w:val="en-GB"/>
    </w:rPr>
  </w:style>
  <w:style w:type="character" w:customStyle="1" w:styleId="CommentTextChar">
    <w:name w:val="Comment Text Char"/>
    <w:rPr>
      <w:sz w:val="20"/>
      <w:szCs w:val="20"/>
      <w:lang w:val="en-GB"/>
    </w:rPr>
  </w:style>
  <w:style w:type="character" w:styleId="Hyperlink">
    <w:name w:val="Hyperlink"/>
    <w:uiPriority w:val="99"/>
    <w:rPr>
      <w:color w:val="0000FF"/>
      <w:u w:val="single"/>
    </w:rPr>
  </w:style>
  <w:style w:type="character" w:customStyle="1" w:styleId="Char2">
    <w:name w:val="Κείμενο πλαισίου Char"/>
    <w:rPr>
      <w:sz w:val="0"/>
      <w:szCs w:val="0"/>
      <w:lang w:val="en-GB"/>
    </w:rPr>
  </w:style>
  <w:style w:type="character" w:customStyle="1" w:styleId="BodytextAgencyChar">
    <w:name w:val="Body text (Agency) Char"/>
    <w:uiPriority w:val="99"/>
    <w:rPr>
      <w:rFonts w:ascii="Verdana" w:eastAsia="Times New Roman" w:hAnsi="Verdana" w:cs="Verdana"/>
      <w:sz w:val="18"/>
      <w:szCs w:val="18"/>
      <w:lang w:val="en-GB"/>
    </w:rPr>
  </w:style>
  <w:style w:type="character" w:customStyle="1" w:styleId="DraftingNotesAgencyChar">
    <w:name w:val="Drafting Notes (Agency) Char"/>
    <w:rPr>
      <w:rFonts w:ascii="Courier New" w:eastAsia="Times New Roman" w:hAnsi="Courier New" w:cs="Courier New"/>
      <w:i/>
      <w:iCs/>
      <w:color w:val="339966"/>
      <w:sz w:val="18"/>
      <w:szCs w:val="18"/>
      <w:lang w:val="en-GB"/>
    </w:rPr>
  </w:style>
  <w:style w:type="character" w:customStyle="1" w:styleId="NormalAgencyChar">
    <w:name w:val="Normal (Agency) Char"/>
    <w:rPr>
      <w:rFonts w:ascii="Verdana" w:eastAsia="Times New Roman" w:hAnsi="Verdana" w:cs="Verdana"/>
      <w:sz w:val="18"/>
      <w:szCs w:val="18"/>
      <w:lang w:val="en-GB" w:bidi="ar-SA"/>
    </w:rPr>
  </w:style>
  <w:style w:type="character" w:customStyle="1" w:styleId="labeltextChar">
    <w:name w:val="label text Char"/>
    <w:uiPriority w:val="99"/>
    <w:rPr>
      <w:lang w:val="en-US" w:bidi="ar-SA"/>
    </w:rPr>
  </w:style>
  <w:style w:type="character" w:customStyle="1" w:styleId="documenttextChar1">
    <w:name w:val="document text Char1"/>
    <w:rPr>
      <w:sz w:val="24"/>
      <w:szCs w:val="24"/>
      <w:lang w:val="en-US" w:bidi="ar-SA"/>
    </w:rPr>
  </w:style>
  <w:style w:type="character" w:customStyle="1" w:styleId="Char3">
    <w:name w:val="Κείμενο σχολίου Char"/>
    <w:rPr>
      <w:lang w:val="en-GB"/>
    </w:rPr>
  </w:style>
  <w:style w:type="character" w:customStyle="1" w:styleId="tabletextleftjustifiedChar">
    <w:name w:val="table text left justified Char"/>
    <w:rPr>
      <w:lang w:val="en-US" w:bidi="ar-SA"/>
    </w:rPr>
  </w:style>
  <w:style w:type="character" w:customStyle="1" w:styleId="tablefootnoteChar">
    <w:name w:val="table footnote Char"/>
    <w:rPr>
      <w:lang w:val="en-US" w:bidi="ar-SA"/>
    </w:rPr>
  </w:style>
  <w:style w:type="character" w:customStyle="1" w:styleId="TableTitleChar">
    <w:name w:val="Table Title Char"/>
    <w:rPr>
      <w:rFonts w:ascii="Times New Roman Bold" w:hAnsi="Times New Roman Bold" w:cs="Times New Roman Bold"/>
      <w:b/>
      <w:bCs/>
      <w:sz w:val="24"/>
      <w:szCs w:val="24"/>
      <w:lang w:val="en-US" w:bidi="ar-SA"/>
    </w:rPr>
  </w:style>
  <w:style w:type="character" w:customStyle="1" w:styleId="hilighti1">
    <w:name w:val="hilighti1"/>
    <w:rPr>
      <w:b/>
      <w:bCs/>
      <w:color w:val="FF0000"/>
      <w:u w:val="single"/>
    </w:rPr>
  </w:style>
  <w:style w:type="character" w:customStyle="1" w:styleId="hilightu">
    <w:name w:val="hilightu"/>
    <w:basedOn w:val="10"/>
  </w:style>
  <w:style w:type="character" w:customStyle="1" w:styleId="2Char">
    <w:name w:val="Επικεφαλίδα 2 Char"/>
    <w:rPr>
      <w:b/>
      <w:bCs/>
      <w:sz w:val="24"/>
      <w:szCs w:val="24"/>
      <w:lang w:val="en-GB"/>
    </w:rPr>
  </w:style>
  <w:style w:type="character" w:customStyle="1" w:styleId="DocumentTextChar">
    <w:name w:val="Document Text Char"/>
    <w:rPr>
      <w:rFonts w:eastAsia="MS Mincho"/>
      <w:sz w:val="22"/>
      <w:szCs w:val="22"/>
    </w:rPr>
  </w:style>
  <w:style w:type="character" w:customStyle="1" w:styleId="2Char0">
    <w:name w:val="Σώμα κείμενου 2 Char"/>
    <w:rPr>
      <w:lang w:val="en-GB"/>
    </w:rPr>
  </w:style>
  <w:style w:type="character" w:customStyle="1" w:styleId="tablefootnotelastChar">
    <w:name w:val="table footnote last Char"/>
    <w:rPr>
      <w:lang w:val="en-US"/>
    </w:rPr>
  </w:style>
  <w:style w:type="character" w:customStyle="1" w:styleId="tabletextcenterjustifiedChar">
    <w:name w:val="table text center justified Char"/>
    <w:uiPriority w:val="99"/>
    <w:rPr>
      <w:lang w:val="en-US" w:bidi="ar-SA"/>
    </w:rPr>
  </w:style>
  <w:style w:type="character" w:customStyle="1" w:styleId="11">
    <w:name w:val="Παραπομπή σχολίου1"/>
    <w:rPr>
      <w:sz w:val="16"/>
      <w:szCs w:val="16"/>
    </w:rPr>
  </w:style>
  <w:style w:type="character" w:customStyle="1" w:styleId="Char4">
    <w:name w:val="Θέμα σχολίου Char"/>
    <w:rPr>
      <w:b/>
      <w:bCs/>
      <w:sz w:val="20"/>
      <w:szCs w:val="20"/>
      <w:lang w:val="en-GB"/>
    </w:rPr>
  </w:style>
  <w:style w:type="character" w:customStyle="1" w:styleId="aalonsog">
    <w:name w:val="aalonsog"/>
    <w:rPr>
      <w:rFonts w:ascii="Verdana" w:hAnsi="Verdana" w:cs="Verdana"/>
      <w:b w:val="0"/>
      <w:bCs w:val="0"/>
      <w:i w:val="0"/>
      <w:iCs w:val="0"/>
      <w:strike w:val="0"/>
      <w:dstrike w:val="0"/>
      <w:color w:val="000080"/>
      <w:sz w:val="18"/>
      <w:szCs w:val="18"/>
      <w:u w:val="none"/>
    </w:rPr>
  </w:style>
  <w:style w:type="character" w:customStyle="1" w:styleId="NormalAgencyCar">
    <w:name w:val="Normal (Agency) Car"/>
    <w:rPr>
      <w:rFonts w:ascii="Verdana" w:eastAsia="Verdana" w:hAnsi="Verdana" w:cs="Verdana"/>
      <w:sz w:val="18"/>
      <w:szCs w:val="18"/>
      <w:lang w:val="en-GB" w:bidi="ar-SA"/>
    </w:rPr>
  </w:style>
  <w:style w:type="character" w:customStyle="1" w:styleId="Char5">
    <w:name w:val="Λεζάντα Char"/>
    <w:rPr>
      <w:rFonts w:ascii="Times New Roman Bold" w:hAnsi="Times New Roman Bold" w:cs="Times New Roman Bold"/>
      <w:b/>
      <w:bCs/>
      <w:sz w:val="24"/>
      <w:lang w:val="en-US" w:bidi="ar-SA"/>
    </w:rPr>
  </w:style>
  <w:style w:type="character" w:customStyle="1" w:styleId="normal-h1">
    <w:name w:val="normal-h1"/>
    <w:rPr>
      <w:rFonts w:ascii="Times New Roman" w:hAnsi="Times New Roman" w:cs="Times New Roman"/>
      <w:sz w:val="22"/>
      <w:szCs w:val="22"/>
    </w:rPr>
  </w:style>
  <w:style w:type="character" w:customStyle="1" w:styleId="hilightd1">
    <w:name w:val="hilightd1"/>
    <w:rPr>
      <w:strike/>
      <w:color w:val="FF0000"/>
    </w:rPr>
  </w:style>
  <w:style w:type="character" w:styleId="Emphasis">
    <w:name w:val="Emphasis"/>
    <w:uiPriority w:val="20"/>
    <w:qFormat/>
    <w:rPr>
      <w:i/>
      <w:iCs/>
    </w:rPr>
  </w:style>
  <w:style w:type="character" w:styleId="FollowedHyperlink">
    <w:name w:val="FollowedHyperlink"/>
    <w:rPr>
      <w:color w:val="800080"/>
      <w:u w:val="single"/>
    </w:rPr>
  </w:style>
  <w:style w:type="character" w:customStyle="1" w:styleId="tw4winMark">
    <w:name w:val="tw4winMark"/>
    <w:rPr>
      <w:rFonts w:ascii="Courier New" w:hAnsi="Courier New" w:cs="Courier New"/>
      <w:vanish/>
      <w:color w:val="800080"/>
      <w:vertAlign w:val="subscript"/>
    </w:rPr>
  </w:style>
  <w:style w:type="character" w:customStyle="1" w:styleId="st">
    <w:name w:val="st"/>
    <w:basedOn w:val="10"/>
  </w:style>
  <w:style w:type="paragraph" w:customStyle="1" w:styleId="Heading">
    <w:name w:val="Heading"/>
    <w:basedOn w:val="Normal"/>
    <w:next w:val="BodyText"/>
    <w:pPr>
      <w:keepNext/>
      <w:spacing w:before="240" w:after="120"/>
    </w:pPr>
    <w:rPr>
      <w:rFonts w:ascii="Arial" w:eastAsia="WenQuanYi Zen Hei" w:hAnsi="Arial" w:cs="Lohit Hindi"/>
      <w:sz w:val="28"/>
      <w:szCs w:val="28"/>
    </w:rPr>
  </w:style>
  <w:style w:type="paragraph" w:styleId="BodyText">
    <w:name w:val="Body Text"/>
    <w:basedOn w:val="Normal"/>
    <w:link w:val="BodyTextChar"/>
    <w:rPr>
      <w:sz w:val="20"/>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Footer">
    <w:name w:val="footer"/>
    <w:pPr>
      <w:tabs>
        <w:tab w:val="center" w:pos="4536"/>
        <w:tab w:val="right" w:pos="8306"/>
      </w:tabs>
    </w:pPr>
    <w:rPr>
      <w:rFonts w:ascii="Arial" w:hAnsi="Arial"/>
      <w:sz w:val="16"/>
      <w:lang w:val="en-GB" w:eastAsia="zh-CN"/>
    </w:rPr>
  </w:style>
  <w:style w:type="paragraph" w:styleId="Header">
    <w:name w:val="header"/>
    <w:basedOn w:val="Normal"/>
    <w:pPr>
      <w:tabs>
        <w:tab w:val="center" w:pos="4153"/>
        <w:tab w:val="right" w:pos="8306"/>
      </w:tabs>
    </w:pPr>
    <w:rPr>
      <w:sz w:val="20"/>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paragraph" w:customStyle="1" w:styleId="12">
    <w:name w:val="Κείμενο σχολίου1"/>
    <w:basedOn w:val="Normal"/>
    <w:rPr>
      <w:sz w:val="20"/>
    </w:rPr>
  </w:style>
  <w:style w:type="paragraph" w:customStyle="1" w:styleId="EMEAEnBodyText">
    <w:name w:val="EMEA En Body Text"/>
    <w:basedOn w:val="Normal"/>
    <w:pPr>
      <w:spacing w:before="120" w:after="120"/>
      <w:jc w:val="both"/>
    </w:pPr>
    <w:rPr>
      <w:lang w:val="en-US"/>
    </w:rPr>
  </w:style>
  <w:style w:type="paragraph" w:customStyle="1" w:styleId="13">
    <w:name w:val="Κείμενο πλαισίου1"/>
    <w:basedOn w:val="Normal"/>
    <w:rPr>
      <w:sz w:val="0"/>
      <w:szCs w:val="0"/>
    </w:rPr>
  </w:style>
  <w:style w:type="paragraph" w:customStyle="1" w:styleId="BodytextAgency">
    <w:name w:val="Body text (Agency)"/>
    <w:basedOn w:val="Normal"/>
    <w:uiPriority w:val="99"/>
    <w:pPr>
      <w:spacing w:after="140" w:line="280" w:lineRule="atLeast"/>
    </w:pPr>
    <w:rPr>
      <w:rFonts w:ascii="Verdana" w:eastAsia="Times New Roman" w:hAnsi="Verdana" w:cs="Verdana"/>
      <w:sz w:val="18"/>
      <w:szCs w:val="18"/>
    </w:rPr>
  </w:style>
  <w:style w:type="paragraph" w:customStyle="1" w:styleId="DraftingNotesAgency">
    <w:name w:val="Drafting Notes (Agency)"/>
    <w:basedOn w:val="Normal"/>
    <w:next w:val="BodytextAgency"/>
    <w:pPr>
      <w:spacing w:after="140" w:line="280" w:lineRule="atLeast"/>
    </w:pPr>
    <w:rPr>
      <w:rFonts w:ascii="Courier New" w:eastAsia="Times New Roman" w:hAnsi="Courier New" w:cs="Courier New"/>
      <w:i/>
      <w:iCs/>
      <w:color w:val="339966"/>
      <w:sz w:val="18"/>
      <w:szCs w:val="18"/>
    </w:rPr>
  </w:style>
  <w:style w:type="paragraph" w:customStyle="1" w:styleId="NormalAgency">
    <w:name w:val="Normal (Agency)"/>
    <w:pPr>
      <w:suppressAutoHyphens/>
    </w:pPr>
    <w:rPr>
      <w:rFonts w:ascii="Verdana" w:hAnsi="Verdana" w:cs="Verdana"/>
      <w:sz w:val="18"/>
      <w:szCs w:val="18"/>
      <w:lang w:val="en-GB" w:eastAsia="zh-CN"/>
    </w:rPr>
  </w:style>
  <w:style w:type="paragraph" w:customStyle="1" w:styleId="TableheadingrowsAgency">
    <w:name w:val="Table heading rows (Agency)"/>
    <w:basedOn w:val="BodytextAgency"/>
    <w:pPr>
      <w:keepNext/>
    </w:pPr>
    <w:rPr>
      <w:rFonts w:eastAsia="SimSun"/>
      <w:b/>
      <w:bCs/>
    </w:rPr>
  </w:style>
  <w:style w:type="paragraph" w:customStyle="1" w:styleId="TabletextrowsAgency">
    <w:name w:val="Table text rows (Agency)"/>
    <w:basedOn w:val="Normal"/>
    <w:pPr>
      <w:spacing w:line="280" w:lineRule="exact"/>
    </w:pPr>
    <w:rPr>
      <w:rFonts w:ascii="Verdana" w:hAnsi="Verdana" w:cs="Verdana"/>
      <w:sz w:val="18"/>
      <w:szCs w:val="18"/>
    </w:rPr>
  </w:style>
  <w:style w:type="paragraph" w:customStyle="1" w:styleId="labeltext">
    <w:name w:val="label text"/>
    <w:uiPriority w:val="99"/>
    <w:pPr>
      <w:suppressAutoHyphens/>
    </w:pPr>
    <w:rPr>
      <w:lang w:eastAsia="zh-CN"/>
    </w:rPr>
  </w:style>
  <w:style w:type="paragraph" w:customStyle="1" w:styleId="labeltextheading">
    <w:name w:val="label text heading"/>
    <w:basedOn w:val="labeltext"/>
    <w:uiPriority w:val="99"/>
    <w:pPr>
      <w:keepNext/>
    </w:pPr>
    <w:rPr>
      <w:i/>
      <w:iCs/>
      <w:lang w:eastAsia="en-US"/>
    </w:rPr>
  </w:style>
  <w:style w:type="paragraph" w:customStyle="1" w:styleId="1">
    <w:name w:val="Βασικό με εσοχή1"/>
    <w:basedOn w:val="Normal"/>
    <w:pPr>
      <w:spacing w:after="120"/>
      <w:ind w:left="720"/>
    </w:pPr>
  </w:style>
  <w:style w:type="paragraph" w:customStyle="1" w:styleId="documenttext">
    <w:name w:val="document text"/>
    <w:pPr>
      <w:suppressAutoHyphens/>
      <w:spacing w:after="120"/>
    </w:pPr>
    <w:rPr>
      <w:sz w:val="24"/>
      <w:szCs w:val="24"/>
      <w:lang w:eastAsia="zh-CN"/>
    </w:rPr>
  </w:style>
  <w:style w:type="paragraph" w:customStyle="1" w:styleId="TableTitle">
    <w:name w:val="Table Title"/>
    <w:next w:val="Normal"/>
    <w:pPr>
      <w:keepNext/>
      <w:keepLines/>
      <w:tabs>
        <w:tab w:val="left" w:pos="0"/>
        <w:tab w:val="left" w:pos="1440"/>
      </w:tabs>
      <w:suppressAutoHyphens/>
      <w:spacing w:after="120"/>
      <w:ind w:left="1440" w:hanging="1440"/>
    </w:pPr>
    <w:rPr>
      <w:rFonts w:ascii="Times New Roman Bold" w:hAnsi="Times New Roman Bold" w:cs="Times New Roman Bold"/>
      <w:b/>
      <w:bCs/>
      <w:sz w:val="24"/>
      <w:szCs w:val="24"/>
      <w:lang w:eastAsia="zh-CN"/>
    </w:rPr>
  </w:style>
  <w:style w:type="paragraph" w:customStyle="1" w:styleId="tabletextleftjustified">
    <w:name w:val="table text left justified"/>
    <w:pPr>
      <w:suppressAutoHyphens/>
      <w:spacing w:before="20" w:after="20"/>
    </w:pPr>
    <w:rPr>
      <w:lang w:eastAsia="zh-CN"/>
    </w:rPr>
  </w:style>
  <w:style w:type="paragraph" w:customStyle="1" w:styleId="tablefootnote">
    <w:name w:val="table footnote"/>
    <w:pPr>
      <w:tabs>
        <w:tab w:val="left" w:pos="288"/>
      </w:tabs>
      <w:suppressAutoHyphens/>
    </w:pPr>
    <w:rPr>
      <w:lang w:eastAsia="zh-CN"/>
    </w:rPr>
  </w:style>
  <w:style w:type="paragraph" w:customStyle="1" w:styleId="TitleA">
    <w:name w:val="Title A"/>
    <w:basedOn w:val="Heading1"/>
    <w:qFormat/>
    <w:rsid w:val="00A74E3D"/>
    <w:pPr>
      <w:jc w:val="center"/>
      <w:outlineLvl w:val="9"/>
    </w:pPr>
    <w:rPr>
      <w:rFonts w:ascii="Times New Roman" w:hAnsi="Times New Roman" w:cs="Times New Roman"/>
      <w:sz w:val="22"/>
      <w:szCs w:val="22"/>
      <w:lang w:val="en-US" w:eastAsia="en-US"/>
    </w:rPr>
  </w:style>
  <w:style w:type="paragraph" w:customStyle="1" w:styleId="21">
    <w:name w:val="Σώμα κείμενου 21"/>
    <w:basedOn w:val="Normal"/>
    <w:pPr>
      <w:spacing w:after="120" w:line="480" w:lineRule="auto"/>
    </w:pPr>
    <w:rPr>
      <w:sz w:val="20"/>
    </w:rPr>
  </w:style>
  <w:style w:type="paragraph" w:customStyle="1" w:styleId="tablefootnotelast">
    <w:name w:val="table footnote last"/>
    <w:basedOn w:val="tablefootnote"/>
    <w:pPr>
      <w:spacing w:after="240"/>
    </w:pPr>
  </w:style>
  <w:style w:type="paragraph" w:customStyle="1" w:styleId="tabletextcenterjustified">
    <w:name w:val="table text center justified"/>
    <w:uiPriority w:val="99"/>
    <w:pPr>
      <w:suppressAutoHyphens/>
      <w:spacing w:before="20" w:after="20"/>
      <w:jc w:val="center"/>
    </w:pPr>
    <w:rPr>
      <w:lang w:eastAsia="zh-CN"/>
    </w:rPr>
  </w:style>
  <w:style w:type="paragraph" w:customStyle="1" w:styleId="WW-Default">
    <w:name w:val="WW-Default"/>
    <w:pPr>
      <w:suppressAutoHyphens/>
      <w:autoSpaceDE w:val="0"/>
    </w:pPr>
    <w:rPr>
      <w:color w:val="000000"/>
      <w:sz w:val="24"/>
      <w:szCs w:val="24"/>
      <w:lang w:eastAsia="zh-CN"/>
    </w:rPr>
  </w:style>
  <w:style w:type="paragraph" w:customStyle="1" w:styleId="14">
    <w:name w:val="Θέμα σχολίου1"/>
    <w:basedOn w:val="12"/>
    <w:next w:val="12"/>
    <w:rPr>
      <w:b/>
      <w:bCs/>
    </w:rPr>
  </w:style>
  <w:style w:type="paragraph" w:customStyle="1" w:styleId="Revisin">
    <w:name w:val="Revisión"/>
    <w:pPr>
      <w:suppressAutoHyphens/>
    </w:pPr>
    <w:rPr>
      <w:sz w:val="22"/>
      <w:szCs w:val="22"/>
      <w:lang w:val="en-GB" w:eastAsia="zh-CN"/>
    </w:rPr>
  </w:style>
  <w:style w:type="paragraph" w:customStyle="1" w:styleId="Web1">
    <w:name w:val="Κανονικό (Web)1"/>
    <w:basedOn w:val="Normal"/>
    <w:pPr>
      <w:spacing w:before="100" w:after="100"/>
    </w:pPr>
    <w:rPr>
      <w:rFonts w:eastAsia="MS Mincho"/>
      <w:sz w:val="24"/>
      <w:szCs w:val="24"/>
      <w:lang w:val="en-US" w:eastAsia="ja-JP"/>
    </w:rPr>
  </w:style>
  <w:style w:type="paragraph" w:customStyle="1" w:styleId="15">
    <w:name w:val="Λεζάντα1"/>
    <w:next w:val="Normal"/>
    <w:pPr>
      <w:keepNext/>
      <w:widowControl w:val="0"/>
      <w:suppressAutoHyphens/>
      <w:spacing w:before="120" w:after="60"/>
      <w:ind w:left="1440" w:hanging="1440"/>
    </w:pPr>
    <w:rPr>
      <w:rFonts w:ascii="Times New Roman Bold" w:hAnsi="Times New Roman Bold" w:cs="Times New Roman Bold"/>
      <w:b/>
      <w:bCs/>
      <w:sz w:val="24"/>
      <w:lang w:eastAsia="zh-CN"/>
    </w:rPr>
  </w:style>
  <w:style w:type="paragraph" w:customStyle="1" w:styleId="normal-p">
    <w:name w:val="normal-p"/>
    <w:basedOn w:val="Normal"/>
    <w:pPr>
      <w:spacing w:line="260" w:lineRule="atLeast"/>
    </w:pPr>
    <w:rPr>
      <w:rFonts w:eastAsia="MS Mincho"/>
      <w:sz w:val="20"/>
      <w:lang w:val="en-US" w:eastAsia="ja-JP"/>
    </w:rPr>
  </w:style>
  <w:style w:type="paragraph" w:customStyle="1" w:styleId="TitleB">
    <w:name w:val="Title B"/>
    <w:basedOn w:val="Heading1"/>
    <w:rsid w:val="007E5203"/>
    <w:pPr>
      <w:ind w:left="567" w:hanging="567"/>
      <w:outlineLvl w:val="9"/>
    </w:pPr>
    <w:rPr>
      <w:rFonts w:ascii="Times New Roman Bold" w:hAnsi="Times New Roman Bold" w:cs="Times New Roman"/>
      <w:kern w:val="22"/>
      <w:sz w:val="22"/>
      <w:szCs w:val="22"/>
      <w:lang w:val="en-US"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Pr>
      <w:rFonts w:ascii="Tahoma" w:hAnsi="Tahoma"/>
      <w:sz w:val="16"/>
      <w:szCs w:val="16"/>
      <w:lang w:eastAsia="x-none"/>
    </w:rPr>
  </w:style>
  <w:style w:type="character" w:customStyle="1" w:styleId="BalloonTextChar">
    <w:name w:val="Balloon Text Char"/>
    <w:link w:val="BalloonText"/>
    <w:uiPriority w:val="99"/>
    <w:semiHidden/>
    <w:rPr>
      <w:rFonts w:ascii="Tahoma" w:eastAsia="SimSun" w:hAnsi="Tahoma" w:cs="Tahoma"/>
      <w:sz w:val="16"/>
      <w:szCs w:val="16"/>
      <w:lang w:val="en-GB"/>
    </w:rPr>
  </w:style>
  <w:style w:type="character" w:styleId="CommentReference">
    <w:name w:val="annotation reference"/>
    <w:uiPriority w:val="99"/>
    <w:unhideWhenUsed/>
    <w:rPr>
      <w:sz w:val="16"/>
      <w:szCs w:val="16"/>
    </w:rPr>
  </w:style>
  <w:style w:type="paragraph" w:styleId="CommentText">
    <w:name w:val="annotation text"/>
    <w:aliases w:val=" Car17, Car17 Car, Char Char Char, Char Char1,Annotationtext,Char,Char Char Char,Char Char1,Comment Text Char Char,Comment Text Char Char Char,Comment Text Char Char1 Char,Comment Text Char1 Char,Comment Text Char2 Char,Car17,Car17 Car"/>
    <w:basedOn w:val="Normal"/>
    <w:link w:val="CommentTextChar1"/>
    <w:uiPriority w:val="99"/>
    <w:unhideWhenUsed/>
    <w:qFormat/>
    <w:rPr>
      <w:sz w:val="20"/>
      <w:lang w:eastAsia="x-none"/>
    </w:rPr>
  </w:style>
  <w:style w:type="character" w:customStyle="1" w:styleId="CommentTextChar1">
    <w:name w:val="Comment Text Char1"/>
    <w:aliases w:val=" Car17 Char, Car17 Car Char, Char Char Char Char, Char Char1 Char,Annotationtext Char,Char Char,Char Char Char Char,Char Char1 Char,Comment Text Char Char Char1,Comment Text Char Char Char Char,Comment Text Char Char1 Char Char"/>
    <w:link w:val="CommentText"/>
    <w:uiPriority w:val="99"/>
    <w:rPr>
      <w:rFonts w:eastAsia="SimSun"/>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eastAsia="SimSun"/>
      <w:b/>
      <w:bCs/>
      <w:lang w:val="en-GB"/>
    </w:rPr>
  </w:style>
  <w:style w:type="paragraph" w:customStyle="1" w:styleId="big">
    <w:name w:val="big"/>
    <w:basedOn w:val="Normal"/>
    <w:pPr>
      <w:suppressAutoHyphens w:val="0"/>
      <w:spacing w:before="100" w:beforeAutospacing="1" w:after="100" w:afterAutospacing="1"/>
    </w:pPr>
    <w:rPr>
      <w:rFonts w:eastAsia="Times New Roman"/>
      <w:sz w:val="24"/>
      <w:szCs w:val="24"/>
    </w:rPr>
  </w:style>
  <w:style w:type="paragraph" w:customStyle="1" w:styleId="Revision1">
    <w:name w:val="Revision1"/>
    <w:hidden/>
    <w:uiPriority w:val="99"/>
    <w:semiHidden/>
    <w:rPr>
      <w:sz w:val="22"/>
      <w:lang w:val="en-GB" w:eastAsia="zh-CN"/>
    </w:rPr>
  </w:style>
  <w:style w:type="paragraph" w:styleId="NormalWeb">
    <w:name w:val="Normal (Web)"/>
    <w:basedOn w:val="Normal"/>
    <w:uiPriority w:val="99"/>
    <w:pPr>
      <w:suppressAutoHyphens w:val="0"/>
      <w:spacing w:before="100" w:beforeAutospacing="1" w:after="100" w:afterAutospacing="1"/>
    </w:pPr>
    <w:rPr>
      <w:rFonts w:eastAsia="MS Mincho"/>
      <w:sz w:val="24"/>
      <w:szCs w:val="24"/>
      <w:lang w:val="en-US" w:eastAsia="ja-JP"/>
    </w:rPr>
  </w:style>
  <w:style w:type="paragraph" w:customStyle="1" w:styleId="No-numheading3Agency">
    <w:name w:val="No-num heading 3 (Agency)"/>
    <w:basedOn w:val="Normal"/>
    <w:next w:val="BodytextAgency"/>
    <w:link w:val="No-numheading3AgencyChar"/>
    <w:pPr>
      <w:keepNext/>
      <w:suppressAutoHyphens w:val="0"/>
      <w:spacing w:before="280" w:after="220"/>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Pr>
      <w:rFonts w:ascii="Verdana" w:eastAsia="Verdana" w:hAnsi="Verdana" w:cs="Arial"/>
      <w:b/>
      <w:bCs/>
      <w:kern w:val="32"/>
      <w:sz w:val="22"/>
      <w:szCs w:val="22"/>
      <w:lang w:val="en-GB" w:eastAsia="en-GB" w:bidi="ar-SA"/>
    </w:rPr>
  </w:style>
  <w:style w:type="character" w:customStyle="1" w:styleId="hps">
    <w:name w:val="hps"/>
  </w:style>
  <w:style w:type="character" w:styleId="Strong">
    <w:name w:val="Strong"/>
    <w:qFormat/>
    <w:rPr>
      <w:b/>
      <w:bCs/>
      <w:color w:val="333333"/>
    </w:rPr>
  </w:style>
  <w:style w:type="character" w:customStyle="1" w:styleId="BodyTextChar">
    <w:name w:val="Body Text Char"/>
    <w:link w:val="BodyText"/>
    <w:rPr>
      <w:lang w:val="en-GB" w:eastAsia="zh-CN"/>
    </w:rPr>
  </w:style>
  <w:style w:type="paragraph" w:customStyle="1" w:styleId="16">
    <w:name w:val="Χωρίς διάστιχο1"/>
    <w:uiPriority w:val="1"/>
    <w:qFormat/>
    <w:pPr>
      <w:suppressAutoHyphens/>
    </w:pPr>
    <w:rPr>
      <w:sz w:val="22"/>
      <w:lang w:val="en-GB" w:eastAsia="zh-CN"/>
    </w:rPr>
  </w:style>
  <w:style w:type="paragraph" w:styleId="NormalIndent">
    <w:name w:val="Normal Indent"/>
    <w:basedOn w:val="Normal"/>
    <w:uiPriority w:val="99"/>
    <w:pPr>
      <w:suppressAutoHyphens w:val="0"/>
      <w:spacing w:after="120"/>
      <w:ind w:left="720"/>
    </w:pPr>
    <w:rPr>
      <w:szCs w:val="22"/>
      <w:lang w:eastAsia="en-GB"/>
    </w:rPr>
  </w:style>
  <w:style w:type="paragraph" w:customStyle="1" w:styleId="17">
    <w:name w:val="Παράγραφος λίστας1"/>
    <w:basedOn w:val="Normal"/>
    <w:uiPriority w:val="34"/>
    <w:qFormat/>
    <w:pPr>
      <w:suppressAutoHyphens w:val="0"/>
      <w:ind w:left="720"/>
      <w:contextualSpacing/>
    </w:pPr>
    <w:rPr>
      <w:rFonts w:eastAsia="Times New Roman"/>
      <w:szCs w:val="22"/>
      <w:lang w:val="en-US" w:eastAsia="en-US"/>
    </w:rPr>
  </w:style>
  <w:style w:type="paragraph" w:customStyle="1" w:styleId="18">
    <w:name w:val="Αναθεώρηση1"/>
    <w:hidden/>
    <w:uiPriority w:val="99"/>
    <w:semiHidden/>
    <w:rsid w:val="00D03BE2"/>
    <w:rPr>
      <w:sz w:val="22"/>
      <w:lang w:val="en-GB" w:eastAsia="zh-CN"/>
    </w:rPr>
  </w:style>
  <w:style w:type="paragraph" w:styleId="Revision">
    <w:name w:val="Revision"/>
    <w:hidden/>
    <w:uiPriority w:val="99"/>
    <w:semiHidden/>
    <w:rsid w:val="008E4AAD"/>
    <w:rPr>
      <w:sz w:val="22"/>
      <w:lang w:val="en-GB" w:eastAsia="zh-CN"/>
    </w:rPr>
  </w:style>
  <w:style w:type="paragraph" w:styleId="ListParagraph">
    <w:name w:val="List Paragraph"/>
    <w:basedOn w:val="Normal"/>
    <w:uiPriority w:val="34"/>
    <w:qFormat/>
    <w:rsid w:val="006F11D8"/>
    <w:pPr>
      <w:ind w:left="720"/>
    </w:pPr>
  </w:style>
  <w:style w:type="character" w:customStyle="1" w:styleId="TextocomentarioCar">
    <w:name w:val="Texto comentario Car"/>
    <w:uiPriority w:val="99"/>
    <w:locked/>
    <w:rsid w:val="008D52BA"/>
    <w:rPr>
      <w:lang w:val="en-GB"/>
    </w:rPr>
  </w:style>
  <w:style w:type="paragraph" w:styleId="Index9">
    <w:name w:val="index 9"/>
    <w:basedOn w:val="Normal"/>
    <w:next w:val="Normal"/>
    <w:autoRedefine/>
    <w:uiPriority w:val="99"/>
    <w:semiHidden/>
    <w:unhideWhenUsed/>
    <w:rsid w:val="00F13505"/>
    <w:pPr>
      <w:suppressAutoHyphens w:val="0"/>
      <w:spacing w:line="260" w:lineRule="exact"/>
      <w:ind w:left="1980" w:hanging="220"/>
    </w:pPr>
    <w:rPr>
      <w:szCs w:val="22"/>
      <w:lang w:val="en-GB" w:eastAsia="en-US"/>
    </w:rPr>
  </w:style>
  <w:style w:type="table" w:styleId="TableGrid">
    <w:name w:val="Table Grid"/>
    <w:basedOn w:val="TableNormal"/>
    <w:uiPriority w:val="99"/>
    <w:rsid w:val="00E22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092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87ECC"/>
    <w:pPr>
      <w:pBdr>
        <w:top w:val="nil"/>
        <w:left w:val="nil"/>
        <w:bottom w:val="nil"/>
        <w:right w:val="nil"/>
        <w:between w:val="nil"/>
        <w:bar w:val="nil"/>
      </w:pBdr>
      <w:tabs>
        <w:tab w:val="left" w:pos="567"/>
      </w:tabs>
    </w:pPr>
    <w:rPr>
      <w:rFonts w:eastAsia="Arial Unicode MS" w:cs="Arial Unicode MS"/>
      <w:color w:val="000000"/>
      <w:sz w:val="22"/>
      <w:szCs w:val="22"/>
      <w:u w:color="000000"/>
      <w:bdr w:val="nil"/>
      <w:lang w:val="el-GR" w:eastAsia="el-GR"/>
      <w14:textOutline w14:w="0" w14:cap="flat" w14:cmpd="sng" w14:algn="ctr">
        <w14:noFill/>
        <w14:prstDash w14:val="solid"/>
        <w14:bevel/>
      </w14:textOutline>
    </w:rPr>
  </w:style>
  <w:style w:type="paragraph" w:styleId="Salutation">
    <w:name w:val="Salutation"/>
    <w:basedOn w:val="Normal"/>
    <w:next w:val="Normal"/>
    <w:link w:val="SalutationChar"/>
    <w:uiPriority w:val="99"/>
    <w:semiHidden/>
    <w:unhideWhenUsed/>
    <w:rsid w:val="006334C1"/>
    <w:pPr>
      <w:tabs>
        <w:tab w:val="left" w:pos="567"/>
      </w:tabs>
      <w:suppressAutoHyphens w:val="0"/>
      <w:spacing w:line="260" w:lineRule="exact"/>
    </w:pPr>
    <w:rPr>
      <w:szCs w:val="22"/>
      <w:lang w:val="en-GB" w:eastAsia="en-US"/>
    </w:rPr>
  </w:style>
  <w:style w:type="character" w:customStyle="1" w:styleId="SalutationChar">
    <w:name w:val="Salutation Char"/>
    <w:basedOn w:val="DefaultParagraphFont"/>
    <w:link w:val="Salutation"/>
    <w:uiPriority w:val="99"/>
    <w:semiHidden/>
    <w:rsid w:val="006334C1"/>
    <w:rPr>
      <w:sz w:val="22"/>
      <w:szCs w:val="22"/>
      <w:lang w:val="en-GB"/>
    </w:rPr>
  </w:style>
  <w:style w:type="paragraph" w:customStyle="1" w:styleId="Default">
    <w:name w:val="Default"/>
    <w:rsid w:val="00CB3D30"/>
    <w:pPr>
      <w:pBdr>
        <w:top w:val="nil"/>
        <w:left w:val="nil"/>
        <w:bottom w:val="nil"/>
        <w:right w:val="nil"/>
        <w:between w:val="nil"/>
        <w:bar w:val="nil"/>
      </w:pBdr>
      <w:tabs>
        <w:tab w:val="left" w:pos="567"/>
      </w:tabs>
    </w:pPr>
    <w:rPr>
      <w:rFonts w:eastAsia="Times New Roman"/>
      <w:color w:val="000000"/>
      <w:sz w:val="24"/>
      <w:szCs w:val="24"/>
      <w:u w:color="000000"/>
      <w:bdr w:val="nil"/>
      <w:lang w:val="el-GR" w:eastAsia="el-GR"/>
      <w14:textOutline w14:w="0" w14:cap="flat" w14:cmpd="sng" w14:algn="ctr">
        <w14:noFill/>
        <w14:prstDash w14:val="solid"/>
        <w14:bevel/>
      </w14:textOutline>
    </w:rPr>
  </w:style>
  <w:style w:type="numbering" w:customStyle="1" w:styleId="ImportedStyle17">
    <w:name w:val="Imported Style 17"/>
    <w:rsid w:val="00DE11A4"/>
    <w:pPr>
      <w:numPr>
        <w:numId w:val="69"/>
      </w:numPr>
    </w:pPr>
  </w:style>
  <w:style w:type="paragraph" w:styleId="Title">
    <w:name w:val="Title"/>
    <w:basedOn w:val="Normal"/>
    <w:next w:val="Normal"/>
    <w:link w:val="TitleChar"/>
    <w:uiPriority w:val="10"/>
    <w:qFormat/>
    <w:rsid w:val="00DE11A4"/>
    <w:pPr>
      <w:tabs>
        <w:tab w:val="left" w:pos="567"/>
      </w:tabs>
      <w:suppressAutoHyphens w:val="0"/>
      <w:spacing w:before="240" w:after="60" w:line="260" w:lineRule="exact"/>
      <w:jc w:val="center"/>
      <w:outlineLvl w:val="0"/>
    </w:pPr>
    <w:rPr>
      <w:rFonts w:ascii="Cambria" w:eastAsia="Times New Roman" w:hAnsi="Cambria"/>
      <w:b/>
      <w:bCs/>
      <w:kern w:val="28"/>
      <w:sz w:val="32"/>
      <w:szCs w:val="32"/>
      <w:lang w:val="en-GB" w:eastAsia="en-US"/>
    </w:rPr>
  </w:style>
  <w:style w:type="character" w:customStyle="1" w:styleId="TitleChar">
    <w:name w:val="Title Char"/>
    <w:basedOn w:val="DefaultParagraphFont"/>
    <w:link w:val="Title"/>
    <w:uiPriority w:val="10"/>
    <w:rsid w:val="00DE11A4"/>
    <w:rPr>
      <w:rFonts w:ascii="Cambria" w:eastAsia="Times New Roman" w:hAnsi="Cambria"/>
      <w:b/>
      <w:bCs/>
      <w:kern w:val="2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51793">
      <w:bodyDiv w:val="1"/>
      <w:marLeft w:val="0"/>
      <w:marRight w:val="0"/>
      <w:marTop w:val="0"/>
      <w:marBottom w:val="0"/>
      <w:divBdr>
        <w:top w:val="none" w:sz="0" w:space="0" w:color="auto"/>
        <w:left w:val="none" w:sz="0" w:space="0" w:color="auto"/>
        <w:bottom w:val="none" w:sz="0" w:space="0" w:color="auto"/>
        <w:right w:val="none" w:sz="0" w:space="0" w:color="auto"/>
      </w:divBdr>
    </w:div>
    <w:div w:id="915633029">
      <w:bodyDiv w:val="1"/>
      <w:marLeft w:val="0"/>
      <w:marRight w:val="0"/>
      <w:marTop w:val="0"/>
      <w:marBottom w:val="0"/>
      <w:divBdr>
        <w:top w:val="none" w:sz="0" w:space="0" w:color="auto"/>
        <w:left w:val="none" w:sz="0" w:space="0" w:color="auto"/>
        <w:bottom w:val="none" w:sz="0" w:space="0" w:color="auto"/>
        <w:right w:val="none" w:sz="0" w:space="0" w:color="auto"/>
      </w:divBdr>
    </w:div>
    <w:div w:id="976689837">
      <w:bodyDiv w:val="1"/>
      <w:marLeft w:val="0"/>
      <w:marRight w:val="0"/>
      <w:marTop w:val="0"/>
      <w:marBottom w:val="0"/>
      <w:divBdr>
        <w:top w:val="none" w:sz="0" w:space="0" w:color="auto"/>
        <w:left w:val="none" w:sz="0" w:space="0" w:color="auto"/>
        <w:bottom w:val="none" w:sz="0" w:space="0" w:color="auto"/>
        <w:right w:val="none" w:sz="0" w:space="0" w:color="auto"/>
      </w:divBdr>
    </w:div>
    <w:div w:id="1071854157">
      <w:bodyDiv w:val="1"/>
      <w:marLeft w:val="0"/>
      <w:marRight w:val="0"/>
      <w:marTop w:val="0"/>
      <w:marBottom w:val="0"/>
      <w:divBdr>
        <w:top w:val="none" w:sz="0" w:space="0" w:color="auto"/>
        <w:left w:val="none" w:sz="0" w:space="0" w:color="auto"/>
        <w:bottom w:val="none" w:sz="0" w:space="0" w:color="auto"/>
        <w:right w:val="none" w:sz="0" w:space="0" w:color="auto"/>
      </w:divBdr>
      <w:divsChild>
        <w:div w:id="382292902">
          <w:marLeft w:val="0"/>
          <w:marRight w:val="0"/>
          <w:marTop w:val="0"/>
          <w:marBottom w:val="0"/>
          <w:divBdr>
            <w:top w:val="none" w:sz="0" w:space="0" w:color="auto"/>
            <w:left w:val="none" w:sz="0" w:space="0" w:color="auto"/>
            <w:bottom w:val="none" w:sz="0" w:space="0" w:color="auto"/>
            <w:right w:val="none" w:sz="0" w:space="0" w:color="auto"/>
          </w:divBdr>
        </w:div>
        <w:div w:id="480928477">
          <w:marLeft w:val="0"/>
          <w:marRight w:val="0"/>
          <w:marTop w:val="0"/>
          <w:marBottom w:val="0"/>
          <w:divBdr>
            <w:top w:val="none" w:sz="0" w:space="0" w:color="auto"/>
            <w:left w:val="none" w:sz="0" w:space="0" w:color="auto"/>
            <w:bottom w:val="none" w:sz="0" w:space="0" w:color="auto"/>
            <w:right w:val="none" w:sz="0" w:space="0" w:color="auto"/>
          </w:divBdr>
        </w:div>
        <w:div w:id="535124057">
          <w:marLeft w:val="0"/>
          <w:marRight w:val="0"/>
          <w:marTop w:val="0"/>
          <w:marBottom w:val="0"/>
          <w:divBdr>
            <w:top w:val="none" w:sz="0" w:space="0" w:color="auto"/>
            <w:left w:val="none" w:sz="0" w:space="0" w:color="auto"/>
            <w:bottom w:val="none" w:sz="0" w:space="0" w:color="auto"/>
            <w:right w:val="none" w:sz="0" w:space="0" w:color="auto"/>
          </w:divBdr>
        </w:div>
        <w:div w:id="1652782694">
          <w:marLeft w:val="0"/>
          <w:marRight w:val="0"/>
          <w:marTop w:val="0"/>
          <w:marBottom w:val="0"/>
          <w:divBdr>
            <w:top w:val="none" w:sz="0" w:space="0" w:color="auto"/>
            <w:left w:val="none" w:sz="0" w:space="0" w:color="auto"/>
            <w:bottom w:val="none" w:sz="0" w:space="0" w:color="auto"/>
            <w:right w:val="none" w:sz="0" w:space="0" w:color="auto"/>
          </w:divBdr>
        </w:div>
        <w:div w:id="1858423367">
          <w:marLeft w:val="0"/>
          <w:marRight w:val="0"/>
          <w:marTop w:val="0"/>
          <w:marBottom w:val="0"/>
          <w:divBdr>
            <w:top w:val="none" w:sz="0" w:space="0" w:color="auto"/>
            <w:left w:val="none" w:sz="0" w:space="0" w:color="auto"/>
            <w:bottom w:val="none" w:sz="0" w:space="0" w:color="auto"/>
            <w:right w:val="none" w:sz="0" w:space="0" w:color="auto"/>
          </w:divBdr>
        </w:div>
      </w:divsChild>
    </w:div>
    <w:div w:id="1314068536">
      <w:bodyDiv w:val="1"/>
      <w:marLeft w:val="0"/>
      <w:marRight w:val="0"/>
      <w:marTop w:val="0"/>
      <w:marBottom w:val="0"/>
      <w:divBdr>
        <w:top w:val="none" w:sz="0" w:space="0" w:color="auto"/>
        <w:left w:val="none" w:sz="0" w:space="0" w:color="auto"/>
        <w:bottom w:val="none" w:sz="0" w:space="0" w:color="auto"/>
        <w:right w:val="none" w:sz="0" w:space="0" w:color="auto"/>
      </w:divBdr>
    </w:div>
    <w:div w:id="1369138799">
      <w:bodyDiv w:val="1"/>
      <w:marLeft w:val="0"/>
      <w:marRight w:val="0"/>
      <w:marTop w:val="0"/>
      <w:marBottom w:val="0"/>
      <w:divBdr>
        <w:top w:val="none" w:sz="0" w:space="0" w:color="auto"/>
        <w:left w:val="none" w:sz="0" w:space="0" w:color="auto"/>
        <w:bottom w:val="none" w:sz="0" w:space="0" w:color="auto"/>
        <w:right w:val="none" w:sz="0" w:space="0" w:color="auto"/>
      </w:divBdr>
    </w:div>
    <w:div w:id="1457917986">
      <w:bodyDiv w:val="1"/>
      <w:marLeft w:val="0"/>
      <w:marRight w:val="0"/>
      <w:marTop w:val="0"/>
      <w:marBottom w:val="0"/>
      <w:divBdr>
        <w:top w:val="none" w:sz="0" w:space="0" w:color="auto"/>
        <w:left w:val="none" w:sz="0" w:space="0" w:color="auto"/>
        <w:bottom w:val="none" w:sz="0" w:space="0" w:color="auto"/>
        <w:right w:val="none" w:sz="0" w:space="0" w:color="auto"/>
      </w:divBdr>
    </w:div>
    <w:div w:id="1590390059">
      <w:bodyDiv w:val="1"/>
      <w:marLeft w:val="0"/>
      <w:marRight w:val="0"/>
      <w:marTop w:val="0"/>
      <w:marBottom w:val="0"/>
      <w:divBdr>
        <w:top w:val="none" w:sz="0" w:space="0" w:color="auto"/>
        <w:left w:val="none" w:sz="0" w:space="0" w:color="auto"/>
        <w:bottom w:val="none" w:sz="0" w:space="0" w:color="auto"/>
        <w:right w:val="none" w:sz="0" w:space="0" w:color="auto"/>
      </w:divBdr>
    </w:div>
    <w:div w:id="20782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eader" Target="header2.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eader" Target="header3.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B9A9-A95D-44A6-91CF-067699DF84B0}"/>
</file>

<file path=customXml/itemProps2.xml><?xml version="1.0" encoding="utf-8"?>
<ds:datastoreItem xmlns:ds="http://schemas.openxmlformats.org/officeDocument/2006/customXml" ds:itemID="{1B5F88D5-F8C0-44D3-BA16-7D69EF2E4EAA}">
  <ds:schemaRefs>
    <ds:schemaRef ds:uri="http://schemas.microsoft.com/sharepoint/v3/contenttype/forms"/>
  </ds:schemaRefs>
</ds:datastoreItem>
</file>

<file path=customXml/itemProps3.xml><?xml version="1.0" encoding="utf-8"?>
<ds:datastoreItem xmlns:ds="http://schemas.openxmlformats.org/officeDocument/2006/customXml" ds:itemID="{B2C23E75-5727-441D-8D92-2D210F61ECA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F9625E9-FD26-4FDA-8099-5BDBCF77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114</Pages>
  <Words>31540</Words>
  <Characters>179784</Characters>
  <Application>Microsoft Office Word</Application>
  <DocSecurity>0</DocSecurity>
  <Lines>1498</Lines>
  <Paragraphs>421</Paragraphs>
  <ScaleCrop>false</ScaleCrop>
  <HeadingPairs>
    <vt:vector size="6" baseType="variant">
      <vt:variant>
        <vt:lpstr>Title</vt:lpstr>
      </vt:variant>
      <vt:variant>
        <vt:i4>1</vt:i4>
      </vt:variant>
      <vt:variant>
        <vt:lpstr>Τίτλος</vt:lpstr>
      </vt:variant>
      <vt:variant>
        <vt:i4>1</vt:i4>
      </vt:variant>
      <vt:variant>
        <vt:lpstr>Titolo</vt:lpstr>
      </vt:variant>
      <vt:variant>
        <vt:i4>1</vt:i4>
      </vt:variant>
    </vt:vector>
  </HeadingPairs>
  <TitlesOfParts>
    <vt:vector size="3" baseType="lpstr">
      <vt:lpstr>Kalydeco, INN-ivacaftor</vt:lpstr>
      <vt:lpstr>Kalydeco, INN-ivacaftor</vt:lpstr>
      <vt:lpstr>Kalydeco, INN-ivacaftor</vt:lpstr>
    </vt:vector>
  </TitlesOfParts>
  <Company>Vertex Pharmaceuticals Incorporated</Company>
  <LinksUpToDate>false</LinksUpToDate>
  <CharactersWithSpaces>210903</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Kalydeco, INN-ivacaftor</dc:title>
  <dc:subject>EPAR</dc:subject>
  <dc:creator>CHMP</dc:creator>
  <cp:keywords>Kalydeco, INN-ivacaftor</cp:keywords>
  <cp:lastModifiedBy>DWL/913</cp:lastModifiedBy>
  <cp:revision>11</cp:revision>
  <cp:lastPrinted>2015-01-12T19:07:00Z</cp:lastPrinted>
  <dcterms:created xsi:type="dcterms:W3CDTF">2020-10-09T07:02:00Z</dcterms:created>
  <dcterms:modified xsi:type="dcterms:W3CDTF">2020-10-13T09:10:00Z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Category">
    <vt:lpwstr>Product Information</vt:lpwstr>
  </property>
  <property fmtid="{D5CDD505-2E9C-101B-9397-08002B2CF9AE}" pid="3" name="DM_Creation_Date">
    <vt:lpwstr>15/03/2012 10:50:36</vt:lpwstr>
  </property>
  <property fmtid="{D5CDD505-2E9C-101B-9397-08002B2CF9AE}" pid="4" name="DM_Creator_Name">
    <vt:lpwstr>Bilska Magdalena</vt:lpwstr>
  </property>
  <property fmtid="{D5CDD505-2E9C-101B-9397-08002B2CF9AE}" pid="5" name="DM_DocRefId">
    <vt:lpwstr>EMA/CHMP/176213/2012</vt:lpwstr>
  </property>
  <property fmtid="{D5CDD505-2E9C-101B-9397-08002B2CF9AE}" pid="6" name="DM_Modifer_Name">
    <vt:lpwstr>Bilska Magdalena</vt:lpwstr>
  </property>
  <property fmtid="{D5CDD505-2E9C-101B-9397-08002B2CF9AE}" pid="7" name="DM_Modified_Date">
    <vt:lpwstr>15/03/2012 10:52:13</vt:lpwstr>
  </property>
  <property fmtid="{D5CDD505-2E9C-101B-9397-08002B2CF9AE}" pid="8" name="DM_Modifier_Name">
    <vt:lpwstr>Bilska Magdalena</vt:lpwstr>
  </property>
  <property fmtid="{D5CDD505-2E9C-101B-9397-08002B2CF9AE}" pid="9" name="DM_Modify_Date">
    <vt:lpwstr>15/03/2012 10:52:13</vt:lpwstr>
  </property>
  <property fmtid="{D5CDD505-2E9C-101B-9397-08002B2CF9AE}" pid="10" name="DM_Name">
    <vt:lpwstr>Kalydeco D120 Final SmPC</vt:lpwstr>
  </property>
  <property fmtid="{D5CDD505-2E9C-101B-9397-08002B2CF9AE}" pid="11" name="DM_Owner">
    <vt:lpwstr>Espinasse Claire</vt:lpwstr>
  </property>
  <property fmtid="{D5CDD505-2E9C-101B-9397-08002B2CF9AE}" pid="12" name="DM_Path">
    <vt:lpwstr>/01. Evaluation of Medicine/H-C/J-L/Kalydeco(Ivacaftor Vertex Pharmaceuticals)- 002494/03 Evaluation/Day 0 - 120/07 D120 LoQ</vt:lpwstr>
  </property>
  <property fmtid="{D5CDD505-2E9C-101B-9397-08002B2CF9AE}" pid="13" name="DM_Subject">
    <vt:lpwstr>General-EMA/423415/2010</vt:lpwstr>
  </property>
  <property fmtid="{D5CDD505-2E9C-101B-9397-08002B2CF9AE}" pid="14" name="DM_Type">
    <vt:lpwstr>emea_document</vt:lpwstr>
  </property>
  <property fmtid="{D5CDD505-2E9C-101B-9397-08002B2CF9AE}" pid="15" name="DM_Version">
    <vt:lpwstr>CURRENT,1.1</vt:lpwstr>
  </property>
  <property fmtid="{D5CDD505-2E9C-101B-9397-08002B2CF9AE}" pid="16" name="DM_emea_doc_category">
    <vt:lpwstr>General</vt:lpwstr>
  </property>
  <property fmtid="{D5CDD505-2E9C-101B-9397-08002B2CF9AE}" pid="17" name="DM_emea_doc_number">
    <vt:lpwstr>423415</vt:lpwstr>
  </property>
  <property fmtid="{D5CDD505-2E9C-101B-9397-08002B2CF9AE}" pid="18" name="DM_emea_doc_ref_id">
    <vt:lpwstr>EMA/CHMP/176213/2012</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received_date">
    <vt:lpwstr>nulldate</vt:lpwstr>
  </property>
  <property fmtid="{D5CDD505-2E9C-101B-9397-08002B2CF9AE}" pid="22" name="DM_emea_sent_date">
    <vt:lpwstr>nulldate</vt:lpwstr>
  </property>
  <property fmtid="{D5CDD505-2E9C-101B-9397-08002B2CF9AE}" pid="23" name="DM_emea_year">
    <vt:lpwstr>2010</vt:lpwstr>
  </property>
  <property fmtid="{D5CDD505-2E9C-101B-9397-08002B2CF9AE}" pid="24" name="Registered">
    <vt:lpwstr>-1</vt:lpwstr>
  </property>
  <property fmtid="{D5CDD505-2E9C-101B-9397-08002B2CF9AE}" pid="25" name="Version">
    <vt:lpwstr>0</vt:lpwstr>
  </property>
  <property fmtid="{D5CDD505-2E9C-101B-9397-08002B2CF9AE}" pid="26" name="ContentTypeId">
    <vt:lpwstr>0x010100726F91DD1AE57B44B1BCEB7F1056F5D0</vt:lpwstr>
  </property>
</Properties>
</file>